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黑体" w:hAnsi="仿宋" w:eastAsia="黑体"/>
          <w:sz w:val="28"/>
          <w:szCs w:val="28"/>
        </w:rPr>
        <w:t xml:space="preserve">附件1 </w:t>
      </w:r>
      <w:r>
        <w:rPr>
          <w:rFonts w:hint="eastAsia" w:ascii="仿宋" w:hAnsi="仿宋" w:eastAsia="仿宋"/>
          <w:b/>
          <w:sz w:val="28"/>
          <w:szCs w:val="28"/>
        </w:rPr>
        <w:t xml:space="preserve">                                    </w:t>
      </w:r>
      <w:r>
        <w:rPr>
          <w:rFonts w:hint="eastAsia" w:ascii="黑体" w:hAnsi="黑体" w:eastAsia="黑体"/>
          <w:sz w:val="28"/>
          <w:szCs w:val="28"/>
        </w:rPr>
        <w:t>各产业园区三培育指标分解表</w:t>
      </w:r>
    </w:p>
    <w:tbl>
      <w:tblPr>
        <w:tblStyle w:val="3"/>
        <w:tblW w:w="15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58"/>
        <w:gridCol w:w="1145"/>
        <w:gridCol w:w="1134"/>
        <w:gridCol w:w="1134"/>
        <w:gridCol w:w="1136"/>
        <w:gridCol w:w="1134"/>
        <w:gridCol w:w="1134"/>
        <w:gridCol w:w="1134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序号</w:t>
            </w:r>
          </w:p>
        </w:tc>
        <w:tc>
          <w:tcPr>
            <w:tcW w:w="565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产业园区</w:t>
            </w:r>
          </w:p>
        </w:tc>
        <w:tc>
          <w:tcPr>
            <w:tcW w:w="34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高新技术企业</w:t>
            </w:r>
          </w:p>
        </w:tc>
        <w:tc>
          <w:tcPr>
            <w:tcW w:w="3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科技小巨人企业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瞪羚企业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56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2017</w:t>
            </w:r>
            <w:r>
              <w:rPr>
                <w:rFonts w:hint="eastAsia" w:ascii="楷体" w:hAnsi="楷体" w:eastAsia="楷体"/>
                <w:szCs w:val="21"/>
              </w:rPr>
              <w:t>年推荐数量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入库指标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认定指标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2017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认定数量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入库指标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认定指标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2017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认定数量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2018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入库指标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国际新兴产业园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包括但不限于：电商示范基地、IC装备孵化器，米库创服、同方创新、天贺美科机器人、贡乡星创众创空间等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大学科技城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括但不限于：锦联新经济产业园、国际软件园、辽宁环保产业公共服务基地、东大科技园，锦联创业邦、博众青年创业工厂、创客创服、禾农农业星创、稻田科技、青创乌托邦、协作同心咖啡、W-Make家用机器、“互联网+”众创空间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26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现代商贸区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括但不限于：巨子产业园、昂立信息园、火炬自动化园、沈阳创新孵化器，富国禹铭、盖恩科技、沈阳电商虚拟产业园、梧桐纳斯科技、大东北金融、尊龙生物、“爱循环”青年能量工场、众创大讲堂、兴科众创服务中心、亿米电商孵化基地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56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泗水科技城</w:t>
            </w:r>
          </w:p>
          <w:p>
            <w:pPr>
              <w:spacing w:line="28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包括但不限于：锦联梦工厂、智慧谷、北方健康产业园、绿谷生物技术孵化器、辽宁省总商会创新创业基地、泗水科技企业孵化器，“He Vision Space”、锦联世博文创园等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608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70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5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10</w:t>
            </w:r>
          </w:p>
        </w:tc>
      </w:tr>
    </w:tbl>
    <w:p>
      <w:pPr>
        <w:ind w:left="410" w:hanging="409" w:hangingChars="195"/>
        <w:jc w:val="left"/>
        <w:rPr>
          <w:rFonts w:ascii="仿宋" w:hAnsi="仿宋" w:eastAsia="仿宋"/>
          <w:szCs w:val="21"/>
        </w:rPr>
        <w:sectPr>
          <w:pgSz w:w="16838" w:h="11906" w:orient="landscape"/>
          <w:pgMar w:top="1797" w:right="1440" w:bottom="1701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/>
          <w:b/>
          <w:szCs w:val="21"/>
        </w:rPr>
        <w:t>注：各园区2019年、2020年指标根据其2018年指标完成情况于当年年初下达。各产业园区可对所辖区域的工业地产、孵化器和众创空间等创新创业载体自行调剂分配指标（例如：锦联、软件园高企各推荐</w:t>
      </w:r>
      <w:r>
        <w:rPr>
          <w:rFonts w:ascii="仿宋" w:hAnsi="仿宋" w:eastAsia="仿宋"/>
          <w:b/>
          <w:szCs w:val="21"/>
        </w:rPr>
        <w:t>10</w:t>
      </w:r>
      <w:r>
        <w:rPr>
          <w:rFonts w:hint="eastAsia" w:ascii="仿宋" w:hAnsi="仿宋" w:eastAsia="仿宋"/>
          <w:b/>
          <w:szCs w:val="21"/>
        </w:rPr>
        <w:t>家等）。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A3F54"/>
    <w:rsid w:val="669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2020-10-19T03:01:00Z</dcterms:created>
  <dc:creator>杨洋</dc:creator>
  <cp:lastModifiedBy>杨洋</cp:lastModifiedBy>
  <dcterms:modified xsi:type="dcterms:W3CDTF">2020-10-19T03:02:22Z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