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101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74"/>
        <w:gridCol w:w="7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城市更新“三位一体”工作体系职责清单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</w:rPr>
              <w:t>部门</w:t>
            </w: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</w:rPr>
              <w:t>主要工作职责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城市更新局</w:t>
            </w: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组织制定征收计划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下达征收任务，调度征收工作进展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组织召开征收疑难问题论证会并汇总疑难问题提报区政府决策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建立更新征收任务信息库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征收公告及补偿方案的审核、报批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多规合一平台业务上报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征收政策的研究制定解释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组织征收队伍培训工作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建立征收信息化管理系统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征收系统绩效考评工作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协议抽检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征收补偿服务中心</w:t>
            </w: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调配全区征收工作力量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配合街道做好征收数据综合统计工作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汇总、测算征收成本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第三方服务机构的招标和备案管理工作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配合街道办理多规合一平台业务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配合完成产权、产籍注销工作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搜集、整理疑难问题与街道办事处形成初步处理意见工作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1050" w:firstLineChars="3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配合街道办事处完成征收阶段的具体实施工作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  <w:t>街道办事处</w:t>
            </w: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征收准备阶段的组报卷工作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风险评估研判工作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摸底核量、协议签订、司法征收、协议请款、征收系统录入等具体实施工作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征收公告及补偿方案的起草工作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疑难问题梳理，形成处理意见上报更新局论证工作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负责司法强制征收具体履行工作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补偿款发放及回迁工作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产权、产籍注销工作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征收档案整理归档工作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涉拆信访问题的接待、处理及民心网平台办理工作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涉拆遗留问题的收集、提出初步意见工作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负责现场征收部人员的使用管理、绩效考评工作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负责征收经费的使用管理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负责第三方服务机构的使用管理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负责征收数据的统计上报工作</w:t>
            </w:r>
          </w:p>
        </w:tc>
      </w:tr>
    </w:tbl>
    <w:p>
      <w:pPr>
        <w:spacing w:line="480" w:lineRule="exact"/>
        <w:jc w:val="left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注：职责清单将根据工作实际情况由区城市更新局进行适时调整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77B63"/>
    <w:rsid w:val="2BB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2020-10-19T05:52:00Z</dcterms:created>
  <dc:creator>杨洋</dc:creator>
  <cp:lastModifiedBy>杨洋</cp:lastModifiedBy>
  <dcterms:modified xsi:type="dcterms:W3CDTF">2020-10-19T05:52:50Z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