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color w:val="000000"/>
          <w:sz w:val="32"/>
          <w:szCs w:val="32"/>
        </w:rPr>
      </w:pPr>
      <w:r>
        <w:rPr>
          <w:rFonts w:hint="eastAsia" w:ascii="黑体" w:hAnsi="黑体" w:eastAsia="黑体" w:cs="宋体"/>
          <w:color w:val="000000"/>
          <w:sz w:val="32"/>
          <w:szCs w:val="32"/>
        </w:rPr>
        <w:t>附件</w:t>
      </w:r>
      <w:r>
        <w:rPr>
          <w:rFonts w:ascii="黑体" w:hAnsi="黑体" w:eastAsia="黑体" w:cs="宋体"/>
          <w:color w:val="000000"/>
          <w:sz w:val="32"/>
          <w:szCs w:val="32"/>
        </w:rPr>
        <w:t>1</w:t>
      </w:r>
      <w:r>
        <w:rPr>
          <w:rFonts w:hint="eastAsia" w:ascii="黑体" w:hAnsi="黑体" w:eastAsia="黑体" w:cs="宋体"/>
          <w:color w:val="000000"/>
          <w:sz w:val="32"/>
          <w:szCs w:val="32"/>
        </w:rPr>
        <w:t>：</w:t>
      </w:r>
    </w:p>
    <w:p>
      <w:pPr>
        <w:widowControl/>
        <w:jc w:val="left"/>
        <w:rPr>
          <w:rFonts w:ascii="黑体" w:hAnsi="黑体" w:eastAsia="黑体" w:cs="宋体"/>
          <w:color w:val="000000"/>
          <w:sz w:val="32"/>
          <w:szCs w:val="32"/>
        </w:rPr>
      </w:pPr>
    </w:p>
    <w:p>
      <w:pPr>
        <w:spacing w:line="600" w:lineRule="exact"/>
        <w:jc w:val="center"/>
        <w:rPr>
          <w:rFonts w:ascii="宋体"/>
          <w:b/>
          <w:color w:val="000000"/>
          <w:kern w:val="0"/>
          <w:sz w:val="44"/>
          <w:szCs w:val="44"/>
        </w:rPr>
      </w:pPr>
      <w:r>
        <w:rPr>
          <w:rFonts w:hint="eastAsia" w:ascii="宋体" w:hAnsi="宋体"/>
          <w:b/>
          <w:color w:val="000000"/>
          <w:kern w:val="0"/>
          <w:sz w:val="44"/>
          <w:szCs w:val="44"/>
        </w:rPr>
        <w:t>安全生产网格建设原则和指导标准</w:t>
      </w:r>
    </w:p>
    <w:p>
      <w:pPr>
        <w:spacing w:line="600" w:lineRule="exact"/>
        <w:ind w:firstLine="643" w:firstLineChars="200"/>
        <w:rPr>
          <w:rFonts w:ascii="楷体_GB2312" w:hAnsi="宋体" w:eastAsia="楷体_GB2312"/>
          <w:b/>
          <w:color w:val="000000"/>
          <w:kern w:val="0"/>
          <w:sz w:val="32"/>
          <w:szCs w:val="21"/>
        </w:rPr>
      </w:pPr>
    </w:p>
    <w:p>
      <w:pPr>
        <w:spacing w:line="560" w:lineRule="exact"/>
        <w:ind w:firstLine="640" w:firstLineChars="200"/>
        <w:rPr>
          <w:rFonts w:ascii="黑体" w:hAnsi="黑体" w:eastAsia="黑体"/>
          <w:color w:val="000000"/>
          <w:kern w:val="0"/>
          <w:sz w:val="32"/>
          <w:szCs w:val="21"/>
        </w:rPr>
      </w:pPr>
      <w:r>
        <w:rPr>
          <w:rFonts w:hint="eastAsia" w:ascii="黑体" w:hAnsi="黑体" w:eastAsia="黑体"/>
          <w:color w:val="000000"/>
          <w:kern w:val="0"/>
          <w:sz w:val="32"/>
          <w:szCs w:val="21"/>
        </w:rPr>
        <w:t>一、网格建立原则</w:t>
      </w:r>
    </w:p>
    <w:p>
      <w:pPr>
        <w:spacing w:line="560" w:lineRule="exact"/>
        <w:ind w:firstLine="469" w:firstLineChars="146"/>
        <w:rPr>
          <w:rFonts w:ascii="仿宋_GB2312" w:hAnsi="宋体" w:eastAsia="仿宋_GB2312"/>
          <w:color w:val="000000"/>
          <w:kern w:val="0"/>
          <w:sz w:val="32"/>
          <w:szCs w:val="21"/>
        </w:rPr>
      </w:pPr>
      <w:r>
        <w:rPr>
          <w:rFonts w:hint="eastAsia" w:ascii="楷体_GB2312" w:hAnsi="宋体" w:eastAsia="楷体_GB2312"/>
          <w:b/>
          <w:color w:val="000000"/>
          <w:kern w:val="0"/>
          <w:sz w:val="32"/>
          <w:szCs w:val="21"/>
        </w:rPr>
        <w:t>（一）优化现有网格体系。</w:t>
      </w:r>
      <w:r>
        <w:rPr>
          <w:rFonts w:hint="eastAsia" w:ascii="仿宋_GB2312" w:hAnsi="宋体" w:eastAsia="仿宋_GB2312"/>
          <w:color w:val="000000"/>
          <w:kern w:val="0"/>
          <w:sz w:val="32"/>
          <w:szCs w:val="21"/>
        </w:rPr>
        <w:t>整合本级应急管理事务服务中心、各街道安全生产（应急管理）人员力量，充实到各街道网格中去，以每个网格</w:t>
      </w:r>
      <w:r>
        <w:rPr>
          <w:rFonts w:ascii="仿宋_GB2312" w:hAnsi="宋体" w:eastAsia="仿宋_GB2312"/>
          <w:color w:val="000000"/>
          <w:kern w:val="0"/>
          <w:sz w:val="32"/>
          <w:szCs w:val="21"/>
        </w:rPr>
        <w:t>3-7</w:t>
      </w:r>
      <w:r>
        <w:rPr>
          <w:rFonts w:hint="eastAsia" w:ascii="仿宋_GB2312" w:hAnsi="宋体" w:eastAsia="仿宋_GB2312"/>
          <w:color w:val="000000"/>
          <w:kern w:val="0"/>
          <w:sz w:val="32"/>
          <w:szCs w:val="21"/>
        </w:rPr>
        <w:t>人为标准，满足街道安全监督管理基本要求。将安全生产协管员力量充实到村（社区）网格，增强村（社区）网格发现问题、处置简单问题的能力。各街道办事处依托村（社区）网格人员力量，按照社会治理工作分片原则，建立若干责任区，细化微分网格管理责任区域至楼宇、单元。各行业领域管理部门整合本系统（部门）安全管理力量，建立区级网格化监管网格，实名制落实本级网格生产经营单位管理责任和下级网格指导监督责任。</w:t>
      </w:r>
    </w:p>
    <w:p>
      <w:pPr>
        <w:spacing w:line="560" w:lineRule="exact"/>
        <w:ind w:firstLine="472" w:firstLineChars="147"/>
        <w:rPr>
          <w:rFonts w:ascii="仿宋_GB2312" w:hAnsi="宋体" w:eastAsia="仿宋_GB2312"/>
          <w:color w:val="000000"/>
          <w:kern w:val="0"/>
          <w:sz w:val="32"/>
          <w:szCs w:val="21"/>
        </w:rPr>
      </w:pPr>
      <w:r>
        <w:rPr>
          <w:rFonts w:hint="eastAsia" w:ascii="楷体_GB2312" w:hAnsi="宋体" w:eastAsia="楷体_GB2312"/>
          <w:b/>
          <w:color w:val="000000"/>
          <w:kern w:val="0"/>
          <w:sz w:val="32"/>
          <w:szCs w:val="21"/>
        </w:rPr>
        <w:t>（二）坚持条块相结合。</w:t>
      </w:r>
      <w:r>
        <w:rPr>
          <w:rFonts w:hint="eastAsia" w:ascii="仿宋_GB2312" w:hAnsi="宋体" w:eastAsia="仿宋_GB2312"/>
          <w:color w:val="000000"/>
          <w:kern w:val="0"/>
          <w:sz w:val="32"/>
          <w:szCs w:val="21"/>
        </w:rPr>
        <w:t>以行业领域管理部门为主体（即纵向监管的“条”），划分行业监管网格。以街道、村（社区）和工业、商贸聚集区域为基本单位（即横向管理的“块”），划分属地监管网格。涉及运行保障和公共安全管理部门将管理触角，通过乡街网格进一步延伸至村（社区）内的责任区网格。责任区网格原则上以居民</w:t>
      </w:r>
      <w:r>
        <w:rPr>
          <w:rFonts w:ascii="仿宋_GB2312" w:hAnsi="宋体" w:eastAsia="仿宋_GB2312"/>
          <w:color w:val="000000"/>
          <w:kern w:val="0"/>
          <w:sz w:val="32"/>
          <w:szCs w:val="21"/>
        </w:rPr>
        <w:t>300-500</w:t>
      </w:r>
      <w:r>
        <w:rPr>
          <w:rFonts w:hint="eastAsia" w:ascii="仿宋_GB2312" w:hAnsi="宋体" w:eastAsia="仿宋_GB2312"/>
          <w:color w:val="000000"/>
          <w:kern w:val="0"/>
          <w:sz w:val="32"/>
          <w:szCs w:val="21"/>
        </w:rPr>
        <w:t>户、商户企业</w:t>
      </w:r>
      <w:r>
        <w:rPr>
          <w:rFonts w:ascii="仿宋_GB2312" w:hAnsi="宋体" w:eastAsia="仿宋_GB2312"/>
          <w:color w:val="000000"/>
          <w:kern w:val="0"/>
          <w:sz w:val="32"/>
          <w:szCs w:val="21"/>
        </w:rPr>
        <w:t>30-50</w:t>
      </w:r>
      <w:r>
        <w:rPr>
          <w:rFonts w:hint="eastAsia" w:ascii="仿宋_GB2312" w:hAnsi="宋体" w:eastAsia="仿宋_GB2312"/>
          <w:color w:val="000000"/>
          <w:kern w:val="0"/>
          <w:sz w:val="32"/>
          <w:szCs w:val="21"/>
        </w:rPr>
        <w:t>家、三四级马路总长度</w:t>
      </w:r>
      <w:r>
        <w:rPr>
          <w:rFonts w:ascii="仿宋_GB2312" w:hAnsi="宋体" w:eastAsia="仿宋_GB2312"/>
          <w:color w:val="000000"/>
          <w:kern w:val="0"/>
          <w:sz w:val="32"/>
          <w:szCs w:val="21"/>
        </w:rPr>
        <w:t>1</w:t>
      </w:r>
      <w:r>
        <w:rPr>
          <w:rFonts w:hint="eastAsia" w:ascii="仿宋_GB2312" w:hAnsi="宋体" w:eastAsia="仿宋_GB2312"/>
          <w:color w:val="000000"/>
          <w:kern w:val="0"/>
          <w:sz w:val="32"/>
          <w:szCs w:val="21"/>
        </w:rPr>
        <w:t>公里左右、巡查点位</w:t>
      </w:r>
      <w:r>
        <w:rPr>
          <w:rFonts w:ascii="仿宋_GB2312" w:hAnsi="宋体" w:eastAsia="仿宋_GB2312"/>
          <w:color w:val="000000"/>
          <w:kern w:val="0"/>
          <w:sz w:val="32"/>
          <w:szCs w:val="21"/>
        </w:rPr>
        <w:t>50</w:t>
      </w:r>
      <w:r>
        <w:rPr>
          <w:rFonts w:hint="eastAsia" w:ascii="仿宋_GB2312" w:hAnsi="宋体" w:eastAsia="仿宋_GB2312"/>
          <w:color w:val="000000"/>
          <w:kern w:val="0"/>
          <w:sz w:val="32"/>
          <w:szCs w:val="21"/>
        </w:rPr>
        <w:t>个左右为基本单位划分。工业企业、高危行业企业和其他行业规模以上生产经营单位原则上以班组作业区和功能模块为基本单元，划分管理网格，将风险点、设施设备管理责任具体到每个岗位、每名人员。</w:t>
      </w:r>
    </w:p>
    <w:p>
      <w:pPr>
        <w:spacing w:line="560" w:lineRule="exact"/>
        <w:ind w:firstLine="469" w:firstLineChars="146"/>
        <w:rPr>
          <w:rFonts w:ascii="仿宋_GB2312" w:hAnsi="宋体" w:eastAsia="仿宋_GB2312"/>
          <w:color w:val="000000"/>
          <w:kern w:val="0"/>
          <w:sz w:val="32"/>
          <w:szCs w:val="21"/>
        </w:rPr>
      </w:pPr>
      <w:r>
        <w:rPr>
          <w:rFonts w:hint="eastAsia" w:ascii="楷体_GB2312" w:hAnsi="宋体" w:eastAsia="楷体_GB2312"/>
          <w:b/>
          <w:color w:val="000000"/>
          <w:kern w:val="0"/>
          <w:sz w:val="32"/>
          <w:szCs w:val="21"/>
        </w:rPr>
        <w:t>（三）合理匹配监管任务与监管力量。</w:t>
      </w:r>
      <w:r>
        <w:rPr>
          <w:rFonts w:hint="eastAsia" w:ascii="仿宋_GB2312" w:hAnsi="宋体" w:eastAsia="仿宋_GB2312"/>
          <w:color w:val="000000"/>
          <w:kern w:val="0"/>
          <w:sz w:val="32"/>
          <w:szCs w:val="21"/>
        </w:rPr>
        <w:t>区安委会办公室和各行业领域管理部门综合本地区本行业安全生产特点、生产经营单位规模、风险等级和网格管理力量等因素，合理确定各级网格监督检查（巡访）对象。对于区属以上企业、高危行业企业、中型及以上其他各类企业或与基层监管力量不匹配的生产经营单位，由区直行业领域管理部门直接监管，不得随意下放至乡街及以下管理网格。</w:t>
      </w:r>
    </w:p>
    <w:p>
      <w:pPr>
        <w:spacing w:line="560" w:lineRule="exact"/>
        <w:ind w:firstLine="472" w:firstLineChars="147"/>
        <w:rPr>
          <w:rFonts w:ascii="仿宋_GB2312" w:hAnsi="宋体" w:eastAsia="仿宋_GB2312"/>
          <w:color w:val="000000"/>
          <w:kern w:val="0"/>
          <w:sz w:val="32"/>
          <w:szCs w:val="21"/>
        </w:rPr>
      </w:pPr>
      <w:r>
        <w:rPr>
          <w:rFonts w:hint="eastAsia" w:ascii="楷体_GB2312" w:hAnsi="宋体" w:eastAsia="楷体_GB2312"/>
          <w:b/>
          <w:color w:val="000000"/>
          <w:kern w:val="0"/>
          <w:sz w:val="32"/>
          <w:szCs w:val="21"/>
        </w:rPr>
        <w:t>（四）强化网格间的协同联动。</w:t>
      </w:r>
      <w:r>
        <w:rPr>
          <w:rFonts w:hint="eastAsia" w:ascii="仿宋_GB2312" w:hAnsi="宋体" w:eastAsia="仿宋_GB2312"/>
          <w:color w:val="000000"/>
          <w:kern w:val="0"/>
          <w:sz w:val="32"/>
          <w:szCs w:val="21"/>
        </w:rPr>
        <w:t>区安委会办公室和各行业领域管理部门要健全完善行业管理部门上下级网格之间的联动机制，与街道、村（社区）网格间的问题抄报、办理和反馈机制，以及部门网格间的问题移送、联动处置机制，逐步完善监管部门与企业间的风险管控、隐患治理的信息双向流转通道，构建各级网格之间情况互通、信息共享、责任分担、齐抓共管的工作体系，实现发现问题、解决问题和督考问题的闭环管理。</w:t>
      </w:r>
    </w:p>
    <w:p>
      <w:pPr>
        <w:spacing w:line="560" w:lineRule="exact"/>
        <w:ind w:firstLine="640" w:firstLineChars="200"/>
        <w:rPr>
          <w:rFonts w:ascii="黑体" w:hAnsi="黑体" w:eastAsia="黑体"/>
          <w:color w:val="000000"/>
          <w:kern w:val="0"/>
          <w:sz w:val="32"/>
          <w:szCs w:val="21"/>
        </w:rPr>
      </w:pPr>
      <w:r>
        <w:rPr>
          <w:rFonts w:hint="eastAsia" w:ascii="黑体" w:hAnsi="黑体" w:eastAsia="黑体"/>
          <w:color w:val="000000"/>
          <w:sz w:val="32"/>
          <w:szCs w:val="21"/>
        </w:rPr>
        <w:t>二、政府监管</w:t>
      </w:r>
      <w:r>
        <w:rPr>
          <w:rFonts w:hint="eastAsia" w:ascii="黑体" w:hAnsi="黑体" w:eastAsia="黑体"/>
          <w:color w:val="000000"/>
          <w:kern w:val="0"/>
          <w:sz w:val="32"/>
          <w:szCs w:val="21"/>
        </w:rPr>
        <w:t>网格管理架构和职能定位</w:t>
      </w:r>
    </w:p>
    <w:p>
      <w:pPr>
        <w:spacing w:line="56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浑南区网格化建设原则上分为区</w:t>
      </w:r>
      <w:r>
        <w:rPr>
          <w:rFonts w:ascii="仿宋_GB2312" w:eastAsia="仿宋_GB2312"/>
          <w:color w:val="000000"/>
          <w:sz w:val="32"/>
          <w:szCs w:val="21"/>
        </w:rPr>
        <w:t>—</w:t>
      </w:r>
      <w:r>
        <w:rPr>
          <w:rFonts w:hint="eastAsia" w:ascii="仿宋_GB2312" w:eastAsia="仿宋_GB2312"/>
          <w:color w:val="000000"/>
          <w:sz w:val="32"/>
          <w:szCs w:val="21"/>
        </w:rPr>
        <w:t>街道</w:t>
      </w:r>
      <w:r>
        <w:rPr>
          <w:rFonts w:ascii="仿宋_GB2312" w:eastAsia="仿宋_GB2312"/>
          <w:color w:val="000000"/>
          <w:sz w:val="32"/>
          <w:szCs w:val="21"/>
        </w:rPr>
        <w:t>—</w:t>
      </w:r>
      <w:r>
        <w:rPr>
          <w:rFonts w:hint="eastAsia" w:ascii="仿宋_GB2312" w:eastAsia="仿宋_GB2312"/>
          <w:color w:val="000000"/>
          <w:sz w:val="32"/>
          <w:szCs w:val="21"/>
        </w:rPr>
        <w:t>村（社区）</w:t>
      </w:r>
      <w:r>
        <w:rPr>
          <w:rFonts w:ascii="仿宋_GB2312" w:eastAsia="仿宋_GB2312"/>
          <w:color w:val="000000"/>
          <w:sz w:val="32"/>
          <w:szCs w:val="21"/>
        </w:rPr>
        <w:t>—</w:t>
      </w:r>
      <w:r>
        <w:rPr>
          <w:rFonts w:hint="eastAsia" w:ascii="仿宋_GB2312" w:eastAsia="仿宋_GB2312"/>
          <w:color w:val="000000"/>
          <w:sz w:val="32"/>
          <w:szCs w:val="21"/>
        </w:rPr>
        <w:t>责任区四级网格体系，工程建设、交通运输、教育、气象等行业领域管理部门可根据本行业领域实际，适当调整网格组建层级。</w:t>
      </w:r>
    </w:p>
    <w:p>
      <w:pPr>
        <w:spacing w:line="560" w:lineRule="exact"/>
        <w:ind w:firstLine="630" w:firstLineChars="196"/>
        <w:rPr>
          <w:rFonts w:ascii="仿宋_GB2312" w:eastAsia="仿宋_GB2312"/>
          <w:color w:val="000000"/>
          <w:sz w:val="32"/>
          <w:szCs w:val="21"/>
        </w:rPr>
      </w:pPr>
      <w:r>
        <w:rPr>
          <w:rFonts w:ascii="楷体_GB2312" w:hAnsi="宋体" w:eastAsia="楷体_GB2312"/>
          <w:b/>
          <w:color w:val="000000"/>
          <w:kern w:val="0"/>
          <w:sz w:val="32"/>
          <w:szCs w:val="21"/>
        </w:rPr>
        <w:t>1.</w:t>
      </w:r>
      <w:r>
        <w:rPr>
          <w:rFonts w:hint="eastAsia" w:ascii="楷体_GB2312" w:hAnsi="宋体" w:eastAsia="楷体_GB2312"/>
          <w:b/>
          <w:color w:val="000000"/>
          <w:kern w:val="0"/>
          <w:sz w:val="32"/>
          <w:szCs w:val="21"/>
        </w:rPr>
        <w:t>一级网格为区级网格。</w:t>
      </w:r>
      <w:r>
        <w:rPr>
          <w:rFonts w:hint="eastAsia" w:ascii="仿宋_GB2312" w:eastAsia="仿宋_GB2312"/>
          <w:color w:val="000000"/>
          <w:sz w:val="32"/>
          <w:szCs w:val="21"/>
        </w:rPr>
        <w:t>由区安委会办公室统一协调，责任主体为各行业领域管理部门，</w:t>
      </w:r>
      <w:r>
        <w:rPr>
          <w:rFonts w:hint="eastAsia" w:ascii="仿宋_GB2312" w:hAnsi="宋体" w:eastAsia="仿宋_GB2312"/>
          <w:color w:val="000000"/>
          <w:kern w:val="0"/>
          <w:sz w:val="32"/>
          <w:szCs w:val="21"/>
        </w:rPr>
        <w:t>网格长由部门主要领导担任，副网格长由部门领导班子成员担任，网格员由部门安全执法监察人员或管理人员组成。</w:t>
      </w:r>
    </w:p>
    <w:p>
      <w:pPr>
        <w:spacing w:line="560" w:lineRule="exact"/>
        <w:ind w:firstLine="627" w:firstLineChars="196"/>
        <w:rPr>
          <w:rFonts w:ascii="仿宋_GB2312" w:eastAsia="仿宋_GB2312"/>
          <w:color w:val="000000"/>
          <w:sz w:val="32"/>
          <w:szCs w:val="21"/>
        </w:rPr>
      </w:pPr>
      <w:r>
        <w:rPr>
          <w:rFonts w:hint="eastAsia" w:ascii="仿宋_GB2312" w:eastAsia="仿宋_GB2312"/>
          <w:color w:val="000000"/>
          <w:sz w:val="32"/>
          <w:szCs w:val="21"/>
        </w:rPr>
        <w:t>主要职责：组织实施本行业领域安全生产网格化建设，摸清生产经营单位底数，建立管理台账，划分网格管理层级，确定本行业领域各级网格监管对象，查处本级管辖或下级网格报送的安全生产违法行为，跟踪督办行业领域内隐患整改和风险管控措施落实；通过区级安全生产网格化管理平台，实时报送隐患、风险管控措施落实情况等监管工作信息；指导监督考核本行业领域安全生产网格化管理工作。</w:t>
      </w:r>
    </w:p>
    <w:p>
      <w:pPr>
        <w:spacing w:line="560" w:lineRule="exact"/>
        <w:ind w:firstLine="643" w:firstLineChars="200"/>
        <w:rPr>
          <w:rFonts w:ascii="仿宋_GB2312" w:eastAsia="仿宋_GB2312"/>
          <w:color w:val="000000"/>
          <w:sz w:val="32"/>
          <w:szCs w:val="21"/>
        </w:rPr>
      </w:pPr>
      <w:r>
        <w:rPr>
          <w:rFonts w:ascii="楷体_GB2312" w:hAnsi="宋体" w:eastAsia="楷体_GB2312"/>
          <w:b/>
          <w:color w:val="000000"/>
          <w:kern w:val="0"/>
          <w:sz w:val="32"/>
          <w:szCs w:val="21"/>
        </w:rPr>
        <w:t>2.</w:t>
      </w:r>
      <w:r>
        <w:rPr>
          <w:rFonts w:hint="eastAsia" w:ascii="楷体_GB2312" w:hAnsi="宋体" w:eastAsia="楷体_GB2312"/>
          <w:b/>
          <w:color w:val="000000"/>
          <w:kern w:val="0"/>
          <w:sz w:val="32"/>
          <w:szCs w:val="21"/>
        </w:rPr>
        <w:t>二级网格为街道网格。</w:t>
      </w:r>
      <w:r>
        <w:rPr>
          <w:rFonts w:hint="eastAsia" w:ascii="仿宋_GB2312" w:eastAsia="仿宋_GB2312"/>
          <w:color w:val="000000"/>
          <w:sz w:val="32"/>
          <w:szCs w:val="21"/>
        </w:rPr>
        <w:t>网格长由街道党政主要领导担任，副网格长由本单位班子成员担任，网格员由本单位承担安全管理任务的科室和区级职能部门下沉的专业监管力量组成。</w:t>
      </w:r>
    </w:p>
    <w:p>
      <w:pPr>
        <w:spacing w:line="56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主要职责：组织本单位和有关行业领域管理部门派出机构（下沉力量）协助行业领域管理部门摸清辖区内生产经营单位底数，建立管理台账，确定本级网格安全生产监管对象并实施安全检查；按照管理或委托权限查处本级管辖的和下级网格报送的安全生产违法行为，及时上报需由上级网格查处的违法行为和重大隐患；通过区级安全生产网格化管理平台，定时上报辖区隐患、风险管控措施落实情况等监管工作信息。</w:t>
      </w:r>
    </w:p>
    <w:p>
      <w:pPr>
        <w:spacing w:line="560" w:lineRule="exact"/>
        <w:ind w:firstLine="643" w:firstLineChars="200"/>
        <w:rPr>
          <w:rFonts w:ascii="仿宋_GB2312" w:eastAsia="仿宋_GB2312"/>
          <w:color w:val="000000"/>
          <w:sz w:val="32"/>
          <w:szCs w:val="21"/>
        </w:rPr>
      </w:pPr>
      <w:r>
        <w:rPr>
          <w:rFonts w:ascii="楷体_GB2312" w:hAnsi="宋体" w:eastAsia="楷体_GB2312"/>
          <w:b/>
          <w:color w:val="000000"/>
          <w:kern w:val="0"/>
          <w:sz w:val="32"/>
          <w:szCs w:val="21"/>
        </w:rPr>
        <w:t>3.</w:t>
      </w:r>
      <w:r>
        <w:rPr>
          <w:rFonts w:hint="eastAsia" w:ascii="楷体_GB2312" w:hAnsi="宋体" w:eastAsia="楷体_GB2312"/>
          <w:b/>
          <w:color w:val="000000"/>
          <w:kern w:val="0"/>
          <w:sz w:val="32"/>
          <w:szCs w:val="21"/>
        </w:rPr>
        <w:t>三级网格为村（社区）网格。</w:t>
      </w:r>
      <w:r>
        <w:rPr>
          <w:rFonts w:hint="eastAsia" w:ascii="仿宋_GB2312" w:eastAsia="仿宋_GB2312"/>
          <w:color w:val="000000"/>
          <w:sz w:val="32"/>
          <w:szCs w:val="21"/>
        </w:rPr>
        <w:t>网格长由村主任（社区书记）担任，副网格长由村委委员或居委会委员担任，网格员由街道安全生产协管员、村（社区）协管安全生产工作人员以及辖区重点企业安全管理人员组成。</w:t>
      </w:r>
    </w:p>
    <w:p>
      <w:pPr>
        <w:spacing w:line="56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主要职责：摸清辖区内生产经营单位基本情况，结合社会管理分工划分管理责任区；对职责范围内的管理对象开展安全巡查和安全生产宣传教育，上报辖区内的安全生产非法生产经营建设行为和隐患问题；通过区级安全生产网格化管理平台，及时上报隐患和风险情况信息。</w:t>
      </w:r>
    </w:p>
    <w:p>
      <w:pPr>
        <w:spacing w:line="560" w:lineRule="exact"/>
        <w:ind w:firstLine="630" w:firstLineChars="196"/>
        <w:rPr>
          <w:rFonts w:ascii="仿宋_GB2312" w:eastAsia="仿宋_GB2312"/>
          <w:color w:val="000000"/>
          <w:sz w:val="32"/>
          <w:szCs w:val="21"/>
        </w:rPr>
      </w:pPr>
      <w:r>
        <w:rPr>
          <w:rFonts w:ascii="楷体_GB2312" w:hAnsi="宋体" w:eastAsia="楷体_GB2312"/>
          <w:b/>
          <w:color w:val="000000"/>
          <w:kern w:val="0"/>
          <w:sz w:val="32"/>
          <w:szCs w:val="21"/>
        </w:rPr>
        <w:t>4.</w:t>
      </w:r>
      <w:r>
        <w:rPr>
          <w:rFonts w:hint="eastAsia" w:ascii="楷体_GB2312" w:hAnsi="宋体" w:eastAsia="楷体_GB2312"/>
          <w:b/>
          <w:color w:val="000000"/>
          <w:kern w:val="0"/>
          <w:sz w:val="32"/>
          <w:szCs w:val="21"/>
        </w:rPr>
        <w:t>四级网格为责任区网格。</w:t>
      </w:r>
      <w:r>
        <w:rPr>
          <w:rFonts w:hint="eastAsia" w:ascii="仿宋_GB2312" w:eastAsia="仿宋_GB2312"/>
          <w:color w:val="000000"/>
          <w:sz w:val="32"/>
          <w:szCs w:val="21"/>
        </w:rPr>
        <w:t>网格长由村（社区）包片干事担任，网格员由院长、楼长、单元长和志愿者等组成。</w:t>
      </w:r>
    </w:p>
    <w:p>
      <w:pPr>
        <w:spacing w:line="560" w:lineRule="exact"/>
        <w:ind w:firstLine="640" w:firstLineChars="200"/>
        <w:rPr>
          <w:rFonts w:ascii="仿宋_GB2312" w:eastAsia="仿宋_GB2312"/>
          <w:color w:val="000000"/>
          <w:sz w:val="32"/>
          <w:szCs w:val="21"/>
        </w:rPr>
      </w:pPr>
      <w:r>
        <w:rPr>
          <w:rFonts w:hint="eastAsia" w:ascii="仿宋_GB2312" w:hAnsi="宋体" w:eastAsia="仿宋_GB2312"/>
          <w:color w:val="000000"/>
          <w:kern w:val="0"/>
          <w:sz w:val="32"/>
          <w:szCs w:val="21"/>
        </w:rPr>
        <w:t>主要职责：定期</w:t>
      </w:r>
      <w:r>
        <w:rPr>
          <w:rFonts w:hint="eastAsia" w:ascii="仿宋_GB2312" w:eastAsia="仿宋_GB2312"/>
          <w:color w:val="000000"/>
          <w:sz w:val="32"/>
          <w:szCs w:val="21"/>
        </w:rPr>
        <w:t>巡访责任区内九小场所，开展安全宣传教育，上报责任区非法生产经营建设行为和隐患问题，组织和引导志愿者参与安全治理。</w:t>
      </w:r>
    </w:p>
    <w:p>
      <w:pPr>
        <w:spacing w:line="560" w:lineRule="exact"/>
        <w:ind w:firstLine="627" w:firstLineChars="196"/>
        <w:rPr>
          <w:rFonts w:ascii="黑体" w:hAnsi="黑体" w:eastAsia="黑体"/>
          <w:color w:val="000000"/>
          <w:sz w:val="32"/>
          <w:szCs w:val="21"/>
        </w:rPr>
      </w:pPr>
      <w:r>
        <w:rPr>
          <w:rFonts w:hint="eastAsia" w:ascii="黑体" w:hAnsi="黑体" w:eastAsia="黑体"/>
          <w:color w:val="000000"/>
          <w:sz w:val="32"/>
          <w:szCs w:val="21"/>
        </w:rPr>
        <w:t>三、生产经营单位网格管理架构和职能定位</w:t>
      </w:r>
    </w:p>
    <w:p>
      <w:pPr>
        <w:spacing w:line="56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生产经营单位网格体系网格长为生产经营单位主要负责人，副网格长为企业领导班子成员，网格员由所有部门负责人及各级安全管理人员组成。</w:t>
      </w:r>
    </w:p>
    <w:p>
      <w:pPr>
        <w:spacing w:line="560" w:lineRule="exact"/>
        <w:ind w:firstLine="643" w:firstLineChars="200"/>
        <w:rPr>
          <w:rFonts w:ascii="楷体_GB2312" w:hAnsi="黑体" w:eastAsia="楷体_GB2312" w:cs="宋体"/>
          <w:b/>
          <w:bCs/>
          <w:color w:val="000000"/>
          <w:sz w:val="32"/>
          <w:szCs w:val="32"/>
        </w:rPr>
      </w:pPr>
      <w:r>
        <w:rPr>
          <w:rFonts w:hint="eastAsia" w:ascii="楷体_GB2312" w:hAnsi="黑体" w:eastAsia="楷体_GB2312" w:cs="宋体"/>
          <w:b/>
          <w:bCs/>
          <w:color w:val="000000"/>
          <w:sz w:val="32"/>
          <w:szCs w:val="32"/>
        </w:rPr>
        <w:t>（一）构建安全网</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按照纵向到底的原则和思路，构建安全网，明晰安全连带责任。在公司层建立“四级安全网络”，即总经理（党委书记）</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副总经理</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职能部室</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分厂；在分厂层建立“六级安全网络”，即厂长（书记）</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副厂长</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职能员</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调度长</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班组长</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员工，突出主体责任，明晰连带责任，实现层级管理，重点解决安全怎么管的问题。</w:t>
      </w:r>
    </w:p>
    <w:p>
      <w:pPr>
        <w:spacing w:line="560" w:lineRule="exact"/>
        <w:ind w:firstLine="643" w:firstLineChars="200"/>
        <w:rPr>
          <w:rFonts w:ascii="楷体_GB2312" w:hAnsi="黑体" w:eastAsia="楷体_GB2312" w:cs="宋体"/>
          <w:b/>
          <w:bCs/>
          <w:color w:val="000000"/>
          <w:sz w:val="32"/>
          <w:szCs w:val="32"/>
        </w:rPr>
      </w:pPr>
      <w:r>
        <w:rPr>
          <w:rFonts w:hint="eastAsia" w:ascii="楷体_GB2312" w:hAnsi="黑体" w:eastAsia="楷体_GB2312" w:cs="宋体"/>
          <w:b/>
          <w:bCs/>
          <w:color w:val="000000"/>
          <w:sz w:val="32"/>
          <w:szCs w:val="32"/>
        </w:rPr>
        <w:t>（二）建立安全格</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按照横向到边的原则和思路，建立安全格，实现安全责任落岗到人。以班组作业区域为单元，将所在区域内的所有设备、设施，工装、工具，原材料、半成品，外来人员管理等影响现场作业安全的所有因素逐项落实到班组内具体人员，使员工都能清楚掌握所在区域自己负责分管的项目和内容，了解和掌握分管项目存在的危险源及控制措施。通过构建安全格，重点解决安全谁来管、管什么的问题。</w:t>
      </w:r>
      <w:r>
        <w:rPr>
          <w:rFonts w:ascii="仿宋_GB2312" w:hAnsi="宋体" w:eastAsia="仿宋_GB2312" w:cs="宋体"/>
          <w:color w:val="000000"/>
          <w:sz w:val="32"/>
          <w:szCs w:val="32"/>
        </w:rPr>
        <w:t xml:space="preserve"> </w:t>
      </w:r>
    </w:p>
    <w:p>
      <w:pPr>
        <w:spacing w:line="560" w:lineRule="exact"/>
        <w:ind w:firstLine="630" w:firstLineChars="196"/>
        <w:rPr>
          <w:rFonts w:ascii="楷体_GB2312" w:hAnsi="黑体" w:eastAsia="楷体_GB2312" w:cs="宋体"/>
          <w:b/>
          <w:bCs/>
          <w:color w:val="000000"/>
          <w:sz w:val="32"/>
          <w:szCs w:val="32"/>
        </w:rPr>
      </w:pPr>
      <w:r>
        <w:rPr>
          <w:rFonts w:hint="eastAsia" w:ascii="楷体_GB2312" w:hAnsi="黑体" w:eastAsia="楷体_GB2312" w:cs="宋体"/>
          <w:b/>
          <w:bCs/>
          <w:color w:val="000000"/>
          <w:sz w:val="32"/>
          <w:szCs w:val="32"/>
        </w:rPr>
        <w:t>（三）加强</w:t>
      </w:r>
      <w:r>
        <w:rPr>
          <w:rFonts w:hint="eastAsia" w:ascii="楷体_GB2312" w:hAnsi="宋体" w:eastAsia="楷体_GB2312" w:cs="宋体"/>
          <w:b/>
          <w:bCs/>
          <w:color w:val="000000"/>
          <w:sz w:val="32"/>
          <w:szCs w:val="32"/>
        </w:rPr>
        <w:t>网</w:t>
      </w:r>
      <w:r>
        <w:rPr>
          <w:rFonts w:hint="eastAsia" w:ascii="楷体_GB2312" w:hAnsi="黑体" w:eastAsia="楷体_GB2312" w:cs="宋体"/>
          <w:b/>
          <w:bCs/>
          <w:color w:val="000000"/>
          <w:sz w:val="32"/>
          <w:szCs w:val="32"/>
        </w:rPr>
        <w:t>格内危险源管理和控制</w:t>
      </w:r>
    </w:p>
    <w:p>
      <w:pPr>
        <w:spacing w:line="560" w:lineRule="exact"/>
        <w:ind w:firstLine="640" w:firstLineChars="200"/>
        <w:jc w:val="left"/>
        <w:rPr>
          <w:rFonts w:ascii="黑体" w:hAnsi="黑体" w:eastAsia="黑体"/>
          <w:color w:val="000000"/>
          <w:sz w:val="32"/>
          <w:szCs w:val="21"/>
        </w:rPr>
      </w:pPr>
      <w:r>
        <w:rPr>
          <w:rFonts w:hint="eastAsia" w:ascii="仿宋_GB2312" w:hAnsi="宋体" w:eastAsia="仿宋_GB2312" w:cs="宋体"/>
          <w:color w:val="000000"/>
          <w:sz w:val="32"/>
          <w:szCs w:val="32"/>
        </w:rPr>
        <w:t>结合工艺布局，从工艺流程、设备设施、现场环境、人员及管理方面，划分企业生产作业单元，网格内各类危险源按照风险等级和危险程度进行分级管控：不可接受风险</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公司级监控；中度风险</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车间级监控；一般风险</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班组级监控。不可接受风险按照控制要点拆分成数个风险点，每个风险点落实一名责任人，让每一个风险点都有专人进行控制，消除隐患，以“小安全”保“大安全”，安全整改层层传递，层层落实，形成自上而下、由下而上的隐患排查治理闭环体系</w:t>
      </w:r>
      <w:r>
        <w:rPr>
          <w:rFonts w:hint="eastAsia" w:ascii="仿宋_GB2312" w:eastAsia="仿宋_GB2312"/>
          <w:color w:val="000000"/>
          <w:sz w:val="32"/>
          <w:szCs w:val="21"/>
        </w:rPr>
        <w:t>，实现生产经营活动全过程管控。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97996"/>
    <w:rsid w:val="01A97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2020-10-19T06:13:00Z</dcterms:created>
  <dc:creator>杨洋</dc:creator>
  <cp:lastModifiedBy>杨洋</cp:lastModifiedBy>
  <dcterms:modified xsi:type="dcterms:W3CDTF">2020-10-19T06:14:02Z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