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ascii="黑体" w:hAnsi="黑体" w:eastAsia="黑体"/>
          <w:color w:val="000000"/>
          <w:sz w:val="32"/>
          <w:szCs w:val="21"/>
        </w:rPr>
      </w:pPr>
      <w:r>
        <w:rPr>
          <w:rFonts w:hint="eastAsia" w:ascii="黑体" w:hAnsi="黑体" w:eastAsia="黑体"/>
          <w:color w:val="000000"/>
          <w:sz w:val="32"/>
          <w:szCs w:val="21"/>
        </w:rPr>
        <w:t>附件3：</w:t>
      </w:r>
    </w:p>
    <w:p>
      <w:pPr>
        <w:spacing w:line="560" w:lineRule="exact"/>
        <w:jc w:val="center"/>
        <w:rPr>
          <w:rFonts w:hint="eastAsia" w:ascii="宋体" w:hAnsi="Calibri"/>
          <w:b/>
          <w:bCs/>
          <w:color w:val="000000"/>
          <w:kern w:val="0"/>
          <w:szCs w:val="21"/>
        </w:rPr>
      </w:pPr>
      <w:bookmarkStart w:id="0" w:name="_GoBack"/>
      <w:r>
        <w:rPr>
          <w:rFonts w:hint="eastAsia" w:ascii="宋体" w:hAnsi="宋体"/>
          <w:b/>
          <w:bCs/>
          <w:color w:val="000000"/>
          <w:kern w:val="0"/>
          <w:sz w:val="40"/>
          <w:szCs w:val="40"/>
        </w:rPr>
        <w:t>安全生产网格化建设2019年重点任务分解表</w:t>
      </w:r>
    </w:p>
    <w:bookmarkEnd w:id="0"/>
    <w:tbl>
      <w:tblPr>
        <w:tblStyle w:val="2"/>
        <w:tblpPr w:leftFromText="180" w:rightFromText="180" w:vertAnchor="text" w:horzAnchor="margin" w:tblpY="180"/>
        <w:tblOverlap w:val="never"/>
        <w:tblW w:w="141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6"/>
        <w:gridCol w:w="6130"/>
        <w:gridCol w:w="3082"/>
        <w:gridCol w:w="2317"/>
        <w:gridCol w:w="1800"/>
        <w:gridCol w:w="33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blHeader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序号</w:t>
            </w:r>
          </w:p>
        </w:tc>
        <w:tc>
          <w:tcPr>
            <w:tcW w:w="6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主要任务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成果表现形式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责任单位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8"/>
                <w:szCs w:val="28"/>
              </w:rPr>
              <w:t>完成时限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00" w:hRule="atLeast"/>
          <w:tblHeader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制定本地区、本行业领域强化安全生产网格化建设工作方案，明确网格建设原则和标准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工作文件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各行业管理部门，各街道办事处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7月12日前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961" w:hRule="atLeast"/>
          <w:tblHeader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分行业分层级建立区、街道、村（社区）、责任区四级安全监管网格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本地区、本行业领域网格组织架构图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各行业管理部门，各街道办事处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7月20日前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961" w:hRule="atLeast"/>
          <w:tblHeader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实名制落实</w:t>
            </w: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每个网格的管理责任人员和包保责任领导，建立网格管理人员清单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本地区、本行业领域网格管理人员清单，录入工作平台系统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各行业管理部门，各街道办事处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7月20日前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828" w:hRule="atLeast"/>
          <w:tblHeader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制定下发各级网格、各个责任区、各类人员的安全生产职责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工作文件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各行业管理部门，各街道办事处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7月20日前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961" w:hRule="atLeast"/>
          <w:tblHeader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通过信息平台导入企业数据信息，确认企业生产经营状态，组织开展企业安全管理责任部门确权工作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生产经营单位数据基本信息导入工作信息平台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区应急局、区市场监管局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7月30日前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870" w:hRule="atLeast"/>
          <w:tblHeader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研发拓展网格化管理信息平台功能，完善隐患排查上报、整治流转、整改销号和交办督办等功能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信息平台相关功能试运行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ap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区应急局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7月30日前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60" w:hRule="atLeast"/>
          <w:tblHeader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制定下发隐患排查整改闭环管理工作办法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工作文件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区应急局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8月5日前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71" w:hRule="atLeast"/>
          <w:tblHeader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制定下发各行业领域监管对象划定标准，区、街道监管对象划定标准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工作文件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各行业管理部门，各街道办事处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8月5日前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28" w:hRule="atLeast"/>
          <w:tblHeader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制定下发区直部门、各街道办事处网格化工作考核办法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工作文件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区安委会办公室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8月10日前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961" w:hRule="atLeast"/>
          <w:tblHeader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制定下发本行业、本地区网格化工作考核办法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工作文件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各行业管理部门，各街道办事处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8月15日前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961" w:hRule="atLeast"/>
          <w:tblHeader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制定下发各级网格员安全生产检查（巡访）清单，明确检查（巡访）内容和重点工作。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工作文件，植入工作信息平台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各行业管理部门，区应急局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8月15日前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961" w:hRule="atLeast"/>
          <w:tblHeader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制定下发网格化工作信息平台操作手册，组织系统平台操作培训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工作手册、培训课件，分级完成各级网格操作员培训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区应急局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8月15日前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88" w:hRule="atLeast"/>
          <w:tblHeader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制定下发各级网格员考核和激励约束办法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工作文件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各行业管理部门，区应急局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8月15日前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293" w:hRule="atLeast"/>
          <w:tblHeader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宋体" w:eastAsia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查清网格内所有生产经营单位底数和安全生产状况信息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录入全区安全生产网格化管理工作信息系统，信息完整度为100%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各行业管理部门，各街道办事处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8月20日前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57" w:hRule="atLeast"/>
          <w:tblHeader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4"/>
                <w:kern w:val="0"/>
                <w:sz w:val="28"/>
                <w:szCs w:val="28"/>
              </w:rPr>
              <w:t>制定各行业领域生产经营单位分级分类监管标准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工作文件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各行业管理部门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8月20日前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67" w:hRule="atLeast"/>
          <w:tblHeader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划清各级行业管理部门和属地基层管理网格监管对象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区、街道、村（社区）监管对象清单，工作文件明确监管对象清单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各行业管理部门，各街道办事处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8月25日前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1396" w:hRule="atLeast"/>
          <w:tblHeader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确定每家生产经营单位的行业监管或属地监管，以及消防、特种设备、燃气等专项安全监管部门和责任人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网格化管理信息系统内生产经营单位监管台账信息完整度为100%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各行业管理部门，各街道办事处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8月30日前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7" w:hRule="atLeast"/>
          <w:tblHeader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spacing w:val="-4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确定每家生产经营单位的安全监管等级，并录入网格化管理工作信息平台系统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0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生产经营单位安全监管等级录入平台系统率达到100%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各行业管理部门，各街道办事处</w:t>
            </w:r>
          </w:p>
        </w:tc>
        <w:tc>
          <w:tcPr>
            <w:tcW w:w="1833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9月20日前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793" w:hRule="atLeast"/>
          <w:tblHeader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/>
                <w:color w:val="000000"/>
                <w:kern w:val="0"/>
                <w:sz w:val="28"/>
                <w:szCs w:val="28"/>
              </w:rPr>
              <w:t>指导监督本地区、本行业领域规模以上生产经营单位建立内部安全管理网格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规模以上生产经营单位100%建立企业微网格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各行业管理部门，各街道办事处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9月30日前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92" w:hRule="atLeast"/>
          <w:tblHeader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按照检查计划，组织开展安全检查，查处违法行为，督促企业化解管控风险，跟踪督办隐患整治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4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网格监管工作信息实时录入平台系统（检查记录、视频、隐患部位相关图片）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各行业管理部门，各街道办事处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常态推进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692" w:hRule="atLeast"/>
          <w:tblHeader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定期开展网格化工作进展情况调度或督查，通报调度或督查结果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工作通报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区安委会办公室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7月起，每月30日前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rHeight w:val="558" w:hRule="atLeast"/>
          <w:tblHeader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center"/>
              <w:rPr>
                <w:rFonts w:ascii="仿宋_GB2312" w:hAnsi="Calibri" w:eastAsia="仿宋_GB2312"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000000"/>
                <w:sz w:val="28"/>
                <w:szCs w:val="28"/>
              </w:rPr>
              <w:t>22</w:t>
            </w:r>
          </w:p>
        </w:tc>
        <w:tc>
          <w:tcPr>
            <w:tcW w:w="6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梳理总结典型地区、部门工作经验，现场交流推广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现场交流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区安委会办公室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10月30日前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3" w:type="dxa"/>
          <w:tblHeader/>
        </w:trPr>
        <w:tc>
          <w:tcPr>
            <w:tcW w:w="8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1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总结评估网格化推进成效，梳理可复制可推广工作机制和短板问题，制定并落实改进措施</w:t>
            </w:r>
          </w:p>
        </w:tc>
        <w:tc>
          <w:tcPr>
            <w:tcW w:w="30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jc w:val="lef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典型工作经验，总结报告</w:t>
            </w:r>
          </w:p>
        </w:tc>
        <w:tc>
          <w:tcPr>
            <w:tcW w:w="231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spacing w:line="360" w:lineRule="exact"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各行业管理部门，各街道办事处</w:t>
            </w:r>
          </w:p>
        </w:tc>
        <w:tc>
          <w:tcPr>
            <w:tcW w:w="18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12月15日前</w:t>
            </w: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CB66C74"/>
    <w:rsid w:val="6CB6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2020-10-19T06:14:00Z</dcterms:created>
  <dc:creator>杨洋</dc:creator>
  <cp:lastModifiedBy>杨洋</cp:lastModifiedBy>
  <dcterms:modified xsi:type="dcterms:W3CDTF">2020-10-19T06:15:30Z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