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spacing w:line="220" w:lineRule="atLeast"/>
        <w:jc w:val="center"/>
        <w:rPr>
          <w:rFonts w:ascii="宋体"/>
          <w:b/>
          <w:color w:val="auto"/>
          <w:sz w:val="36"/>
          <w:szCs w:val="36"/>
        </w:rPr>
      </w:pPr>
      <w:bookmarkStart w:id="0" w:name="_GoBack"/>
      <w:r>
        <w:rPr>
          <w:rFonts w:hint="eastAsia" w:ascii="宋体" w:hAnsi="宋体" w:eastAsia="宋体" w:cs="宋体"/>
          <w:b/>
          <w:bCs w:val="0"/>
          <w:color w:val="auto"/>
          <w:sz w:val="44"/>
          <w:szCs w:val="44"/>
        </w:rPr>
        <w:t>健康</w:t>
      </w:r>
      <w:r>
        <w:rPr>
          <w:rFonts w:hint="eastAsia" w:ascii="宋体" w:hAnsi="宋体" w:eastAsia="宋体" w:cs="宋体"/>
          <w:b/>
          <w:bCs w:val="0"/>
          <w:color w:val="auto"/>
          <w:sz w:val="44"/>
          <w:szCs w:val="44"/>
          <w:lang w:eastAsia="zh-CN"/>
        </w:rPr>
        <w:t>浑南</w:t>
      </w:r>
      <w:r>
        <w:rPr>
          <w:rFonts w:hint="eastAsia" w:ascii="宋体" w:hAnsi="宋体" w:eastAsia="宋体" w:cs="宋体"/>
          <w:b/>
          <w:bCs w:val="0"/>
          <w:color w:val="auto"/>
          <w:sz w:val="44"/>
          <w:szCs w:val="44"/>
        </w:rPr>
        <w:t>行动考核指标框架</w:t>
      </w:r>
    </w:p>
    <w:bookmarkEnd w:id="0"/>
    <w:tbl>
      <w:tblPr>
        <w:tblStyle w:val="3"/>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581"/>
        <w:gridCol w:w="3081"/>
        <w:gridCol w:w="1101"/>
        <w:gridCol w:w="1064"/>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5"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考核依据</w:t>
            </w:r>
          </w:p>
        </w:tc>
        <w:tc>
          <w:tcPr>
            <w:tcW w:w="581"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序号</w:t>
            </w:r>
          </w:p>
        </w:tc>
        <w:tc>
          <w:tcPr>
            <w:tcW w:w="3081"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指标</w:t>
            </w:r>
          </w:p>
        </w:tc>
        <w:tc>
          <w:tcPr>
            <w:tcW w:w="1101"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2018年  全市   基期</w:t>
            </w:r>
          </w:p>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水平</w:t>
            </w:r>
          </w:p>
        </w:tc>
        <w:tc>
          <w:tcPr>
            <w:tcW w:w="1064"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2022年  全市   目标值</w:t>
            </w:r>
          </w:p>
        </w:tc>
        <w:tc>
          <w:tcPr>
            <w:tcW w:w="1080"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2022年  全省   目标值</w:t>
            </w:r>
          </w:p>
        </w:tc>
        <w:tc>
          <w:tcPr>
            <w:tcW w:w="1080" w:type="dxa"/>
            <w:noWrap w:val="0"/>
            <w:vAlign w:val="center"/>
          </w:tcPr>
          <w:p>
            <w:pPr>
              <w:spacing w:line="220" w:lineRule="atLeast"/>
              <w:jc w:val="center"/>
              <w:rPr>
                <w:rFonts w:hint="eastAsia" w:ascii="黑体" w:hAnsi="Times New Roman" w:eastAsia="黑体"/>
                <w:bCs/>
                <w:color w:val="auto"/>
                <w:sz w:val="24"/>
              </w:rPr>
            </w:pPr>
            <w:r>
              <w:rPr>
                <w:rFonts w:hint="eastAsia" w:ascii="黑体" w:hAnsi="Times New Roman" w:eastAsia="黑体"/>
                <w:bCs/>
                <w:color w:val="auto"/>
                <w:sz w:val="24"/>
              </w:rPr>
              <w:t>2022年  全国   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restart"/>
            <w:noWrap w:val="0"/>
            <w:vAlign w:val="center"/>
          </w:tcPr>
          <w:p>
            <w:pPr>
              <w:spacing w:line="220" w:lineRule="atLeast"/>
              <w:jc w:val="center"/>
              <w:rPr>
                <w:rFonts w:ascii="Times New Roman" w:hAnsi="Times New Roman" w:eastAsia="仿宋_GB2312"/>
                <w:color w:val="auto"/>
                <w:sz w:val="24"/>
                <w:shd w:val="clear" w:color="auto" w:fill="FFFFFF"/>
              </w:rPr>
            </w:pPr>
            <w:r>
              <w:rPr>
                <w:rFonts w:ascii="Times New Roman" w:hAnsi="Times New Roman" w:eastAsia="仿宋_GB2312"/>
                <w:color w:val="auto"/>
                <w:sz w:val="24"/>
                <w:shd w:val="clear" w:color="auto" w:fill="FFFFFF"/>
              </w:rPr>
              <w:t>健康中国20</w:t>
            </w:r>
          </w:p>
          <w:p>
            <w:pPr>
              <w:spacing w:line="220" w:lineRule="atLeast"/>
              <w:jc w:val="center"/>
              <w:rPr>
                <w:rFonts w:ascii="仿宋" w:hAnsi="仿宋" w:eastAsia="仿宋"/>
                <w:color w:val="auto"/>
                <w:sz w:val="24"/>
              </w:rPr>
            </w:pPr>
            <w:r>
              <w:rPr>
                <w:rFonts w:ascii="Times New Roman" w:hAnsi="Times New Roman" w:eastAsia="仿宋_GB2312"/>
                <w:color w:val="auto"/>
                <w:sz w:val="24"/>
                <w:shd w:val="clear" w:color="auto" w:fill="FFFFFF"/>
              </w:rPr>
              <w:t>30规划纲要</w:t>
            </w: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人均期望寿命（岁）</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80.26</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80.66</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79.0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婴儿死亡率（‰）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2.8</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≤4.5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≤4.5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5岁以下儿童死亡率（‰）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3.75</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4</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孕产妇死亡率（1/10万）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9.82</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≤13</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≤13</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城乡居民达到《国民体质测定标准》合格以上的人数比例（%）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≥79.9</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≥92.6</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≥90.86</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居民健康素养水平（%）</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20.4</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经常参加体育锻炼人数比例（%）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51</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≥53</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≥43</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重大慢性病过早死亡率（%）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14.24</w:t>
            </w:r>
          </w:p>
        </w:tc>
        <w:tc>
          <w:tcPr>
            <w:tcW w:w="1064" w:type="dxa"/>
            <w:noWrap w:val="0"/>
            <w:vAlign w:val="center"/>
          </w:tcPr>
          <w:p>
            <w:pPr>
              <w:pStyle w:val="2"/>
              <w:spacing w:beforeAutospacing="0" w:afterAutospacing="0"/>
              <w:jc w:val="center"/>
              <w:rPr>
                <w:rFonts w:ascii="Times New Roman" w:hAnsi="Times New Roman" w:eastAsia="仿宋" w:cs="Times New Roman"/>
                <w:b/>
                <w:color w:val="auto"/>
                <w:shd w:val="clear" w:color="auto" w:fill="FFFFFF"/>
              </w:rPr>
            </w:pPr>
            <w:r>
              <w:rPr>
                <w:rFonts w:ascii="Times New Roman" w:hAnsi="Times New Roman" w:eastAsia="仿宋" w:cs="Times New Roman"/>
                <w:color w:val="auto"/>
                <w:shd w:val="clear" w:color="auto" w:fill="FFFFFF"/>
              </w:rPr>
              <w:t>≤13.18</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≤15.9</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每千常住人口执业助理医师数（人）</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3.62</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3.8</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个人卫生支出占卫生总费用的比重（%）</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30.64</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restart"/>
            <w:noWrap w:val="0"/>
            <w:vAlign w:val="center"/>
          </w:tcPr>
          <w:p>
            <w:pPr>
              <w:spacing w:line="220" w:lineRule="atLeast"/>
              <w:jc w:val="center"/>
              <w:rPr>
                <w:rFonts w:ascii="仿宋" w:hAnsi="仿宋" w:eastAsia="仿宋"/>
                <w:color w:val="auto"/>
                <w:sz w:val="24"/>
              </w:rPr>
            </w:pPr>
            <w:r>
              <w:rPr>
                <w:rFonts w:hint="eastAsia" w:ascii="仿宋_GB2312" w:hAnsi="仿宋_GB2312" w:eastAsia="仿宋_GB2312" w:cs="仿宋_GB2312"/>
                <w:color w:val="auto"/>
                <w:sz w:val="24"/>
                <w:shd w:val="clear" w:color="auto" w:fill="FFFFFF"/>
              </w:rPr>
              <w:t>健康中国行动和相关规划文件</w:t>
            </w: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11</w:t>
            </w:r>
          </w:p>
        </w:tc>
        <w:tc>
          <w:tcPr>
            <w:tcW w:w="3081" w:type="dxa"/>
            <w:noWrap w:val="0"/>
            <w:vAlign w:val="top"/>
          </w:tcPr>
          <w:p>
            <w:pPr>
              <w:pStyle w:val="2"/>
              <w:spacing w:beforeAutospacing="0" w:afterAutospacing="0"/>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建立并完善健康科普专家库和资源库，构建健康科普知识发布和传播机制</w:t>
            </w:r>
          </w:p>
        </w:tc>
        <w:tc>
          <w:tcPr>
            <w:tcW w:w="1101"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w:t>
            </w:r>
          </w:p>
        </w:tc>
        <w:tc>
          <w:tcPr>
            <w:tcW w:w="1064"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12</w:t>
            </w:r>
          </w:p>
        </w:tc>
        <w:tc>
          <w:tcPr>
            <w:tcW w:w="3081" w:type="dxa"/>
            <w:noWrap w:val="0"/>
            <w:vAlign w:val="top"/>
          </w:tcPr>
          <w:p>
            <w:pPr>
              <w:pStyle w:val="2"/>
              <w:spacing w:beforeAutospacing="0" w:afterAutospacing="0"/>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建立医疗机构和医务人员开展健康教育和健康促进的绩效考核机制</w:t>
            </w:r>
          </w:p>
        </w:tc>
        <w:tc>
          <w:tcPr>
            <w:tcW w:w="1101"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w:t>
            </w:r>
          </w:p>
        </w:tc>
        <w:tc>
          <w:tcPr>
            <w:tcW w:w="1064"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13</w:t>
            </w:r>
          </w:p>
        </w:tc>
        <w:tc>
          <w:tcPr>
            <w:tcW w:w="3081" w:type="dxa"/>
            <w:noWrap w:val="0"/>
            <w:vAlign w:val="center"/>
          </w:tcPr>
          <w:p>
            <w:pPr>
              <w:rPr>
                <w:rFonts w:hint="eastAsia" w:ascii="仿宋_GB2312" w:hAnsi="仿宋_GB2312" w:eastAsia="仿宋_GB2312" w:cs="仿宋_GB2312"/>
                <w:color w:val="auto"/>
                <w:sz w:val="24"/>
                <w:shd w:val="clear" w:color="auto" w:fill="FFFFFF"/>
              </w:rPr>
            </w:pPr>
            <w:r>
              <w:rPr>
                <w:rFonts w:hint="eastAsia" w:ascii="仿宋_GB2312" w:hAnsi="仿宋_GB2312" w:eastAsia="仿宋_GB2312" w:cs="仿宋_GB2312"/>
                <w:color w:val="auto"/>
                <w:sz w:val="24"/>
              </w:rPr>
              <w:t>建设成无烟党政机关</w:t>
            </w:r>
          </w:p>
        </w:tc>
        <w:tc>
          <w:tcPr>
            <w:tcW w:w="1101" w:type="dxa"/>
            <w:noWrap w:val="0"/>
            <w:vAlign w:val="center"/>
          </w:tcPr>
          <w:p>
            <w:pPr>
              <w:pStyle w:val="2"/>
              <w:spacing w:beforeAutospacing="0" w:afterAutospacing="0"/>
              <w:jc w:val="center"/>
              <w:rPr>
                <w:rFonts w:ascii="仿宋" w:hAnsi="仿宋" w:eastAsia="仿宋" w:cs="仿宋"/>
                <w:color w:val="auto"/>
                <w:shd w:val="clear" w:color="auto" w:fill="FFFFFF"/>
              </w:rPr>
            </w:pPr>
            <w:r>
              <w:rPr>
                <w:rFonts w:ascii="仿宋" w:hAnsi="仿宋" w:eastAsia="仿宋" w:cs="仿宋"/>
                <w:color w:val="auto"/>
                <w:shd w:val="clear" w:color="auto" w:fill="FFFFFF"/>
              </w:rPr>
              <w:t>--</w:t>
            </w:r>
          </w:p>
        </w:tc>
        <w:tc>
          <w:tcPr>
            <w:tcW w:w="1064" w:type="dxa"/>
            <w:noWrap w:val="0"/>
            <w:vAlign w:val="center"/>
          </w:tcPr>
          <w:p>
            <w:pPr>
              <w:pStyle w:val="2"/>
              <w:spacing w:beforeAutospacing="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基本</w:t>
            </w:r>
          </w:p>
          <w:p>
            <w:pPr>
              <w:pStyle w:val="2"/>
              <w:spacing w:beforeAutospacing="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实现</w:t>
            </w:r>
          </w:p>
        </w:tc>
        <w:tc>
          <w:tcPr>
            <w:tcW w:w="1080" w:type="dxa"/>
            <w:noWrap w:val="0"/>
            <w:vAlign w:val="center"/>
          </w:tcPr>
          <w:p>
            <w:pPr>
              <w:pStyle w:val="2"/>
              <w:spacing w:beforeAutospacing="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基本</w:t>
            </w:r>
          </w:p>
          <w:p>
            <w:pPr>
              <w:jc w:val="center"/>
              <w:rPr>
                <w:rFonts w:ascii="仿宋" w:hAnsi="仿宋" w:eastAsia="仿宋" w:cs="仿宋"/>
                <w:color w:val="auto"/>
                <w:sz w:val="24"/>
                <w:shd w:val="clear" w:color="auto" w:fill="FFFFFF"/>
              </w:rPr>
            </w:pPr>
            <w:r>
              <w:rPr>
                <w:rFonts w:hint="eastAsia" w:ascii="仿宋" w:hAnsi="仿宋" w:eastAsia="仿宋"/>
                <w:color w:val="auto"/>
                <w:sz w:val="24"/>
                <w:shd w:val="clear" w:color="auto" w:fill="FFFFFF"/>
              </w:rPr>
              <w:t>实现</w:t>
            </w:r>
          </w:p>
        </w:tc>
        <w:tc>
          <w:tcPr>
            <w:tcW w:w="1080" w:type="dxa"/>
            <w:noWrap w:val="0"/>
            <w:vAlign w:val="center"/>
          </w:tcPr>
          <w:p>
            <w:pPr>
              <w:pStyle w:val="2"/>
              <w:spacing w:beforeAutospacing="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基本</w:t>
            </w:r>
          </w:p>
          <w:p>
            <w:pPr>
              <w:pStyle w:val="2"/>
              <w:spacing w:beforeAutospacing="0" w:afterAutospacing="0"/>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14</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产前筛查率（%）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90.03</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≥80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≥70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15</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新生儿遗传代谢性疾病筛查率（%）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99.1</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≥98</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≥98</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16</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农村适龄妇女宫颈癌和乳腺癌筛查覆盖率（%）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80.03</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≥80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≥80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17</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国家学生体质健康标准优良率（%）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21.3</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≥50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≥50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18</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学校眼保健操普及率（%）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100</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100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100</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19</w:t>
            </w:r>
          </w:p>
        </w:tc>
        <w:tc>
          <w:tcPr>
            <w:tcW w:w="3081" w:type="dxa"/>
            <w:noWrap w:val="0"/>
            <w:vAlign w:val="center"/>
          </w:tcPr>
          <w:p>
            <w:pPr>
              <w:pStyle w:val="2"/>
              <w:spacing w:beforeAutospacing="0" w:afterAutospacing="0"/>
              <w:jc w:val="both"/>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儿童青少年总体近视率（%）</w:t>
            </w:r>
          </w:p>
        </w:tc>
        <w:tc>
          <w:tcPr>
            <w:tcW w:w="110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57.8</w:t>
            </w:r>
          </w:p>
        </w:tc>
        <w:tc>
          <w:tcPr>
            <w:tcW w:w="1064"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每年降低0.5－1个百分点</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每年降低0.5－1个百分点</w:t>
            </w:r>
          </w:p>
        </w:tc>
        <w:tc>
          <w:tcPr>
            <w:tcW w:w="1080"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每年降低0.5－1个百分点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95" w:type="dxa"/>
            <w:vMerge w:val="restart"/>
            <w:noWrap w:val="0"/>
            <w:vAlign w:val="center"/>
          </w:tcPr>
          <w:p>
            <w:pPr>
              <w:spacing w:line="220" w:lineRule="atLeast"/>
              <w:jc w:val="center"/>
              <w:rPr>
                <w:rFonts w:ascii="仿宋" w:hAnsi="仿宋" w:eastAsia="仿宋"/>
                <w:color w:val="auto"/>
                <w:sz w:val="24"/>
              </w:rPr>
            </w:pPr>
            <w:r>
              <w:rPr>
                <w:rFonts w:hint="eastAsia" w:ascii="仿宋_GB2312" w:hAnsi="仿宋_GB2312" w:eastAsia="仿宋_GB2312" w:cs="仿宋_GB2312"/>
                <w:color w:val="auto"/>
                <w:sz w:val="24"/>
                <w:shd w:val="clear" w:color="auto" w:fill="FFFFFF"/>
              </w:rPr>
              <w:t>健康中国行动和相关规划文件</w:t>
            </w: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20</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符合要求的中小学体育与健康课程开课率（%）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21</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中小学生每天校内体育活动时间（小时）</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22</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寄宿制中小学校或600名学生以上的非寄宿制中小学校配备专职卫生专业技术人员、600名学生以下的非寄宿制中小学校配备专兼职保健老师或卫生专业技术人员的比例（%）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23</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配备专兼职心理健康工作人员的中小学校比例（%）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24</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接尘工龄不足5年的劳动者新发尘肺病报告例数占年度报告总例数比例（%）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下降</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下降</w:t>
            </w:r>
          </w:p>
        </w:tc>
        <w:tc>
          <w:tcPr>
            <w:tcW w:w="1080" w:type="dxa"/>
            <w:noWrap w:val="0"/>
            <w:vAlign w:val="center"/>
          </w:tcPr>
          <w:p>
            <w:pPr>
              <w:pStyle w:val="2"/>
              <w:spacing w:beforeAutospacing="0" w:afterAutospacing="0"/>
              <w:jc w:val="center"/>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25</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二级以上综合性医院设老年医学科比例（%）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26</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高血压患者规范管理率（%）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27</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糖尿病患者规范管理率（%）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28</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三级中医医院设置康复科比例（%）</w:t>
            </w:r>
          </w:p>
        </w:tc>
        <w:tc>
          <w:tcPr>
            <w:tcW w:w="1101" w:type="dxa"/>
            <w:noWrap w:val="0"/>
            <w:vAlign w:val="center"/>
          </w:tcPr>
          <w:p>
            <w:pPr>
              <w:pStyle w:val="2"/>
              <w:spacing w:beforeAutospacing="0" w:afterAutospacing="0" w:line="360" w:lineRule="auto"/>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75</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80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29</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乡镇卫生院、社区卫生服务中心提供中医非药物疗法的比例（%），村卫生室提供中医非药物疗法的比例（%）</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70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p>
            <w:pPr>
              <w:jc w:val="center"/>
              <w:rPr>
                <w:rFonts w:ascii="Times New Roman" w:hAnsi="Times New Roman" w:eastAsia="仿宋"/>
                <w:color w:val="auto"/>
                <w:sz w:val="24"/>
                <w:shd w:val="clear" w:color="auto" w:fill="FFFFFF"/>
              </w:rPr>
            </w:pPr>
            <w:r>
              <w:rPr>
                <w:rFonts w:ascii="Times New Roman" w:hAnsi="Times New Roman" w:eastAsia="仿宋"/>
                <w:color w:val="auto"/>
                <w:sz w:val="24"/>
                <w:shd w:val="clear" w:color="auto" w:fill="FFFFFF"/>
              </w:rPr>
              <w:t>70</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100</w:t>
            </w:r>
          </w:p>
          <w:p>
            <w:pPr>
              <w:jc w:val="center"/>
              <w:rPr>
                <w:rFonts w:ascii="Times New Roman" w:hAnsi="Times New Roman" w:eastAsia="仿宋"/>
                <w:color w:val="auto"/>
                <w:sz w:val="24"/>
                <w:shd w:val="clear" w:color="auto" w:fill="FFFFFF"/>
              </w:rPr>
            </w:pPr>
            <w:r>
              <w:rPr>
                <w:rFonts w:ascii="Times New Roman" w:hAnsi="Times New Roman" w:eastAsia="仿宋"/>
                <w:color w:val="auto"/>
                <w:sz w:val="24"/>
                <w:shd w:val="clear" w:color="auto" w:fill="FFFFFF"/>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95" w:type="dxa"/>
            <w:vMerge w:val="continue"/>
            <w:noWrap w:val="0"/>
            <w:vAlign w:val="center"/>
          </w:tcPr>
          <w:p>
            <w:pPr>
              <w:spacing w:line="220" w:lineRule="atLeast"/>
              <w:jc w:val="center"/>
              <w:rPr>
                <w:rFonts w:ascii="仿宋" w:hAnsi="仿宋" w:eastAsia="仿宋"/>
                <w:color w:val="auto"/>
                <w:sz w:val="24"/>
              </w:rPr>
            </w:pPr>
          </w:p>
        </w:tc>
        <w:tc>
          <w:tcPr>
            <w:tcW w:w="581" w:type="dxa"/>
            <w:noWrap w:val="0"/>
            <w:vAlign w:val="center"/>
          </w:tcPr>
          <w:p>
            <w:pPr>
              <w:pStyle w:val="2"/>
              <w:spacing w:beforeAutospacing="0" w:afterAutospacing="0"/>
              <w:jc w:val="center"/>
              <w:rPr>
                <w:rFonts w:ascii="Times New Roman" w:hAnsi="Times New Roman" w:eastAsia="仿宋_GB2312" w:cs="Times New Roman"/>
                <w:color w:val="auto"/>
                <w:shd w:val="clear" w:color="auto" w:fill="FFFFFF"/>
              </w:rPr>
            </w:pPr>
            <w:r>
              <w:rPr>
                <w:rFonts w:ascii="Times New Roman" w:hAnsi="Times New Roman" w:eastAsia="仿宋_GB2312" w:cs="Times New Roman"/>
                <w:color w:val="auto"/>
                <w:shd w:val="clear" w:color="auto" w:fill="FFFFFF"/>
              </w:rPr>
              <w:t>30</w:t>
            </w:r>
          </w:p>
        </w:tc>
        <w:tc>
          <w:tcPr>
            <w:tcW w:w="3081" w:type="dxa"/>
            <w:noWrap w:val="0"/>
            <w:vAlign w:val="center"/>
          </w:tcPr>
          <w:p>
            <w:pPr>
              <w:spacing w:line="220" w:lineRule="atLeast"/>
              <w:rPr>
                <w:rFonts w:ascii="Times New Roman" w:hAnsi="Times New Roman" w:eastAsia="仿宋_GB2312"/>
                <w:color w:val="auto"/>
                <w:sz w:val="24"/>
              </w:rPr>
            </w:pPr>
            <w:r>
              <w:rPr>
                <w:rFonts w:ascii="Times New Roman" w:hAnsi="Times New Roman" w:eastAsia="仿宋_GB2312"/>
                <w:color w:val="auto"/>
                <w:sz w:val="24"/>
                <w:shd w:val="clear" w:color="auto" w:fill="FFFFFF"/>
              </w:rPr>
              <w:t>以乡（镇、街道）为单位适龄儿童免疫规划疫苗接种率（%）</w:t>
            </w:r>
          </w:p>
        </w:tc>
        <w:tc>
          <w:tcPr>
            <w:tcW w:w="1101"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95</w:t>
            </w:r>
          </w:p>
        </w:tc>
        <w:tc>
          <w:tcPr>
            <w:tcW w:w="1064"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95</w:t>
            </w:r>
          </w:p>
        </w:tc>
        <w:tc>
          <w:tcPr>
            <w:tcW w:w="1080" w:type="dxa"/>
            <w:noWrap w:val="0"/>
            <w:vAlign w:val="center"/>
          </w:tcPr>
          <w:p>
            <w:pPr>
              <w:pStyle w:val="2"/>
              <w:spacing w:beforeAutospacing="0" w:afterAutospacing="0"/>
              <w:jc w:val="center"/>
              <w:rPr>
                <w:rFonts w:ascii="Times New Roman" w:hAnsi="Times New Roman" w:eastAsia="仿宋" w:cs="Times New Roman"/>
                <w:color w:val="auto"/>
                <w:shd w:val="clear" w:color="auto" w:fill="FFFFFF"/>
              </w:rPr>
            </w:pPr>
            <w:r>
              <w:rPr>
                <w:rFonts w:ascii="Times New Roman" w:hAnsi="Times New Roman" w:eastAsia="仿宋" w:cs="Times New Roman"/>
                <w:color w:val="auto"/>
                <w:shd w:val="clear" w:color="auto" w:fill="FFFFFF"/>
              </w:rPr>
              <w:t>90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83712"/>
    <w:rsid w:val="48A8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2021-01-18T08:09:00Z</dcterms:created>
  <dc:creator>杨洋</dc:creator>
  <cp:lastModifiedBy>杨洋</cp:lastModifiedBy>
  <dcterms:modified xsi:type="dcterms:W3CDTF">2021-01-18T08:09:59Z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