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</w:rPr>
        <w:t>沈阳市浑南区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市场监督管理局</w:t>
      </w:r>
    </w:p>
    <w:p>
      <w:pPr>
        <w:spacing w:line="560" w:lineRule="exact"/>
        <w:jc w:val="center"/>
        <w:rPr>
          <w:rFonts w:eastAsia="方正小标宋简体" w:cs="Mongolian Baiti"/>
          <w:bCs/>
          <w:color w:val="000000"/>
          <w:sz w:val="44"/>
          <w:szCs w:val="44"/>
        </w:rPr>
      </w:pPr>
      <w:r>
        <w:rPr>
          <w:rFonts w:hAnsi="Mongolian Baiti" w:eastAsia="方正小标宋简体" w:cs="Mongolian Baiti"/>
          <w:b/>
          <w:color w:val="000000"/>
          <w:sz w:val="44"/>
          <w:szCs w:val="44"/>
        </w:rPr>
        <w:t>行政处罚决定书</w:t>
      </w:r>
    </w:p>
    <w:p>
      <w:pPr>
        <w:widowControl/>
        <w:snapToGrid w:val="0"/>
        <w:spacing w:line="560" w:lineRule="exact"/>
        <w:ind w:right="55"/>
        <w:jc w:val="center"/>
        <w:rPr>
          <w:rFonts w:hint="eastAsia" w:ascii="仿宋" w:hAnsi="仿宋" w:eastAsia="仿宋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  <w:u w:val="single"/>
        </w:rPr>
        <w:t>浑南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市监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u w:val="single"/>
        </w:rPr>
        <w:t>食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〔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u w:val="single"/>
        </w:rPr>
        <w:t>2020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u w:val="single"/>
        </w:rPr>
        <w:t>122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</w:rPr>
        <w:t>号</w:t>
      </w:r>
      <w:r>
        <w:rPr>
          <w:rFonts w:hint="eastAsia" w:ascii="仿宋" w:hAnsi="仿宋" w:eastAsia="仿宋" w:cs="Mongolian Baiti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-38100</wp:posOffset>
                </wp:positionH>
                <wp:positionV relativeFrom="paragraph">
                  <wp:posOffset>20802600</wp:posOffset>
                </wp:positionV>
                <wp:extent cx="5761990" cy="0"/>
                <wp:effectExtent l="0" t="9525" r="10160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pt;margin-top:1638pt;height:0pt;width:453.7pt;z-index:251661312;mso-width-relative:page;mso-height-relative:page;" filled="f" stroked="t" coordsize="21600,21600" o:allowoverlap="f" o:gfxdata="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grLW/1gAAAAwBAAAPAAAAAAAAAAEAIAAAACIAAABkcnMvZG93bnJldi54&#10;bWxQSwECFAAUAAAACACHTuJA+ebTAfwBAADtAwAADgAAAAAAAAABACAAAAAlAQAAZHJzL2Uyb0Rv&#10;Yy54bWxQSwUGAAAAAAYABgBZAQAAkw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40" w:lineRule="exact"/>
        <w:ind w:left="140" w:hanging="140"/>
        <w:rPr>
          <w:rFonts w:hint="eastAsia" w:ascii="仿宋" w:hAnsi="仿宋" w:eastAsia="仿宋" w:cs="Mongolian Baiti"/>
          <w:bCs/>
          <w:sz w:val="32"/>
          <w:szCs w:val="32"/>
        </w:rPr>
      </w:pPr>
      <w:r>
        <w:rPr>
          <w:rFonts w:hint="eastAsia" w:ascii="仿宋" w:hAnsi="仿宋" w:eastAsia="仿宋" w:cs="Mongolian Baiti"/>
          <w:bCs/>
          <w:kern w:val="1"/>
          <w:sz w:val="32"/>
          <w:szCs w:val="32"/>
        </w:rPr>
        <w:t>当事人：</w:t>
      </w:r>
      <w:r>
        <w:rPr>
          <w:rFonts w:hint="eastAsia" w:ascii="仿宋" w:hAnsi="仿宋" w:eastAsia="仿宋" w:cs="仿宋_GB2312"/>
          <w:bCs/>
          <w:spacing w:val="-12"/>
          <w:sz w:val="32"/>
          <w:szCs w:val="32"/>
          <w:u w:val="single"/>
        </w:rPr>
        <w:t xml:space="preserve">沈阳市浑南区耀和生鲜超市        </w:t>
      </w:r>
    </w:p>
    <w:p>
      <w:pPr>
        <w:spacing w:line="540" w:lineRule="exact"/>
        <w:ind w:left="140" w:hanging="140"/>
        <w:rPr>
          <w:rFonts w:hint="eastAsia" w:ascii="仿宋" w:hAnsi="仿宋" w:eastAsia="仿宋" w:cs="Mongolian Baiti"/>
          <w:sz w:val="32"/>
          <w:szCs w:val="32"/>
          <w:u w:val="single"/>
        </w:rPr>
      </w:pPr>
      <w:r>
        <w:rPr>
          <w:rFonts w:hint="eastAsia" w:ascii="仿宋" w:hAnsi="仿宋" w:eastAsia="仿宋" w:cs="微软雅黑"/>
          <w:bCs/>
          <w:kern w:val="1"/>
          <w:sz w:val="32"/>
          <w:szCs w:val="32"/>
        </w:rPr>
        <w:t>主体资格证照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>名称：</w:t>
      </w:r>
      <w:r>
        <w:rPr>
          <w:rFonts w:hint="eastAsia" w:ascii="仿宋" w:hAnsi="仿宋" w:eastAsia="仿宋" w:cs="Mongolian Baiti"/>
          <w:sz w:val="32"/>
          <w:szCs w:val="32"/>
          <w:u w:val="single"/>
        </w:rPr>
        <w:t xml:space="preserve"> 营业执照                         </w:t>
      </w:r>
    </w:p>
    <w:p>
      <w:pPr>
        <w:spacing w:line="540" w:lineRule="exact"/>
        <w:ind w:left="140" w:hanging="140"/>
        <w:rPr>
          <w:rFonts w:hint="eastAsia" w:ascii="仿宋" w:hAnsi="仿宋" w:eastAsia="仿宋" w:cs="Mongolian Baiti"/>
          <w:kern w:val="1"/>
          <w:sz w:val="32"/>
          <w:szCs w:val="32"/>
          <w:u w:val="single"/>
        </w:rPr>
      </w:pPr>
      <w:r>
        <w:rPr>
          <w:rFonts w:hint="eastAsia" w:ascii="仿宋" w:hAnsi="仿宋" w:eastAsia="仿宋" w:cs="Mongolian Baiti"/>
          <w:kern w:val="1"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</w:rPr>
        <w:t>92210112MA0XME54XK</w:t>
      </w:r>
      <w:r>
        <w:rPr>
          <w:rFonts w:hint="eastAsia" w:ascii="仿宋" w:hAnsi="仿宋" w:eastAsia="仿宋" w:cs="Mongolian Baiti"/>
          <w:kern w:val="1"/>
          <w:sz w:val="32"/>
          <w:szCs w:val="32"/>
          <w:u w:val="single"/>
        </w:rPr>
        <w:t xml:space="preserve">          </w:t>
      </w:r>
    </w:p>
    <w:p>
      <w:pPr>
        <w:spacing w:line="540" w:lineRule="exact"/>
        <w:rPr>
          <w:rFonts w:hint="eastAsia" w:ascii="仿宋" w:hAnsi="仿宋" w:eastAsia="仿宋" w:cs="Mongolian Baiti"/>
          <w:kern w:val="1"/>
          <w:sz w:val="32"/>
          <w:szCs w:val="32"/>
        </w:rPr>
      </w:pPr>
      <w:r>
        <w:rPr>
          <w:rFonts w:hint="eastAsia" w:ascii="仿宋" w:hAnsi="仿宋" w:eastAsia="仿宋" w:cs="Mongolian Baiti"/>
          <w:kern w:val="1"/>
          <w:sz w:val="32"/>
          <w:szCs w:val="32"/>
        </w:rPr>
        <w:t>住所（住址）：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</w:rPr>
        <w:t xml:space="preserve">沈阳市浑南区长青南街15-2号（北9门）    </w:t>
      </w:r>
      <w:r>
        <w:rPr>
          <w:rFonts w:hint="eastAsia" w:ascii="仿宋" w:hAnsi="仿宋" w:eastAsia="仿宋" w:cs="Mongolian Baiti"/>
          <w:kern w:val="1"/>
          <w:sz w:val="32"/>
          <w:szCs w:val="32"/>
          <w:u w:val="single"/>
        </w:rPr>
        <w:t xml:space="preserve">       </w:t>
      </w:r>
    </w:p>
    <w:p>
      <w:pPr>
        <w:spacing w:line="540" w:lineRule="exact"/>
        <w:rPr>
          <w:rFonts w:hint="eastAsia" w:ascii="仿宋" w:hAnsi="仿宋" w:eastAsia="仿宋" w:cs="Mongolian Baiti"/>
          <w:kern w:val="1"/>
          <w:sz w:val="32"/>
          <w:szCs w:val="32"/>
        </w:rPr>
      </w:pPr>
      <w:r>
        <w:rPr>
          <w:rFonts w:hint="eastAsia" w:ascii="仿宋" w:hAnsi="仿宋" w:eastAsia="仿宋" w:cs="Mongolian Baiti"/>
          <w:kern w:val="1"/>
          <w:sz w:val="32"/>
          <w:szCs w:val="32"/>
        </w:rPr>
        <w:t>法定代表人（负责人、经营者）：</w:t>
      </w:r>
      <w:bookmarkStart w:id="0" w:name="_GoBack"/>
      <w:bookmarkEnd w:id="0"/>
      <w:r>
        <w:rPr>
          <w:rFonts w:hint="eastAsia" w:ascii="仿宋" w:hAnsi="仿宋" w:eastAsia="仿宋" w:cs="仿宋_GB2312"/>
          <w:bCs/>
          <w:sz w:val="32"/>
          <w:szCs w:val="32"/>
          <w:u w:val="single"/>
        </w:rPr>
        <w:t>姜军</w:t>
      </w:r>
      <w:r>
        <w:rPr>
          <w:rFonts w:hint="eastAsia" w:ascii="仿宋" w:hAnsi="仿宋" w:eastAsia="仿宋" w:cs="Mongolian Baiti"/>
          <w:kern w:val="1"/>
          <w:sz w:val="32"/>
          <w:szCs w:val="32"/>
          <w:u w:val="single"/>
        </w:rPr>
        <w:t xml:space="preserve">                 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Mongolian Baiti"/>
          <w:kern w:val="1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2020年11月3日，我局执法人员接到广电计检测量（沈阳）有限公司的检验报告，于2020年10月13日受我局委托，抽检沈阳市浑南区耀和生鲜超市销售的黑芝麻酸价（以脂肪计）项目不符合食品安全标准，为不合格产品</w:t>
      </w:r>
      <w:r>
        <w:rPr>
          <w:rFonts w:hint="eastAsia" w:ascii="仿宋" w:hAnsi="仿宋" w:eastAsia="仿宋" w:cs="Mongolian Baiti"/>
          <w:kern w:val="1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Mongolian Baiti"/>
          <w:kern w:val="1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2020年11月5日，我局执法人员对位于沈阳市浑南区长青南街15-2号（北9门）的沈阳市浑南区耀和生鲜超市进行了现场检查，该店生鲜销售区内未发现有黑芝麻在售，也未发现该产品有库存。执法人员向该店负责人送达了《食品安全监督抽检检验报告》及《食品安全抽样检验结果通知书》，告知其于2020年10月13日销售的黑芝麻酸价（以脂肪计）项目超过食品安全标准限量，为不合格产品。11月9日，我局执法人员再次对该生鲜店进行了现场检查，仍未发现有黑芝麻在售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2020年11月5日，经报请局领导批准立案调查。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Mongolian Baiti"/>
          <w:kern w:val="1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2020年11月9日，案件承办人对该店委托代理人进行了与本案有关情况的调查，并制作了《询问笔录》。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Mongolian Baiti"/>
          <w:kern w:val="1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查，沈阳市浑南区耀和生鲜超市于2018年3月27日成立，主要经营食品、初级农产品、肉类、熟食零售。营业执照、食品经营许可证等资质手续齐全。2020年10月13日，广电计检测量（沈阳）有限公司受我局委托，对当事人销售的黑芝麻进行了抽检，其（酸价（以脂肪计）项目）超过食品安全标准限量，为不合格产品。这批黑芝麻由当事人当日从沈阳市铁西区豫华艳粮油经销处采购，共计25公斤（货值金额750元），抽样用了1公斤，剩余产品至10月30日已全部售出。当事人承认该批黑芝麻抽检为不合格产品的抽样检验结果，其违法事实清楚。</w:t>
      </w:r>
    </w:p>
    <w:p>
      <w:pPr>
        <w:pStyle w:val="2"/>
        <w:tabs>
          <w:tab w:val="left" w:pos="8364"/>
        </w:tabs>
        <w:spacing w:line="520" w:lineRule="exact"/>
        <w:ind w:firstLine="627" w:firstLineChars="196"/>
        <w:jc w:val="both"/>
        <w:rPr>
          <w:rFonts w:hint="eastAsia" w:ascii="仿宋" w:hAnsi="仿宋" w:eastAsia="仿宋" w:cs="Mongolian Baiti"/>
          <w:kern w:val="1"/>
        </w:rPr>
      </w:pPr>
      <w:r>
        <w:rPr>
          <w:rFonts w:ascii="仿宋" w:hAnsi="仿宋" w:eastAsia="仿宋" w:cs="Mongolian Baiti"/>
          <w:kern w:val="1"/>
        </w:rPr>
        <w:t>上述事实，主要有以下证据证明：</w:t>
      </w:r>
      <w:r>
        <w:rPr>
          <w:rFonts w:hint="eastAsia" w:ascii="仿宋" w:hAnsi="仿宋" w:eastAsia="仿宋" w:cs="Mongolian Baiti"/>
          <w:kern w:val="1"/>
        </w:rPr>
        <w:t>《</w:t>
      </w:r>
      <w:r>
        <w:rPr>
          <w:rFonts w:hint="eastAsia" w:ascii="仿宋" w:hAnsi="仿宋" w:eastAsia="仿宋" w:cs="仿宋_GB2312"/>
        </w:rPr>
        <w:t>食品安全监督抽检检验报告</w:t>
      </w:r>
      <w:r>
        <w:rPr>
          <w:rFonts w:hint="eastAsia" w:ascii="仿宋" w:hAnsi="仿宋" w:eastAsia="仿宋" w:cs="Mongolian Baiti"/>
          <w:kern w:val="1"/>
        </w:rPr>
        <w:t>》、</w:t>
      </w:r>
      <w:r>
        <w:rPr>
          <w:rFonts w:hint="eastAsia" w:ascii="仿宋" w:hAnsi="仿宋" w:eastAsia="仿宋" w:cs="仿宋_GB2312"/>
        </w:rPr>
        <w:t>《进货凭证》、</w:t>
      </w:r>
      <w:r>
        <w:rPr>
          <w:rFonts w:hint="eastAsia" w:ascii="仿宋" w:hAnsi="仿宋" w:eastAsia="仿宋" w:cs="Mongolian Baiti"/>
          <w:kern w:val="1"/>
        </w:rPr>
        <w:t>询问笔录、现场检查笔录等。</w:t>
      </w:r>
    </w:p>
    <w:p>
      <w:pPr>
        <w:pStyle w:val="2"/>
        <w:tabs>
          <w:tab w:val="left" w:pos="8364"/>
        </w:tabs>
        <w:spacing w:line="520" w:lineRule="exact"/>
        <w:ind w:firstLine="627" w:firstLineChars="196"/>
        <w:jc w:val="both"/>
        <w:rPr>
          <w:rFonts w:hint="eastAsia" w:ascii="仿宋" w:hAnsi="仿宋" w:eastAsia="仿宋" w:cs="Mongolian Baiti"/>
          <w:kern w:val="1"/>
        </w:rPr>
      </w:pPr>
      <w:r>
        <w:rPr>
          <w:rFonts w:hint="eastAsia" w:ascii="仿宋" w:hAnsi="仿宋" w:eastAsia="仿宋" w:cs="Mongolian Baiti"/>
          <w:kern w:val="1"/>
        </w:rPr>
        <w:t>2021年</w:t>
      </w:r>
      <w:r>
        <w:rPr>
          <w:rFonts w:hint="eastAsia" w:ascii="仿宋" w:hAnsi="仿宋" w:eastAsia="仿宋" w:cs="Mongolian Baiti"/>
          <w:kern w:val="1"/>
          <w:lang w:val="en-US" w:eastAsia="zh-CN"/>
        </w:rPr>
        <w:t>1</w:t>
      </w:r>
      <w:r>
        <w:rPr>
          <w:rFonts w:hint="eastAsia" w:ascii="仿宋" w:hAnsi="仿宋" w:eastAsia="仿宋" w:cs="Mongolian Baiti"/>
          <w:kern w:val="1"/>
        </w:rPr>
        <w:t>月</w:t>
      </w:r>
      <w:r>
        <w:rPr>
          <w:rFonts w:hint="eastAsia" w:ascii="仿宋" w:hAnsi="仿宋" w:eastAsia="仿宋" w:cs="Mongolian Baiti"/>
          <w:kern w:val="1"/>
          <w:lang w:val="en-US" w:eastAsia="zh-CN"/>
        </w:rPr>
        <w:t>18</w:t>
      </w:r>
      <w:r>
        <w:rPr>
          <w:rFonts w:hint="eastAsia" w:ascii="仿宋" w:hAnsi="仿宋" w:eastAsia="仿宋" w:cs="Mongolian Baiti"/>
          <w:kern w:val="1"/>
        </w:rPr>
        <w:t>日，我局向当事人下达了《行政处罚告知书》，当事人未在法定期限内提出陈述和申辩。</w:t>
      </w:r>
    </w:p>
    <w:p>
      <w:pPr>
        <w:pStyle w:val="2"/>
        <w:tabs>
          <w:tab w:val="left" w:pos="8364"/>
        </w:tabs>
        <w:spacing w:line="520" w:lineRule="exact"/>
        <w:ind w:firstLine="627" w:firstLineChars="196"/>
        <w:jc w:val="both"/>
        <w:rPr>
          <w:rFonts w:hint="eastAsia" w:ascii="仿宋" w:hAnsi="仿宋" w:eastAsia="仿宋" w:cs="仿宋_GB2312"/>
          <w:bCs/>
        </w:rPr>
      </w:pPr>
      <w:r>
        <w:rPr>
          <w:rFonts w:hint="eastAsia" w:ascii="仿宋" w:hAnsi="仿宋" w:eastAsia="仿宋" w:cs="仿宋_GB2312"/>
        </w:rPr>
        <w:t>当事人销售酸价（以脂肪计）项目超过食品安全标准限量黑芝麻的行为，违反了《</w:t>
      </w:r>
      <w:r>
        <w:rPr>
          <w:rFonts w:ascii="仿宋" w:hAnsi="仿宋" w:eastAsia="仿宋" w:cs="仿宋_GB2312"/>
        </w:rPr>
        <w:t>食用农产品市场销售质量安全监督管理办法</w:t>
      </w:r>
      <w:r>
        <w:rPr>
          <w:rFonts w:hint="eastAsia" w:ascii="仿宋" w:hAnsi="仿宋" w:eastAsia="仿宋" w:cs="仿宋_GB2312"/>
        </w:rPr>
        <w:t>》第二十五条第二项的规定，</w:t>
      </w:r>
      <w:r>
        <w:rPr>
          <w:rFonts w:hint="eastAsia" w:ascii="仿宋" w:hAnsi="仿宋" w:eastAsia="仿宋" w:cs="仿宋_GB2312"/>
          <w:bCs/>
        </w:rPr>
        <w:t>依据《中华人民共和国行政处罚法》第二十三条的规定，责令立即改正销售</w:t>
      </w:r>
      <w:r>
        <w:rPr>
          <w:rFonts w:hint="eastAsia" w:ascii="仿宋" w:hAnsi="仿宋" w:eastAsia="仿宋" w:cs="仿宋_GB2312"/>
        </w:rPr>
        <w:t>酸价（以脂肪计）项目</w:t>
      </w:r>
      <w:r>
        <w:rPr>
          <w:rFonts w:hint="eastAsia" w:ascii="仿宋" w:hAnsi="仿宋" w:eastAsia="仿宋" w:cs="仿宋_GB2312"/>
          <w:bCs/>
        </w:rPr>
        <w:t>超过食品安全标准限量食用农产品的行为。依据《</w:t>
      </w:r>
      <w:r>
        <w:rPr>
          <w:rFonts w:ascii="仿宋" w:hAnsi="仿宋" w:eastAsia="仿宋" w:cs="仿宋_GB2312"/>
          <w:bCs/>
        </w:rPr>
        <w:t>食用农产品市场销售质量安全监督管理办法</w:t>
      </w:r>
      <w:r>
        <w:rPr>
          <w:rFonts w:hint="eastAsia" w:ascii="仿宋" w:hAnsi="仿宋" w:eastAsia="仿宋" w:cs="仿宋_GB2312"/>
          <w:bCs/>
        </w:rPr>
        <w:t>》第五十条第二款，以及《中华人民共和国食品安全法》</w:t>
      </w:r>
      <w:r>
        <w:rPr>
          <w:rFonts w:ascii="仿宋" w:hAnsi="仿宋" w:eastAsia="仿宋" w:cs="仿宋_GB2312"/>
          <w:bCs/>
        </w:rPr>
        <w:t>第一百二十四条第一款</w:t>
      </w:r>
      <w:r>
        <w:rPr>
          <w:rFonts w:hint="eastAsia" w:ascii="仿宋" w:hAnsi="仿宋" w:eastAsia="仿宋" w:cs="仿宋_GB2312"/>
          <w:bCs/>
        </w:rPr>
        <w:t>第一项之规定，应当予以处罚。</w:t>
      </w:r>
    </w:p>
    <w:p>
      <w:pPr>
        <w:widowControl/>
        <w:spacing w:line="520" w:lineRule="exact"/>
        <w:ind w:firstLine="640" w:firstLineChars="200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鉴于当事人</w:t>
      </w:r>
      <w:r>
        <w:rPr>
          <w:rFonts w:ascii="仿宋" w:hAnsi="仿宋" w:eastAsia="仿宋" w:cs="仿宋_GB2312"/>
          <w:bCs/>
          <w:sz w:val="32"/>
          <w:szCs w:val="32"/>
        </w:rPr>
        <w:t>履行了食用农产品进货查验义务，</w:t>
      </w:r>
      <w:r>
        <w:rPr>
          <w:rFonts w:hint="eastAsia" w:ascii="仿宋" w:hAnsi="仿宋" w:eastAsia="仿宋" w:cs="仿宋_GB2312"/>
          <w:bCs/>
          <w:sz w:val="32"/>
          <w:szCs w:val="32"/>
        </w:rPr>
        <w:t>事前</w:t>
      </w:r>
      <w:r>
        <w:rPr>
          <w:rFonts w:ascii="仿宋" w:hAnsi="仿宋" w:eastAsia="仿宋" w:cs="仿宋_GB2312"/>
          <w:bCs/>
          <w:sz w:val="32"/>
          <w:szCs w:val="32"/>
        </w:rPr>
        <w:t>不知道所采购的</w:t>
      </w:r>
      <w:r>
        <w:rPr>
          <w:rFonts w:hint="eastAsia" w:ascii="仿宋" w:hAnsi="仿宋" w:eastAsia="仿宋" w:cs="仿宋_GB2312"/>
          <w:bCs/>
          <w:sz w:val="32"/>
          <w:szCs w:val="32"/>
        </w:rPr>
        <w:t>黑芝麻</w:t>
      </w:r>
      <w:r>
        <w:rPr>
          <w:rFonts w:ascii="仿宋" w:hAnsi="仿宋" w:eastAsia="仿宋" w:cs="仿宋_GB2312"/>
          <w:bCs/>
          <w:sz w:val="32"/>
          <w:szCs w:val="32"/>
        </w:rPr>
        <w:t>不符合食品安全标准，并能如实说明其进货来源，</w:t>
      </w:r>
      <w:r>
        <w:rPr>
          <w:rFonts w:hint="eastAsia" w:ascii="仿宋" w:hAnsi="仿宋" w:eastAsia="仿宋" w:cs="仿宋_GB2312"/>
          <w:bCs/>
          <w:sz w:val="32"/>
          <w:szCs w:val="32"/>
        </w:rPr>
        <w:t>依据《</w:t>
      </w:r>
      <w:r>
        <w:rPr>
          <w:rFonts w:ascii="仿宋" w:hAnsi="仿宋" w:eastAsia="仿宋" w:cs="仿宋_GB2312"/>
          <w:bCs/>
          <w:sz w:val="32"/>
          <w:szCs w:val="32"/>
        </w:rPr>
        <w:t>食用农产品市场销售质量安全监督管理办法</w:t>
      </w:r>
      <w:r>
        <w:rPr>
          <w:rFonts w:hint="eastAsia" w:ascii="仿宋" w:hAnsi="仿宋" w:eastAsia="仿宋" w:cs="仿宋_GB2312"/>
          <w:bCs/>
          <w:sz w:val="32"/>
          <w:szCs w:val="32"/>
        </w:rPr>
        <w:t>》</w:t>
      </w:r>
      <w:r>
        <w:rPr>
          <w:rFonts w:ascii="仿宋" w:hAnsi="仿宋" w:eastAsia="仿宋" w:cs="仿宋_GB2312"/>
          <w:bCs/>
          <w:sz w:val="32"/>
          <w:szCs w:val="32"/>
        </w:rPr>
        <w:t>第五十四条</w:t>
      </w:r>
      <w:r>
        <w:rPr>
          <w:rFonts w:hint="eastAsia" w:ascii="仿宋" w:hAnsi="仿宋" w:eastAsia="仿宋" w:cs="仿宋_GB2312"/>
          <w:bCs/>
          <w:sz w:val="32"/>
          <w:szCs w:val="32"/>
        </w:rPr>
        <w:t>之规定，决定</w:t>
      </w:r>
      <w:r>
        <w:rPr>
          <w:rFonts w:ascii="仿宋" w:hAnsi="仿宋" w:eastAsia="仿宋" w:cs="仿宋_GB2312"/>
          <w:bCs/>
          <w:sz w:val="32"/>
          <w:szCs w:val="32"/>
        </w:rPr>
        <w:t>免予处罚</w:t>
      </w:r>
      <w:r>
        <w:rPr>
          <w:rFonts w:hint="eastAsia" w:ascii="仿宋" w:hAnsi="仿宋" w:eastAsia="仿宋" w:cs="仿宋_GB2312"/>
          <w:bCs/>
          <w:sz w:val="32"/>
          <w:szCs w:val="32"/>
        </w:rPr>
        <w:t>。</w:t>
      </w:r>
    </w:p>
    <w:p>
      <w:pPr>
        <w:snapToGrid w:val="0"/>
        <w:spacing w:line="460" w:lineRule="exact"/>
        <w:ind w:firstLine="66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当事人如不服本行政处罚决定，可以在收到本决定之日起60日内向沈阳市市场监督管理局或者沈阳市浑南区人民政府申请复议；也可以在收到本处罚决定书之日起6个月内依法向沈阳高新技术产业开发区人民法院提起行政诉讼。当事人对行政处罚决定不服申请行政复议或者提起行政诉讼的，行政处罚不停止执行。</w:t>
      </w:r>
    </w:p>
    <w:p>
      <w:pPr>
        <w:snapToGrid w:val="0"/>
        <w:spacing w:line="460" w:lineRule="exact"/>
        <w:ind w:firstLine="66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400" w:lineRule="exact"/>
        <w:ind w:right="640" w:firstLine="601"/>
        <w:jc w:val="right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spacing w:line="560" w:lineRule="exact"/>
        <w:ind w:right="640" w:firstLine="601"/>
        <w:jc w:val="righ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沈阳市浑南区市场监督管理局</w:t>
      </w:r>
    </w:p>
    <w:p>
      <w:pPr>
        <w:spacing w:line="560" w:lineRule="exact"/>
        <w:ind w:right="640" w:firstLine="601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（印 章）</w:t>
      </w:r>
    </w:p>
    <w:p>
      <w:pPr>
        <w:wordWrap w:val="0"/>
        <w:spacing w:line="560" w:lineRule="exact"/>
        <w:ind w:right="1280" w:firstLine="6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8099B"/>
    <w:rsid w:val="02DF50EB"/>
    <w:rsid w:val="1718099B"/>
    <w:rsid w:val="4B6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20"/>
    </w:pPr>
    <w:rPr>
      <w:rFonts w:ascii="Arial Unicode MS" w:hAnsi="Arial Unicode MS" w:eastAsia="Arial Unicode MS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2021-01-22T01:54:00Z</dcterms:created>
  <dc:creator>Administrator</dc:creator>
  <cp:lastModifiedBy>刘小➰粘</cp:lastModifiedBy>
  <dcterms:modified xsi:type="dcterms:W3CDTF">2021-01-25T01:43:49Z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