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仿宋_GB2312" w:eastAsia="仿宋_GB2312"/>
          <w:b/>
          <w:sz w:val="32"/>
          <w:szCs w:val="32"/>
        </w:rPr>
      </w:pPr>
      <w:r>
        <w:rPr>
          <w:rFonts w:hint="eastAsia" w:ascii="仿宋_GB2312" w:eastAsia="仿宋_GB2312"/>
          <w:b/>
          <w:sz w:val="32"/>
          <w:szCs w:val="32"/>
        </w:rPr>
        <w:t>：</w:t>
      </w:r>
    </w:p>
    <w:p>
      <w:pPr>
        <w:spacing w:line="540" w:lineRule="exact"/>
        <w:jc w:val="center"/>
        <w:rPr>
          <w:b/>
          <w:sz w:val="44"/>
          <w:szCs w:val="44"/>
          <w:u w:val="single"/>
        </w:rPr>
      </w:pPr>
    </w:p>
    <w:p>
      <w:pPr>
        <w:spacing w:line="540" w:lineRule="exact"/>
        <w:jc w:val="center"/>
        <w:rPr>
          <w:b/>
          <w:sz w:val="44"/>
          <w:szCs w:val="44"/>
          <w:u w:val="single"/>
        </w:rPr>
      </w:pPr>
    </w:p>
    <w:p>
      <w:pPr>
        <w:spacing w:line="540" w:lineRule="exact"/>
        <w:jc w:val="center"/>
        <w:rPr>
          <w:b/>
          <w:sz w:val="44"/>
          <w:szCs w:val="44"/>
          <w:u w:val="single"/>
        </w:rPr>
      </w:pPr>
    </w:p>
    <w:p>
      <w:pPr>
        <w:spacing w:line="540" w:lineRule="exact"/>
        <w:rPr>
          <w:b/>
          <w:sz w:val="44"/>
          <w:szCs w:val="44"/>
          <w:u w:val="single"/>
        </w:rPr>
      </w:pPr>
    </w:p>
    <w:p>
      <w:pPr>
        <w:spacing w:line="540" w:lineRule="exact"/>
        <w:rPr>
          <w:b/>
          <w:sz w:val="44"/>
          <w:szCs w:val="44"/>
          <w:u w:val="single"/>
        </w:rPr>
      </w:pPr>
    </w:p>
    <w:p>
      <w:pPr>
        <w:spacing w:line="540" w:lineRule="exact"/>
        <w:rPr>
          <w:b/>
          <w:sz w:val="44"/>
          <w:szCs w:val="44"/>
          <w:u w:val="single"/>
        </w:rPr>
      </w:pPr>
    </w:p>
    <w:p>
      <w:pPr>
        <w:spacing w:line="540" w:lineRule="exact"/>
        <w:rPr>
          <w:b/>
          <w:sz w:val="44"/>
          <w:szCs w:val="44"/>
          <w:u w:val="single"/>
        </w:rPr>
      </w:pPr>
    </w:p>
    <w:p>
      <w:pPr>
        <w:spacing w:line="540" w:lineRule="exact"/>
        <w:jc w:val="center"/>
        <w:rPr>
          <w:b/>
          <w:sz w:val="44"/>
          <w:szCs w:val="44"/>
          <w:u w:val="single"/>
        </w:rPr>
      </w:pPr>
    </w:p>
    <w:p>
      <w:pPr>
        <w:spacing w:line="540" w:lineRule="exact"/>
        <w:jc w:val="center"/>
        <w:rPr>
          <w:rFonts w:ascii="宋体" w:hAnsi="宋体"/>
          <w:b/>
          <w:sz w:val="52"/>
          <w:szCs w:val="52"/>
        </w:rPr>
      </w:pPr>
      <w:r>
        <w:rPr>
          <w:rFonts w:hint="eastAsia" w:ascii="宋体" w:hAnsi="宋体"/>
          <w:b/>
          <w:sz w:val="52"/>
          <w:szCs w:val="52"/>
        </w:rPr>
        <w:t>浑南区农业农村局2019年度部门决算</w:t>
      </w:r>
    </w:p>
    <w:p>
      <w:pPr>
        <w:spacing w:line="540" w:lineRule="exact"/>
        <w:jc w:val="center"/>
        <w:rPr>
          <w:b/>
          <w:sz w:val="44"/>
          <w:szCs w:val="44"/>
          <w:u w:val="single"/>
        </w:rPr>
      </w:pPr>
    </w:p>
    <w:p>
      <w:pPr>
        <w:spacing w:line="540" w:lineRule="exact"/>
        <w:jc w:val="center"/>
        <w:rPr>
          <w:b/>
          <w:sz w:val="44"/>
          <w:szCs w:val="44"/>
          <w:u w:val="single"/>
        </w:rPr>
      </w:pPr>
    </w:p>
    <w:p>
      <w:pPr>
        <w:spacing w:line="540" w:lineRule="exact"/>
        <w:jc w:val="center"/>
        <w:rPr>
          <w:b/>
          <w:sz w:val="44"/>
          <w:szCs w:val="44"/>
          <w:u w:val="single"/>
        </w:rPr>
      </w:pPr>
    </w:p>
    <w:p>
      <w:pPr>
        <w:spacing w:line="540" w:lineRule="exact"/>
        <w:jc w:val="center"/>
        <w:rPr>
          <w:b/>
          <w:sz w:val="44"/>
          <w:szCs w:val="44"/>
          <w:u w:val="single"/>
        </w:rPr>
      </w:pPr>
    </w:p>
    <w:p>
      <w:pPr>
        <w:spacing w:line="540" w:lineRule="exact"/>
        <w:jc w:val="center"/>
        <w:rPr>
          <w:b/>
          <w:sz w:val="44"/>
          <w:szCs w:val="44"/>
          <w:u w:val="single"/>
        </w:rPr>
      </w:pPr>
    </w:p>
    <w:p>
      <w:pPr>
        <w:spacing w:line="540" w:lineRule="exact"/>
        <w:jc w:val="center"/>
        <w:rPr>
          <w:b/>
          <w:sz w:val="44"/>
          <w:szCs w:val="44"/>
          <w:u w:val="single"/>
        </w:rPr>
      </w:pPr>
    </w:p>
    <w:p>
      <w:pPr>
        <w:spacing w:line="540" w:lineRule="exact"/>
        <w:jc w:val="center"/>
        <w:rPr>
          <w:b/>
          <w:sz w:val="44"/>
          <w:szCs w:val="44"/>
          <w:u w:val="single"/>
        </w:rPr>
      </w:pPr>
    </w:p>
    <w:p>
      <w:pPr>
        <w:spacing w:line="540" w:lineRule="exact"/>
        <w:jc w:val="center"/>
        <w:rPr>
          <w:b/>
          <w:sz w:val="44"/>
          <w:szCs w:val="44"/>
          <w:u w:val="single"/>
        </w:rPr>
      </w:pPr>
    </w:p>
    <w:p>
      <w:pPr>
        <w:spacing w:line="540" w:lineRule="exact"/>
        <w:jc w:val="center"/>
        <w:rPr>
          <w:b/>
          <w:sz w:val="44"/>
          <w:szCs w:val="44"/>
          <w:u w:val="single"/>
        </w:rPr>
      </w:pPr>
    </w:p>
    <w:p>
      <w:pPr>
        <w:spacing w:line="540" w:lineRule="exact"/>
        <w:jc w:val="center"/>
        <w:rPr>
          <w:b/>
          <w:sz w:val="44"/>
          <w:szCs w:val="44"/>
          <w:u w:val="single"/>
        </w:rPr>
      </w:pPr>
    </w:p>
    <w:p>
      <w:pPr>
        <w:spacing w:line="540" w:lineRule="exact"/>
        <w:jc w:val="center"/>
        <w:rPr>
          <w:b/>
          <w:sz w:val="44"/>
          <w:szCs w:val="44"/>
          <w:u w:val="single"/>
        </w:rPr>
      </w:pPr>
    </w:p>
    <w:p>
      <w:pPr>
        <w:spacing w:line="540" w:lineRule="exact"/>
        <w:jc w:val="center"/>
        <w:rPr>
          <w:b/>
          <w:sz w:val="44"/>
          <w:szCs w:val="44"/>
          <w:u w:val="single"/>
        </w:rPr>
      </w:pPr>
    </w:p>
    <w:p>
      <w:pPr>
        <w:spacing w:line="540" w:lineRule="exact"/>
        <w:jc w:val="center"/>
        <w:rPr>
          <w:b/>
          <w:sz w:val="44"/>
          <w:szCs w:val="44"/>
          <w:u w:val="single"/>
        </w:rPr>
      </w:pPr>
    </w:p>
    <w:p>
      <w:pPr>
        <w:spacing w:line="540" w:lineRule="exact"/>
        <w:rPr>
          <w:b/>
          <w:sz w:val="44"/>
          <w:szCs w:val="44"/>
        </w:rPr>
      </w:pPr>
    </w:p>
    <w:p>
      <w:pPr>
        <w:spacing w:line="540" w:lineRule="exact"/>
        <w:jc w:val="center"/>
        <w:rPr>
          <w:b/>
          <w:sz w:val="44"/>
          <w:szCs w:val="44"/>
          <w:u w:val="single"/>
        </w:rPr>
      </w:pPr>
      <w:r>
        <w:rPr>
          <w:rFonts w:hint="eastAsia"/>
          <w:b/>
          <w:sz w:val="44"/>
          <w:szCs w:val="44"/>
        </w:rPr>
        <w:t>目    录</w:t>
      </w:r>
    </w:p>
    <w:p>
      <w:pPr>
        <w:spacing w:line="540" w:lineRule="exact"/>
        <w:rPr>
          <w:b/>
          <w:sz w:val="44"/>
          <w:szCs w:val="44"/>
          <w:u w:val="single"/>
        </w:rPr>
      </w:pPr>
    </w:p>
    <w:p>
      <w:pPr>
        <w:spacing w:line="540" w:lineRule="exact"/>
        <w:rPr>
          <w:rFonts w:ascii="黑体" w:hAnsi="黑体" w:eastAsia="黑体"/>
          <w:sz w:val="32"/>
          <w:szCs w:val="32"/>
        </w:rPr>
      </w:pPr>
      <w:r>
        <w:rPr>
          <w:rFonts w:hint="eastAsia" w:ascii="黑体" w:hAnsi="黑体" w:eastAsia="黑体"/>
          <w:sz w:val="32"/>
          <w:szCs w:val="32"/>
        </w:rPr>
        <w:t>第一部分    浑南区农业农村局概况</w:t>
      </w:r>
    </w:p>
    <w:p>
      <w:pPr>
        <w:numPr>
          <w:ilvl w:val="0"/>
          <w:numId w:val="1"/>
        </w:numPr>
        <w:spacing w:line="540" w:lineRule="exact"/>
        <w:rPr>
          <w:rFonts w:ascii="仿宋_GB2312" w:hAnsi="黑体" w:eastAsia="仿宋_GB2312"/>
          <w:sz w:val="32"/>
          <w:szCs w:val="32"/>
        </w:rPr>
      </w:pPr>
      <w:r>
        <w:rPr>
          <w:rFonts w:hint="eastAsia" w:ascii="仿宋_GB2312" w:hAnsi="黑体" w:eastAsia="仿宋_GB2312"/>
          <w:sz w:val="32"/>
          <w:szCs w:val="32"/>
        </w:rPr>
        <w:t>主要职责</w:t>
      </w:r>
    </w:p>
    <w:p>
      <w:pPr>
        <w:numPr>
          <w:ilvl w:val="0"/>
          <w:numId w:val="1"/>
        </w:numPr>
        <w:spacing w:line="540" w:lineRule="exact"/>
        <w:rPr>
          <w:rFonts w:ascii="仿宋_GB2312" w:hAnsi="黑体" w:eastAsia="仿宋_GB2312"/>
          <w:sz w:val="32"/>
          <w:szCs w:val="32"/>
        </w:rPr>
      </w:pPr>
      <w:r>
        <w:rPr>
          <w:rFonts w:hint="eastAsia" w:ascii="仿宋_GB2312" w:hAnsi="黑体" w:eastAsia="仿宋_GB2312"/>
          <w:sz w:val="32"/>
          <w:szCs w:val="32"/>
        </w:rPr>
        <w:t>部门决算单位构成</w:t>
      </w:r>
    </w:p>
    <w:p>
      <w:pPr>
        <w:spacing w:line="540" w:lineRule="exact"/>
        <w:rPr>
          <w:rFonts w:ascii="黑体" w:hAnsi="黑体" w:eastAsia="黑体"/>
          <w:sz w:val="32"/>
          <w:szCs w:val="32"/>
        </w:rPr>
      </w:pPr>
      <w:r>
        <w:rPr>
          <w:rFonts w:hint="eastAsia" w:ascii="黑体" w:hAnsi="黑体" w:eastAsia="黑体"/>
          <w:sz w:val="32"/>
          <w:szCs w:val="32"/>
        </w:rPr>
        <w:t>第二部分    浑南区农业农村局2019年度部门决算报表</w:t>
      </w:r>
    </w:p>
    <w:p>
      <w:pPr>
        <w:spacing w:line="540" w:lineRule="exact"/>
        <w:rPr>
          <w:rFonts w:ascii="仿宋_GB2312" w:hAnsi="黑体" w:eastAsia="仿宋_GB2312"/>
          <w:sz w:val="32"/>
          <w:szCs w:val="32"/>
        </w:rPr>
      </w:pPr>
      <w:r>
        <w:rPr>
          <w:rFonts w:hint="eastAsia" w:ascii="仿宋_GB2312" w:eastAsia="仿宋_GB2312"/>
          <w:sz w:val="32"/>
          <w:szCs w:val="32"/>
        </w:rPr>
        <w:t>一、</w:t>
      </w:r>
      <w:r>
        <w:rPr>
          <w:rFonts w:hint="eastAsia" w:ascii="仿宋_GB2312" w:hAnsi="仿宋" w:eastAsia="仿宋_GB2312"/>
          <w:sz w:val="32"/>
          <w:szCs w:val="32"/>
        </w:rPr>
        <w:t>2019年度收入支出决算总表</w:t>
      </w:r>
    </w:p>
    <w:p>
      <w:pPr>
        <w:spacing w:line="540" w:lineRule="exact"/>
        <w:rPr>
          <w:rFonts w:ascii="仿宋_GB2312" w:eastAsia="仿宋_GB2312"/>
          <w:sz w:val="32"/>
          <w:szCs w:val="32"/>
        </w:rPr>
      </w:pPr>
      <w:r>
        <w:rPr>
          <w:rFonts w:hint="eastAsia" w:ascii="仿宋_GB2312" w:eastAsia="仿宋_GB2312"/>
          <w:sz w:val="32"/>
          <w:szCs w:val="32"/>
        </w:rPr>
        <w:t>二、2019</w:t>
      </w:r>
      <w:r>
        <w:rPr>
          <w:rFonts w:hint="eastAsia" w:ascii="仿宋_GB2312" w:hAnsi="仿宋" w:eastAsia="仿宋_GB2312"/>
          <w:sz w:val="32"/>
          <w:szCs w:val="32"/>
        </w:rPr>
        <w:t>年度</w:t>
      </w:r>
      <w:r>
        <w:rPr>
          <w:rFonts w:hint="eastAsia" w:ascii="仿宋_GB2312" w:eastAsia="仿宋_GB2312"/>
          <w:sz w:val="32"/>
          <w:szCs w:val="32"/>
        </w:rPr>
        <w:t>收入决算表</w:t>
      </w:r>
    </w:p>
    <w:p>
      <w:pPr>
        <w:spacing w:line="540" w:lineRule="exact"/>
        <w:rPr>
          <w:rFonts w:ascii="仿宋_GB2312" w:eastAsia="仿宋_GB2312"/>
          <w:sz w:val="32"/>
          <w:szCs w:val="32"/>
        </w:rPr>
      </w:pPr>
      <w:r>
        <w:rPr>
          <w:rFonts w:hint="eastAsia" w:ascii="仿宋_GB2312" w:eastAsia="仿宋_GB2312"/>
          <w:sz w:val="32"/>
          <w:szCs w:val="32"/>
        </w:rPr>
        <w:t>三、2019</w:t>
      </w:r>
      <w:r>
        <w:rPr>
          <w:rFonts w:hint="eastAsia" w:ascii="仿宋_GB2312" w:hAnsi="仿宋" w:eastAsia="仿宋_GB2312"/>
          <w:sz w:val="32"/>
          <w:szCs w:val="32"/>
        </w:rPr>
        <w:t>年度</w:t>
      </w:r>
      <w:r>
        <w:rPr>
          <w:rFonts w:hint="eastAsia" w:ascii="仿宋_GB2312" w:eastAsia="仿宋_GB2312"/>
          <w:sz w:val="32"/>
          <w:szCs w:val="32"/>
        </w:rPr>
        <w:t>支出决算表</w:t>
      </w:r>
    </w:p>
    <w:p>
      <w:pPr>
        <w:spacing w:line="540" w:lineRule="exact"/>
        <w:rPr>
          <w:rFonts w:ascii="仿宋_GB2312" w:hAnsi="黑体" w:eastAsia="仿宋_GB2312"/>
          <w:sz w:val="32"/>
          <w:szCs w:val="32"/>
        </w:rPr>
      </w:pPr>
      <w:r>
        <w:rPr>
          <w:rFonts w:hint="eastAsia" w:ascii="仿宋_GB2312" w:eastAsia="仿宋_GB2312"/>
          <w:sz w:val="32"/>
          <w:szCs w:val="32"/>
        </w:rPr>
        <w:t>四、</w:t>
      </w:r>
      <w:r>
        <w:rPr>
          <w:rFonts w:hint="eastAsia" w:ascii="仿宋_GB2312" w:hAnsi="仿宋" w:eastAsia="仿宋_GB2312"/>
          <w:sz w:val="32"/>
          <w:szCs w:val="32"/>
        </w:rPr>
        <w:t>2019年度财政拨款收入支出决算表</w:t>
      </w:r>
    </w:p>
    <w:p>
      <w:pPr>
        <w:spacing w:line="540" w:lineRule="exact"/>
        <w:rPr>
          <w:rFonts w:ascii="仿宋_GB2312" w:eastAsia="仿宋_GB2312"/>
          <w:sz w:val="32"/>
          <w:szCs w:val="32"/>
        </w:rPr>
      </w:pPr>
      <w:r>
        <w:rPr>
          <w:rFonts w:hint="eastAsia" w:ascii="仿宋_GB2312" w:eastAsia="仿宋_GB2312"/>
          <w:sz w:val="32"/>
          <w:szCs w:val="32"/>
        </w:rPr>
        <w:t>五、</w:t>
      </w:r>
      <w:r>
        <w:rPr>
          <w:rFonts w:ascii="仿宋_GB2312" w:eastAsia="仿宋_GB2312"/>
          <w:sz w:val="32"/>
          <w:szCs w:val="32"/>
        </w:rPr>
        <w:t>2019年度</w:t>
      </w:r>
      <w:r>
        <w:rPr>
          <w:rFonts w:hint="eastAsia" w:ascii="仿宋_GB2312" w:eastAsia="仿宋_GB2312"/>
          <w:sz w:val="32"/>
          <w:szCs w:val="32"/>
        </w:rPr>
        <w:t>一般公共预算</w:t>
      </w:r>
      <w:r>
        <w:rPr>
          <w:rFonts w:ascii="仿宋_GB2312" w:eastAsia="仿宋_GB2312"/>
          <w:sz w:val="32"/>
          <w:szCs w:val="32"/>
        </w:rPr>
        <w:t>财政拨款收入支出决算表</w:t>
      </w:r>
    </w:p>
    <w:p>
      <w:pPr>
        <w:spacing w:line="540" w:lineRule="exact"/>
        <w:rPr>
          <w:rFonts w:ascii="仿宋_GB2312" w:eastAsia="仿宋_GB2312"/>
          <w:sz w:val="32"/>
          <w:szCs w:val="32"/>
        </w:rPr>
      </w:pPr>
      <w:r>
        <w:rPr>
          <w:rFonts w:hint="eastAsia" w:ascii="仿宋_GB2312" w:eastAsia="仿宋_GB2312"/>
          <w:sz w:val="32"/>
          <w:szCs w:val="32"/>
        </w:rPr>
        <w:t>六、</w:t>
      </w:r>
      <w:r>
        <w:rPr>
          <w:rFonts w:ascii="仿宋_GB2312" w:eastAsia="仿宋_GB2312"/>
          <w:sz w:val="32"/>
          <w:szCs w:val="32"/>
        </w:rPr>
        <w:t>2019年度</w:t>
      </w:r>
      <w:r>
        <w:rPr>
          <w:rFonts w:hint="eastAsia" w:ascii="仿宋_GB2312" w:eastAsia="仿宋_GB2312"/>
          <w:sz w:val="32"/>
          <w:szCs w:val="32"/>
        </w:rPr>
        <w:t>一般公共预算</w:t>
      </w:r>
      <w:r>
        <w:rPr>
          <w:rFonts w:ascii="仿宋_GB2312" w:eastAsia="仿宋_GB2312"/>
          <w:sz w:val="32"/>
          <w:szCs w:val="32"/>
        </w:rPr>
        <w:t>财政拨款</w:t>
      </w:r>
      <w:r>
        <w:rPr>
          <w:rFonts w:hint="eastAsia" w:ascii="仿宋_GB2312" w:eastAsia="仿宋_GB2312"/>
          <w:sz w:val="32"/>
          <w:szCs w:val="32"/>
        </w:rPr>
        <w:t>基本支出</w:t>
      </w:r>
      <w:r>
        <w:rPr>
          <w:rFonts w:ascii="仿宋_GB2312" w:eastAsia="仿宋_GB2312"/>
          <w:sz w:val="32"/>
          <w:szCs w:val="32"/>
        </w:rPr>
        <w:t>决算表</w:t>
      </w:r>
    </w:p>
    <w:p>
      <w:pPr>
        <w:spacing w:line="540" w:lineRule="exact"/>
        <w:rPr>
          <w:rFonts w:ascii="仿宋_GB2312" w:eastAsia="仿宋_GB2312"/>
          <w:sz w:val="32"/>
          <w:szCs w:val="32"/>
        </w:rPr>
      </w:pPr>
      <w:r>
        <w:rPr>
          <w:rFonts w:hint="eastAsia" w:ascii="仿宋_GB2312" w:eastAsia="仿宋_GB2312"/>
          <w:sz w:val="32"/>
          <w:szCs w:val="32"/>
        </w:rPr>
        <w:t>七、</w:t>
      </w:r>
      <w:r>
        <w:rPr>
          <w:rFonts w:ascii="仿宋_GB2312" w:eastAsia="仿宋_GB2312"/>
          <w:sz w:val="32"/>
          <w:szCs w:val="32"/>
        </w:rPr>
        <w:t>2019年度政府性基金预算财政拨款收入支出决算表</w:t>
      </w:r>
    </w:p>
    <w:p>
      <w:pPr>
        <w:spacing w:line="540" w:lineRule="exact"/>
        <w:ind w:left="640" w:hanging="640" w:hangingChars="200"/>
        <w:rPr>
          <w:rFonts w:ascii="仿宋_GB2312" w:eastAsia="仿宋_GB2312"/>
          <w:sz w:val="32"/>
          <w:szCs w:val="32"/>
        </w:rPr>
      </w:pPr>
      <w:r>
        <w:rPr>
          <w:rFonts w:hint="eastAsia" w:ascii="仿宋_GB2312" w:eastAsia="仿宋_GB2312"/>
          <w:sz w:val="32"/>
          <w:szCs w:val="32"/>
        </w:rPr>
        <w:t>八、</w:t>
      </w:r>
      <w:r>
        <w:rPr>
          <w:rFonts w:ascii="仿宋_GB2312" w:eastAsia="仿宋_GB2312"/>
          <w:sz w:val="32"/>
          <w:szCs w:val="32"/>
        </w:rPr>
        <w:t>2019</w:t>
      </w:r>
      <w:r>
        <w:rPr>
          <w:rFonts w:hint="eastAsia" w:ascii="仿宋_GB2312" w:hAnsi="仿宋" w:eastAsia="仿宋_GB2312"/>
          <w:sz w:val="32"/>
          <w:szCs w:val="32"/>
        </w:rPr>
        <w:t>年度</w:t>
      </w:r>
      <w:r>
        <w:rPr>
          <w:rFonts w:hint="eastAsia" w:ascii="仿宋_GB2312" w:eastAsia="仿宋_GB2312"/>
          <w:sz w:val="32"/>
          <w:szCs w:val="32"/>
        </w:rPr>
        <w:t>一般公共预算财政拨款“三公”经费支出决算表</w:t>
      </w:r>
    </w:p>
    <w:p>
      <w:pPr>
        <w:spacing w:line="540" w:lineRule="exact"/>
        <w:rPr>
          <w:rFonts w:ascii="黑体" w:hAnsi="黑体" w:eastAsia="黑体"/>
          <w:sz w:val="32"/>
          <w:szCs w:val="32"/>
        </w:rPr>
      </w:pPr>
      <w:r>
        <w:rPr>
          <w:rFonts w:hint="eastAsia" w:ascii="黑体" w:hAnsi="黑体" w:eastAsia="黑体"/>
          <w:sz w:val="32"/>
          <w:szCs w:val="32"/>
        </w:rPr>
        <w:t>第三部分    浑南区农业农村局2019年度部门决算情况说明</w:t>
      </w:r>
    </w:p>
    <w:p>
      <w:pPr>
        <w:spacing w:line="540" w:lineRule="exact"/>
        <w:rPr>
          <w:rFonts w:ascii="宋体" w:hAnsi="宋体"/>
          <w:b/>
          <w:sz w:val="36"/>
          <w:szCs w:val="36"/>
        </w:rPr>
      </w:pPr>
      <w:r>
        <w:rPr>
          <w:rFonts w:hint="eastAsia" w:ascii="黑体" w:hAnsi="黑体" w:eastAsia="黑体"/>
          <w:sz w:val="32"/>
          <w:szCs w:val="32"/>
        </w:rPr>
        <w:t>第四部分    名词解释</w:t>
      </w:r>
    </w:p>
    <w:p>
      <w:pPr>
        <w:spacing w:line="540" w:lineRule="exact"/>
        <w:jc w:val="center"/>
        <w:rPr>
          <w:rFonts w:ascii="宋体" w:hAnsi="宋体"/>
          <w:b/>
          <w:sz w:val="36"/>
          <w:szCs w:val="36"/>
        </w:rPr>
      </w:pPr>
    </w:p>
    <w:p>
      <w:pPr>
        <w:spacing w:line="540" w:lineRule="exact"/>
        <w:jc w:val="center"/>
        <w:rPr>
          <w:rFonts w:ascii="宋体" w:hAnsi="宋体"/>
          <w:b/>
          <w:sz w:val="36"/>
          <w:szCs w:val="36"/>
        </w:rPr>
      </w:pPr>
    </w:p>
    <w:p>
      <w:pPr>
        <w:spacing w:line="540" w:lineRule="exact"/>
        <w:jc w:val="center"/>
        <w:rPr>
          <w:rFonts w:ascii="宋体" w:hAnsi="宋体"/>
          <w:b/>
          <w:sz w:val="36"/>
          <w:szCs w:val="36"/>
        </w:rPr>
      </w:pPr>
      <w:r>
        <w:rPr>
          <w:rFonts w:hint="eastAsia" w:ascii="宋体" w:hAnsi="宋体"/>
          <w:b/>
          <w:sz w:val="36"/>
          <w:szCs w:val="36"/>
        </w:rPr>
        <w:t>第一部分 浑南区农业农村局概况</w:t>
      </w:r>
    </w:p>
    <w:p>
      <w:pPr>
        <w:spacing w:line="540" w:lineRule="exact"/>
        <w:ind w:firstLine="640" w:firstLineChars="200"/>
        <w:jc w:val="left"/>
        <w:rPr>
          <w:rFonts w:ascii="黑体" w:eastAsia="黑体"/>
          <w:sz w:val="32"/>
          <w:szCs w:val="32"/>
        </w:rPr>
      </w:pPr>
    </w:p>
    <w:p>
      <w:pPr>
        <w:numPr>
          <w:ilvl w:val="0"/>
          <w:numId w:val="2"/>
        </w:numPr>
        <w:spacing w:line="540" w:lineRule="exact"/>
        <w:ind w:firstLine="640" w:firstLineChars="200"/>
        <w:jc w:val="left"/>
        <w:rPr>
          <w:rFonts w:ascii="黑体" w:eastAsia="黑体"/>
          <w:sz w:val="32"/>
          <w:szCs w:val="32"/>
        </w:rPr>
      </w:pPr>
      <w:r>
        <w:rPr>
          <w:rFonts w:hint="eastAsia" w:ascii="黑体" w:eastAsia="黑体"/>
          <w:sz w:val="32"/>
          <w:szCs w:val="32"/>
        </w:rPr>
        <w:t>主要职责</w:t>
      </w:r>
    </w:p>
    <w:p>
      <w:pPr>
        <w:spacing w:line="540" w:lineRule="exact"/>
        <w:ind w:firstLine="640" w:firstLineChars="200"/>
        <w:jc w:val="left"/>
        <w:rPr>
          <w:rFonts w:ascii="仿宋_GB2312" w:eastAsia="仿宋_GB2312"/>
          <w:sz w:val="32"/>
          <w:szCs w:val="32"/>
        </w:rPr>
      </w:pPr>
      <w:r>
        <w:rPr>
          <w:rFonts w:hint="eastAsia" w:ascii="仿宋_GB2312" w:eastAsia="仿宋_GB2312"/>
          <w:sz w:val="32"/>
          <w:szCs w:val="32"/>
        </w:rPr>
        <w:t>沈阳市浑南区农业农村局是政府工作部门，加挂沈阳市浑南区水务局、沈阳市浑南区扶贫开发领导小组办公室牌子。</w:t>
      </w:r>
    </w:p>
    <w:p>
      <w:pPr>
        <w:spacing w:line="540" w:lineRule="exact"/>
        <w:ind w:firstLine="640" w:firstLineChars="200"/>
        <w:jc w:val="left"/>
        <w:rPr>
          <w:rFonts w:ascii="仿宋_GB2312" w:eastAsia="仿宋_GB2312"/>
          <w:sz w:val="32"/>
          <w:szCs w:val="32"/>
        </w:rPr>
      </w:pPr>
      <w:r>
        <w:rPr>
          <w:rFonts w:hint="eastAsia" w:ascii="仿宋_GB2312" w:eastAsia="仿宋_GB2312"/>
          <w:sz w:val="32"/>
          <w:szCs w:val="32"/>
        </w:rPr>
        <w:t>中共浑南区委农村工作领导小组办公室（以下简称区委农办）设在浑南区农业农村局，接受中共浑南区委农村工作领导小组的直接领导，承担中共浑南区委农村工作领导小组具体工作，协调督促有关方面落实中共沈阳市委农村工作领导小组决定事项、工作部署和要求等。浑南区农业农村局的内设机构根据工作需要承担区委农办相关工作，接受区委农办的统筹协调。</w:t>
      </w:r>
    </w:p>
    <w:p>
      <w:pPr>
        <w:spacing w:line="540" w:lineRule="exact"/>
        <w:ind w:firstLine="640" w:firstLineChars="200"/>
        <w:jc w:val="left"/>
        <w:rPr>
          <w:rFonts w:ascii="黑体" w:eastAsia="黑体"/>
          <w:sz w:val="32"/>
          <w:szCs w:val="32"/>
        </w:rPr>
      </w:pPr>
      <w:r>
        <w:rPr>
          <w:rFonts w:hint="eastAsia" w:ascii="黑体" w:eastAsia="黑体"/>
          <w:sz w:val="32"/>
          <w:szCs w:val="32"/>
        </w:rPr>
        <w:t>二、部门决算单位构成</w:t>
      </w:r>
    </w:p>
    <w:p>
      <w:pPr>
        <w:spacing w:line="540" w:lineRule="exact"/>
        <w:ind w:firstLine="640" w:firstLineChars="200"/>
        <w:jc w:val="left"/>
        <w:rPr>
          <w:rFonts w:ascii="仿宋_GB2312" w:eastAsia="仿宋_GB2312"/>
          <w:sz w:val="32"/>
          <w:szCs w:val="32"/>
        </w:rPr>
      </w:pPr>
      <w:r>
        <w:rPr>
          <w:rFonts w:hint="eastAsia" w:ascii="仿宋_GB2312" w:eastAsia="仿宋_GB2312"/>
          <w:sz w:val="32"/>
          <w:szCs w:val="32"/>
        </w:rPr>
        <w:t>本单位无下设机构。</w:t>
      </w:r>
    </w:p>
    <w:p>
      <w:pPr>
        <w:spacing w:line="540" w:lineRule="exact"/>
        <w:jc w:val="left"/>
        <w:rPr>
          <w:rFonts w:ascii="宋体" w:hAnsi="宋体"/>
          <w:b/>
          <w:sz w:val="36"/>
          <w:szCs w:val="36"/>
        </w:rPr>
      </w:pPr>
    </w:p>
    <w:p>
      <w:pPr>
        <w:spacing w:line="540" w:lineRule="exact"/>
        <w:jc w:val="center"/>
        <w:rPr>
          <w:rFonts w:ascii="宋体" w:hAnsi="宋体"/>
          <w:b/>
          <w:sz w:val="36"/>
          <w:szCs w:val="36"/>
        </w:rPr>
      </w:pPr>
      <w:r>
        <w:rPr>
          <w:rFonts w:hint="eastAsia" w:ascii="宋体" w:hAnsi="宋体"/>
          <w:b/>
          <w:sz w:val="36"/>
          <w:szCs w:val="36"/>
        </w:rPr>
        <w:t>第二部分 浑南区农业农村局2019年度部门决算表</w:t>
      </w:r>
    </w:p>
    <w:p>
      <w:pPr>
        <w:spacing w:line="540" w:lineRule="exact"/>
        <w:jc w:val="center"/>
        <w:rPr>
          <w:rFonts w:ascii="宋体" w:hAnsi="宋体"/>
          <w:b/>
          <w:sz w:val="36"/>
          <w:szCs w:val="36"/>
        </w:rPr>
      </w:pPr>
    </w:p>
    <w:p>
      <w:pPr>
        <w:spacing w:line="540" w:lineRule="exact"/>
        <w:jc w:val="center"/>
        <w:rPr>
          <w:rFonts w:ascii="宋体" w:hAnsi="宋体"/>
          <w:b/>
          <w:sz w:val="36"/>
          <w:szCs w:val="36"/>
        </w:rPr>
      </w:pPr>
    </w:p>
    <w:p>
      <w:pPr>
        <w:spacing w:line="540" w:lineRule="exact"/>
        <w:jc w:val="center"/>
        <w:rPr>
          <w:rFonts w:ascii="宋体" w:hAnsi="宋体"/>
          <w:b/>
          <w:sz w:val="36"/>
          <w:szCs w:val="36"/>
        </w:rPr>
      </w:pPr>
      <w:r>
        <w:rPr>
          <w:rFonts w:hint="eastAsia" w:ascii="宋体" w:hAnsi="宋体"/>
          <w:b/>
          <w:sz w:val="36"/>
          <w:szCs w:val="36"/>
        </w:rPr>
        <w:t>第三部分 浑南区农业农村局2019年度部门决算情况说明</w:t>
      </w:r>
    </w:p>
    <w:p>
      <w:pPr>
        <w:spacing w:line="540" w:lineRule="exact"/>
        <w:jc w:val="center"/>
        <w:rPr>
          <w:rFonts w:ascii="宋体" w:hAnsi="宋体"/>
          <w:b/>
          <w:sz w:val="36"/>
          <w:szCs w:val="36"/>
        </w:rPr>
      </w:pPr>
    </w:p>
    <w:p>
      <w:pPr>
        <w:spacing w:line="540" w:lineRule="exact"/>
        <w:ind w:firstLine="627" w:firstLineChars="196"/>
        <w:rPr>
          <w:rFonts w:ascii="黑体" w:hAnsi="黑体" w:eastAsia="黑体"/>
          <w:sz w:val="32"/>
          <w:szCs w:val="32"/>
        </w:rPr>
      </w:pPr>
      <w:r>
        <w:rPr>
          <w:rFonts w:hint="eastAsia" w:ascii="黑体" w:hAnsi="黑体" w:eastAsia="黑体"/>
          <w:sz w:val="32"/>
          <w:szCs w:val="32"/>
        </w:rPr>
        <w:t>一、收入支出决算总体情况</w:t>
      </w:r>
    </w:p>
    <w:p>
      <w:pPr>
        <w:spacing w:line="540" w:lineRule="exact"/>
        <w:ind w:firstLine="660"/>
        <w:rPr>
          <w:rFonts w:ascii="楷体_GB2312" w:hAnsi="宋体" w:eastAsia="楷体_GB2312"/>
          <w:b/>
          <w:sz w:val="32"/>
          <w:szCs w:val="32"/>
        </w:rPr>
      </w:pPr>
      <w:r>
        <w:rPr>
          <w:rFonts w:hint="eastAsia" w:ascii="楷体_GB2312" w:hAnsi="宋体" w:eastAsia="楷体_GB2312"/>
          <w:b/>
          <w:sz w:val="32"/>
          <w:szCs w:val="32"/>
        </w:rPr>
        <w:t>（一）收入总计8925.12万元，包括：</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1.财政拨款收入6683.51万元，占</w:t>
      </w:r>
      <w:r>
        <w:rPr>
          <w:rFonts w:ascii="仿宋_GB2312" w:hAnsi="宋体" w:eastAsia="仿宋_GB2312"/>
          <w:sz w:val="32"/>
          <w:szCs w:val="32"/>
        </w:rPr>
        <w:t>收入总计的</w:t>
      </w:r>
      <w:r>
        <w:rPr>
          <w:rFonts w:hint="eastAsia" w:ascii="仿宋_GB2312" w:hAnsi="宋体" w:eastAsia="仿宋_GB2312"/>
          <w:sz w:val="32"/>
          <w:szCs w:val="32"/>
        </w:rPr>
        <w:t>74.88</w:t>
      </w:r>
      <w:r>
        <w:rPr>
          <w:rFonts w:ascii="仿宋_GB2312" w:hAnsi="宋体" w:eastAsia="仿宋_GB2312"/>
          <w:sz w:val="32"/>
          <w:szCs w:val="32"/>
        </w:rPr>
        <w:t>%</w:t>
      </w:r>
      <w:r>
        <w:rPr>
          <w:rFonts w:hint="eastAsia" w:ascii="仿宋_GB2312" w:hAnsi="宋体" w:eastAsia="仿宋_GB2312"/>
          <w:sz w:val="32"/>
          <w:szCs w:val="32"/>
        </w:rPr>
        <w:t>。其中：公共预算财政拨款收入6683.51万元，政府性基金收入0万元。</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2.上级补助收入0万元，占收入总计的0%。</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3.事业收入0万元，占收入总计的0%。</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4.经营收入0万元，占收入总计的0%。</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5.附属单位上缴收入0万元，占收入总计的0%。</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6.其他收入218.14万元，占收入总计的2.44%。主要是农业等收入。</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7.用事业基金弥补收支差额0万元，占收入总计的0%。</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8.上年结转和结余2023.47万元，占收入总计的22.67%。主要是一般公共预算财政拨款等。</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与上年相比，今年收入减少2359.92万元，降低20.91%，主要原因：部门调整，经费减少，财政拨款减少。</w:t>
      </w:r>
    </w:p>
    <w:p>
      <w:pPr>
        <w:spacing w:line="540" w:lineRule="exact"/>
        <w:ind w:firstLine="660"/>
        <w:rPr>
          <w:rFonts w:ascii="楷体_GB2312" w:hAnsi="宋体" w:eastAsia="楷体_GB2312"/>
          <w:b/>
          <w:sz w:val="32"/>
          <w:szCs w:val="32"/>
        </w:rPr>
      </w:pPr>
      <w:r>
        <w:rPr>
          <w:rFonts w:hint="eastAsia" w:ascii="楷体_GB2312" w:hAnsi="宋体" w:eastAsia="楷体_GB2312"/>
          <w:b/>
          <w:sz w:val="32"/>
          <w:szCs w:val="32"/>
        </w:rPr>
        <w:t>（二）支出总计7858.13万元，包括：</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1.基本支出412.48万元，占支出总计的5.25%。主要是为保障机构正常运转、完成日常工作任务而发生的各项支出，其中：工资福利支出301.46万元，对个人和家庭的补助支出5303.89万元，商品和服务支出2176.92万元。</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2.项目支出7445.65万元，占支出总计的94.75%。主要包括农林水支出等业务支出。</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3.上缴上级支出0万元，占支出总计的0%。</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4.经营支出0万元，占支出总计的0%。</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5.对附属单位补助支出0万元，占支出总计的0%。</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与上年相比，今年支出减少2309.13万元，降低22.71%，主要原因：部门调整，经费支出减少。</w:t>
      </w:r>
    </w:p>
    <w:p>
      <w:pPr>
        <w:spacing w:line="540" w:lineRule="exact"/>
        <w:ind w:firstLine="660"/>
        <w:rPr>
          <w:rFonts w:ascii="楷体_GB2312" w:hAnsi="宋体" w:eastAsia="楷体_GB2312"/>
          <w:b/>
          <w:sz w:val="32"/>
          <w:szCs w:val="32"/>
        </w:rPr>
      </w:pPr>
      <w:r>
        <w:rPr>
          <w:rFonts w:hint="eastAsia" w:ascii="楷体_GB2312" w:hAnsi="宋体" w:eastAsia="楷体_GB2312"/>
          <w:b/>
          <w:sz w:val="32"/>
          <w:szCs w:val="32"/>
        </w:rPr>
        <w:t>（三）年末结转和结余1066.98万元。</w:t>
      </w:r>
    </w:p>
    <w:p>
      <w:pPr>
        <w:spacing w:line="540" w:lineRule="exact"/>
        <w:ind w:firstLine="660"/>
        <w:rPr>
          <w:rFonts w:ascii="仿宋_GB2312" w:hAnsi="宋体" w:eastAsia="仿宋_GB2312"/>
          <w:color w:val="FF0000"/>
          <w:sz w:val="32"/>
          <w:szCs w:val="32"/>
        </w:rPr>
      </w:pPr>
      <w:r>
        <w:rPr>
          <w:rFonts w:hint="eastAsia" w:ascii="仿宋_GB2312" w:hAnsi="宋体" w:eastAsia="仿宋_GB2312"/>
          <w:sz w:val="32"/>
          <w:szCs w:val="32"/>
        </w:rPr>
        <w:t>主要是专项经费结转等原因形成的结余。与上年相比，今年结转结余减少1640.83万元，降低60.60%，主要原因：部门调整，结转经费减少。</w:t>
      </w:r>
    </w:p>
    <w:p>
      <w:pPr>
        <w:spacing w:line="540" w:lineRule="exact"/>
        <w:ind w:firstLine="660"/>
        <w:rPr>
          <w:rFonts w:ascii="黑体" w:hAnsi="黑体" w:eastAsia="黑体"/>
          <w:sz w:val="32"/>
          <w:szCs w:val="32"/>
        </w:rPr>
      </w:pPr>
      <w:r>
        <w:rPr>
          <w:rFonts w:hint="eastAsia" w:ascii="黑体" w:hAnsi="黑体" w:eastAsia="黑体"/>
          <w:sz w:val="32"/>
          <w:szCs w:val="32"/>
        </w:rPr>
        <w:t>二、财政拨款支出决算情况</w:t>
      </w:r>
    </w:p>
    <w:p>
      <w:pPr>
        <w:spacing w:line="540" w:lineRule="exact"/>
        <w:ind w:firstLine="660"/>
        <w:rPr>
          <w:rFonts w:ascii="楷体_GB2312" w:hAnsi="宋体" w:eastAsia="楷体_GB2312"/>
          <w:b/>
          <w:sz w:val="32"/>
          <w:szCs w:val="32"/>
        </w:rPr>
      </w:pPr>
      <w:r>
        <w:rPr>
          <w:rFonts w:hint="eastAsia" w:ascii="楷体_GB2312" w:hAnsi="宋体" w:eastAsia="楷体_GB2312"/>
          <w:b/>
          <w:sz w:val="32"/>
          <w:szCs w:val="32"/>
        </w:rPr>
        <w:t>（一）总体情况。</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2019年度财政拨款支出7667.49万元，其中：基本支出412.48万元，项目支出7255.01万元。与</w:t>
      </w:r>
      <w:r>
        <w:rPr>
          <w:rFonts w:ascii="仿宋_GB2312" w:hAnsi="宋体" w:eastAsia="仿宋_GB2312"/>
          <w:sz w:val="32"/>
          <w:szCs w:val="32"/>
        </w:rPr>
        <w:t>上年相比，</w:t>
      </w:r>
      <w:r>
        <w:rPr>
          <w:rFonts w:hint="eastAsia" w:ascii="仿宋_GB2312" w:hAnsi="宋体" w:eastAsia="仿宋_GB2312"/>
          <w:sz w:val="32"/>
          <w:szCs w:val="32"/>
        </w:rPr>
        <w:t>财政拨款支出减少2373.25万元，降低23.64%，主要原因：部门调整，经费减少。与年初预算相比，2019财政拨款支出完成年初预算的114.72%，其中：基本支出完成年初预算的100%，项目完成年初预算的115.69%。</w:t>
      </w:r>
    </w:p>
    <w:p>
      <w:pPr>
        <w:spacing w:line="540" w:lineRule="exact"/>
        <w:ind w:firstLine="660"/>
        <w:rPr>
          <w:rFonts w:ascii="楷体_GB2312" w:hAnsi="宋体" w:eastAsia="楷体_GB2312"/>
          <w:b/>
          <w:sz w:val="32"/>
          <w:szCs w:val="32"/>
        </w:rPr>
      </w:pPr>
      <w:r>
        <w:rPr>
          <w:rFonts w:hint="eastAsia" w:ascii="楷体_GB2312" w:hAnsi="宋体" w:eastAsia="楷体_GB2312"/>
          <w:b/>
          <w:sz w:val="32"/>
          <w:szCs w:val="32"/>
        </w:rPr>
        <w:t>（二）具体情况。</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2019年度财政拨款支出7667.49万元，按支出功能分类科目分，包括：一般公共服务支出10.14万元，占0.13</w:t>
      </w:r>
      <w:r>
        <w:rPr>
          <w:rFonts w:ascii="仿宋_GB2312" w:hAnsi="宋体" w:eastAsia="仿宋_GB2312"/>
          <w:sz w:val="32"/>
          <w:szCs w:val="32"/>
        </w:rPr>
        <w:t>%</w:t>
      </w:r>
      <w:r>
        <w:rPr>
          <w:rFonts w:hint="eastAsia" w:ascii="仿宋_GB2312" w:hAnsi="宋体" w:eastAsia="仿宋_GB2312"/>
          <w:sz w:val="32"/>
          <w:szCs w:val="32"/>
        </w:rPr>
        <w:t>；社会保障和就业支出58.49万元，占0.76%；卫生健康支出19.20万元，占0.25%；城乡社区支出85.11万元，占1.11%；农林水支出7392.74万元，占96.42%；住房保障支出49.53万元，占0.65%；粮油物资储备支出40.27万元，占0.53%；灾害防治及应急管理支出12.01万元，占0.16%。</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1.一般公共服务支出10.14万元，具体包括：</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（1）行政运行0.14万元，主要是对个人和家庭的补助等支出，完成预算100%。</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（2）信访事务10万元，主要是生活补助支出，完成预算100%。</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2.社会保障和就业支出58.49万元，具体包括：</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（1）归口管理的行政单位离退休24.82万元，主要是离休费、退休费等支出，完成年初预算的60%，决算数小于年初预算数的原因主要是部门调整，人员减少，经费减少。</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（2）机关事业单位基本养老保险缴费32.63万元，主要是机关事业单位基本养老保险缴费支出，完成年初预算的79.01%，决算数小于年初预算数的原因主要是部门调整，人员减少，经费减少。</w:t>
      </w:r>
    </w:p>
    <w:p>
      <w:pPr>
        <w:spacing w:line="540" w:lineRule="exact"/>
        <w:ind w:firstLine="660"/>
        <w:rPr>
          <w:rFonts w:ascii="仿宋_GB2312" w:hAnsi="宋体" w:eastAsia="仿宋_GB2312"/>
          <w:color w:val="FF0000"/>
          <w:sz w:val="32"/>
          <w:szCs w:val="32"/>
        </w:rPr>
      </w:pPr>
      <w:r>
        <w:rPr>
          <w:rFonts w:hint="eastAsia" w:ascii="仿宋_GB2312" w:hAnsi="宋体" w:eastAsia="仿宋_GB2312"/>
          <w:sz w:val="32"/>
          <w:szCs w:val="32"/>
        </w:rPr>
        <w:t>（3）伤残抚恤1.0345万元，主要是对个人和家庭的补助等支出，完成年初预算的103.45%，决算数大于年初预算数的原因主要是依据《市民政局 市财政局关于调整部分优抚对象等人员抚恤和生活补助标准通知》，残疾抚恤金标准调整。</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3.卫生健康支出19.20万元，包括：</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行政单位医疗19.20万元，主要是职工基本医疗保险缴费等支出，完成年初预算的98.10%，决算数小于年初预算数的原因主要是部门调整，人员减少，经费减少。</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4.农林水事务支出7392.74万元，具体包括：</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（1）农业支出4243.46万元，主要是病虫害控制、行政运行、农业结构调整补贴等支出，完成预算192.31%，决算数大于年初预算数的原因主要是决算支出包含上级部门专项经费。</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（2）水利支出202.26万元，主要是行政运行、水利行业业务管理、江河湖库水系综合整治等支出，完成预算90.87%，决算数小于年初预算数的原因主要是部门调整，经费减少。</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（3）农村综合改革支出2947.02万元，主要是对村民委员会和村党支部的补助支出，由于预算没有明细数据，无法准确计算完成年初预算情况。</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5.城乡社区支出85.11万元，主要是其他商品和服务支出，完成预算61.52%，决算数小于年初预算数的原因主要是部门调整，经费减少。</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6.住房保障支出49.53万元，主要是住房公积金支出，完成预算100%。</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7.粮油物资储备支出40.27万元，主要是办公费、电费等支出，完成预算100%。</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8.灾害防治及应急管理支出12.01万元，主要是其他商品和服务支出，完成预算100%。</w:t>
      </w:r>
    </w:p>
    <w:p>
      <w:pPr>
        <w:spacing w:line="540" w:lineRule="exact"/>
        <w:ind w:firstLine="660"/>
        <w:rPr>
          <w:rFonts w:ascii="黑体" w:hAnsi="黑体" w:eastAsia="黑体"/>
          <w:sz w:val="32"/>
          <w:szCs w:val="32"/>
        </w:rPr>
      </w:pPr>
      <w:r>
        <w:rPr>
          <w:rFonts w:hint="eastAsia" w:ascii="黑体" w:hAnsi="黑体" w:eastAsia="黑体"/>
          <w:sz w:val="32"/>
          <w:szCs w:val="32"/>
        </w:rPr>
        <w:t>三、一般公共预算财政拨款“三公”经费支出决算情况</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2019年度一般公共预算财政拨款安排的“三公”经费支出0.0684万元，完成年初预算的3.93%，决算数小于年初预算数的主要原因缩减预算。其中：因公出国（境）费0万元，公务接待费0.0684万元，公务用车购置及运行维护费0万元。</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1.因公出国（境）费0万元。</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2.公务接待费0.0684万元，主要用于土地确权检查验收工作餐费等，2019年国内公务接待累计2批次，16人，0.0684万元。2019年公务接待费比上年减少0.38万元，下降84.75%，主要是严格控制接待人员，压缩费用等原因。</w:t>
      </w:r>
    </w:p>
    <w:p>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3.</w:t>
      </w:r>
      <w:r>
        <w:rPr>
          <w:rFonts w:hint="eastAsia"/>
        </w:rPr>
        <w:t xml:space="preserve"> </w:t>
      </w:r>
      <w:r>
        <w:rPr>
          <w:rFonts w:hint="eastAsia" w:ascii="仿宋_GB2312" w:hAnsi="宋体" w:eastAsia="仿宋_GB2312"/>
          <w:sz w:val="32"/>
          <w:szCs w:val="32"/>
        </w:rPr>
        <w:t>公务用车购置及</w:t>
      </w:r>
      <w:r>
        <w:rPr>
          <w:rFonts w:ascii="仿宋_GB2312" w:hAnsi="宋体" w:eastAsia="仿宋_GB2312"/>
          <w:sz w:val="32"/>
          <w:szCs w:val="32"/>
        </w:rPr>
        <w:t>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无法与上年相比较，</w:t>
      </w:r>
      <w:r>
        <w:rPr>
          <w:rFonts w:hint="eastAsia" w:ascii="仿宋_GB2312" w:hAnsi="宋体" w:eastAsia="仿宋_GB2312"/>
          <w:sz w:val="32"/>
          <w:szCs w:val="32"/>
        </w:rPr>
        <w:t>主要是</w:t>
      </w:r>
      <w:r>
        <w:rPr>
          <w:rFonts w:hint="eastAsia" w:ascii="仿宋_GB2312" w:hAnsi="宋体" w:eastAsia="仿宋_GB2312"/>
          <w:sz w:val="32"/>
          <w:szCs w:val="32"/>
          <w:lang w:eastAsia="zh-CN"/>
        </w:rPr>
        <w:t>因为我单位为</w:t>
      </w:r>
      <w:r>
        <w:rPr>
          <w:rFonts w:hint="eastAsia" w:ascii="仿宋_GB2312" w:hAnsi="宋体" w:eastAsia="仿宋_GB2312"/>
          <w:sz w:val="32"/>
          <w:szCs w:val="32"/>
          <w:lang w:val="en-US" w:eastAsia="zh-CN"/>
        </w:rPr>
        <w:t>2019年新成立部门，所以无法与上年比较</w:t>
      </w:r>
      <w:r>
        <w:rPr>
          <w:rFonts w:hint="eastAsia" w:ascii="仿宋_GB2312" w:hAnsi="宋体" w:eastAsia="仿宋_GB2312"/>
          <w:sz w:val="32"/>
          <w:szCs w:val="32"/>
        </w:rPr>
        <w:t>。</w:t>
      </w:r>
    </w:p>
    <w:p>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公务用车购置费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万元,当年购置公务用车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w:t>
      </w:r>
    </w:p>
    <w:p>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公务用车运行维护费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万元。截至年末使用</w:t>
      </w:r>
      <w:r>
        <w:rPr>
          <w:rFonts w:ascii="仿宋_GB2312" w:hAnsi="宋体" w:eastAsia="仿宋_GB2312"/>
          <w:sz w:val="32"/>
          <w:szCs w:val="32"/>
        </w:rPr>
        <w:t>一般公共预算财政拨款开支的</w:t>
      </w:r>
      <w:r>
        <w:rPr>
          <w:rFonts w:hint="eastAsia" w:ascii="仿宋_GB2312" w:hAnsi="宋体" w:eastAsia="仿宋_GB2312"/>
          <w:sz w:val="32"/>
          <w:szCs w:val="32"/>
        </w:rPr>
        <w:t>公务用车保有量</w:t>
      </w:r>
      <w:r>
        <w:rPr>
          <w:rFonts w:hint="eastAsia" w:ascii="仿宋_GB2312" w:hAnsi="宋体" w:eastAsia="仿宋_GB2312"/>
          <w:sz w:val="32"/>
          <w:szCs w:val="32"/>
          <w:lang w:val="en-US" w:eastAsia="zh-CN"/>
        </w:rPr>
        <w:t>0</w:t>
      </w:r>
      <w:r>
        <w:rPr>
          <w:rFonts w:hint="eastAsia" w:ascii="仿宋_GB2312" w:hAnsi="宋体" w:eastAsia="仿宋_GB2312"/>
          <w:sz w:val="32"/>
          <w:szCs w:val="32"/>
        </w:rPr>
        <w:t>辆。</w:t>
      </w:r>
    </w:p>
    <w:p>
      <w:pPr>
        <w:spacing w:line="540" w:lineRule="exact"/>
        <w:ind w:firstLine="645"/>
        <w:rPr>
          <w:rFonts w:ascii="黑体" w:hAnsi="黑体" w:eastAsia="黑体"/>
          <w:sz w:val="32"/>
          <w:szCs w:val="32"/>
        </w:rPr>
      </w:pPr>
      <w:bookmarkStart w:id="0" w:name="_GoBack"/>
      <w:bookmarkEnd w:id="0"/>
      <w:r>
        <w:rPr>
          <w:rFonts w:hint="eastAsia" w:ascii="黑体" w:hAnsi="黑体" w:eastAsia="黑体"/>
          <w:sz w:val="32"/>
          <w:szCs w:val="32"/>
        </w:rPr>
        <w:t>四、一般公共预算财政拨款基本支出决算情况说明</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2019年度一般公共预算财政拨款基本支出412.48万元，其中：人员经费380.53万元，主要包括基本工资、津贴补贴、奖金、其他社会保障缴费、机关事业单位基本养老保险缴费、其他工资福利支出、离休费、退休费、抚恤金、生活补助、奖励金、住房公积金、采暖补贴、其他对个人和家庭补助的支出；日常公用经费31.96万元，主要包括办公费、印刷费、手续费、取暖费、差旅费、维修（护）费、培训费、公务接待费、劳务费、委托业务费、工会经费、福利费、其他交通费用、其他商品和服务支出、办公设备购置、专用设备购置等。</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五、其他重要事项的情况说明</w:t>
      </w:r>
    </w:p>
    <w:p>
      <w:pPr>
        <w:spacing w:line="54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（一）机关运行经费支出情况。</w:t>
      </w:r>
    </w:p>
    <w:p>
      <w:pPr>
        <w:spacing w:line="540" w:lineRule="exact"/>
        <w:ind w:firstLine="640" w:firstLineChars="200"/>
        <w:rPr>
          <w:rFonts w:ascii="仿宋_GB2312" w:hAnsi="黑体" w:eastAsia="仿宋_GB2312"/>
          <w:sz w:val="32"/>
          <w:szCs w:val="32"/>
        </w:rPr>
      </w:pPr>
      <w:r>
        <w:rPr>
          <w:rFonts w:hint="eastAsia" w:ascii="仿宋_GB2312" w:hAnsi="黑体" w:eastAsia="仿宋_GB2312"/>
          <w:sz w:val="32"/>
          <w:szCs w:val="32"/>
        </w:rPr>
        <w:t>2019年机关运行经费支出31.96万元，比上年减少25.22万元，降低44.11%，主要原因是缩减经费。</w:t>
      </w:r>
    </w:p>
    <w:p>
      <w:pPr>
        <w:spacing w:line="54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（二）政府采购支出情况。</w:t>
      </w:r>
    </w:p>
    <w:p>
      <w:pPr>
        <w:spacing w:line="540" w:lineRule="exact"/>
        <w:ind w:firstLine="640" w:firstLineChars="200"/>
        <w:rPr>
          <w:rFonts w:ascii="仿宋_GB2312" w:hAnsi="黑体" w:eastAsia="仿宋_GB2312"/>
          <w:sz w:val="32"/>
          <w:szCs w:val="32"/>
        </w:rPr>
      </w:pPr>
      <w:r>
        <w:rPr>
          <w:rFonts w:hint="eastAsia" w:ascii="仿宋_GB2312" w:hAnsi="黑体" w:eastAsia="仿宋_GB2312"/>
          <w:sz w:val="32"/>
          <w:szCs w:val="32"/>
        </w:rPr>
        <w:t>2019年政府采购支出总额0万元。</w:t>
      </w:r>
    </w:p>
    <w:p>
      <w:pPr>
        <w:spacing w:line="54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（三）国有资产占用情况。</w:t>
      </w:r>
    </w:p>
    <w:p>
      <w:pPr>
        <w:spacing w:line="540" w:lineRule="exact"/>
        <w:ind w:firstLine="640" w:firstLineChars="200"/>
        <w:rPr>
          <w:rFonts w:ascii="仿宋_GB2312" w:hAnsi="黑体" w:eastAsia="仿宋_GB2312"/>
          <w:sz w:val="32"/>
          <w:szCs w:val="32"/>
        </w:rPr>
      </w:pPr>
      <w:r>
        <w:rPr>
          <w:rFonts w:hint="eastAsia" w:ascii="仿宋_GB2312" w:hAnsi="黑体" w:eastAsia="仿宋_GB2312"/>
          <w:sz w:val="32"/>
          <w:szCs w:val="32"/>
        </w:rPr>
        <w:t>截至2019年12月31日，共有车辆19辆，其中：其他用车19辆；单位价值50万元以上通用设备0台（套），单价100万元以上专用设备0台（套）。</w:t>
      </w:r>
    </w:p>
    <w:p>
      <w:pPr>
        <w:spacing w:line="54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（四）预算绩效管理工作开展情况。</w:t>
      </w:r>
    </w:p>
    <w:p>
      <w:pPr>
        <w:spacing w:line="54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根据财政预算管理要求，我局组织对2019年度预算项目支出全面开展绩效自评，共涉及预算支出项目</w:t>
      </w:r>
      <w:r>
        <w:rPr>
          <w:rFonts w:hint="eastAsia" w:ascii="仿宋_GB2312" w:hAnsi="黑体" w:eastAsia="仿宋_GB2312"/>
          <w:sz w:val="32"/>
          <w:szCs w:val="32"/>
        </w:rPr>
        <w:t>1</w:t>
      </w:r>
      <w:r>
        <w:rPr>
          <w:rFonts w:hint="eastAsia" w:ascii="仿宋_GB2312" w:hAnsi="宋体" w:eastAsia="仿宋_GB2312" w:cs="宋体"/>
          <w:sz w:val="32"/>
          <w:szCs w:val="32"/>
        </w:rPr>
        <w:t>个，涉及资金</w:t>
      </w:r>
      <w:r>
        <w:rPr>
          <w:rFonts w:hint="eastAsia" w:ascii="仿宋_GB2312" w:hAnsi="黑体" w:eastAsia="仿宋_GB2312"/>
          <w:sz w:val="32"/>
          <w:szCs w:val="32"/>
        </w:rPr>
        <w:t>60</w:t>
      </w:r>
      <w:r>
        <w:rPr>
          <w:rFonts w:hint="eastAsia" w:ascii="仿宋_GB2312" w:hAnsi="宋体" w:eastAsia="仿宋_GB2312" w:cs="宋体"/>
          <w:sz w:val="32"/>
          <w:szCs w:val="32"/>
        </w:rPr>
        <w:t>万元，自评覆盖率（开展绩效自评的项目数/年初批复绩效目标的项目数）达到</w:t>
      </w:r>
      <w:r>
        <w:rPr>
          <w:rFonts w:hint="eastAsia" w:ascii="仿宋_GB2312" w:hAnsi="黑体" w:eastAsia="仿宋_GB2312"/>
          <w:sz w:val="32"/>
          <w:szCs w:val="32"/>
        </w:rPr>
        <w:t>5</w:t>
      </w:r>
      <w:r>
        <w:rPr>
          <w:rFonts w:hint="eastAsia" w:ascii="仿宋_GB2312" w:hAnsi="宋体" w:eastAsia="仿宋_GB2312" w:cs="宋体"/>
          <w:sz w:val="32"/>
          <w:szCs w:val="32"/>
        </w:rPr>
        <w:t>%，自评平均分（开展绩效自评的项目分数总和/开展绩效自评的项目数）</w:t>
      </w:r>
      <w:r>
        <w:rPr>
          <w:rFonts w:hint="eastAsia" w:ascii="仿宋_GB2312" w:hAnsi="黑体" w:eastAsia="仿宋_GB2312"/>
          <w:sz w:val="32"/>
          <w:szCs w:val="32"/>
        </w:rPr>
        <w:t>95.2</w:t>
      </w:r>
      <w:r>
        <w:rPr>
          <w:rFonts w:hint="eastAsia" w:ascii="仿宋_GB2312" w:hAnsi="宋体" w:eastAsia="仿宋_GB2312" w:cs="宋体"/>
          <w:sz w:val="32"/>
          <w:szCs w:val="32"/>
        </w:rPr>
        <w:t>分。</w:t>
      </w:r>
    </w:p>
    <w:p>
      <w:pPr>
        <w:spacing w:line="54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通过绩效自评发现预算项目管理主要存在以下问题：实际执行时间略晚于预计执行时间。下一步将采取以下措施加以改进：一是请款手续提前跟进；二是根据</w:t>
      </w:r>
      <w:r>
        <w:rPr>
          <w:rFonts w:hint="eastAsia" w:ascii="仿宋" w:hAnsi="仿宋" w:eastAsia="仿宋"/>
          <w:sz w:val="32"/>
          <w:szCs w:val="32"/>
        </w:rPr>
        <w:t>国家宏观调控总体要求，结合</w:t>
      </w:r>
      <w:r>
        <w:rPr>
          <w:rFonts w:hint="eastAsia" w:ascii="仿宋_GB2312" w:hAnsi="宋体" w:eastAsia="仿宋_GB2312" w:cs="宋体"/>
          <w:sz w:val="32"/>
          <w:szCs w:val="32"/>
        </w:rPr>
        <w:t>本地区经济社会发展</w:t>
      </w:r>
      <w:r>
        <w:rPr>
          <w:rFonts w:hint="eastAsia" w:ascii="仿宋" w:hAnsi="仿宋" w:eastAsia="仿宋"/>
          <w:sz w:val="32"/>
          <w:szCs w:val="32"/>
        </w:rPr>
        <w:t>目标、跨年度预算平衡需要，合理设定预算项目绩效目标及自评考核指标，提高预算绩效自评考核体系编制科学化水平。</w:t>
      </w:r>
    </w:p>
    <w:p>
      <w:pPr>
        <w:spacing w:line="540" w:lineRule="exact"/>
        <w:jc w:val="center"/>
        <w:rPr>
          <w:rFonts w:ascii="宋体" w:hAnsi="宋体"/>
          <w:b/>
          <w:sz w:val="36"/>
          <w:szCs w:val="36"/>
        </w:rPr>
      </w:pPr>
      <w:r>
        <w:rPr>
          <w:rFonts w:ascii="宋体" w:hAnsi="宋体"/>
          <w:b/>
          <w:sz w:val="36"/>
          <w:szCs w:val="36"/>
        </w:rPr>
        <w:br w:type="page"/>
      </w:r>
      <w:r>
        <w:rPr>
          <w:rFonts w:hint="eastAsia" w:ascii="宋体" w:hAnsi="宋体"/>
          <w:b/>
          <w:sz w:val="36"/>
          <w:szCs w:val="36"/>
        </w:rPr>
        <w:t>第三部分 名词解释</w:t>
      </w:r>
    </w:p>
    <w:p>
      <w:pPr>
        <w:spacing w:line="540" w:lineRule="exact"/>
        <w:jc w:val="center"/>
        <w:rPr>
          <w:rFonts w:ascii="宋体" w:hAnsi="宋体"/>
          <w:b/>
          <w:sz w:val="36"/>
          <w:szCs w:val="36"/>
        </w:rPr>
      </w:pP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指单位从同级财政部门取得的财政预算资金。</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2.上级补助收入：</w:t>
      </w:r>
      <w:r>
        <w:rPr>
          <w:rFonts w:hint="eastAsia" w:ascii="仿宋_GB2312" w:eastAsia="仿宋_GB2312"/>
          <w:sz w:val="32"/>
          <w:szCs w:val="32"/>
        </w:rPr>
        <w:t>指单位从主管部门和上级单位取得的非财政性补助收入。</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3.其他收入：</w:t>
      </w:r>
      <w:r>
        <w:rPr>
          <w:rFonts w:hint="eastAsia" w:ascii="仿宋_GB2312" w:eastAsia="仿宋_GB2312"/>
          <w:sz w:val="32"/>
          <w:szCs w:val="32"/>
        </w:rPr>
        <w:t>指除上述“财政拨款收入”、</w:t>
      </w:r>
      <w:r>
        <w:rPr>
          <w:rFonts w:hint="eastAsia" w:ascii="仿宋_GB2312" w:eastAsia="仿宋_GB2312"/>
          <w:b/>
          <w:sz w:val="32"/>
          <w:szCs w:val="32"/>
        </w:rPr>
        <w:t xml:space="preserve"> </w:t>
      </w:r>
      <w:r>
        <w:rPr>
          <w:rFonts w:hint="eastAsia" w:ascii="仿宋_GB2312" w:eastAsia="仿宋_GB2312"/>
          <w:sz w:val="32"/>
          <w:szCs w:val="32"/>
        </w:rPr>
        <w:t>“上级补助收入”、“事业收入”、“经营收入”、“附属单位上缴收入”等以外的收入。</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4.上年结转和结余：</w:t>
      </w:r>
      <w:r>
        <w:rPr>
          <w:rFonts w:hint="eastAsia" w:ascii="仿宋_GB2312" w:eastAsia="仿宋_GB2312"/>
          <w:sz w:val="32"/>
          <w:szCs w:val="32"/>
        </w:rPr>
        <w:t>指以前年度尚未完成、结转到本年按有关规定继续使用的资金。</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5.基本支出：</w:t>
      </w:r>
      <w:r>
        <w:rPr>
          <w:rFonts w:hint="eastAsia" w:ascii="仿宋_GB2312" w:eastAsia="仿宋_GB2312"/>
          <w:sz w:val="32"/>
          <w:szCs w:val="32"/>
        </w:rPr>
        <w:t>指保障机构正常运转、完成日常工作任务而发生的人员支出和公用支出。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6.项目支出：</w:t>
      </w:r>
      <w:r>
        <w:rPr>
          <w:rFonts w:hint="eastAsia" w:ascii="仿宋_GB2312" w:eastAsia="仿宋_GB2312"/>
          <w:sz w:val="32"/>
          <w:szCs w:val="32"/>
        </w:rPr>
        <w:t>指在基本支出之外为完成特定行政任务和事业发展目标所发生的支出。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7.上缴上级支出：</w:t>
      </w:r>
      <w:r>
        <w:rPr>
          <w:rFonts w:hint="eastAsia" w:ascii="仿宋_GB2312" w:eastAsia="仿宋_GB2312"/>
          <w:sz w:val="32"/>
          <w:szCs w:val="32"/>
        </w:rPr>
        <w:t>指事业单位按照财政部门和主管部门的规定上缴上级单位的支出。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9.农林水（类）农业农村（款）行政运行（项）：</w:t>
      </w:r>
      <w:r>
        <w:rPr>
          <w:rFonts w:hint="eastAsia" w:ascii="仿宋_GB2312" w:eastAsia="仿宋_GB2312"/>
          <w:sz w:val="32"/>
          <w:szCs w:val="32"/>
        </w:rPr>
        <w:t>反映行政单位的基本支出。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10.农林水（类）农业农村（款）一般行政管理事务（项）：</w:t>
      </w:r>
      <w:r>
        <w:rPr>
          <w:rFonts w:hint="eastAsia" w:ascii="仿宋_GB2312" w:eastAsia="仿宋_GB2312"/>
          <w:sz w:val="32"/>
          <w:szCs w:val="32"/>
        </w:rPr>
        <w:t>反映行政单位未单独设置项级科目的其他项目支出。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11.农林水（类）农业农村（款）科学转化与推广服务（项）：</w:t>
      </w:r>
      <w:r>
        <w:rPr>
          <w:rFonts w:hint="eastAsia" w:ascii="仿宋_GB2312" w:eastAsia="仿宋_GB2312"/>
          <w:sz w:val="32"/>
          <w:szCs w:val="32"/>
        </w:rPr>
        <w:t>反映用于农业科技成果转化，农业新品种、新机具、新技术引进、试验、示范、推广及服务，农村人居环境整治等方面的技术试验示范支出。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12.农林水（类）农业农村（款）病虫害控制（项）：</w:t>
      </w:r>
      <w:r>
        <w:rPr>
          <w:rFonts w:hint="eastAsia" w:ascii="仿宋_GB2312" w:eastAsia="仿宋_GB2312"/>
          <w:sz w:val="32"/>
          <w:szCs w:val="32"/>
        </w:rPr>
        <w:t>反映用于病虫鼠害及疫情监测、预报、预防、控制、检疫、防疫所需的仪器、设施、药物、疫苗、种苗、疫畜（禽、鱼、植物）防治、扑杀补偿及劳务补助、菌（毒）种保藏及动植物及其产品检疫、检测等方面的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13.农林水（类）农业农村（款）农产品质量安全（项）：</w:t>
      </w:r>
      <w:r>
        <w:rPr>
          <w:rFonts w:hint="eastAsia" w:ascii="仿宋_GB2312" w:eastAsia="仿宋_GB2312"/>
          <w:sz w:val="32"/>
          <w:szCs w:val="32"/>
        </w:rPr>
        <w:t>反映用于农产品及其投入品的质量安全评估、监测、抽查、认证、应急处置，相关标准的制定、修订、实施、监管等方面的支出。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14.农林水（类）农业农村（款）防灾救灾（项）：</w:t>
      </w:r>
      <w:r>
        <w:rPr>
          <w:rFonts w:hint="eastAsia" w:ascii="仿宋_GB2312" w:eastAsia="仿宋_GB2312"/>
          <w:sz w:val="32"/>
          <w:szCs w:val="32"/>
        </w:rPr>
        <w:t>反映对农业生产因遭受自然、生物灾害损失给予的补助，促进农业防灾增产措施补助，海难救助补助，因其他灾害导致农牧渔业生产者损失给予的补助。</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15.农林水（类）农业农村（款）农业结构调整补贴（项）：</w:t>
      </w:r>
      <w:r>
        <w:rPr>
          <w:rFonts w:hint="eastAsia" w:ascii="仿宋_GB2312" w:eastAsia="仿宋_GB2312"/>
          <w:sz w:val="32"/>
          <w:szCs w:val="32"/>
        </w:rPr>
        <w:t>反映政府对农业结构调整给予的补贴。</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16.农林水（类）农业农村（款）农业生产发展（项）：</w:t>
      </w:r>
      <w:r>
        <w:rPr>
          <w:rFonts w:hint="eastAsia" w:ascii="仿宋_GB2312" w:eastAsia="仿宋_GB2312"/>
          <w:sz w:val="32"/>
          <w:szCs w:val="32"/>
        </w:rPr>
        <w:t>反映用于耕地地力保护、适度规模经营、农机购置补贴、优势特色主导产业发展、畜牧水产发展、农村一二三产业融合等方面支出。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17.农林水（类）农业农村（款）农产品加工与促销（项）：</w:t>
      </w:r>
      <w:r>
        <w:rPr>
          <w:rFonts w:hint="eastAsia" w:ascii="仿宋_GB2312" w:eastAsia="仿宋_GB2312"/>
          <w:sz w:val="32"/>
          <w:szCs w:val="32"/>
        </w:rPr>
        <w:t>反映用于促进农产品加工、储藏、运输、国内外大型农产品展示、交易、产销衔接、开拓国内外农产品市场及农业产业化发展等方面的支出。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18.农林水（类）农业农村（款）其他农业农村支出（项）：</w:t>
      </w:r>
      <w:r>
        <w:rPr>
          <w:rFonts w:hint="eastAsia" w:ascii="仿宋_GB2312" w:eastAsia="仿宋_GB2312"/>
          <w:sz w:val="32"/>
          <w:szCs w:val="32"/>
        </w:rPr>
        <w:t>反映除上述项目以外其他用于农业农村方面的支出。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19.农林水（类）水利（款）水利行业业务管理（项）：</w:t>
      </w:r>
      <w:r>
        <w:rPr>
          <w:rFonts w:hint="eastAsia" w:ascii="仿宋_GB2312" w:eastAsia="仿宋_GB2312"/>
          <w:sz w:val="32"/>
          <w:szCs w:val="32"/>
        </w:rPr>
        <w:t>反映用于水利行业业务管理方面的支出。有关业务包括制定政策、法规及行业标准、规程规范、进行水利宣传、审计监督检查、精神文明建设以及农田水利管理、水利重大活动、水利工程质量监督、水利资金监督管理、水利国有资产监管、行政许可及监督管理等。</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20.农林水（类）水利（款）江河湖库水系综合整治（项）：</w:t>
      </w:r>
      <w:r>
        <w:rPr>
          <w:rFonts w:hint="eastAsia" w:ascii="仿宋_GB2312" w:eastAsia="仿宋_GB2312"/>
          <w:sz w:val="32"/>
          <w:szCs w:val="32"/>
        </w:rPr>
        <w:t>反映江河湖库水系综合整治方面的支出，包括中小河流治理、江河湖库水系连通、小型水库除险补助等。</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21.农林水（类）水利（款）其他水利支出（项）：</w:t>
      </w:r>
      <w:r>
        <w:rPr>
          <w:rFonts w:hint="eastAsia" w:ascii="仿宋_GB2312" w:eastAsia="仿宋_GB2312"/>
          <w:sz w:val="32"/>
          <w:szCs w:val="32"/>
        </w:rPr>
        <w:t>反映除上述项目以外其他用于水利方面的支出。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22.</w:t>
      </w:r>
      <w:r>
        <w:rPr>
          <w:rFonts w:hint="eastAsia" w:ascii="仿宋" w:hAnsi="仿宋" w:eastAsia="仿宋"/>
          <w:b/>
          <w:sz w:val="32"/>
          <w:szCs w:val="32"/>
        </w:rPr>
        <w:t>农林水（类）农村综合改革（款）对村民委员会和村党支部的补助（项）：</w:t>
      </w:r>
      <w:r>
        <w:rPr>
          <w:rFonts w:hint="eastAsia" w:ascii="仿宋_GB2312" w:eastAsia="仿宋_GB2312"/>
          <w:sz w:val="32"/>
          <w:szCs w:val="32"/>
        </w:rPr>
        <w:t>反映各级财政对村民委员会和村党支部的补助支出，以及支持建立县级基本财力保障机制安排的村级组织运转奖补资金。</w:t>
      </w:r>
    </w:p>
    <w:p>
      <w:pPr>
        <w:pStyle w:val="2"/>
        <w:spacing w:line="600" w:lineRule="exact"/>
        <w:ind w:firstLine="640" w:firstLineChars="200"/>
        <w:rPr>
          <w:rFonts w:ascii="仿宋" w:hAnsi="仿宋" w:eastAsia="仿宋"/>
          <w:szCs w:val="32"/>
        </w:rPr>
      </w:pPr>
      <w:r>
        <w:rPr>
          <w:rFonts w:hint="eastAsia"/>
          <w:szCs w:val="32"/>
        </w:rPr>
        <w:t>23.</w:t>
      </w:r>
      <w:r>
        <w:rPr>
          <w:rFonts w:hint="eastAsia" w:ascii="仿宋" w:hAnsi="仿宋" w:eastAsia="仿宋"/>
          <w:b/>
          <w:szCs w:val="32"/>
        </w:rPr>
        <w:t>住房保障（类）住房改革（款）住房公积金（项）：</w:t>
      </w:r>
      <w:r>
        <w:rPr>
          <w:rFonts w:hint="eastAsia" w:ascii="仿宋" w:hAnsi="仿宋" w:eastAsia="仿宋"/>
          <w:szCs w:val="32"/>
        </w:rPr>
        <w:t>反映行政事业单位按人力资源和社会保障部、财政部规定的基本工资和津贴补贴以及规定比例为职工缴纳的住房公积金。</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24.</w:t>
      </w:r>
      <w:r>
        <w:rPr>
          <w:rFonts w:hint="eastAsia" w:ascii="仿宋_GB2312" w:eastAsia="仿宋_GB2312"/>
          <w:b/>
          <w:sz w:val="32"/>
        </w:rPr>
        <w:t>粮油物资储备</w:t>
      </w:r>
      <w:r>
        <w:rPr>
          <w:rFonts w:ascii="仿宋_GB2312" w:eastAsia="仿宋_GB2312"/>
          <w:b/>
          <w:sz w:val="32"/>
        </w:rPr>
        <w:t>（类）</w:t>
      </w:r>
      <w:r>
        <w:rPr>
          <w:rFonts w:hint="eastAsia" w:ascii="仿宋_GB2312" w:eastAsia="仿宋_GB2312"/>
          <w:b/>
          <w:sz w:val="32"/>
        </w:rPr>
        <w:t>粮油</w:t>
      </w:r>
      <w:r>
        <w:rPr>
          <w:rFonts w:ascii="仿宋_GB2312" w:eastAsia="仿宋_GB2312"/>
          <w:b/>
          <w:sz w:val="32"/>
        </w:rPr>
        <w:t>事务（款）</w:t>
      </w:r>
      <w:r>
        <w:rPr>
          <w:rFonts w:hint="eastAsia" w:ascii="仿宋_GB2312" w:eastAsia="仿宋_GB2312"/>
          <w:b/>
          <w:sz w:val="32"/>
        </w:rPr>
        <w:t>其他粮油事务</w:t>
      </w:r>
      <w:r>
        <w:rPr>
          <w:rFonts w:ascii="仿宋_GB2312" w:eastAsia="仿宋_GB2312"/>
          <w:b/>
          <w:sz w:val="32"/>
        </w:rPr>
        <w:t>（项）</w:t>
      </w:r>
      <w:r>
        <w:rPr>
          <w:rFonts w:hint="eastAsia" w:ascii="仿宋_GB2312" w:eastAsia="仿宋_GB2312"/>
          <w:sz w:val="32"/>
          <w:szCs w:val="32"/>
        </w:rPr>
        <w:t>：反映除上述项目以外其他用于粮油事务方面的支出。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25.</w:t>
      </w:r>
      <w:r>
        <w:rPr>
          <w:rFonts w:hint="eastAsia" w:ascii="仿宋_GB2312" w:eastAsia="仿宋_GB2312"/>
          <w:b/>
          <w:sz w:val="32"/>
        </w:rPr>
        <w:t>灾害防治及应急管理</w:t>
      </w:r>
      <w:r>
        <w:rPr>
          <w:rFonts w:ascii="仿宋_GB2312" w:eastAsia="仿宋_GB2312"/>
          <w:b/>
          <w:sz w:val="32"/>
        </w:rPr>
        <w:t>（类）</w:t>
      </w:r>
      <w:r>
        <w:rPr>
          <w:rFonts w:hint="eastAsia" w:ascii="仿宋_GB2312" w:eastAsia="仿宋_GB2312"/>
          <w:b/>
          <w:sz w:val="32"/>
        </w:rPr>
        <w:t>应急管理事务</w:t>
      </w:r>
      <w:r>
        <w:rPr>
          <w:rFonts w:ascii="仿宋_GB2312" w:eastAsia="仿宋_GB2312"/>
          <w:b/>
          <w:sz w:val="32"/>
        </w:rPr>
        <w:t>（款）</w:t>
      </w:r>
      <w:r>
        <w:rPr>
          <w:rFonts w:hint="eastAsia" w:ascii="仿宋_GB2312" w:eastAsia="仿宋_GB2312"/>
          <w:b/>
          <w:sz w:val="32"/>
        </w:rPr>
        <w:t>安全监管</w:t>
      </w:r>
      <w:r>
        <w:rPr>
          <w:rFonts w:ascii="仿宋_GB2312" w:eastAsia="仿宋_GB2312"/>
          <w:b/>
          <w:sz w:val="32"/>
        </w:rPr>
        <w:t>（项）：</w:t>
      </w:r>
      <w:r>
        <w:rPr>
          <w:rFonts w:hint="eastAsia" w:ascii="仿宋" w:hAnsi="仿宋" w:eastAsia="仿宋"/>
          <w:sz w:val="32"/>
          <w:szCs w:val="32"/>
        </w:rPr>
        <w:t>反映安全生产监管方面的支出。</w:t>
      </w:r>
    </w:p>
    <w:p>
      <w:pPr>
        <w:spacing w:line="540" w:lineRule="exact"/>
        <w:rPr>
          <w:rFonts w:ascii="宋体" w:hAnsi="宋体"/>
          <w:b/>
          <w:sz w:val="36"/>
          <w:szCs w:val="36"/>
        </w:rPr>
      </w:pPr>
    </w:p>
    <w:p>
      <w:pPr>
        <w:spacing w:line="540" w:lineRule="exact"/>
        <w:jc w:val="center"/>
        <w:rPr>
          <w:rFonts w:ascii="宋体" w:hAnsi="宋体"/>
          <w:b/>
          <w:sz w:val="36"/>
          <w:szCs w:val="36"/>
        </w:rPr>
      </w:pPr>
    </w:p>
    <w:p>
      <w:pPr>
        <w:spacing w:line="540" w:lineRule="exact"/>
        <w:jc w:val="center"/>
        <w:rPr>
          <w:rFonts w:ascii="宋体" w:hAnsi="宋体"/>
          <w:b/>
          <w:sz w:val="36"/>
          <w:szCs w:val="36"/>
        </w:rPr>
      </w:pPr>
    </w:p>
    <w:p>
      <w:pPr>
        <w:spacing w:line="540" w:lineRule="exact"/>
        <w:jc w:val="center"/>
        <w:rPr>
          <w:rFonts w:ascii="宋体" w:hAnsi="宋体"/>
          <w:b/>
          <w:sz w:val="36"/>
          <w:szCs w:val="36"/>
        </w:rPr>
      </w:pPr>
    </w:p>
    <w:p>
      <w:pPr>
        <w:spacing w:line="540" w:lineRule="exact"/>
        <w:jc w:val="center"/>
        <w:rPr>
          <w:rFonts w:ascii="宋体" w:hAnsi="宋体"/>
          <w:b/>
          <w:sz w:val="36"/>
          <w:szCs w:val="36"/>
        </w:rPr>
      </w:pPr>
    </w:p>
    <w:p>
      <w:pPr>
        <w:spacing w:line="540" w:lineRule="exact"/>
        <w:jc w:val="center"/>
        <w:rPr>
          <w:rFonts w:ascii="宋体" w:hAnsi="宋体"/>
          <w:b/>
          <w:sz w:val="36"/>
          <w:szCs w:val="36"/>
        </w:rPr>
      </w:pPr>
    </w:p>
    <w:p>
      <w:pPr>
        <w:spacing w:line="540" w:lineRule="exact"/>
        <w:jc w:val="center"/>
        <w:rPr>
          <w:rFonts w:ascii="宋体" w:hAnsi="宋体"/>
          <w:b/>
          <w:sz w:val="52"/>
          <w:szCs w:val="52"/>
        </w:rPr>
      </w:pPr>
    </w:p>
    <w:p>
      <w:pPr>
        <w:spacing w:line="540" w:lineRule="exact"/>
        <w:jc w:val="center"/>
        <w:rPr>
          <w:rFonts w:ascii="宋体" w:hAnsi="宋体"/>
          <w:b/>
          <w:sz w:val="52"/>
          <w:szCs w:val="52"/>
        </w:rPr>
      </w:pPr>
    </w:p>
    <w:p>
      <w:pPr>
        <w:spacing w:line="540" w:lineRule="exact"/>
        <w:rPr>
          <w:sz w:val="32"/>
          <w:szCs w:val="32"/>
        </w:rPr>
      </w:pPr>
    </w:p>
    <w:p>
      <w:pPr/>
    </w:p>
    <w:sectPr>
      <w:footerReference r:id="rId3" w:type="default"/>
      <w:pgSz w:w="11906" w:h="16838"/>
      <w:pgMar w:top="1701" w:right="1418" w:bottom="170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仿宋_GB2312"/>
    <w:panose1 w:val="00000000000000000000"/>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00000287" w:usb1="00000000" w:usb2="00000000" w:usb3="00000000" w:csb0="2000019F" w:csb1="00000000"/>
  </w:font>
  <w:font w:name="仿宋">
    <w:altName w:val="仿宋_GB2312"/>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12</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CDB4D9"/>
    <w:multiLevelType w:val="singleLevel"/>
    <w:tmpl w:val="DBCDB4D9"/>
    <w:lvl w:ilvl="0" w:tentative="0">
      <w:start w:val="1"/>
      <w:numFmt w:val="chineseCounting"/>
      <w:suff w:val="nothing"/>
      <w:lvlText w:val="%1、"/>
      <w:lvlJc w:val="left"/>
      <w:rPr>
        <w:rFonts w:hint="eastAsia"/>
      </w:rPr>
    </w:lvl>
  </w:abstractNum>
  <w:abstractNum w:abstractNumId="1">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80029"/>
    <w:rsid w:val="00296B21"/>
    <w:rsid w:val="00346BD7"/>
    <w:rsid w:val="00495920"/>
    <w:rsid w:val="00780029"/>
    <w:rsid w:val="009B3618"/>
    <w:rsid w:val="00C0513D"/>
    <w:rsid w:val="00DE6637"/>
    <w:rsid w:val="00DF79EC"/>
    <w:rsid w:val="4C921B6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Indent"/>
    <w:basedOn w:val="1"/>
    <w:link w:val="8"/>
    <w:qFormat/>
    <w:uiPriority w:val="0"/>
    <w:pPr>
      <w:spacing w:line="540" w:lineRule="exact"/>
      <w:ind w:firstLine="525"/>
    </w:pPr>
    <w:rPr>
      <w:rFonts w:ascii="仿宋_GB2312" w:eastAsia="仿宋_GB2312"/>
      <w:sz w:val="32"/>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8">
    <w:name w:val="正文文本缩进 Char"/>
    <w:basedOn w:val="5"/>
    <w:link w:val="2"/>
    <w:qFormat/>
    <w:uiPriority w:val="0"/>
    <w:rPr>
      <w:rFonts w:ascii="仿宋_GB2312" w:hAnsi="Times New Roman" w:eastAsia="仿宋_GB2312" w:cs="Times New Roman"/>
      <w:sz w:val="32"/>
      <w:szCs w:val="24"/>
    </w:rPr>
  </w:style>
  <w:style w:type="character" w:customStyle="1" w:styleId="9">
    <w:name w:val="页脚 Char"/>
    <w:basedOn w:val="5"/>
    <w:link w:val="3"/>
    <w:uiPriority w:val="0"/>
    <w:rPr>
      <w:rFonts w:ascii="Times New Roman" w:hAnsi="Times New Roman" w:eastAsia="宋体" w:cs="Times New Roman"/>
      <w:sz w:val="18"/>
      <w:szCs w:val="18"/>
    </w:rPr>
  </w:style>
  <w:style w:type="character" w:customStyle="1" w:styleId="10">
    <w:name w:val="页眉 Char"/>
    <w:basedOn w:val="5"/>
    <w:link w:val="4"/>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9A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832</Words>
  <Characters>4746</Characters>
  <Lines>39</Lines>
  <Paragraphs>11</Paragraphs>
  <TotalTime>0</TotalTime>
  <ScaleCrop>false</ScaleCrop>
  <LinksUpToDate>false</LinksUpToDate>
  <CharactersWithSpaces>5567</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2020-08-26T05:56:00Z</dcterms:created>
  <dc:creator>User</dc:creator>
  <cp:lastModifiedBy>Administrator</cp:lastModifiedBy>
  <dcterms:modified xsi:type="dcterms:W3CDTF">2021-05-31T07:09:42Z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