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20" w:beforeLines="50" w:after="120" w:afterLines="50"/>
        <w:ind w:firstLine="883"/>
        <w:jc w:val="center"/>
        <w:rPr>
          <w:rFonts w:cs="Times New Roman"/>
          <w:b/>
          <w:sz w:val="44"/>
          <w:szCs w:val="44"/>
          <w:lang w:eastAsia="zh-CN"/>
        </w:rPr>
      </w:pPr>
    </w:p>
    <w:p>
      <w:pPr>
        <w:spacing w:before="120" w:beforeLines="50" w:after="120" w:afterLines="50"/>
        <w:ind w:firstLine="883"/>
        <w:jc w:val="center"/>
        <w:rPr>
          <w:rFonts w:cs="Times New Roman"/>
          <w:b/>
          <w:sz w:val="44"/>
          <w:szCs w:val="44"/>
          <w:lang w:eastAsia="zh-CN"/>
        </w:rPr>
      </w:pPr>
    </w:p>
    <w:p>
      <w:pPr>
        <w:spacing w:before="120" w:beforeLines="50" w:after="120" w:afterLines="50"/>
        <w:ind w:firstLine="883"/>
        <w:jc w:val="center"/>
        <w:rPr>
          <w:rFonts w:cs="Times New Roman"/>
          <w:b/>
          <w:sz w:val="44"/>
          <w:szCs w:val="44"/>
          <w:lang w:eastAsia="zh-CN"/>
        </w:rPr>
      </w:pPr>
    </w:p>
    <w:p>
      <w:pPr>
        <w:spacing w:before="203"/>
        <w:ind w:firstLine="0" w:firstLineChars="0"/>
        <w:jc w:val="center"/>
        <w:rPr>
          <w:rFonts w:cs="Times New Roman"/>
          <w:b/>
          <w:sz w:val="48"/>
          <w:szCs w:val="48"/>
          <w:lang w:eastAsia="zh-CN"/>
        </w:rPr>
      </w:pPr>
      <w:r>
        <w:rPr>
          <w:rFonts w:hint="eastAsia" w:cs="Times New Roman"/>
          <w:b/>
          <w:sz w:val="48"/>
          <w:szCs w:val="48"/>
          <w:lang w:eastAsia="zh-CN"/>
        </w:rPr>
        <w:t>浑南国际新兴产业园区总体发展规划</w:t>
      </w:r>
    </w:p>
    <w:p>
      <w:pPr>
        <w:spacing w:before="203"/>
        <w:ind w:firstLine="0" w:firstLineChars="0"/>
        <w:jc w:val="center"/>
        <w:rPr>
          <w:rFonts w:ascii="黑体" w:hAnsi="黑体" w:eastAsia="黑体" w:cs="Times New Roman"/>
          <w:bCs/>
          <w:sz w:val="56"/>
          <w:szCs w:val="56"/>
          <w:lang w:eastAsia="zh-CN"/>
        </w:rPr>
      </w:pPr>
      <w:r>
        <w:rPr>
          <w:rFonts w:hint="eastAsia" w:ascii="黑体" w:hAnsi="黑体" w:eastAsia="黑体" w:cs="Times New Roman"/>
          <w:bCs/>
          <w:sz w:val="56"/>
          <w:szCs w:val="56"/>
          <w:lang w:eastAsia="zh-CN"/>
        </w:rPr>
        <w:t>环境影响跟踪评价报告书</w:t>
      </w: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ind w:firstLine="0" w:firstLineChars="0"/>
        <w:rPr>
          <w:rFonts w:cs="Times New Roman"/>
          <w:lang w:eastAsia="zh-CN"/>
        </w:rPr>
      </w:pPr>
    </w:p>
    <w:p>
      <w:pPr>
        <w:pStyle w:val="172"/>
        <w:spacing w:before="72" w:after="72"/>
        <w:ind w:firstLine="0" w:firstLineChars="0"/>
        <w:rPr>
          <w:rFonts w:eastAsia="宋体" w:cs="Times New Roman"/>
          <w:b/>
        </w:rPr>
      </w:pPr>
      <w:r>
        <w:rPr>
          <w:rFonts w:hint="eastAsia" w:eastAsia="宋体" w:cs="Times New Roman"/>
          <w:b/>
        </w:rPr>
        <w:t>沈阳联鑫环保科技有限公司</w:t>
      </w:r>
    </w:p>
    <w:p>
      <w:pPr>
        <w:ind w:firstLine="0" w:firstLineChars="0"/>
        <w:jc w:val="center"/>
        <w:rPr>
          <w:rFonts w:cs="Times New Roman"/>
          <w:b/>
          <w:sz w:val="28"/>
          <w:szCs w:val="28"/>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18" w:right="1418" w:bottom="1418" w:left="1418" w:header="1418" w:footer="1134" w:gutter="0"/>
          <w:pgBorders>
            <w:top w:val="none" w:sz="0" w:space="0"/>
            <w:left w:val="none" w:sz="0" w:space="0"/>
            <w:bottom w:val="none" w:sz="0" w:space="0"/>
            <w:right w:val="none" w:sz="0" w:space="0"/>
          </w:pgBorders>
          <w:cols w:space="425" w:num="1"/>
          <w:docGrid w:linePitch="312" w:charSpace="0"/>
        </w:sectPr>
      </w:pPr>
      <w:r>
        <w:rPr>
          <w:rFonts w:cs="Times New Roman"/>
          <w:b/>
          <w:sz w:val="28"/>
          <w:szCs w:val="28"/>
          <w:lang w:eastAsia="zh-CN"/>
        </w:rPr>
        <w:t>二〇二</w:t>
      </w:r>
      <w:r>
        <w:rPr>
          <w:rFonts w:hint="eastAsia" w:cs="Times New Roman"/>
          <w:b/>
          <w:sz w:val="28"/>
          <w:szCs w:val="28"/>
          <w:lang w:eastAsia="zh-CN"/>
        </w:rPr>
        <w:t>一</w:t>
      </w:r>
      <w:r>
        <w:rPr>
          <w:rFonts w:cs="Times New Roman"/>
          <w:b/>
          <w:sz w:val="28"/>
          <w:szCs w:val="28"/>
          <w:lang w:eastAsia="zh-CN"/>
        </w:rPr>
        <w:t>年二月</w:t>
      </w:r>
    </w:p>
    <w:sdt>
      <w:sdtPr>
        <w:rPr>
          <w:rFonts w:cs="Times New Roman"/>
          <w:kern w:val="2"/>
          <w:sz w:val="21"/>
          <w:lang w:eastAsia="zh-CN"/>
        </w:rPr>
        <w:id w:val="147482977"/>
        <w15:color w:val="DBDBDB"/>
        <w:docPartObj>
          <w:docPartGallery w:val="Table of Contents"/>
          <w:docPartUnique/>
        </w:docPartObj>
      </w:sdtPr>
      <w:sdtEndPr>
        <w:rPr>
          <w:rFonts w:cs="Times New Roman"/>
          <w:kern w:val="2"/>
          <w:sz w:val="24"/>
          <w:lang w:eastAsia="zh-CN"/>
        </w:rPr>
      </w:sdtEndPr>
      <w:sdtContent>
        <w:p>
          <w:pPr>
            <w:spacing w:before="120" w:beforeLines="50" w:after="120" w:afterLines="50" w:line="240" w:lineRule="auto"/>
            <w:ind w:firstLine="0" w:firstLineChars="0"/>
            <w:jc w:val="center"/>
            <w:rPr>
              <w:b/>
              <w:bCs/>
              <w:sz w:val="32"/>
              <w:szCs w:val="32"/>
              <w:lang w:eastAsia="zh-CN"/>
            </w:rPr>
          </w:pPr>
          <w:r>
            <w:rPr>
              <w:b/>
              <w:bCs/>
              <w:sz w:val="32"/>
              <w:szCs w:val="32"/>
            </w:rPr>
            <w:t>目</w:t>
          </w:r>
          <w:r>
            <w:rPr>
              <w:rFonts w:hint="eastAsia"/>
              <w:b/>
              <w:bCs/>
              <w:sz w:val="32"/>
              <w:szCs w:val="32"/>
              <w:lang w:eastAsia="zh-CN"/>
            </w:rPr>
            <w:t xml:space="preserve"> </w:t>
          </w:r>
          <w:r>
            <w:rPr>
              <w:b/>
              <w:bCs/>
              <w:sz w:val="32"/>
              <w:szCs w:val="32"/>
              <w:lang w:eastAsia="zh-CN"/>
            </w:rPr>
            <w:t xml:space="preserve"> </w:t>
          </w:r>
          <w:r>
            <w:rPr>
              <w:b/>
              <w:bCs/>
              <w:sz w:val="32"/>
              <w:szCs w:val="32"/>
            </w:rPr>
            <w:t>录</w:t>
          </w:r>
        </w:p>
        <w:p>
          <w:pPr>
            <w:pStyle w:val="42"/>
            <w:tabs>
              <w:tab w:val="right" w:leader="dot" w:pos="9070"/>
            </w:tabs>
            <w:ind w:firstLine="420"/>
            <w:rPr>
              <w:rFonts w:ascii="Times New Roman" w:hAnsi="Times New Roman" w:cs="Times New Roman"/>
              <w:b/>
              <w:bCs/>
            </w:rPr>
          </w:pPr>
          <w:r>
            <w:rPr>
              <w:lang w:eastAsia="zh-CN"/>
            </w:rPr>
            <w:fldChar w:fldCharType="begin"/>
          </w:r>
          <w:r>
            <w:rPr>
              <w:lang w:eastAsia="zh-CN"/>
            </w:rPr>
            <w:instrText xml:space="preserve">TOC \o "1-3" \h \u </w:instrText>
          </w:r>
          <w:r>
            <w:rPr>
              <w:lang w:eastAsia="zh-CN"/>
            </w:rPr>
            <w:fldChar w:fldCharType="separate"/>
          </w:r>
          <w:r>
            <w:fldChar w:fldCharType="begin"/>
          </w:r>
          <w:r>
            <w:instrText xml:space="preserve"> HYPERLINK \l "_Toc22300" </w:instrText>
          </w:r>
          <w:r>
            <w:fldChar w:fldCharType="separate"/>
          </w:r>
          <w:r>
            <w:rPr>
              <w:rFonts w:ascii="Times New Roman" w:hAnsi="Times New Roman" w:cs="Times New Roman"/>
              <w:b/>
              <w:bCs/>
              <w:lang w:eastAsia="zh-CN"/>
            </w:rPr>
            <w:t>前  言</w:t>
          </w:r>
          <w:r>
            <w:rPr>
              <w:rFonts w:ascii="Times New Roman" w:hAnsi="Times New Roman" w:cs="Times New Roman"/>
              <w:b/>
              <w:bCs/>
            </w:rPr>
            <w:tab/>
          </w:r>
          <w:r>
            <w:rPr>
              <w:rFonts w:ascii="Times New Roman" w:hAnsi="Times New Roman" w:cs="Times New Roman"/>
              <w:b/>
              <w:bCs/>
            </w:rPr>
            <w:fldChar w:fldCharType="begin"/>
          </w:r>
          <w:r>
            <w:rPr>
              <w:rFonts w:ascii="Times New Roman" w:hAnsi="Times New Roman" w:cs="Times New Roman"/>
              <w:b/>
              <w:bCs/>
            </w:rPr>
            <w:instrText xml:space="preserve"> PAGEREF _Toc22300 </w:instrText>
          </w:r>
          <w:r>
            <w:rPr>
              <w:rFonts w:ascii="Times New Roman" w:hAnsi="Times New Roman" w:cs="Times New Roman"/>
              <w:b/>
              <w:bCs/>
            </w:rPr>
            <w:fldChar w:fldCharType="separate"/>
          </w:r>
          <w:r>
            <w:rPr>
              <w:rFonts w:ascii="Times New Roman" w:hAnsi="Times New Roman" w:cs="Times New Roman"/>
              <w:b/>
              <w:bCs/>
            </w:rPr>
            <w:t>1</w:t>
          </w:r>
          <w:r>
            <w:rPr>
              <w:rFonts w:ascii="Times New Roman" w:hAnsi="Times New Roman" w:cs="Times New Roman"/>
              <w:b/>
              <w:bCs/>
            </w:rPr>
            <w:fldChar w:fldCharType="end"/>
          </w:r>
          <w:r>
            <w:rPr>
              <w:rFonts w:ascii="Times New Roman" w:hAnsi="Times New Roman" w:cs="Times New Roman"/>
              <w:b/>
              <w:bCs/>
            </w:rPr>
            <w:fldChar w:fldCharType="end"/>
          </w:r>
        </w:p>
        <w:p>
          <w:pPr>
            <w:pStyle w:val="42"/>
            <w:tabs>
              <w:tab w:val="right" w:leader="dot" w:pos="9070"/>
            </w:tabs>
            <w:ind w:firstLine="420"/>
            <w:rPr>
              <w:rFonts w:ascii="Times New Roman" w:hAnsi="Times New Roman" w:cs="Times New Roman"/>
            </w:rPr>
          </w:pPr>
          <w:r>
            <w:fldChar w:fldCharType="begin"/>
          </w:r>
          <w:r>
            <w:instrText xml:space="preserve"> HYPERLINK \l "_Toc826" </w:instrText>
          </w:r>
          <w:r>
            <w:fldChar w:fldCharType="separate"/>
          </w:r>
          <w:r>
            <w:rPr>
              <w:rFonts w:ascii="Times New Roman" w:hAnsi="Times New Roman" w:cs="Times New Roman"/>
              <w:b/>
              <w:bCs/>
              <w:lang w:eastAsia="zh-CN"/>
            </w:rPr>
            <w:t>1 总则</w:t>
          </w:r>
          <w:r>
            <w:rPr>
              <w:rFonts w:ascii="Times New Roman" w:hAnsi="Times New Roman" w:cs="Times New Roman"/>
              <w:b/>
              <w:bCs/>
            </w:rPr>
            <w:tab/>
          </w:r>
          <w:r>
            <w:rPr>
              <w:rFonts w:ascii="Times New Roman" w:hAnsi="Times New Roman" w:cs="Times New Roman"/>
              <w:b/>
              <w:bCs/>
            </w:rPr>
            <w:fldChar w:fldCharType="begin"/>
          </w:r>
          <w:r>
            <w:rPr>
              <w:rFonts w:ascii="Times New Roman" w:hAnsi="Times New Roman" w:cs="Times New Roman"/>
              <w:b/>
              <w:bCs/>
            </w:rPr>
            <w:instrText xml:space="preserve"> PAGEREF _Toc826 </w:instrText>
          </w:r>
          <w:r>
            <w:rPr>
              <w:rFonts w:ascii="Times New Roman" w:hAnsi="Times New Roman" w:cs="Times New Roman"/>
              <w:b/>
              <w:bCs/>
            </w:rPr>
            <w:fldChar w:fldCharType="separate"/>
          </w:r>
          <w:r>
            <w:rPr>
              <w:rFonts w:ascii="Times New Roman" w:hAnsi="Times New Roman" w:cs="Times New Roman"/>
              <w:b/>
              <w:bCs/>
            </w:rPr>
            <w:t>3</w:t>
          </w:r>
          <w:r>
            <w:rPr>
              <w:rFonts w:ascii="Times New Roman" w:hAnsi="Times New Roman" w:cs="Times New Roman"/>
              <w:b/>
              <w:bCs/>
            </w:rPr>
            <w:fldChar w:fldCharType="end"/>
          </w:r>
          <w:r>
            <w:rPr>
              <w:rFonts w:ascii="Times New Roman" w:hAnsi="Times New Roman" w:cs="Times New Roman"/>
              <w:b/>
              <w:bCs/>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"_Toc6052" </w:instrText>
          </w:r>
          <w:r>
            <w:fldChar w:fldCharType="separate"/>
          </w:r>
          <w:r>
            <w:rPr>
              <w:rFonts w:ascii="Times New Roman" w:hAnsi="Times New Roman" w:cs="Times New Roman"/>
              <w:lang w:eastAsia="zh-CN"/>
            </w:rPr>
            <w:t>1.1 编制依据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_Toc6052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"_Toc24646" </w:instrText>
          </w:r>
          <w:r>
            <w:fldChar w:fldCharType="separate"/>
          </w:r>
          <w:r>
            <w:rPr>
              <w:rFonts w:cs="Times New Roman"/>
              <w:lang w:eastAsia="zh-CN"/>
            </w:rPr>
            <w:t>1.1.1</w:t>
          </w:r>
          <w:r>
            <w:rPr>
              <w:rFonts w:hint="eastAsia" w:ascii="宋体" w:hAnsi="宋体" w:eastAsia="宋体" w:cs="宋体"/>
              <w:lang w:eastAsia="zh-CN"/>
            </w:rPr>
            <w:t>国家环境保护法律、法规、规章及规范性文件</w:t>
          </w:r>
          <w:r>
            <w:rPr>
              <w:rFonts w:cs="Times New Roman"/>
            </w:rPr>
            <w:tab/>
          </w:r>
          <w:r>
            <w:rPr>
              <w:rFonts w:cs="Times New Roman"/>
            </w:rPr>
            <w:fldChar w:fldCharType="begin"/>
          </w:r>
          <w:r>
            <w:rPr>
              <w:rFonts w:cs="Times New Roman"/>
            </w:rPr>
            <w:instrText xml:space="preserve"> PAGEREF _Toc24646 </w:instrText>
          </w:r>
          <w:r>
            <w:rPr>
              <w:rFonts w:cs="Times New Roman"/>
            </w:rPr>
            <w:fldChar w:fldCharType="separate"/>
          </w:r>
          <w:r>
            <w:rPr>
              <w:rFonts w:cs="Times New Roman"/>
            </w:rPr>
            <w:t>3</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"_Toc11880" </w:instrText>
          </w:r>
          <w:r>
            <w:fldChar w:fldCharType="separate"/>
          </w:r>
          <w:r>
            <w:rPr>
              <w:rFonts w:cs="Times New Roman"/>
              <w:lang w:eastAsia="zh-CN"/>
            </w:rPr>
            <w:t>1.1.2</w:t>
          </w:r>
          <w:r>
            <w:rPr>
              <w:rFonts w:hint="eastAsia" w:ascii="宋体" w:hAnsi="宋体" w:eastAsia="宋体" w:cs="宋体"/>
            </w:rPr>
            <w:t>辽宁省法律、法规、规章及规范性文件</w:t>
          </w:r>
          <w:r>
            <w:rPr>
              <w:rFonts w:cs="Times New Roman"/>
            </w:rPr>
            <w:tab/>
          </w:r>
          <w:r>
            <w:rPr>
              <w:rFonts w:cs="Times New Roman"/>
            </w:rPr>
            <w:fldChar w:fldCharType="begin"/>
          </w:r>
          <w:r>
            <w:rPr>
              <w:rFonts w:cs="Times New Roman"/>
            </w:rPr>
            <w:instrText xml:space="preserve"> PAGEREF _Toc11880 </w:instrText>
          </w:r>
          <w:r>
            <w:rPr>
              <w:rFonts w:cs="Times New Roman"/>
            </w:rPr>
            <w:fldChar w:fldCharType="separate"/>
          </w:r>
          <w:r>
            <w:rPr>
              <w:rFonts w:cs="Times New Roman"/>
            </w:rPr>
            <w:t>7</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"_Toc24283" </w:instrText>
          </w:r>
          <w:r>
            <w:fldChar w:fldCharType="separate"/>
          </w:r>
          <w:r>
            <w:rPr>
              <w:rFonts w:cs="Times New Roman"/>
              <w:lang w:eastAsia="zh-CN"/>
            </w:rPr>
            <w:t>1.1.3</w:t>
          </w:r>
          <w:r>
            <w:rPr>
              <w:rFonts w:hint="eastAsia" w:ascii="宋体" w:hAnsi="宋体" w:eastAsia="宋体" w:cs="宋体"/>
            </w:rPr>
            <w:t>沈阳市法律、法规、规章及规范性文件</w:t>
          </w:r>
          <w:r>
            <w:rPr>
              <w:rFonts w:cs="Times New Roman"/>
            </w:rPr>
            <w:tab/>
          </w:r>
          <w:r>
            <w:rPr>
              <w:rFonts w:cs="Times New Roman"/>
            </w:rPr>
            <w:fldChar w:fldCharType="begin"/>
          </w:r>
          <w:r>
            <w:rPr>
              <w:rFonts w:cs="Times New Roman"/>
            </w:rPr>
            <w:instrText xml:space="preserve"> PAGEREF _Toc24283 </w:instrText>
          </w:r>
          <w:r>
            <w:rPr>
              <w:rFonts w:cs="Times New Roman"/>
            </w:rPr>
            <w:fldChar w:fldCharType="separate"/>
          </w:r>
          <w:r>
            <w:rPr>
              <w:rFonts w:cs="Times New Roman"/>
            </w:rPr>
            <w:t>9</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"_Toc1067" </w:instrText>
          </w:r>
          <w:r>
            <w:fldChar w:fldCharType="separate"/>
          </w:r>
          <w:r>
            <w:rPr>
              <w:rFonts w:eastAsia="宋体" w:cs="Times New Roman"/>
              <w:szCs w:val="28"/>
              <w:lang w:eastAsia="zh-CN"/>
            </w:rPr>
            <w:t>1.1.4</w:t>
          </w:r>
          <w:r>
            <w:rPr>
              <w:rFonts w:hint="eastAsia" w:ascii="宋体" w:hAnsi="宋体" w:eastAsia="宋体" w:cs="宋体"/>
              <w:szCs w:val="28"/>
            </w:rPr>
            <w:t>有关技术导则与规范</w:t>
          </w:r>
          <w:r>
            <w:rPr>
              <w:rFonts w:cs="Times New Roman"/>
            </w:rPr>
            <w:tab/>
          </w:r>
          <w:r>
            <w:rPr>
              <w:rFonts w:cs="Times New Roman"/>
            </w:rPr>
            <w:fldChar w:fldCharType="begin"/>
          </w:r>
          <w:r>
            <w:rPr>
              <w:rFonts w:cs="Times New Roman"/>
            </w:rPr>
            <w:instrText xml:space="preserve"> PAGEREF _Toc1067 </w:instrText>
          </w:r>
          <w:r>
            <w:rPr>
              <w:rFonts w:cs="Times New Roman"/>
            </w:rPr>
            <w:fldChar w:fldCharType="separate"/>
          </w:r>
          <w:r>
            <w:rPr>
              <w:rFonts w:cs="Times New Roman"/>
            </w:rPr>
            <w:t>10</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"_Toc6834" </w:instrText>
          </w:r>
          <w:r>
            <w:fldChar w:fldCharType="separate"/>
          </w:r>
          <w:r>
            <w:rPr>
              <w:rFonts w:cs="Times New Roman"/>
              <w:lang w:eastAsia="zh-CN"/>
            </w:rPr>
            <w:t xml:space="preserve">1.1.5 </w:t>
          </w:r>
          <w:r>
            <w:rPr>
              <w:rFonts w:hint="eastAsia" w:ascii="宋体" w:hAnsi="宋体" w:eastAsia="宋体" w:cs="宋体"/>
              <w:lang w:eastAsia="zh-CN"/>
            </w:rPr>
            <w:t>其他规划及技术资料</w:t>
          </w:r>
          <w:r>
            <w:rPr>
              <w:rFonts w:cs="Times New Roman"/>
            </w:rPr>
            <w:tab/>
          </w:r>
          <w:r>
            <w:rPr>
              <w:rFonts w:cs="Times New Roman"/>
            </w:rPr>
            <w:fldChar w:fldCharType="begin"/>
          </w:r>
          <w:r>
            <w:rPr>
              <w:rFonts w:cs="Times New Roman"/>
            </w:rPr>
            <w:instrText xml:space="preserve"> PAGEREF _Toc6834 </w:instrText>
          </w:r>
          <w:r>
            <w:rPr>
              <w:rFonts w:cs="Times New Roman"/>
            </w:rPr>
            <w:fldChar w:fldCharType="separate"/>
          </w:r>
          <w:r>
            <w:rPr>
              <w:rFonts w:cs="Times New Roman"/>
            </w:rPr>
            <w:t>10</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"_Toc1124" </w:instrText>
          </w:r>
          <w:r>
            <w:fldChar w:fldCharType="separate"/>
          </w:r>
          <w:r>
            <w:rPr>
              <w:rFonts w:ascii="Times New Roman" w:hAnsi="Times New Roman" w:cs="Times New Roman"/>
              <w:lang w:eastAsia="zh-CN"/>
            </w:rPr>
            <w:t>1.2 评价目的、指导思想和原则</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_Toc1124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"_Toc15721" </w:instrText>
          </w:r>
          <w:r>
            <w:fldChar w:fldCharType="separate"/>
          </w:r>
          <w:r>
            <w:rPr>
              <w:rFonts w:cs="Times New Roman"/>
              <w:spacing w:val="-1"/>
            </w:rPr>
            <w:t>1.2.1</w:t>
          </w:r>
          <w:r>
            <w:rPr>
              <w:rFonts w:eastAsia="宋体" w:cs="Times New Roman"/>
              <w:spacing w:val="-1"/>
            </w:rPr>
            <w:t xml:space="preserve"> 评价目的</w:t>
          </w:r>
          <w:r>
            <w:rPr>
              <w:rFonts w:cs="Times New Roman"/>
            </w:rPr>
            <w:tab/>
          </w:r>
          <w:r>
            <w:rPr>
              <w:rFonts w:cs="Times New Roman"/>
            </w:rPr>
            <w:fldChar w:fldCharType="begin"/>
          </w:r>
          <w:r>
            <w:rPr>
              <w:rFonts w:cs="Times New Roman"/>
            </w:rPr>
            <w:instrText xml:space="preserve"> PAGEREF _Toc15721 </w:instrText>
          </w:r>
          <w:r>
            <w:rPr>
              <w:rFonts w:cs="Times New Roman"/>
            </w:rPr>
            <w:fldChar w:fldCharType="separate"/>
          </w:r>
          <w:r>
            <w:rPr>
              <w:rFonts w:cs="Times New Roman"/>
            </w:rPr>
            <w:t>11</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"_Toc30264" </w:instrText>
          </w:r>
          <w:r>
            <w:fldChar w:fldCharType="separate"/>
          </w:r>
          <w:r>
            <w:rPr>
              <w:rFonts w:cs="Times New Roman"/>
              <w:spacing w:val="-1"/>
            </w:rPr>
            <w:t>1.2.2</w:t>
          </w:r>
          <w:r>
            <w:rPr>
              <w:rFonts w:eastAsia="宋体" w:cs="Times New Roman"/>
              <w:spacing w:val="-1"/>
            </w:rPr>
            <w:t xml:space="preserve"> 指导思想</w:t>
          </w:r>
          <w:r>
            <w:rPr>
              <w:rFonts w:cs="Times New Roman"/>
            </w:rPr>
            <w:tab/>
          </w:r>
          <w:r>
            <w:rPr>
              <w:rFonts w:cs="Times New Roman"/>
            </w:rPr>
            <w:fldChar w:fldCharType="begin"/>
          </w:r>
          <w:r>
            <w:rPr>
              <w:rFonts w:cs="Times New Roman"/>
            </w:rPr>
            <w:instrText xml:space="preserve"> PAGEREF _Toc30264 </w:instrText>
          </w:r>
          <w:r>
            <w:rPr>
              <w:rFonts w:cs="Times New Roman"/>
            </w:rPr>
            <w:fldChar w:fldCharType="separate"/>
          </w:r>
          <w:r>
            <w:rPr>
              <w:rFonts w:cs="Times New Roman"/>
            </w:rPr>
            <w:t>12</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"_Toc3494" </w:instrText>
          </w:r>
          <w:r>
            <w:fldChar w:fldCharType="separate"/>
          </w:r>
          <w:r>
            <w:rPr>
              <w:rFonts w:cs="Times New Roman"/>
              <w:spacing w:val="-1"/>
            </w:rPr>
            <w:t>1.2.3</w:t>
          </w:r>
          <w:r>
            <w:rPr>
              <w:rFonts w:eastAsia="宋体" w:cs="Times New Roman"/>
              <w:spacing w:val="-1"/>
            </w:rPr>
            <w:t xml:space="preserve"> 评价原则</w:t>
          </w:r>
          <w:r>
            <w:rPr>
              <w:rFonts w:cs="Times New Roman"/>
            </w:rPr>
            <w:tab/>
          </w:r>
          <w:r>
            <w:rPr>
              <w:rFonts w:cs="Times New Roman"/>
            </w:rPr>
            <w:fldChar w:fldCharType="begin"/>
          </w:r>
          <w:r>
            <w:rPr>
              <w:rFonts w:cs="Times New Roman"/>
            </w:rPr>
            <w:instrText xml:space="preserve"> PAGEREF _Toc3494 </w:instrText>
          </w:r>
          <w:r>
            <w:rPr>
              <w:rFonts w:cs="Times New Roman"/>
            </w:rPr>
            <w:fldChar w:fldCharType="separate"/>
          </w:r>
          <w:r>
            <w:rPr>
              <w:rFonts w:cs="Times New Roman"/>
            </w:rPr>
            <w:t>12</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"_Toc31100" </w:instrText>
          </w:r>
          <w:r>
            <w:fldChar w:fldCharType="separate"/>
          </w:r>
          <w:r>
            <w:rPr>
              <w:rFonts w:ascii="Times New Roman" w:hAnsi="Times New Roman" w:cs="Times New Roman"/>
              <w:lang w:eastAsia="zh-CN"/>
            </w:rPr>
            <w:t>1.3 评价重点</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_Toc31100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"_Toc30856" </w:instrText>
          </w:r>
          <w:r>
            <w:fldChar w:fldCharType="separate"/>
          </w:r>
          <w:r>
            <w:rPr>
              <w:rFonts w:ascii="Times New Roman" w:hAnsi="Times New Roman" w:cs="Times New Roman"/>
              <w:lang w:eastAsia="zh-CN"/>
            </w:rPr>
            <w:t>1.4 工作程序</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_Toc30856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"_Toc26865" </w:instrText>
          </w:r>
          <w:r>
            <w:fldChar w:fldCharType="separate"/>
          </w:r>
          <w:r>
            <w:rPr>
              <w:rFonts w:ascii="Times New Roman" w:hAnsi="Times New Roman" w:cs="Times New Roman"/>
              <w:lang w:eastAsia="zh-CN"/>
            </w:rPr>
            <w:t>1.5 评价范围与评价因子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_Toc26865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"_Toc28540" </w:instrText>
          </w:r>
          <w:r>
            <w:fldChar w:fldCharType="separate"/>
          </w:r>
          <w:r>
            <w:rPr>
              <w:rFonts w:cs="Times New Roman"/>
              <w:spacing w:val="-1"/>
            </w:rPr>
            <w:t xml:space="preserve">1.5.1 </w:t>
          </w:r>
          <w:r>
            <w:rPr>
              <w:rFonts w:eastAsia="宋体" w:cs="Times New Roman"/>
              <w:spacing w:val="-1"/>
            </w:rPr>
            <w:t>跟踪评价内容及范围</w:t>
          </w:r>
          <w:r>
            <w:rPr>
              <w:rFonts w:cs="Times New Roman"/>
            </w:rPr>
            <w:tab/>
          </w:r>
          <w:r>
            <w:rPr>
              <w:rFonts w:cs="Times New Roman"/>
            </w:rPr>
            <w:fldChar w:fldCharType="begin"/>
          </w:r>
          <w:r>
            <w:rPr>
              <w:rFonts w:cs="Times New Roman"/>
            </w:rPr>
            <w:instrText xml:space="preserve"> PAGEREF _Toc28540 </w:instrText>
          </w:r>
          <w:r>
            <w:rPr>
              <w:rFonts w:cs="Times New Roman"/>
            </w:rPr>
            <w:fldChar w:fldCharType="separate"/>
          </w:r>
          <w:r>
            <w:rPr>
              <w:rFonts w:cs="Times New Roman"/>
            </w:rPr>
            <w:t>15</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"_Toc13107" </w:instrText>
          </w:r>
          <w:r>
            <w:fldChar w:fldCharType="separate"/>
          </w:r>
          <w:r>
            <w:rPr>
              <w:rFonts w:cs="Times New Roman"/>
              <w:spacing w:val="-1"/>
            </w:rPr>
            <w:t xml:space="preserve">1.5.2 </w:t>
          </w:r>
          <w:r>
            <w:rPr>
              <w:rFonts w:eastAsia="宋体" w:cs="Times New Roman"/>
              <w:spacing w:val="-1"/>
            </w:rPr>
            <w:t>跟踪评价重点</w:t>
          </w:r>
          <w:r>
            <w:rPr>
              <w:rFonts w:cs="Times New Roman"/>
            </w:rPr>
            <w:tab/>
          </w:r>
          <w:r>
            <w:rPr>
              <w:rFonts w:cs="Times New Roman"/>
            </w:rPr>
            <w:fldChar w:fldCharType="begin"/>
          </w:r>
          <w:r>
            <w:rPr>
              <w:rFonts w:cs="Times New Roman"/>
            </w:rPr>
            <w:instrText xml:space="preserve"> PAGEREF _Toc13107 </w:instrText>
          </w:r>
          <w:r>
            <w:rPr>
              <w:rFonts w:cs="Times New Roman"/>
            </w:rPr>
            <w:fldChar w:fldCharType="separate"/>
          </w:r>
          <w:r>
            <w:rPr>
              <w:rFonts w:cs="Times New Roman"/>
            </w:rPr>
            <w:t>16</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"_Toc1526" </w:instrText>
          </w:r>
          <w:r>
            <w:fldChar w:fldCharType="separate"/>
          </w:r>
          <w:r>
            <w:rPr>
              <w:rFonts w:ascii="Times New Roman" w:hAnsi="Times New Roman" w:cs="Times New Roman"/>
              <w:lang w:eastAsia="zh-CN"/>
            </w:rPr>
            <w:t>1.6 环境功能区划</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_Toc1526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"_Toc2088" </w:instrText>
          </w:r>
          <w:r>
            <w:fldChar w:fldCharType="separate"/>
          </w:r>
          <w:r>
            <w:rPr>
              <w:rFonts w:ascii="Times New Roman" w:hAnsi="Times New Roman" w:cs="Times New Roman"/>
              <w:lang w:eastAsia="zh-CN"/>
            </w:rPr>
            <w:t>1.7 环境敏感目标</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_Toc2088 </w:instrText>
          </w:r>
          <w:r>
            <w:rPr>
              <w:rFonts w:ascii="Times New Roman" w:hAnsi="Times New Roman" w:cs="Times New Roman"/>
            </w:rPr>
            <w:fldChar w:fldCharType="separate"/>
          </w:r>
          <w:r>
            <w:rPr>
              <w:rFonts w:ascii="Times New Roman" w:hAnsi="Times New Roman" w:cs="Times New Roman"/>
            </w:rPr>
            <w:t>23</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"_Toc21908" </w:instrText>
          </w:r>
          <w:r>
            <w:fldChar w:fldCharType="separate"/>
          </w:r>
          <w:r>
            <w:rPr>
              <w:rFonts w:ascii="Times New Roman" w:hAnsi="Times New Roman" w:cs="Times New Roman"/>
              <w:spacing w:val="1"/>
              <w:lang w:eastAsia="zh-CN"/>
            </w:rPr>
            <w:t xml:space="preserve">1.8 </w:t>
          </w:r>
          <w:r>
            <w:rPr>
              <w:rFonts w:ascii="Times New Roman" w:hAnsi="Times New Roman" w:cs="Times New Roman"/>
            </w:rPr>
            <w:t>评价指标体系的建立</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_Toc21908 </w:instrText>
          </w:r>
          <w:r>
            <w:rPr>
              <w:rFonts w:ascii="Times New Roman" w:hAnsi="Times New Roman" w:cs="Times New Roman"/>
            </w:rPr>
            <w:fldChar w:fldCharType="separate"/>
          </w:r>
          <w:r>
            <w:rPr>
              <w:rFonts w:ascii="Times New Roman" w:hAnsi="Times New Roman" w:cs="Times New Roman"/>
            </w:rPr>
            <w:t>25</w:t>
          </w:r>
          <w:r>
            <w:rPr>
              <w:rFonts w:ascii="Times New Roman" w:hAnsi="Times New Roman" w:cs="Times New Roman"/>
            </w:rPr>
            <w:fldChar w:fldCharType="end"/>
          </w:r>
          <w:r>
            <w:rPr>
              <w:rFonts w:ascii="Times New Roman" w:hAnsi="Times New Roman" w:cs="Times New Roman"/>
            </w:rPr>
            <w:fldChar w:fldCharType="end"/>
          </w:r>
        </w:p>
        <w:p>
          <w:pPr>
            <w:pStyle w:val="42"/>
            <w:tabs>
              <w:tab w:val="right" w:leader="dot" w:pos="9070"/>
            </w:tabs>
            <w:ind w:firstLine="420"/>
            <w:rPr>
              <w:rFonts w:ascii="Times New Roman" w:hAnsi="Times New Roman" w:cs="Times New Roman"/>
              <w:b/>
              <w:bCs/>
              <w:lang w:eastAsia="zh-CN"/>
            </w:rPr>
          </w:pPr>
          <w:r>
            <w:fldChar w:fldCharType="begin"/>
          </w:r>
          <w:r>
            <w:instrText xml:space="preserve"> HYPERLINK \l "_Toc26363" </w:instrText>
          </w:r>
          <w:r>
            <w:fldChar w:fldCharType="separate"/>
          </w:r>
          <w:r>
            <w:rPr>
              <w:rFonts w:ascii="Times New Roman" w:hAnsi="Times New Roman" w:cs="Times New Roman"/>
              <w:b/>
              <w:bCs/>
              <w:lang w:eastAsia="zh-CN"/>
            </w:rPr>
            <w:t>2 规划实施及开发强度分析</w:t>
          </w:r>
          <w:r>
            <w:rPr>
              <w:rFonts w:ascii="Times New Roman" w:hAnsi="Times New Roman" w:cs="Times New Roman"/>
              <w:b/>
              <w:bCs/>
              <w:lang w:eastAsia="zh-CN"/>
            </w:rPr>
            <w:tab/>
          </w:r>
          <w:r>
            <w:rPr>
              <w:rFonts w:ascii="Times New Roman" w:hAnsi="Times New Roman" w:cs="Times New Roman"/>
              <w:b/>
              <w:bCs/>
              <w:lang w:eastAsia="zh-CN"/>
            </w:rPr>
            <w:fldChar w:fldCharType="begin"/>
          </w:r>
          <w:r>
            <w:rPr>
              <w:rFonts w:ascii="Times New Roman" w:hAnsi="Times New Roman" w:cs="Times New Roman"/>
              <w:b/>
              <w:bCs/>
              <w:lang w:eastAsia="zh-CN"/>
            </w:rPr>
            <w:instrText xml:space="preserve"> PAGEREF _Toc26363 </w:instrText>
          </w:r>
          <w:r>
            <w:rPr>
              <w:rFonts w:ascii="Times New Roman" w:hAnsi="Times New Roman" w:cs="Times New Roman"/>
              <w:b/>
              <w:bCs/>
              <w:lang w:eastAsia="zh-CN"/>
            </w:rPr>
            <w:fldChar w:fldCharType="separate"/>
          </w:r>
          <w:r>
            <w:rPr>
              <w:rFonts w:ascii="Times New Roman" w:hAnsi="Times New Roman" w:cs="Times New Roman"/>
              <w:b/>
              <w:bCs/>
              <w:lang w:eastAsia="zh-CN"/>
            </w:rPr>
            <w:t>27</w:t>
          </w:r>
          <w:r>
            <w:rPr>
              <w:rFonts w:ascii="Times New Roman" w:hAnsi="Times New Roman" w:cs="Times New Roman"/>
              <w:b/>
              <w:bCs/>
              <w:lang w:eastAsia="zh-CN"/>
            </w:rPr>
            <w:fldChar w:fldCharType="end"/>
          </w:r>
          <w:r>
            <w:rPr>
              <w:rFonts w:ascii="Times New Roman" w:hAnsi="Times New Roman" w:cs="Times New Roman"/>
              <w:b/>
              <w:bCs/>
              <w:lang w:eastAsia="zh-C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"_Toc9397" </w:instrText>
          </w:r>
          <w:r>
            <w:fldChar w:fldCharType="separate"/>
          </w:r>
          <w:r>
            <w:rPr>
              <w:rFonts w:ascii="Times New Roman" w:hAnsi="Times New Roman" w:cs="Times New Roman"/>
              <w:lang w:eastAsia="zh-CN"/>
            </w:rPr>
            <w:t>2.1 规划跟踪评价实施背景</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_Toc9397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"_Toc14568" </w:instrText>
          </w:r>
          <w:r>
            <w:fldChar w:fldCharType="separate"/>
          </w:r>
          <w:r>
            <w:rPr>
              <w:rFonts w:ascii="Times New Roman" w:hAnsi="Times New Roman" w:cs="Times New Roman"/>
              <w:lang w:eastAsia="zh-CN"/>
            </w:rPr>
            <w:t>2.2 规划概况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_Toc14568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"_Toc27288" </w:instrText>
          </w:r>
          <w:r>
            <w:fldChar w:fldCharType="separate"/>
          </w:r>
          <w:r>
            <w:rPr>
              <w:rFonts w:cs="Times New Roman"/>
              <w:spacing w:val="-1"/>
            </w:rPr>
            <w:t>2.</w:t>
          </w:r>
          <w:r>
            <w:rPr>
              <w:rFonts w:cs="Times New Roman" w:eastAsiaTheme="minorEastAsia"/>
              <w:spacing w:val="-1"/>
            </w:rPr>
            <w:t>2</w:t>
          </w:r>
          <w:r>
            <w:rPr>
              <w:rFonts w:cs="Times New Roman"/>
              <w:spacing w:val="-1"/>
            </w:rPr>
            <w:t>.1</w:t>
          </w:r>
          <w:r>
            <w:rPr>
              <w:rFonts w:eastAsia="宋体" w:cs="Times New Roman"/>
              <w:spacing w:val="-1"/>
            </w:rPr>
            <w:t xml:space="preserve"> 规划期限及范围</w:t>
          </w:r>
          <w:r>
            <w:rPr>
              <w:rFonts w:cs="Times New Roman"/>
            </w:rPr>
            <w:tab/>
          </w:r>
          <w:r>
            <w:rPr>
              <w:rFonts w:cs="Times New Roman"/>
            </w:rPr>
            <w:fldChar w:fldCharType="begin"/>
          </w:r>
          <w:r>
            <w:rPr>
              <w:rFonts w:cs="Times New Roman"/>
            </w:rPr>
            <w:instrText xml:space="preserve"> PAGEREF _Toc27288 </w:instrText>
          </w:r>
          <w:r>
            <w:rPr>
              <w:rFonts w:cs="Times New Roman"/>
            </w:rPr>
            <w:fldChar w:fldCharType="separate"/>
          </w:r>
          <w:r>
            <w:rPr>
              <w:rFonts w:cs="Times New Roman"/>
            </w:rPr>
            <w:t>27</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"_Toc18272" </w:instrText>
          </w:r>
          <w:r>
            <w:fldChar w:fldCharType="separate"/>
          </w:r>
          <w:r>
            <w:rPr>
              <w:rFonts w:cs="Times New Roman"/>
              <w:spacing w:val="-1"/>
            </w:rPr>
            <w:t>2.</w:t>
          </w:r>
          <w:r>
            <w:rPr>
              <w:rFonts w:cs="Times New Roman" w:eastAsiaTheme="minorEastAsia"/>
              <w:spacing w:val="-1"/>
            </w:rPr>
            <w:t>2</w:t>
          </w:r>
          <w:r>
            <w:rPr>
              <w:rFonts w:cs="Times New Roman"/>
              <w:spacing w:val="-1"/>
            </w:rPr>
            <w:t>.2</w:t>
          </w:r>
          <w:r>
            <w:rPr>
              <w:rFonts w:eastAsia="宋体" w:cs="Times New Roman"/>
              <w:spacing w:val="-1"/>
            </w:rPr>
            <w:t xml:space="preserve"> 发展定位</w:t>
          </w:r>
          <w:r>
            <w:rPr>
              <w:rFonts w:cs="Times New Roman"/>
            </w:rPr>
            <w:tab/>
          </w:r>
          <w:r>
            <w:rPr>
              <w:rFonts w:cs="Times New Roman"/>
            </w:rPr>
            <w:fldChar w:fldCharType="begin"/>
          </w:r>
          <w:r>
            <w:rPr>
              <w:rFonts w:cs="Times New Roman"/>
            </w:rPr>
            <w:instrText xml:space="preserve"> PAGEREF _Toc18272 </w:instrText>
          </w:r>
          <w:r>
            <w:rPr>
              <w:rFonts w:cs="Times New Roman"/>
            </w:rPr>
            <w:fldChar w:fldCharType="separate"/>
          </w:r>
          <w:r>
            <w:rPr>
              <w:rFonts w:cs="Times New Roman"/>
            </w:rPr>
            <w:t>27</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"_Toc25965" </w:instrText>
          </w:r>
          <w:r>
            <w:fldChar w:fldCharType="separate"/>
          </w:r>
          <w:r>
            <w:rPr>
              <w:rFonts w:cs="Times New Roman"/>
            </w:rPr>
            <w:t xml:space="preserve">2.2.3 </w:t>
          </w:r>
          <w:r>
            <w:rPr>
              <w:rFonts w:hint="eastAsia" w:ascii="宋体" w:hAnsi="宋体" w:eastAsia="宋体" w:cs="宋体"/>
            </w:rPr>
            <w:t>发展目标</w:t>
          </w:r>
          <w:r>
            <w:rPr>
              <w:rFonts w:cs="Times New Roman"/>
            </w:rPr>
            <w:tab/>
          </w:r>
          <w:r>
            <w:rPr>
              <w:rFonts w:cs="Times New Roman"/>
            </w:rPr>
            <w:fldChar w:fldCharType="begin"/>
          </w:r>
          <w:r>
            <w:rPr>
              <w:rFonts w:cs="Times New Roman"/>
            </w:rPr>
            <w:instrText xml:space="preserve"> PAGEREF _Toc25965 </w:instrText>
          </w:r>
          <w:r>
            <w:rPr>
              <w:rFonts w:cs="Times New Roman"/>
            </w:rPr>
            <w:fldChar w:fldCharType="separate"/>
          </w:r>
          <w:r>
            <w:rPr>
              <w:rFonts w:cs="Times New Roman"/>
            </w:rPr>
            <w:t>27</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"_Toc4173" </w:instrText>
          </w:r>
          <w:r>
            <w:fldChar w:fldCharType="separate"/>
          </w:r>
          <w:r>
            <w:rPr>
              <w:rFonts w:cs="Times New Roman"/>
              <w:spacing w:val="-1"/>
            </w:rPr>
            <w:t>2.</w:t>
          </w:r>
          <w:r>
            <w:rPr>
              <w:rFonts w:cs="Times New Roman" w:eastAsiaTheme="minorEastAsia"/>
              <w:spacing w:val="-1"/>
            </w:rPr>
            <w:t>2</w:t>
          </w:r>
          <w:r>
            <w:rPr>
              <w:rFonts w:cs="Times New Roman"/>
              <w:spacing w:val="-1"/>
            </w:rPr>
            <w:t>.4</w:t>
          </w:r>
          <w:r>
            <w:rPr>
              <w:rFonts w:eastAsia="宋体" w:cs="Times New Roman"/>
              <w:spacing w:val="-1"/>
            </w:rPr>
            <w:t xml:space="preserve"> 空间结构和用地布局</w:t>
          </w:r>
          <w:r>
            <w:rPr>
              <w:rFonts w:cs="Times New Roman"/>
            </w:rPr>
            <w:tab/>
          </w:r>
          <w:r>
            <w:rPr>
              <w:rFonts w:cs="Times New Roman"/>
            </w:rPr>
            <w:fldChar w:fldCharType="begin"/>
          </w:r>
          <w:r>
            <w:rPr>
              <w:rFonts w:cs="Times New Roman"/>
            </w:rPr>
            <w:instrText xml:space="preserve"> PAGEREF _Toc4173 </w:instrText>
          </w:r>
          <w:r>
            <w:rPr>
              <w:rFonts w:cs="Times New Roman"/>
            </w:rPr>
            <w:fldChar w:fldCharType="separate"/>
          </w:r>
          <w:r>
            <w:rPr>
              <w:rFonts w:cs="Times New Roman"/>
            </w:rPr>
            <w:t>28</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"_Toc23045" </w:instrText>
          </w:r>
          <w:r>
            <w:fldChar w:fldCharType="separate"/>
          </w:r>
          <w:r>
            <w:rPr>
              <w:rFonts w:cs="Times New Roman"/>
              <w:spacing w:val="-1"/>
            </w:rPr>
            <w:t>2.</w:t>
          </w:r>
          <w:r>
            <w:rPr>
              <w:rFonts w:cs="Times New Roman" w:eastAsiaTheme="minorEastAsia"/>
              <w:spacing w:val="-1"/>
            </w:rPr>
            <w:t>2</w:t>
          </w:r>
          <w:r>
            <w:rPr>
              <w:rFonts w:cs="Times New Roman"/>
              <w:spacing w:val="-1"/>
            </w:rPr>
            <w:t>.5</w:t>
          </w:r>
          <w:r>
            <w:rPr>
              <w:rFonts w:eastAsia="宋体" w:cs="Times New Roman"/>
              <w:spacing w:val="-1"/>
            </w:rPr>
            <w:t>市政基础设施规划</w:t>
          </w:r>
          <w:r>
            <w:rPr>
              <w:rFonts w:cs="Times New Roman"/>
            </w:rPr>
            <w:tab/>
          </w:r>
          <w:r>
            <w:rPr>
              <w:rFonts w:cs="Times New Roman"/>
            </w:rPr>
            <w:fldChar w:fldCharType="begin"/>
          </w:r>
          <w:r>
            <w:rPr>
              <w:rFonts w:cs="Times New Roman"/>
            </w:rPr>
            <w:instrText xml:space="preserve"> PAGEREF _Toc23045 </w:instrText>
          </w:r>
          <w:r>
            <w:rPr>
              <w:rFonts w:cs="Times New Roman"/>
            </w:rPr>
            <w:fldChar w:fldCharType="separate"/>
          </w:r>
          <w:r>
            <w:rPr>
              <w:rFonts w:cs="Times New Roman"/>
            </w:rPr>
            <w:t>30</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"_Toc20867" </w:instrText>
          </w:r>
          <w:r>
            <w:fldChar w:fldCharType="separate"/>
          </w:r>
          <w:r>
            <w:rPr>
              <w:rFonts w:ascii="Times New Roman" w:hAnsi="Times New Roman" w:cs="Times New Roman" w:eastAsiaTheme="minorEastAsia"/>
              <w:lang w:eastAsia="zh-CN"/>
            </w:rPr>
            <w:t xml:space="preserve">2.3 </w:t>
          </w:r>
          <w:r>
            <w:rPr>
              <w:rFonts w:ascii="Times New Roman" w:hAnsi="Times New Roman" w:cs="Times New Roman" w:eastAsiaTheme="minorEastAsia"/>
              <w:spacing w:val="1"/>
              <w:lang w:eastAsia="zh-CN"/>
            </w:rPr>
            <w:t>规划实施情况分析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_Toc20867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"_Toc4620" </w:instrText>
          </w:r>
          <w:r>
            <w:fldChar w:fldCharType="separate"/>
          </w:r>
          <w:r>
            <w:rPr>
              <w:rFonts w:cs="Times New Roman"/>
              <w:spacing w:val="-1"/>
            </w:rPr>
            <w:t>2.</w:t>
          </w:r>
          <w:r>
            <w:rPr>
              <w:rFonts w:cs="Times New Roman" w:eastAsiaTheme="minorEastAsia"/>
              <w:spacing w:val="-1"/>
              <w:lang w:eastAsia="zh-CN"/>
            </w:rPr>
            <w:t>3</w:t>
          </w:r>
          <w:r>
            <w:rPr>
              <w:rFonts w:cs="Times New Roman"/>
              <w:spacing w:val="-1"/>
            </w:rPr>
            <w:t>.1</w:t>
          </w:r>
          <w:r>
            <w:rPr>
              <w:rFonts w:eastAsia="宋体" w:cs="Times New Roman"/>
              <w:spacing w:val="-1"/>
            </w:rPr>
            <w:t xml:space="preserve"> 规划</w:t>
          </w:r>
          <w:r>
            <w:rPr>
              <w:rFonts w:eastAsia="宋体" w:cs="Times New Roman"/>
              <w:spacing w:val="-1"/>
              <w:lang w:eastAsia="zh-CN"/>
            </w:rPr>
            <w:t>调整情况</w:t>
          </w:r>
          <w:r>
            <w:rPr>
              <w:rFonts w:cs="Times New Roman"/>
            </w:rPr>
            <w:tab/>
          </w:r>
          <w:r>
            <w:rPr>
              <w:rFonts w:cs="Times New Roman"/>
            </w:rPr>
            <w:fldChar w:fldCharType="begin"/>
          </w:r>
          <w:r>
            <w:rPr>
              <w:rFonts w:cs="Times New Roman"/>
            </w:rPr>
            <w:instrText xml:space="preserve"> PAGEREF _Toc4620 </w:instrText>
          </w:r>
          <w:r>
            <w:rPr>
              <w:rFonts w:cs="Times New Roman"/>
            </w:rPr>
            <w:fldChar w:fldCharType="separate"/>
          </w:r>
          <w:r>
            <w:rPr>
              <w:rFonts w:cs="Times New Roman"/>
            </w:rPr>
            <w:t>31</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"_Toc11417" </w:instrText>
          </w:r>
          <w:r>
            <w:fldChar w:fldCharType="separate"/>
          </w:r>
          <w:r>
            <w:rPr>
              <w:rFonts w:cs="Times New Roman"/>
            </w:rPr>
            <w:t>2.</w:t>
          </w:r>
          <w:r>
            <w:rPr>
              <w:rFonts w:cs="Times New Roman"/>
              <w:lang w:eastAsia="zh-CN"/>
            </w:rPr>
            <w:t>3</w:t>
          </w:r>
          <w:r>
            <w:rPr>
              <w:rFonts w:cs="Times New Roman"/>
            </w:rPr>
            <w:t xml:space="preserve">.2 </w:t>
          </w:r>
          <w:r>
            <w:rPr>
              <w:rFonts w:hint="eastAsia" w:ascii="宋体" w:hAnsi="宋体" w:eastAsia="宋体" w:cs="宋体"/>
              <w:lang w:eastAsia="zh-CN"/>
            </w:rPr>
            <w:t>土地利用现状</w:t>
          </w:r>
          <w:r>
            <w:rPr>
              <w:rFonts w:cs="Times New Roman"/>
            </w:rPr>
            <w:tab/>
          </w:r>
          <w:r>
            <w:rPr>
              <w:rFonts w:cs="Times New Roman"/>
            </w:rPr>
            <w:fldChar w:fldCharType="begin"/>
          </w:r>
          <w:r>
            <w:rPr>
              <w:rFonts w:cs="Times New Roman"/>
            </w:rPr>
            <w:instrText xml:space="preserve"> PAGEREF _Toc11417 </w:instrText>
          </w:r>
          <w:r>
            <w:rPr>
              <w:rFonts w:cs="Times New Roman"/>
            </w:rPr>
            <w:fldChar w:fldCharType="separate"/>
          </w:r>
          <w:r>
            <w:rPr>
              <w:rFonts w:cs="Times New Roman"/>
            </w:rPr>
            <w:t>32</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"_Toc5351" </w:instrText>
          </w:r>
          <w:r>
            <w:fldChar w:fldCharType="separate"/>
          </w:r>
          <w:r>
            <w:rPr>
              <w:rFonts w:cs="Times New Roman"/>
            </w:rPr>
            <w:t>2.</w:t>
          </w:r>
          <w:r>
            <w:rPr>
              <w:rFonts w:cs="Times New Roman"/>
              <w:lang w:eastAsia="zh-CN"/>
            </w:rPr>
            <w:t>3</w:t>
          </w:r>
          <w:r>
            <w:rPr>
              <w:rFonts w:cs="Times New Roman"/>
            </w:rPr>
            <w:t xml:space="preserve">.3 </w:t>
          </w:r>
          <w:r>
            <w:rPr>
              <w:rFonts w:hint="eastAsia" w:ascii="宋体" w:hAnsi="宋体" w:eastAsia="宋体" w:cs="宋体"/>
            </w:rPr>
            <w:t>产业结构实施情况</w:t>
          </w:r>
          <w:r>
            <w:rPr>
              <w:rFonts w:cs="Times New Roman"/>
            </w:rPr>
            <w:tab/>
          </w:r>
          <w:r>
            <w:rPr>
              <w:rFonts w:cs="Times New Roman"/>
            </w:rPr>
            <w:fldChar w:fldCharType="begin"/>
          </w:r>
          <w:r>
            <w:rPr>
              <w:rFonts w:cs="Times New Roman"/>
            </w:rPr>
            <w:instrText xml:space="preserve"> PAGEREF _Toc5351 </w:instrText>
          </w:r>
          <w:r>
            <w:rPr>
              <w:rFonts w:cs="Times New Roman"/>
            </w:rPr>
            <w:fldChar w:fldCharType="separate"/>
          </w:r>
          <w:r>
            <w:rPr>
              <w:rFonts w:cs="Times New Roman"/>
            </w:rPr>
            <w:t>34</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"_Toc3786" </w:instrText>
          </w:r>
          <w:r>
            <w:fldChar w:fldCharType="separate"/>
          </w:r>
          <w:r>
            <w:rPr>
              <w:rFonts w:cs="Times New Roman"/>
              <w:spacing w:val="-1"/>
            </w:rPr>
            <w:t>2.</w:t>
          </w:r>
          <w:r>
            <w:rPr>
              <w:rFonts w:cs="Times New Roman" w:eastAsiaTheme="minorEastAsia"/>
              <w:spacing w:val="-1"/>
              <w:lang w:eastAsia="zh-CN"/>
            </w:rPr>
            <w:t>3</w:t>
          </w:r>
          <w:r>
            <w:rPr>
              <w:rFonts w:cs="Times New Roman"/>
              <w:spacing w:val="-1"/>
            </w:rPr>
            <w:t>.</w:t>
          </w:r>
          <w:r>
            <w:rPr>
              <w:rFonts w:eastAsia="宋体" w:cs="Times New Roman"/>
              <w:spacing w:val="-1"/>
            </w:rPr>
            <w:t>4 配套基础设施建设实施情况</w:t>
          </w:r>
          <w:r>
            <w:rPr>
              <w:rFonts w:cs="Times New Roman"/>
            </w:rPr>
            <w:tab/>
          </w:r>
          <w:r>
            <w:rPr>
              <w:rFonts w:cs="Times New Roman"/>
            </w:rPr>
            <w:fldChar w:fldCharType="begin"/>
          </w:r>
          <w:r>
            <w:rPr>
              <w:rFonts w:cs="Times New Roman"/>
            </w:rPr>
            <w:instrText xml:space="preserve"> PAGEREF _Toc3786 </w:instrText>
          </w:r>
          <w:r>
            <w:rPr>
              <w:rFonts w:cs="Times New Roman"/>
            </w:rPr>
            <w:fldChar w:fldCharType="separate"/>
          </w:r>
          <w:r>
            <w:rPr>
              <w:rFonts w:cs="Times New Roman"/>
            </w:rPr>
            <w:t>36</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"_Toc14511" </w:instrText>
          </w:r>
          <w:r>
            <w:fldChar w:fldCharType="separate"/>
          </w:r>
          <w:r>
            <w:rPr>
              <w:rFonts w:cs="Times New Roman"/>
              <w:lang w:eastAsia="zh-CN"/>
            </w:rPr>
            <w:t xml:space="preserve">2.3.5  </w:t>
          </w:r>
          <w:r>
            <w:rPr>
              <w:rFonts w:hint="eastAsia" w:ascii="宋体" w:hAnsi="宋体" w:eastAsia="宋体" w:cs="宋体"/>
              <w:lang w:eastAsia="zh-CN"/>
            </w:rPr>
            <w:t>污染物排放情况</w:t>
          </w:r>
          <w:r>
            <w:rPr>
              <w:rFonts w:cs="Times New Roman"/>
            </w:rPr>
            <w:tab/>
          </w:r>
          <w:r>
            <w:rPr>
              <w:rFonts w:cs="Times New Roman"/>
            </w:rPr>
            <w:fldChar w:fldCharType="begin"/>
          </w:r>
          <w:r>
            <w:rPr>
              <w:rFonts w:cs="Times New Roman"/>
            </w:rPr>
            <w:instrText xml:space="preserve"> PAGEREF _Toc14511 </w:instrText>
          </w:r>
          <w:r>
            <w:rPr>
              <w:rFonts w:cs="Times New Roman"/>
            </w:rPr>
            <w:fldChar w:fldCharType="separate"/>
          </w:r>
          <w:r>
            <w:rPr>
              <w:rFonts w:cs="Times New Roman"/>
            </w:rPr>
            <w:t>38</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"_Toc9349" </w:instrText>
          </w:r>
          <w:r>
            <w:fldChar w:fldCharType="separate"/>
          </w:r>
          <w:r>
            <w:rPr>
              <w:rFonts w:cs="Times New Roman"/>
              <w:szCs w:val="28"/>
            </w:rPr>
            <w:t>2.</w:t>
          </w:r>
          <w:r>
            <w:rPr>
              <w:rFonts w:cs="Times New Roman"/>
              <w:szCs w:val="28"/>
              <w:lang w:eastAsia="zh-CN"/>
            </w:rPr>
            <w:t>3.6</w:t>
          </w:r>
          <w:r>
            <w:rPr>
              <w:rFonts w:hint="eastAsia" w:ascii="宋体" w:hAnsi="宋体" w:eastAsia="宋体" w:cs="宋体"/>
              <w:szCs w:val="28"/>
            </w:rPr>
            <w:t>指标体系</w:t>
          </w:r>
          <w:r>
            <w:rPr>
              <w:rFonts w:cs="Times New Roman"/>
            </w:rPr>
            <w:tab/>
          </w:r>
          <w:r>
            <w:rPr>
              <w:rFonts w:cs="Times New Roman"/>
            </w:rPr>
            <w:fldChar w:fldCharType="begin"/>
          </w:r>
          <w:r>
            <w:rPr>
              <w:rFonts w:cs="Times New Roman"/>
            </w:rPr>
            <w:instrText xml:space="preserve"> PAGEREF _Toc9349 </w:instrText>
          </w:r>
          <w:r>
            <w:rPr>
              <w:rFonts w:cs="Times New Roman"/>
            </w:rPr>
            <w:fldChar w:fldCharType="separate"/>
          </w:r>
          <w:r>
            <w:rPr>
              <w:rFonts w:cs="Times New Roman"/>
            </w:rPr>
            <w:t>41</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"_Toc21476" </w:instrText>
          </w:r>
          <w:r>
            <w:fldChar w:fldCharType="separate"/>
          </w:r>
          <w:r>
            <w:rPr>
              <w:rFonts w:cs="Times New Roman"/>
              <w:szCs w:val="28"/>
            </w:rPr>
            <w:t>2.</w:t>
          </w:r>
          <w:r>
            <w:rPr>
              <w:rFonts w:cs="Times New Roman"/>
              <w:szCs w:val="28"/>
              <w:lang w:eastAsia="zh-CN"/>
            </w:rPr>
            <w:t>3.7</w:t>
          </w:r>
          <w:r>
            <w:rPr>
              <w:rFonts w:hint="eastAsia" w:ascii="宋体" w:hAnsi="宋体" w:eastAsia="宋体" w:cs="宋体"/>
              <w:szCs w:val="28"/>
              <w:lang w:eastAsia="zh-CN"/>
            </w:rPr>
            <w:t>国际新兴产业园区</w:t>
          </w:r>
          <w:r>
            <w:rPr>
              <w:rFonts w:hint="eastAsia" w:ascii="宋体" w:hAnsi="宋体" w:eastAsia="宋体" w:cs="宋体"/>
              <w:szCs w:val="28"/>
            </w:rPr>
            <w:t>突发环境事件回顾性评价</w:t>
          </w:r>
          <w:r>
            <w:rPr>
              <w:rFonts w:cs="Times New Roman"/>
            </w:rPr>
            <w:tab/>
          </w:r>
          <w:r>
            <w:rPr>
              <w:rFonts w:cs="Times New Roman"/>
            </w:rPr>
            <w:fldChar w:fldCharType="begin"/>
          </w:r>
          <w:r>
            <w:rPr>
              <w:rFonts w:cs="Times New Roman"/>
            </w:rPr>
            <w:instrText xml:space="preserve"> PAGEREF _Toc21476 </w:instrText>
          </w:r>
          <w:r>
            <w:rPr>
              <w:rFonts w:cs="Times New Roman"/>
            </w:rPr>
            <w:fldChar w:fldCharType="separate"/>
          </w:r>
          <w:r>
            <w:rPr>
              <w:rFonts w:cs="Times New Roman"/>
            </w:rPr>
            <w:t>42</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"_Toc7894" </w:instrText>
          </w:r>
          <w:r>
            <w:fldChar w:fldCharType="separate"/>
          </w:r>
          <w:r>
            <w:rPr>
              <w:rFonts w:cs="Times New Roman"/>
              <w:lang w:eastAsia="zh-CN"/>
            </w:rPr>
            <w:t xml:space="preserve">2.3.8 </w:t>
          </w:r>
          <w:r>
            <w:rPr>
              <w:rFonts w:hint="eastAsia" w:ascii="宋体" w:hAnsi="宋体" w:eastAsia="宋体" w:cs="宋体"/>
              <w:lang w:eastAsia="zh-CN"/>
            </w:rPr>
            <w:t>环境监测计划落实情况</w:t>
          </w:r>
          <w:r>
            <w:rPr>
              <w:rFonts w:cs="Times New Roman"/>
            </w:rPr>
            <w:tab/>
          </w:r>
          <w:r>
            <w:rPr>
              <w:rFonts w:cs="Times New Roman"/>
            </w:rPr>
            <w:fldChar w:fldCharType="begin"/>
          </w:r>
          <w:r>
            <w:rPr>
              <w:rFonts w:cs="Times New Roman"/>
            </w:rPr>
            <w:instrText xml:space="preserve"> PAGEREF _Toc7894 </w:instrText>
          </w:r>
          <w:r>
            <w:rPr>
              <w:rFonts w:cs="Times New Roman"/>
            </w:rPr>
            <w:fldChar w:fldCharType="separate"/>
          </w:r>
          <w:r>
            <w:rPr>
              <w:rFonts w:cs="Times New Roman"/>
            </w:rPr>
            <w:t>43</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"_Toc24005" </w:instrText>
          </w:r>
          <w:r>
            <w:fldChar w:fldCharType="separate"/>
          </w:r>
          <w:r>
            <w:rPr>
              <w:rFonts w:ascii="Times New Roman" w:hAnsi="Times New Roman" w:cs="Times New Roman"/>
              <w:lang w:eastAsia="zh-CN"/>
            </w:rPr>
            <w:t>2.4 与现行规划协调性分析及实施情况分析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_Toc24005 </w:instrText>
          </w:r>
          <w:r>
            <w:rPr>
              <w:rFonts w:ascii="Times New Roman" w:hAnsi="Times New Roman" w:cs="Times New Roman"/>
            </w:rPr>
            <w:fldChar w:fldCharType="separate"/>
          </w:r>
          <w:r>
            <w:rPr>
              <w:rFonts w:ascii="Times New Roman" w:hAnsi="Times New Roman" w:cs="Times New Roman"/>
            </w:rPr>
            <w:t>43</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"_Toc213" </w:instrText>
          </w:r>
          <w:r>
            <w:fldChar w:fldCharType="separate"/>
          </w:r>
          <w:r>
            <w:rPr>
              <w:rFonts w:cs="Times New Roman"/>
              <w:szCs w:val="28"/>
              <w:lang w:eastAsia="zh-CN"/>
            </w:rPr>
            <w:t xml:space="preserve">2.4.1 </w:t>
          </w:r>
          <w:r>
            <w:rPr>
              <w:rFonts w:hint="eastAsia" w:ascii="宋体" w:hAnsi="宋体" w:eastAsia="宋体" w:cs="宋体"/>
              <w:szCs w:val="28"/>
              <w:lang w:eastAsia="zh-CN"/>
            </w:rPr>
            <w:t>与现行《沈北新区控制性详细规划》协调性分析</w:t>
          </w:r>
          <w:r>
            <w:rPr>
              <w:rFonts w:cs="Times New Roman"/>
            </w:rPr>
            <w:tab/>
          </w:r>
          <w:r>
            <w:rPr>
              <w:rFonts w:cs="Times New Roman"/>
            </w:rPr>
            <w:fldChar w:fldCharType="begin"/>
          </w:r>
          <w:r>
            <w:rPr>
              <w:rFonts w:cs="Times New Roman"/>
            </w:rPr>
            <w:instrText xml:space="preserve"> PAGEREF _Toc213 </w:instrText>
          </w:r>
          <w:r>
            <w:rPr>
              <w:rFonts w:cs="Times New Roman"/>
            </w:rPr>
            <w:fldChar w:fldCharType="separate"/>
          </w:r>
          <w:r>
            <w:rPr>
              <w:rFonts w:cs="Times New Roman"/>
            </w:rPr>
            <w:t>43</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"_Toc31355" </w:instrText>
          </w:r>
          <w:r>
            <w:fldChar w:fldCharType="separate"/>
          </w:r>
          <w:r>
            <w:rPr>
              <w:rFonts w:cs="Times New Roman"/>
              <w:lang w:eastAsia="zh-CN"/>
            </w:rPr>
            <w:t xml:space="preserve">2.4.2 </w:t>
          </w:r>
          <w:r>
            <w:rPr>
              <w:rFonts w:hint="eastAsia" w:ascii="宋体" w:hAnsi="宋体" w:eastAsia="宋体" w:cs="宋体"/>
              <w:lang w:eastAsia="zh-CN"/>
            </w:rPr>
            <w:t>与上级规划协调性分析</w:t>
          </w:r>
          <w:r>
            <w:rPr>
              <w:rFonts w:cs="Times New Roman"/>
            </w:rPr>
            <w:tab/>
          </w:r>
          <w:r>
            <w:rPr>
              <w:rFonts w:cs="Times New Roman"/>
            </w:rPr>
            <w:fldChar w:fldCharType="begin"/>
          </w:r>
          <w:r>
            <w:rPr>
              <w:rFonts w:cs="Times New Roman"/>
            </w:rPr>
            <w:instrText xml:space="preserve"> PAGEREF _Toc31355 </w:instrText>
          </w:r>
          <w:r>
            <w:rPr>
              <w:rFonts w:cs="Times New Roman"/>
            </w:rPr>
            <w:fldChar w:fldCharType="separate"/>
          </w:r>
          <w:r>
            <w:rPr>
              <w:rFonts w:cs="Times New Roman"/>
            </w:rPr>
            <w:t>44</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"_Toc7605" </w:instrText>
          </w:r>
          <w:r>
            <w:fldChar w:fldCharType="separate"/>
          </w:r>
          <w:r>
            <w:rPr>
              <w:rFonts w:ascii="Times New Roman" w:hAnsi="Times New Roman" w:cs="Times New Roman"/>
            </w:rPr>
            <w:t>2.</w:t>
          </w:r>
          <w:r>
            <w:rPr>
              <w:rFonts w:ascii="Times New Roman" w:hAnsi="Times New Roman" w:cs="Times New Roman"/>
              <w:lang w:eastAsia="zh-CN"/>
            </w:rPr>
            <w:t>5</w:t>
          </w:r>
          <w:r>
            <w:rPr>
              <w:rFonts w:ascii="Times New Roman" w:hAnsi="Times New Roman" w:cs="Times New Roman"/>
            </w:rPr>
            <w:t>环境管理要求落实情况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_Toc7605 </w:instrText>
          </w:r>
          <w:r>
            <w:rPr>
              <w:rFonts w:ascii="Times New Roman" w:hAnsi="Times New Roman" w:cs="Times New Roman"/>
            </w:rPr>
            <w:fldChar w:fldCharType="separate"/>
          </w:r>
          <w:r>
            <w:rPr>
              <w:rFonts w:ascii="Times New Roman" w:hAnsi="Times New Roman" w:cs="Times New Roman"/>
            </w:rPr>
            <w:t>50</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"_Toc6513" </w:instrText>
          </w:r>
          <w:r>
            <w:fldChar w:fldCharType="separate"/>
          </w:r>
          <w:r>
            <w:rPr>
              <w:rFonts w:cs="Times New Roman"/>
              <w:lang w:eastAsia="zh-CN"/>
            </w:rPr>
            <w:t xml:space="preserve">2.5.1 </w:t>
          </w:r>
          <w:r>
            <w:rPr>
              <w:rFonts w:hint="eastAsia" w:ascii="宋体" w:hAnsi="宋体" w:eastAsia="宋体" w:cs="宋体"/>
              <w:lang w:eastAsia="zh-CN"/>
            </w:rPr>
            <w:t>规划环评及审查意见要求及执行情况</w:t>
          </w:r>
          <w:r>
            <w:rPr>
              <w:rFonts w:cs="Times New Roman"/>
            </w:rPr>
            <w:tab/>
          </w:r>
          <w:r>
            <w:rPr>
              <w:rFonts w:cs="Times New Roman"/>
            </w:rPr>
            <w:fldChar w:fldCharType="begin"/>
          </w:r>
          <w:r>
            <w:rPr>
              <w:rFonts w:cs="Times New Roman"/>
            </w:rPr>
            <w:instrText xml:space="preserve"> PAGEREF _Toc6513 </w:instrText>
          </w:r>
          <w:r>
            <w:rPr>
              <w:rFonts w:cs="Times New Roman"/>
            </w:rPr>
            <w:fldChar w:fldCharType="separate"/>
          </w:r>
          <w:r>
            <w:rPr>
              <w:rFonts w:cs="Times New Roman"/>
            </w:rPr>
            <w:t>50</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"_Toc29743" </w:instrText>
          </w:r>
          <w:r>
            <w:fldChar w:fldCharType="separate"/>
          </w:r>
          <w:r>
            <w:rPr>
              <w:rFonts w:cs="Times New Roman"/>
              <w:lang w:eastAsia="zh-CN"/>
            </w:rPr>
            <w:t xml:space="preserve">2.5.2 </w:t>
          </w:r>
          <w:r>
            <w:rPr>
              <w:rFonts w:hint="eastAsia" w:ascii="宋体" w:hAnsi="宋体" w:eastAsia="宋体" w:cs="宋体"/>
              <w:lang w:eastAsia="zh-CN"/>
            </w:rPr>
            <w:t>生态环境准入要求落实情况</w:t>
          </w:r>
          <w:r>
            <w:rPr>
              <w:rFonts w:cs="Times New Roman"/>
            </w:rPr>
            <w:tab/>
          </w:r>
          <w:r>
            <w:rPr>
              <w:rFonts w:cs="Times New Roman"/>
            </w:rPr>
            <w:fldChar w:fldCharType="begin"/>
          </w:r>
          <w:r>
            <w:rPr>
              <w:rFonts w:cs="Times New Roman"/>
            </w:rPr>
            <w:instrText xml:space="preserve"> PAGEREF _Toc29743 </w:instrText>
          </w:r>
          <w:r>
            <w:rPr>
              <w:rFonts w:cs="Times New Roman"/>
            </w:rPr>
            <w:fldChar w:fldCharType="separate"/>
          </w:r>
          <w:r>
            <w:rPr>
              <w:rFonts w:cs="Times New Roman"/>
            </w:rPr>
            <w:t>51</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"_Toc16270" </w:instrText>
          </w:r>
          <w:r>
            <w:fldChar w:fldCharType="separate"/>
          </w:r>
          <w:r>
            <w:rPr>
              <w:rFonts w:cs="Times New Roman"/>
              <w:lang w:eastAsia="zh-CN"/>
            </w:rPr>
            <w:t xml:space="preserve">2.5.3 </w:t>
          </w:r>
          <w:r>
            <w:rPr>
              <w:rFonts w:hint="eastAsia" w:ascii="宋体" w:hAnsi="宋体" w:eastAsia="宋体" w:cs="宋体"/>
              <w:lang w:eastAsia="zh-CN"/>
            </w:rPr>
            <w:t>环境管理落实情况</w:t>
          </w:r>
          <w:r>
            <w:rPr>
              <w:rFonts w:cs="Times New Roman"/>
            </w:rPr>
            <w:tab/>
          </w:r>
          <w:r>
            <w:rPr>
              <w:rFonts w:cs="Times New Roman"/>
            </w:rPr>
            <w:fldChar w:fldCharType="begin"/>
          </w:r>
          <w:r>
            <w:rPr>
              <w:rFonts w:cs="Times New Roman"/>
            </w:rPr>
            <w:instrText xml:space="preserve"> PAGEREF _Toc16270 </w:instrText>
          </w:r>
          <w:r>
            <w:rPr>
              <w:rFonts w:cs="Times New Roman"/>
            </w:rPr>
            <w:fldChar w:fldCharType="separate"/>
          </w:r>
          <w:r>
            <w:rPr>
              <w:rFonts w:cs="Times New Roman"/>
            </w:rPr>
            <w:t>51</w:t>
          </w:r>
          <w:r>
            <w:rPr>
              <w:rFonts w:cs="Times New Roman"/>
            </w:rPr>
            <w:fldChar w:fldCharType="end"/>
          </w:r>
          <w:r>
            <w:rPr>
              <w:rFonts w:cs="Times New Roman"/>
            </w:rPr>
            <w:fldChar w:fldCharType="end"/>
          </w:r>
        </w:p>
        <w:p>
          <w:pPr>
            <w:pStyle w:val="42"/>
            <w:tabs>
              <w:tab w:val="right" w:leader="dot" w:pos="9070"/>
            </w:tabs>
            <w:ind w:firstLine="420"/>
            <w:rPr>
              <w:rFonts w:ascii="Times New Roman" w:hAnsi="Times New Roman" w:cs="Times New Roman"/>
              <w:b/>
              <w:bCs/>
              <w:lang w:eastAsia="zh-CN"/>
            </w:rPr>
          </w:pPr>
          <w:r>
            <w:fldChar w:fldCharType="begin"/>
          </w:r>
          <w:r>
            <w:instrText xml:space="preserve"> HYPERLINK \l "_Toc14937" </w:instrText>
          </w:r>
          <w:r>
            <w:fldChar w:fldCharType="separate"/>
          </w:r>
          <w:r>
            <w:rPr>
              <w:rFonts w:ascii="Times New Roman" w:hAnsi="Times New Roman" w:cs="Times New Roman"/>
              <w:b/>
              <w:bCs/>
              <w:lang w:eastAsia="zh-CN"/>
            </w:rPr>
            <w:t>3 区域生态环境演变趋势</w:t>
          </w:r>
          <w:r>
            <w:rPr>
              <w:rFonts w:ascii="Times New Roman" w:hAnsi="Times New Roman" w:cs="Times New Roman"/>
              <w:b/>
              <w:bCs/>
              <w:lang w:eastAsia="zh-CN"/>
            </w:rPr>
            <w:tab/>
          </w:r>
          <w:r>
            <w:rPr>
              <w:rFonts w:ascii="Times New Roman" w:hAnsi="Times New Roman" w:cs="Times New Roman"/>
              <w:b/>
              <w:bCs/>
              <w:lang w:eastAsia="zh-CN"/>
            </w:rPr>
            <w:fldChar w:fldCharType="begin"/>
          </w:r>
          <w:r>
            <w:rPr>
              <w:rFonts w:ascii="Times New Roman" w:hAnsi="Times New Roman" w:cs="Times New Roman"/>
              <w:b/>
              <w:bCs/>
              <w:lang w:eastAsia="zh-CN"/>
            </w:rPr>
            <w:instrText xml:space="preserve"> PAGEREF _Toc14937 </w:instrText>
          </w:r>
          <w:r>
            <w:rPr>
              <w:rFonts w:ascii="Times New Roman" w:hAnsi="Times New Roman" w:cs="Times New Roman"/>
              <w:b/>
              <w:bCs/>
              <w:lang w:eastAsia="zh-CN"/>
            </w:rPr>
            <w:fldChar w:fldCharType="separate"/>
          </w:r>
          <w:r>
            <w:rPr>
              <w:rFonts w:ascii="Times New Roman" w:hAnsi="Times New Roman" w:cs="Times New Roman"/>
              <w:b/>
              <w:bCs/>
              <w:lang w:eastAsia="zh-CN"/>
            </w:rPr>
            <w:t>54</w:t>
          </w:r>
          <w:r>
            <w:rPr>
              <w:rFonts w:ascii="Times New Roman" w:hAnsi="Times New Roman" w:cs="Times New Roman"/>
              <w:b/>
              <w:bCs/>
              <w:lang w:eastAsia="zh-CN"/>
            </w:rPr>
            <w:fldChar w:fldCharType="end"/>
          </w:r>
          <w:r>
            <w:rPr>
              <w:rFonts w:ascii="Times New Roman" w:hAnsi="Times New Roman" w:cs="Times New Roman"/>
              <w:b/>
              <w:bCs/>
              <w:lang w:eastAsia="zh-C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"_Toc9265" </w:instrText>
          </w:r>
          <w:r>
            <w:fldChar w:fldCharType="separate"/>
          </w:r>
          <w:r>
            <w:rPr>
              <w:rFonts w:ascii="Times New Roman" w:hAnsi="Times New Roman" w:cs="Times New Roman"/>
              <w:lang w:eastAsia="zh-CN"/>
            </w:rPr>
            <w:t>3.1 区域概况与社会经济状况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_Toc9265 </w:instrText>
          </w:r>
          <w:r>
            <w:rPr>
              <w:rFonts w:ascii="Times New Roman" w:hAnsi="Times New Roman" w:cs="Times New Roman"/>
            </w:rPr>
            <w:fldChar w:fldCharType="separate"/>
          </w:r>
          <w:r>
            <w:rPr>
              <w:rFonts w:ascii="Times New Roman" w:hAnsi="Times New Roman" w:cs="Times New Roman"/>
            </w:rPr>
            <w:t>54</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"_Toc17709" </w:instrText>
          </w:r>
          <w:r>
            <w:fldChar w:fldCharType="separate"/>
          </w:r>
          <w:r>
            <w:rPr>
              <w:rFonts w:cs="Times New Roman"/>
              <w:spacing w:val="-1"/>
            </w:rPr>
            <w:t xml:space="preserve">3.1.1 </w:t>
          </w:r>
          <w:r>
            <w:rPr>
              <w:rFonts w:eastAsia="宋体" w:cs="Times New Roman"/>
              <w:spacing w:val="-1"/>
            </w:rPr>
            <w:t>地理位置</w:t>
          </w:r>
          <w:r>
            <w:rPr>
              <w:rFonts w:cs="Times New Roman"/>
            </w:rPr>
            <w:tab/>
          </w:r>
          <w:r>
            <w:rPr>
              <w:rFonts w:cs="Times New Roman"/>
            </w:rPr>
            <w:fldChar w:fldCharType="begin"/>
          </w:r>
          <w:r>
            <w:rPr>
              <w:rFonts w:cs="Times New Roman"/>
            </w:rPr>
            <w:instrText xml:space="preserve"> PAGEREF _Toc17709 </w:instrText>
          </w:r>
          <w:r>
            <w:rPr>
              <w:rFonts w:cs="Times New Roman"/>
            </w:rPr>
            <w:fldChar w:fldCharType="separate"/>
          </w:r>
          <w:r>
            <w:rPr>
              <w:rFonts w:cs="Times New Roman"/>
            </w:rPr>
            <w:t>54</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"_Toc16158" </w:instrText>
          </w:r>
          <w:r>
            <w:fldChar w:fldCharType="separate"/>
          </w:r>
          <w:r>
            <w:rPr>
              <w:rFonts w:cs="Times New Roman"/>
              <w:spacing w:val="-1"/>
            </w:rPr>
            <w:t>3.1.2</w:t>
          </w:r>
          <w:r>
            <w:rPr>
              <w:rFonts w:eastAsia="宋体" w:cs="Times New Roman"/>
              <w:spacing w:val="-1"/>
            </w:rPr>
            <w:t xml:space="preserve"> 气候特征</w:t>
          </w:r>
          <w:r>
            <w:rPr>
              <w:rFonts w:cs="Times New Roman"/>
            </w:rPr>
            <w:tab/>
          </w:r>
          <w:r>
            <w:rPr>
              <w:rFonts w:cs="Times New Roman"/>
            </w:rPr>
            <w:fldChar w:fldCharType="begin"/>
          </w:r>
          <w:r>
            <w:rPr>
              <w:rFonts w:cs="Times New Roman"/>
            </w:rPr>
            <w:instrText xml:space="preserve"> PAGEREF _Toc16158 </w:instrText>
          </w:r>
          <w:r>
            <w:rPr>
              <w:rFonts w:cs="Times New Roman"/>
            </w:rPr>
            <w:fldChar w:fldCharType="separate"/>
          </w:r>
          <w:r>
            <w:rPr>
              <w:rFonts w:cs="Times New Roman"/>
            </w:rPr>
            <w:t>54</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"_Toc4425" </w:instrText>
          </w:r>
          <w:r>
            <w:fldChar w:fldCharType="separate"/>
          </w:r>
          <w:r>
            <w:rPr>
              <w:rFonts w:cs="Times New Roman"/>
              <w:spacing w:val="-1"/>
            </w:rPr>
            <w:t>3.1.3</w:t>
          </w:r>
          <w:r>
            <w:rPr>
              <w:rFonts w:eastAsia="宋体" w:cs="Times New Roman"/>
              <w:spacing w:val="-1"/>
            </w:rPr>
            <w:t xml:space="preserve"> 地形地貌</w:t>
          </w:r>
          <w:r>
            <w:rPr>
              <w:rFonts w:cs="Times New Roman"/>
            </w:rPr>
            <w:tab/>
          </w:r>
          <w:r>
            <w:rPr>
              <w:rFonts w:cs="Times New Roman"/>
            </w:rPr>
            <w:fldChar w:fldCharType="begin"/>
          </w:r>
          <w:r>
            <w:rPr>
              <w:rFonts w:cs="Times New Roman"/>
            </w:rPr>
            <w:instrText xml:space="preserve"> PAGEREF _Toc4425 </w:instrText>
          </w:r>
          <w:r>
            <w:rPr>
              <w:rFonts w:cs="Times New Roman"/>
            </w:rPr>
            <w:fldChar w:fldCharType="separate"/>
          </w:r>
          <w:r>
            <w:rPr>
              <w:rFonts w:cs="Times New Roman"/>
            </w:rPr>
            <w:t>55</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"_Toc5822" </w:instrText>
          </w:r>
          <w:r>
            <w:fldChar w:fldCharType="separate"/>
          </w:r>
          <w:r>
            <w:rPr>
              <w:rFonts w:cs="Times New Roman"/>
              <w:spacing w:val="-1"/>
            </w:rPr>
            <w:t>3.1.4</w:t>
          </w:r>
          <w:r>
            <w:rPr>
              <w:rFonts w:eastAsia="宋体" w:cs="Times New Roman"/>
              <w:spacing w:val="-1"/>
            </w:rPr>
            <w:t xml:space="preserve"> 地质地层</w:t>
          </w:r>
          <w:r>
            <w:rPr>
              <w:rFonts w:cs="Times New Roman"/>
            </w:rPr>
            <w:tab/>
          </w:r>
          <w:r>
            <w:rPr>
              <w:rFonts w:cs="Times New Roman"/>
            </w:rPr>
            <w:fldChar w:fldCharType="begin"/>
          </w:r>
          <w:r>
            <w:rPr>
              <w:rFonts w:cs="Times New Roman"/>
            </w:rPr>
            <w:instrText xml:space="preserve"> PAGEREF _Toc5822 </w:instrText>
          </w:r>
          <w:r>
            <w:rPr>
              <w:rFonts w:cs="Times New Roman"/>
            </w:rPr>
            <w:fldChar w:fldCharType="separate"/>
          </w:r>
          <w:r>
            <w:rPr>
              <w:rFonts w:cs="Times New Roman"/>
            </w:rPr>
            <w:t>55</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"_Toc7857" </w:instrText>
          </w:r>
          <w:r>
            <w:fldChar w:fldCharType="separate"/>
          </w:r>
          <w:r>
            <w:rPr>
              <w:rFonts w:cs="Times New Roman"/>
              <w:spacing w:val="-1"/>
            </w:rPr>
            <w:t>3.1.5</w:t>
          </w:r>
          <w:r>
            <w:rPr>
              <w:rFonts w:eastAsia="宋体" w:cs="Times New Roman"/>
              <w:spacing w:val="-1"/>
            </w:rPr>
            <w:t xml:space="preserve"> 水文</w:t>
          </w:r>
          <w:r>
            <w:rPr>
              <w:rFonts w:cs="Times New Roman"/>
            </w:rPr>
            <w:tab/>
          </w:r>
          <w:r>
            <w:rPr>
              <w:rFonts w:cs="Times New Roman"/>
            </w:rPr>
            <w:fldChar w:fldCharType="begin"/>
          </w:r>
          <w:r>
            <w:rPr>
              <w:rFonts w:cs="Times New Roman"/>
            </w:rPr>
            <w:instrText xml:space="preserve"> PAGEREF _Toc7857 </w:instrText>
          </w:r>
          <w:r>
            <w:rPr>
              <w:rFonts w:cs="Times New Roman"/>
            </w:rPr>
            <w:fldChar w:fldCharType="separate"/>
          </w:r>
          <w:r>
            <w:rPr>
              <w:rFonts w:cs="Times New Roman"/>
            </w:rPr>
            <w:t>56</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"_Toc22871" </w:instrText>
          </w:r>
          <w:r>
            <w:fldChar w:fldCharType="separate"/>
          </w:r>
          <w:r>
            <w:rPr>
              <w:rFonts w:cs="Times New Roman"/>
              <w:spacing w:val="-1"/>
            </w:rPr>
            <w:t>3.1.6</w:t>
          </w:r>
          <w:r>
            <w:rPr>
              <w:rFonts w:eastAsia="宋体" w:cs="Times New Roman"/>
              <w:spacing w:val="-1"/>
            </w:rPr>
            <w:t xml:space="preserve"> </w:t>
          </w:r>
          <w:r>
            <w:rPr>
              <w:rFonts w:hint="eastAsia" w:ascii="宋体" w:hAnsi="宋体" w:eastAsia="宋体" w:cs="宋体"/>
              <w:spacing w:val="-1"/>
            </w:rPr>
            <w:t>文物古迹</w:t>
          </w:r>
          <w:r>
            <w:rPr>
              <w:rFonts w:cs="Times New Roman"/>
            </w:rPr>
            <w:tab/>
          </w:r>
          <w:r>
            <w:rPr>
              <w:rFonts w:cs="Times New Roman"/>
            </w:rPr>
            <w:fldChar w:fldCharType="begin"/>
          </w:r>
          <w:r>
            <w:rPr>
              <w:rFonts w:cs="Times New Roman"/>
            </w:rPr>
            <w:instrText xml:space="preserve"> PAGEREF _Toc22871 </w:instrText>
          </w:r>
          <w:r>
            <w:rPr>
              <w:rFonts w:cs="Times New Roman"/>
            </w:rPr>
            <w:fldChar w:fldCharType="separate"/>
          </w:r>
          <w:r>
            <w:rPr>
              <w:rFonts w:cs="Times New Roman"/>
            </w:rPr>
            <w:t>56</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"_Toc8087" </w:instrText>
          </w:r>
          <w:r>
            <w:fldChar w:fldCharType="separate"/>
          </w:r>
          <w:r>
            <w:rPr>
              <w:rFonts w:ascii="Times New Roman" w:hAnsi="Times New Roman" w:cs="Times New Roman"/>
              <w:lang w:eastAsia="zh-CN"/>
            </w:rPr>
            <w:t>3.2 区域环境质量现状调查</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_Toc8087 </w:instrText>
          </w:r>
          <w:r>
            <w:rPr>
              <w:rFonts w:ascii="Times New Roman" w:hAnsi="Times New Roman" w:cs="Times New Roman"/>
            </w:rPr>
            <w:fldChar w:fldCharType="separate"/>
          </w:r>
          <w:r>
            <w:rPr>
              <w:rFonts w:ascii="Times New Roman" w:hAnsi="Times New Roman" w:cs="Times New Roman"/>
            </w:rPr>
            <w:t>56</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"_Toc24883" </w:instrText>
          </w:r>
          <w:r>
            <w:fldChar w:fldCharType="separate"/>
          </w:r>
          <w:r>
            <w:rPr>
              <w:rFonts w:cs="Times New Roman"/>
              <w:spacing w:val="-1"/>
            </w:rPr>
            <w:t>3.2.1</w:t>
          </w:r>
          <w:r>
            <w:rPr>
              <w:rFonts w:eastAsia="宋体" w:cs="Times New Roman"/>
              <w:spacing w:val="-1"/>
            </w:rPr>
            <w:t>区域环境变化趋势回顾</w:t>
          </w:r>
          <w:r>
            <w:rPr>
              <w:rFonts w:cs="Times New Roman"/>
            </w:rPr>
            <w:tab/>
          </w:r>
          <w:r>
            <w:rPr>
              <w:rFonts w:cs="Times New Roman"/>
            </w:rPr>
            <w:fldChar w:fldCharType="begin"/>
          </w:r>
          <w:r>
            <w:rPr>
              <w:rFonts w:cs="Times New Roman"/>
            </w:rPr>
            <w:instrText xml:space="preserve"> PAGEREF _Toc24883 </w:instrText>
          </w:r>
          <w:r>
            <w:rPr>
              <w:rFonts w:cs="Times New Roman"/>
            </w:rPr>
            <w:fldChar w:fldCharType="separate"/>
          </w:r>
          <w:r>
            <w:rPr>
              <w:rFonts w:cs="Times New Roman"/>
            </w:rPr>
            <w:t>56</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"_Toc14969" </w:instrText>
          </w:r>
          <w:r>
            <w:fldChar w:fldCharType="separate"/>
          </w:r>
          <w:r>
            <w:rPr>
              <w:rFonts w:cs="Times New Roman"/>
              <w:spacing w:val="-1"/>
            </w:rPr>
            <w:t>3.2.2</w:t>
          </w:r>
          <w:r>
            <w:rPr>
              <w:rFonts w:eastAsia="宋体" w:cs="Times New Roman"/>
              <w:spacing w:val="-1"/>
            </w:rPr>
            <w:t>区域生态环境现状调查与评价</w:t>
          </w:r>
          <w:r>
            <w:rPr>
              <w:rFonts w:cs="Times New Roman"/>
            </w:rPr>
            <w:tab/>
          </w:r>
          <w:r>
            <w:rPr>
              <w:rFonts w:cs="Times New Roman"/>
            </w:rPr>
            <w:fldChar w:fldCharType="begin"/>
          </w:r>
          <w:r>
            <w:rPr>
              <w:rFonts w:cs="Times New Roman"/>
            </w:rPr>
            <w:instrText xml:space="preserve"> PAGEREF _Toc14969 </w:instrText>
          </w:r>
          <w:r>
            <w:rPr>
              <w:rFonts w:cs="Times New Roman"/>
            </w:rPr>
            <w:fldChar w:fldCharType="separate"/>
          </w:r>
          <w:r>
            <w:rPr>
              <w:rFonts w:cs="Times New Roman"/>
            </w:rPr>
            <w:t>68</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"_Toc716" </w:instrText>
          </w:r>
          <w:r>
            <w:fldChar w:fldCharType="separate"/>
          </w:r>
          <w:r>
            <w:rPr>
              <w:rFonts w:ascii="Times New Roman" w:hAnsi="Times New Roman" w:cs="Times New Roman"/>
              <w:lang w:eastAsia="zh-CN"/>
            </w:rPr>
            <w:t>3.3 区域环境质量现状监测与评价</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_Toc716 </w:instrText>
          </w:r>
          <w:r>
            <w:rPr>
              <w:rFonts w:ascii="Times New Roman" w:hAnsi="Times New Roman" w:cs="Times New Roman"/>
            </w:rPr>
            <w:fldChar w:fldCharType="separate"/>
          </w:r>
          <w:r>
            <w:rPr>
              <w:rFonts w:ascii="Times New Roman" w:hAnsi="Times New Roman" w:cs="Times New Roman"/>
            </w:rPr>
            <w:t>70</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"_Toc25106" </w:instrText>
          </w:r>
          <w:r>
            <w:fldChar w:fldCharType="separate"/>
          </w:r>
          <w:r>
            <w:rPr>
              <w:rFonts w:cs="Times New Roman"/>
              <w:spacing w:val="-1"/>
            </w:rPr>
            <w:t>3.3.1</w:t>
          </w:r>
          <w:r>
            <w:rPr>
              <w:rFonts w:eastAsia="宋体" w:cs="Times New Roman"/>
              <w:spacing w:val="-1"/>
            </w:rPr>
            <w:t xml:space="preserve"> 环境空气环境质量现状监测与评价</w:t>
          </w:r>
          <w:r>
            <w:rPr>
              <w:rFonts w:cs="Times New Roman"/>
            </w:rPr>
            <w:tab/>
          </w:r>
          <w:r>
            <w:rPr>
              <w:rFonts w:cs="Times New Roman"/>
            </w:rPr>
            <w:fldChar w:fldCharType="begin"/>
          </w:r>
          <w:r>
            <w:rPr>
              <w:rFonts w:cs="Times New Roman"/>
            </w:rPr>
            <w:instrText xml:space="preserve"> PAGEREF _Toc25106 </w:instrText>
          </w:r>
          <w:r>
            <w:rPr>
              <w:rFonts w:cs="Times New Roman"/>
            </w:rPr>
            <w:fldChar w:fldCharType="separate"/>
          </w:r>
          <w:r>
            <w:rPr>
              <w:rFonts w:cs="Times New Roman"/>
            </w:rPr>
            <w:t>70</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"_Toc15728" </w:instrText>
          </w:r>
          <w:r>
            <w:fldChar w:fldCharType="separate"/>
          </w:r>
          <w:r>
            <w:rPr>
              <w:rFonts w:cs="Times New Roman"/>
            </w:rPr>
            <w:t xml:space="preserve">3.3.2 </w:t>
          </w:r>
          <w:r>
            <w:rPr>
              <w:rFonts w:hint="eastAsia" w:ascii="宋体" w:hAnsi="宋体" w:eastAsia="宋体" w:cs="宋体"/>
            </w:rPr>
            <w:t>地表水环境质量现状监测与评价</w:t>
          </w:r>
          <w:r>
            <w:rPr>
              <w:rFonts w:cs="Times New Roman"/>
            </w:rPr>
            <w:tab/>
          </w:r>
          <w:r>
            <w:rPr>
              <w:rFonts w:cs="Times New Roman"/>
            </w:rPr>
            <w:fldChar w:fldCharType="begin"/>
          </w:r>
          <w:r>
            <w:rPr>
              <w:rFonts w:cs="Times New Roman"/>
            </w:rPr>
            <w:instrText xml:space="preserve"> PAGEREF _Toc15728 </w:instrText>
          </w:r>
          <w:r>
            <w:rPr>
              <w:rFonts w:cs="Times New Roman"/>
            </w:rPr>
            <w:fldChar w:fldCharType="separate"/>
          </w:r>
          <w:r>
            <w:rPr>
              <w:rFonts w:cs="Times New Roman"/>
            </w:rPr>
            <w:t>72</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"_Toc6643" </w:instrText>
          </w:r>
          <w:r>
            <w:fldChar w:fldCharType="separate"/>
          </w:r>
          <w:r>
            <w:rPr>
              <w:rFonts w:cs="Times New Roman"/>
              <w:spacing w:val="-1"/>
            </w:rPr>
            <w:t>3.3.3</w:t>
          </w:r>
          <w:r>
            <w:rPr>
              <w:rFonts w:eastAsia="宋体" w:cs="Times New Roman"/>
              <w:spacing w:val="-1"/>
            </w:rPr>
            <w:t xml:space="preserve"> </w:t>
          </w:r>
          <w:r>
            <w:rPr>
              <w:rFonts w:hint="eastAsia" w:ascii="宋体" w:hAnsi="宋体" w:eastAsia="宋体" w:cs="宋体"/>
              <w:spacing w:val="-1"/>
            </w:rPr>
            <w:t>地下水环境质量现状</w:t>
          </w:r>
          <w:r>
            <w:rPr>
              <w:rFonts w:eastAsia="宋体" w:cs="Times New Roman"/>
              <w:spacing w:val="-1"/>
            </w:rPr>
            <w:t>监测</w:t>
          </w:r>
          <w:r>
            <w:rPr>
              <w:rFonts w:hint="eastAsia" w:ascii="宋体" w:hAnsi="宋体" w:eastAsia="宋体" w:cs="宋体"/>
              <w:spacing w:val="-1"/>
            </w:rPr>
            <w:t>与评价</w:t>
          </w:r>
          <w:r>
            <w:rPr>
              <w:rFonts w:cs="Times New Roman"/>
            </w:rPr>
            <w:tab/>
          </w:r>
          <w:r>
            <w:rPr>
              <w:rFonts w:cs="Times New Roman"/>
            </w:rPr>
            <w:fldChar w:fldCharType="begin"/>
          </w:r>
          <w:r>
            <w:rPr>
              <w:rFonts w:cs="Times New Roman"/>
            </w:rPr>
            <w:instrText xml:space="preserve"> PAGEREF _Toc6643 </w:instrText>
          </w:r>
          <w:r>
            <w:rPr>
              <w:rFonts w:cs="Times New Roman"/>
            </w:rPr>
            <w:fldChar w:fldCharType="separate"/>
          </w:r>
          <w:r>
            <w:rPr>
              <w:rFonts w:cs="Times New Roman"/>
            </w:rPr>
            <w:t>75</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"_Toc27139" </w:instrText>
          </w:r>
          <w:r>
            <w:fldChar w:fldCharType="separate"/>
          </w:r>
          <w:r>
            <w:rPr>
              <w:rFonts w:cs="Times New Roman"/>
              <w:spacing w:val="-1"/>
            </w:rPr>
            <w:t>3.3.4</w:t>
          </w:r>
          <w:r>
            <w:rPr>
              <w:rFonts w:eastAsia="宋体" w:cs="Times New Roman"/>
              <w:spacing w:val="-1"/>
            </w:rPr>
            <w:t xml:space="preserve"> 噪声环境质量现状监测与评价</w:t>
          </w:r>
          <w:r>
            <w:rPr>
              <w:rFonts w:cs="Times New Roman"/>
            </w:rPr>
            <w:tab/>
          </w:r>
          <w:r>
            <w:rPr>
              <w:rFonts w:cs="Times New Roman"/>
            </w:rPr>
            <w:fldChar w:fldCharType="begin"/>
          </w:r>
          <w:r>
            <w:rPr>
              <w:rFonts w:cs="Times New Roman"/>
            </w:rPr>
            <w:instrText xml:space="preserve"> PAGEREF _Toc27139 </w:instrText>
          </w:r>
          <w:r>
            <w:rPr>
              <w:rFonts w:cs="Times New Roman"/>
            </w:rPr>
            <w:fldChar w:fldCharType="separate"/>
          </w:r>
          <w:r>
            <w:rPr>
              <w:rFonts w:cs="Times New Roman"/>
            </w:rPr>
            <w:t>78</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"_Toc29884" </w:instrText>
          </w:r>
          <w:r>
            <w:fldChar w:fldCharType="separate"/>
          </w:r>
          <w:r>
            <w:rPr>
              <w:rFonts w:cs="Times New Roman"/>
              <w:spacing w:val="-1"/>
            </w:rPr>
            <w:t>3.3.</w:t>
          </w:r>
          <w:r>
            <w:rPr>
              <w:rFonts w:eastAsia="宋体" w:cs="Times New Roman"/>
              <w:spacing w:val="-1"/>
            </w:rPr>
            <w:t>5 土壤环境质量现状监测与评价</w:t>
          </w:r>
          <w:r>
            <w:rPr>
              <w:rFonts w:cs="Times New Roman"/>
            </w:rPr>
            <w:tab/>
          </w:r>
          <w:r>
            <w:rPr>
              <w:rFonts w:cs="Times New Roman"/>
            </w:rPr>
            <w:fldChar w:fldCharType="begin"/>
          </w:r>
          <w:r>
            <w:rPr>
              <w:rFonts w:cs="Times New Roman"/>
            </w:rPr>
            <w:instrText xml:space="preserve"> PAGEREF _Toc29884 </w:instrText>
          </w:r>
          <w:r>
            <w:rPr>
              <w:rFonts w:cs="Times New Roman"/>
            </w:rPr>
            <w:fldChar w:fldCharType="separate"/>
          </w:r>
          <w:r>
            <w:rPr>
              <w:rFonts w:cs="Times New Roman"/>
            </w:rPr>
            <w:t>79</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"_Toc8385" </w:instrText>
          </w:r>
          <w:r>
            <w:fldChar w:fldCharType="separate"/>
          </w:r>
          <w:r>
            <w:rPr>
              <w:rFonts w:ascii="Times New Roman" w:hAnsi="Times New Roman" w:eastAsia="Times New Roman" w:cs="Times New Roman"/>
              <w:lang w:eastAsia="zh-CN"/>
            </w:rPr>
            <w:t xml:space="preserve">3.4 </w:t>
          </w:r>
          <w:r>
            <w:rPr>
              <w:rFonts w:hint="eastAsia" w:cs="宋体"/>
              <w:lang w:eastAsia="zh-CN"/>
            </w:rPr>
            <w:t>规划实施期间</w:t>
          </w:r>
          <w:r>
            <w:rPr>
              <w:rFonts w:ascii="Times New Roman" w:hAnsi="Times New Roman" w:cs="Times New Roman"/>
              <w:lang w:eastAsia="zh-CN"/>
            </w:rPr>
            <w:t>环境质量演变趋势分析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_Toc8385 </w:instrText>
          </w:r>
          <w:r>
            <w:rPr>
              <w:rFonts w:ascii="Times New Roman" w:hAnsi="Times New Roman" w:cs="Times New Roman"/>
            </w:rPr>
            <w:fldChar w:fldCharType="separate"/>
          </w:r>
          <w:r>
            <w:rPr>
              <w:rFonts w:ascii="Times New Roman" w:hAnsi="Times New Roman" w:cs="Times New Roman"/>
            </w:rPr>
            <w:t>82</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"_Toc16722" </w:instrText>
          </w:r>
          <w:r>
            <w:fldChar w:fldCharType="separate"/>
          </w:r>
          <w:r>
            <w:rPr>
              <w:rFonts w:cs="Times New Roman"/>
              <w:spacing w:val="-1"/>
            </w:rPr>
            <w:t>3.4.1</w:t>
          </w:r>
          <w:r>
            <w:rPr>
              <w:rFonts w:eastAsia="宋体" w:cs="Times New Roman"/>
              <w:spacing w:val="-1"/>
            </w:rPr>
            <w:t xml:space="preserve"> 环境空气质量变化趋势</w:t>
          </w:r>
          <w:r>
            <w:rPr>
              <w:rFonts w:cs="Times New Roman"/>
            </w:rPr>
            <w:tab/>
          </w:r>
          <w:r>
            <w:rPr>
              <w:rFonts w:cs="Times New Roman"/>
            </w:rPr>
            <w:fldChar w:fldCharType="begin"/>
          </w:r>
          <w:r>
            <w:rPr>
              <w:rFonts w:cs="Times New Roman"/>
            </w:rPr>
            <w:instrText xml:space="preserve"> PAGEREF _Toc16722 </w:instrText>
          </w:r>
          <w:r>
            <w:rPr>
              <w:rFonts w:cs="Times New Roman"/>
            </w:rPr>
            <w:fldChar w:fldCharType="separate"/>
          </w:r>
          <w:r>
            <w:rPr>
              <w:rFonts w:cs="Times New Roman"/>
            </w:rPr>
            <w:t>83</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"_Toc5684" </w:instrText>
          </w:r>
          <w:r>
            <w:fldChar w:fldCharType="separate"/>
          </w:r>
          <w:r>
            <w:rPr>
              <w:rFonts w:cs="Times New Roman"/>
              <w:spacing w:val="-1"/>
            </w:rPr>
            <w:t>3.4.2</w:t>
          </w:r>
          <w:r>
            <w:rPr>
              <w:rFonts w:eastAsia="宋体" w:cs="Times New Roman"/>
              <w:spacing w:val="-1"/>
            </w:rPr>
            <w:t xml:space="preserve"> 地表水环境质量变化趋势</w:t>
          </w:r>
          <w:r>
            <w:rPr>
              <w:rFonts w:cs="Times New Roman"/>
            </w:rPr>
            <w:tab/>
          </w:r>
          <w:r>
            <w:rPr>
              <w:rFonts w:cs="Times New Roman"/>
            </w:rPr>
            <w:fldChar w:fldCharType="begin"/>
          </w:r>
          <w:r>
            <w:rPr>
              <w:rFonts w:cs="Times New Roman"/>
            </w:rPr>
            <w:instrText xml:space="preserve"> PAGEREF _Toc5684 </w:instrText>
          </w:r>
          <w:r>
            <w:rPr>
              <w:rFonts w:cs="Times New Roman"/>
            </w:rPr>
            <w:fldChar w:fldCharType="separate"/>
          </w:r>
          <w:r>
            <w:rPr>
              <w:rFonts w:cs="Times New Roman"/>
            </w:rPr>
            <w:t>85</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"_Toc18047" </w:instrText>
          </w:r>
          <w:r>
            <w:fldChar w:fldCharType="separate"/>
          </w:r>
          <w:r>
            <w:rPr>
              <w:rFonts w:cs="Times New Roman"/>
            </w:rPr>
            <w:t xml:space="preserve">3.4.3 </w:t>
          </w:r>
          <w:r>
            <w:rPr>
              <w:rFonts w:hint="eastAsia" w:ascii="宋体" w:hAnsi="宋体" w:eastAsia="宋体" w:cs="宋体"/>
            </w:rPr>
            <w:t>声环境质量变化趋势</w:t>
          </w:r>
          <w:r>
            <w:rPr>
              <w:rFonts w:cs="Times New Roman"/>
            </w:rPr>
            <w:tab/>
          </w:r>
          <w:r>
            <w:rPr>
              <w:rFonts w:cs="Times New Roman"/>
            </w:rPr>
            <w:fldChar w:fldCharType="begin"/>
          </w:r>
          <w:r>
            <w:rPr>
              <w:rFonts w:cs="Times New Roman"/>
            </w:rPr>
            <w:instrText xml:space="preserve"> PAGEREF _Toc18047 </w:instrText>
          </w:r>
          <w:r>
            <w:rPr>
              <w:rFonts w:cs="Times New Roman"/>
            </w:rPr>
            <w:fldChar w:fldCharType="separate"/>
          </w:r>
          <w:r>
            <w:rPr>
              <w:rFonts w:cs="Times New Roman"/>
            </w:rPr>
            <w:t>87</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"_Toc28859" </w:instrText>
          </w:r>
          <w:r>
            <w:fldChar w:fldCharType="separate"/>
          </w:r>
          <w:r>
            <w:rPr>
              <w:rFonts w:eastAsia="宋体" w:cs="Times New Roman"/>
              <w:spacing w:val="-1"/>
              <w:lang w:eastAsia="zh-CN"/>
            </w:rPr>
            <w:t>3.4.4 地下水质量变化情况</w:t>
          </w:r>
          <w:r>
            <w:rPr>
              <w:rFonts w:cs="Times New Roman"/>
            </w:rPr>
            <w:tab/>
          </w:r>
          <w:r>
            <w:rPr>
              <w:rFonts w:cs="Times New Roman"/>
            </w:rPr>
            <w:fldChar w:fldCharType="begin"/>
          </w:r>
          <w:r>
            <w:rPr>
              <w:rFonts w:cs="Times New Roman"/>
            </w:rPr>
            <w:instrText xml:space="preserve"> PAGEREF _Toc28859 </w:instrText>
          </w:r>
          <w:r>
            <w:rPr>
              <w:rFonts w:cs="Times New Roman"/>
            </w:rPr>
            <w:fldChar w:fldCharType="separate"/>
          </w:r>
          <w:r>
            <w:rPr>
              <w:rFonts w:cs="Times New Roman"/>
            </w:rPr>
            <w:t>88</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"_Toc10465" </w:instrText>
          </w:r>
          <w:r>
            <w:fldChar w:fldCharType="separate"/>
          </w:r>
          <w:r>
            <w:rPr>
              <w:rFonts w:cs="Times New Roman"/>
              <w:lang w:eastAsia="zh-CN"/>
            </w:rPr>
            <w:t>3.4.5</w:t>
          </w:r>
          <w:r>
            <w:rPr>
              <w:rFonts w:hint="eastAsia" w:ascii="宋体" w:hAnsi="宋体" w:eastAsia="宋体" w:cs="宋体"/>
              <w:lang w:eastAsia="zh-CN"/>
            </w:rPr>
            <w:t>土壤质量变化情况</w:t>
          </w:r>
          <w:r>
            <w:rPr>
              <w:rFonts w:cs="Times New Roman"/>
            </w:rPr>
            <w:tab/>
          </w:r>
          <w:r>
            <w:rPr>
              <w:rFonts w:cs="Times New Roman"/>
            </w:rPr>
            <w:fldChar w:fldCharType="begin"/>
          </w:r>
          <w:r>
            <w:rPr>
              <w:rFonts w:cs="Times New Roman"/>
            </w:rPr>
            <w:instrText xml:space="preserve"> PAGEREF _Toc10465 </w:instrText>
          </w:r>
          <w:r>
            <w:rPr>
              <w:rFonts w:cs="Times New Roman"/>
            </w:rPr>
            <w:fldChar w:fldCharType="separate"/>
          </w:r>
          <w:r>
            <w:rPr>
              <w:rFonts w:cs="Times New Roman"/>
            </w:rPr>
            <w:t>89</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"_Toc25422" </w:instrText>
          </w:r>
          <w:r>
            <w:fldChar w:fldCharType="separate"/>
          </w:r>
          <w:r>
            <w:rPr>
              <w:rFonts w:cs="Times New Roman"/>
            </w:rPr>
            <w:t>3.4.</w:t>
          </w:r>
          <w:r>
            <w:rPr>
              <w:rFonts w:cs="Times New Roman"/>
              <w:lang w:eastAsia="zh-CN"/>
            </w:rPr>
            <w:t>6</w:t>
          </w:r>
          <w:r>
            <w:rPr>
              <w:rFonts w:cs="Times New Roman"/>
            </w:rPr>
            <w:t xml:space="preserve"> </w:t>
          </w:r>
          <w:r>
            <w:rPr>
              <w:rFonts w:hint="eastAsia" w:ascii="宋体" w:hAnsi="宋体" w:eastAsia="宋体" w:cs="宋体"/>
            </w:rPr>
            <w:t>生态系统结构与功能变化趋势分析</w:t>
          </w:r>
          <w:r>
            <w:rPr>
              <w:rFonts w:cs="Times New Roman"/>
            </w:rPr>
            <w:tab/>
          </w:r>
          <w:r>
            <w:rPr>
              <w:rFonts w:cs="Times New Roman"/>
            </w:rPr>
            <w:fldChar w:fldCharType="begin"/>
          </w:r>
          <w:r>
            <w:rPr>
              <w:rFonts w:cs="Times New Roman"/>
            </w:rPr>
            <w:instrText xml:space="preserve"> PAGEREF _Toc25422 </w:instrText>
          </w:r>
          <w:r>
            <w:rPr>
              <w:rFonts w:cs="Times New Roman"/>
            </w:rPr>
            <w:fldChar w:fldCharType="separate"/>
          </w:r>
          <w:r>
            <w:rPr>
              <w:rFonts w:cs="Times New Roman"/>
            </w:rPr>
            <w:t>89</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"_Toc13595" </w:instrText>
          </w:r>
          <w:r>
            <w:fldChar w:fldCharType="separate"/>
          </w:r>
          <w:r>
            <w:rPr>
              <w:rFonts w:ascii="Times New Roman" w:hAnsi="Times New Roman" w:eastAsia="Arial" w:cs="Times New Roman"/>
              <w:lang w:eastAsia="zh-CN"/>
            </w:rPr>
            <w:t xml:space="preserve">3.5 </w:t>
          </w:r>
          <w:r>
            <w:rPr>
              <w:rFonts w:ascii="Times New Roman" w:hAnsi="Times New Roman" w:cs="Times New Roman"/>
              <w:spacing w:val="1"/>
              <w:lang w:eastAsia="zh-CN"/>
            </w:rPr>
            <w:t>资源环境承载力变化分析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_Toc13595 </w:instrText>
          </w:r>
          <w:r>
            <w:rPr>
              <w:rFonts w:ascii="Times New Roman" w:hAnsi="Times New Roman" w:cs="Times New Roman"/>
            </w:rPr>
            <w:fldChar w:fldCharType="separate"/>
          </w:r>
          <w:r>
            <w:rPr>
              <w:rFonts w:ascii="Times New Roman" w:hAnsi="Times New Roman" w:cs="Times New Roman"/>
            </w:rPr>
            <w:t>90</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"_Toc32615" </w:instrText>
          </w:r>
          <w:r>
            <w:fldChar w:fldCharType="separate"/>
          </w:r>
          <w:r>
            <w:rPr>
              <w:rFonts w:cs="Times New Roman"/>
            </w:rPr>
            <w:t xml:space="preserve">3.5.1 </w:t>
          </w:r>
          <w:r>
            <w:rPr>
              <w:rFonts w:hint="eastAsia" w:ascii="宋体" w:hAnsi="宋体" w:eastAsia="宋体" w:cs="宋体"/>
            </w:rPr>
            <w:t>土地资源承载力跟踪评价</w:t>
          </w:r>
          <w:r>
            <w:rPr>
              <w:rFonts w:cs="Times New Roman"/>
            </w:rPr>
            <w:tab/>
          </w:r>
          <w:r>
            <w:rPr>
              <w:rFonts w:cs="Times New Roman"/>
            </w:rPr>
            <w:fldChar w:fldCharType="begin"/>
          </w:r>
          <w:r>
            <w:rPr>
              <w:rFonts w:cs="Times New Roman"/>
            </w:rPr>
            <w:instrText xml:space="preserve"> PAGEREF _Toc32615 </w:instrText>
          </w:r>
          <w:r>
            <w:rPr>
              <w:rFonts w:cs="Times New Roman"/>
            </w:rPr>
            <w:fldChar w:fldCharType="separate"/>
          </w:r>
          <w:r>
            <w:rPr>
              <w:rFonts w:cs="Times New Roman"/>
            </w:rPr>
            <w:t>90</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"_Toc22679" </w:instrText>
          </w:r>
          <w:r>
            <w:fldChar w:fldCharType="separate"/>
          </w:r>
          <w:r>
            <w:rPr>
              <w:rFonts w:cs="Times New Roman"/>
            </w:rPr>
            <w:t xml:space="preserve">3.5.2 </w:t>
          </w:r>
          <w:r>
            <w:rPr>
              <w:rFonts w:hint="eastAsia" w:ascii="宋体" w:hAnsi="宋体" w:eastAsia="宋体" w:cs="宋体"/>
            </w:rPr>
            <w:t>水</w:t>
          </w:r>
          <w:r>
            <w:rPr>
              <w:rFonts w:hint="eastAsia" w:ascii="宋体" w:hAnsi="宋体" w:eastAsia="宋体" w:cs="宋体"/>
              <w:lang w:eastAsia="zh-CN"/>
            </w:rPr>
            <w:t>环境容量及</w:t>
          </w:r>
          <w:r>
            <w:rPr>
              <w:rFonts w:hint="eastAsia" w:ascii="宋体" w:hAnsi="宋体" w:eastAsia="宋体" w:cs="宋体"/>
            </w:rPr>
            <w:t>资源承载力跟踪评价</w:t>
          </w:r>
          <w:r>
            <w:rPr>
              <w:rFonts w:cs="Times New Roman"/>
            </w:rPr>
            <w:tab/>
          </w:r>
          <w:r>
            <w:rPr>
              <w:rFonts w:cs="Times New Roman"/>
            </w:rPr>
            <w:fldChar w:fldCharType="begin"/>
          </w:r>
          <w:r>
            <w:rPr>
              <w:rFonts w:cs="Times New Roman"/>
            </w:rPr>
            <w:instrText xml:space="preserve"> PAGEREF _Toc22679 </w:instrText>
          </w:r>
          <w:r>
            <w:rPr>
              <w:rFonts w:cs="Times New Roman"/>
            </w:rPr>
            <w:fldChar w:fldCharType="separate"/>
          </w:r>
          <w:r>
            <w:rPr>
              <w:rFonts w:cs="Times New Roman"/>
            </w:rPr>
            <w:t>90</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"_Toc32571" </w:instrText>
          </w:r>
          <w:r>
            <w:fldChar w:fldCharType="separate"/>
          </w:r>
          <w:r>
            <w:rPr>
              <w:rFonts w:cs="Times New Roman"/>
            </w:rPr>
            <w:t xml:space="preserve">3.5.3 </w:t>
          </w:r>
          <w:r>
            <w:rPr>
              <w:rFonts w:hint="eastAsia" w:ascii="宋体" w:hAnsi="宋体" w:eastAsia="宋体" w:cs="宋体"/>
            </w:rPr>
            <w:t>大气环境容量及承载力跟踪评价</w:t>
          </w:r>
          <w:r>
            <w:rPr>
              <w:rFonts w:cs="Times New Roman"/>
            </w:rPr>
            <w:tab/>
          </w:r>
          <w:r>
            <w:rPr>
              <w:rFonts w:cs="Times New Roman"/>
            </w:rPr>
            <w:fldChar w:fldCharType="begin"/>
          </w:r>
          <w:r>
            <w:rPr>
              <w:rFonts w:cs="Times New Roman"/>
            </w:rPr>
            <w:instrText xml:space="preserve"> PAGEREF _Toc32571 </w:instrText>
          </w:r>
          <w:r>
            <w:rPr>
              <w:rFonts w:cs="Times New Roman"/>
            </w:rPr>
            <w:fldChar w:fldCharType="separate"/>
          </w:r>
          <w:r>
            <w:rPr>
              <w:rFonts w:cs="Times New Roman"/>
            </w:rPr>
            <w:t>97</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"_Toc9571" </w:instrText>
          </w:r>
          <w:r>
            <w:fldChar w:fldCharType="separate"/>
          </w:r>
          <w:r>
            <w:rPr>
              <w:rFonts w:cs="Times New Roman"/>
            </w:rPr>
            <w:t>3.5.</w:t>
          </w:r>
          <w:r>
            <w:rPr>
              <w:rFonts w:cs="Times New Roman"/>
              <w:lang w:eastAsia="zh-CN"/>
            </w:rPr>
            <w:t>5</w:t>
          </w:r>
          <w:r>
            <w:rPr>
              <w:rFonts w:cs="Times New Roman"/>
            </w:rPr>
            <w:t xml:space="preserve"> </w:t>
          </w:r>
          <w:r>
            <w:rPr>
              <w:rFonts w:hint="eastAsia" w:ascii="宋体" w:hAnsi="宋体" w:eastAsia="宋体" w:cs="宋体"/>
            </w:rPr>
            <w:t>区域资源环境承载力跟踪评价</w:t>
          </w:r>
          <w:r>
            <w:rPr>
              <w:rFonts w:cs="Times New Roman"/>
            </w:rPr>
            <w:tab/>
          </w:r>
          <w:r>
            <w:rPr>
              <w:rFonts w:cs="Times New Roman"/>
            </w:rPr>
            <w:fldChar w:fldCharType="begin"/>
          </w:r>
          <w:r>
            <w:rPr>
              <w:rFonts w:cs="Times New Roman"/>
            </w:rPr>
            <w:instrText xml:space="preserve"> PAGEREF _Toc9571 </w:instrText>
          </w:r>
          <w:r>
            <w:rPr>
              <w:rFonts w:cs="Times New Roman"/>
            </w:rPr>
            <w:fldChar w:fldCharType="separate"/>
          </w:r>
          <w:r>
            <w:rPr>
              <w:rFonts w:cs="Times New Roman"/>
            </w:rPr>
            <w:t>104</w:t>
          </w:r>
          <w:r>
            <w:rPr>
              <w:rFonts w:cs="Times New Roman"/>
            </w:rPr>
            <w:fldChar w:fldCharType="end"/>
          </w:r>
          <w:r>
            <w:rPr>
              <w:rFonts w:cs="Times New Roman"/>
            </w:rPr>
            <w:fldChar w:fldCharType="end"/>
          </w:r>
        </w:p>
        <w:p>
          <w:pPr>
            <w:pStyle w:val="42"/>
            <w:tabs>
              <w:tab w:val="right" w:leader="dot" w:pos="9070"/>
            </w:tabs>
            <w:ind w:firstLine="420"/>
            <w:rPr>
              <w:rFonts w:ascii="Times New Roman" w:hAnsi="Times New Roman" w:cs="Times New Roman"/>
              <w:b/>
              <w:bCs/>
              <w:lang w:eastAsia="zh-CN"/>
            </w:rPr>
          </w:pPr>
          <w:r>
            <w:fldChar w:fldCharType="begin"/>
          </w:r>
          <w:r>
            <w:instrText xml:space="preserve"> HYPERLINK \l "_Toc4771" </w:instrText>
          </w:r>
          <w:r>
            <w:fldChar w:fldCharType="separate"/>
          </w:r>
          <w:r>
            <w:rPr>
              <w:rFonts w:ascii="Times New Roman" w:hAnsi="Times New Roman" w:cs="Times New Roman"/>
              <w:b/>
              <w:bCs/>
              <w:lang w:eastAsia="zh-CN"/>
            </w:rPr>
            <w:t>4 公众意见调查</w:t>
          </w:r>
          <w:r>
            <w:rPr>
              <w:rFonts w:ascii="Times New Roman" w:hAnsi="Times New Roman" w:cs="Times New Roman"/>
              <w:b/>
              <w:bCs/>
              <w:lang w:eastAsia="zh-CN"/>
            </w:rPr>
            <w:tab/>
          </w:r>
          <w:r>
            <w:rPr>
              <w:rFonts w:ascii="Times New Roman" w:hAnsi="Times New Roman" w:cs="Times New Roman"/>
              <w:b/>
              <w:bCs/>
              <w:lang w:eastAsia="zh-CN"/>
            </w:rPr>
            <w:fldChar w:fldCharType="begin"/>
          </w:r>
          <w:r>
            <w:rPr>
              <w:rFonts w:ascii="Times New Roman" w:hAnsi="Times New Roman" w:cs="Times New Roman"/>
              <w:b/>
              <w:bCs/>
              <w:lang w:eastAsia="zh-CN"/>
            </w:rPr>
            <w:instrText xml:space="preserve"> PAGEREF _Toc4771 </w:instrText>
          </w:r>
          <w:r>
            <w:rPr>
              <w:rFonts w:ascii="Times New Roman" w:hAnsi="Times New Roman" w:cs="Times New Roman"/>
              <w:b/>
              <w:bCs/>
              <w:lang w:eastAsia="zh-CN"/>
            </w:rPr>
            <w:fldChar w:fldCharType="separate"/>
          </w:r>
          <w:r>
            <w:rPr>
              <w:rFonts w:ascii="Times New Roman" w:hAnsi="Times New Roman" w:cs="Times New Roman"/>
              <w:b/>
              <w:bCs/>
              <w:lang w:eastAsia="zh-CN"/>
            </w:rPr>
            <w:t>105</w:t>
          </w:r>
          <w:r>
            <w:rPr>
              <w:rFonts w:ascii="Times New Roman" w:hAnsi="Times New Roman" w:cs="Times New Roman"/>
              <w:b/>
              <w:bCs/>
              <w:lang w:eastAsia="zh-CN"/>
            </w:rPr>
            <w:fldChar w:fldCharType="end"/>
          </w:r>
          <w:r>
            <w:rPr>
              <w:rFonts w:ascii="Times New Roman" w:hAnsi="Times New Roman" w:cs="Times New Roman"/>
              <w:b/>
              <w:bCs/>
              <w:lang w:eastAsia="zh-C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"_Toc25068" </w:instrText>
          </w:r>
          <w:r>
            <w:fldChar w:fldCharType="separate"/>
          </w:r>
          <w:r>
            <w:rPr>
              <w:rFonts w:ascii="Times New Roman" w:hAnsi="Times New Roman" w:eastAsia="Times New Roman" w:cs="Times New Roman"/>
              <w:lang w:eastAsia="zh-CN"/>
            </w:rPr>
            <w:t xml:space="preserve">4.1 </w:t>
          </w:r>
          <w:r>
            <w:rPr>
              <w:rFonts w:ascii="Times New Roman" w:hAnsi="Times New Roman" w:cs="Times New Roman"/>
              <w:spacing w:val="3"/>
              <w:lang w:eastAsia="zh-CN"/>
            </w:rPr>
            <w:t>公</w:t>
          </w:r>
          <w:r>
            <w:rPr>
              <w:rFonts w:ascii="Times New Roman" w:hAnsi="Times New Roman" w:cs="Times New Roman"/>
              <w:lang w:eastAsia="zh-CN"/>
            </w:rPr>
            <w:t>众意</w:t>
          </w:r>
          <w:r>
            <w:rPr>
              <w:rFonts w:ascii="Times New Roman" w:hAnsi="Times New Roman" w:cs="Times New Roman"/>
              <w:spacing w:val="3"/>
              <w:lang w:eastAsia="zh-CN"/>
            </w:rPr>
            <w:t>见</w:t>
          </w:r>
          <w:r>
            <w:rPr>
              <w:rFonts w:ascii="Times New Roman" w:hAnsi="Times New Roman" w:cs="Times New Roman"/>
              <w:lang w:eastAsia="zh-CN"/>
            </w:rPr>
            <w:t>调</w:t>
          </w:r>
          <w:r>
            <w:rPr>
              <w:rFonts w:ascii="Times New Roman" w:hAnsi="Times New Roman" w:cs="Times New Roman"/>
              <w:spacing w:val="2"/>
              <w:lang w:eastAsia="zh-CN"/>
            </w:rPr>
            <w:t>查</w:t>
          </w:r>
          <w:r>
            <w:rPr>
              <w:rFonts w:ascii="Times New Roman" w:hAnsi="Times New Roman" w:cs="Times New Roman"/>
              <w:spacing w:val="4"/>
              <w:lang w:eastAsia="zh-CN"/>
            </w:rPr>
            <w:t>目的</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_Toc25068 </w:instrText>
          </w:r>
          <w:r>
            <w:rPr>
              <w:rFonts w:ascii="Times New Roman" w:hAnsi="Times New Roman" w:cs="Times New Roman"/>
            </w:rPr>
            <w:fldChar w:fldCharType="separate"/>
          </w:r>
          <w:r>
            <w:rPr>
              <w:rFonts w:ascii="Times New Roman" w:hAnsi="Times New Roman" w:cs="Times New Roman"/>
            </w:rPr>
            <w:t>105</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"_Toc19557" </w:instrText>
          </w:r>
          <w:r>
            <w:fldChar w:fldCharType="separate"/>
          </w:r>
          <w:r>
            <w:rPr>
              <w:rFonts w:ascii="Times New Roman" w:hAnsi="Times New Roman" w:eastAsia="Times New Roman" w:cs="Times New Roman"/>
              <w:lang w:eastAsia="zh-CN"/>
            </w:rPr>
            <w:t xml:space="preserve">4.2 </w:t>
          </w:r>
          <w:r>
            <w:rPr>
              <w:rFonts w:ascii="Times New Roman" w:hAnsi="Times New Roman" w:cs="Times New Roman"/>
              <w:spacing w:val="4"/>
              <w:lang w:eastAsia="zh-CN"/>
            </w:rPr>
            <w:t>首</w:t>
          </w:r>
          <w:r>
            <w:rPr>
              <w:rFonts w:ascii="Times New Roman" w:hAnsi="Times New Roman" w:cs="Times New Roman"/>
              <w:lang w:eastAsia="zh-CN"/>
            </w:rPr>
            <w:t>次公</w:t>
          </w:r>
          <w:r>
            <w:rPr>
              <w:rFonts w:ascii="Times New Roman" w:hAnsi="Times New Roman" w:cs="Times New Roman"/>
              <w:spacing w:val="3"/>
              <w:lang w:eastAsia="zh-CN"/>
            </w:rPr>
            <w:t>众</w:t>
          </w:r>
          <w:r>
            <w:rPr>
              <w:rFonts w:ascii="Times New Roman" w:hAnsi="Times New Roman" w:cs="Times New Roman"/>
              <w:lang w:eastAsia="zh-CN"/>
            </w:rPr>
            <w:t>参</w:t>
          </w:r>
          <w:r>
            <w:rPr>
              <w:rFonts w:ascii="Times New Roman" w:hAnsi="Times New Roman" w:cs="Times New Roman"/>
              <w:spacing w:val="1"/>
              <w:lang w:eastAsia="zh-CN"/>
            </w:rPr>
            <w:t>与</w:t>
          </w:r>
          <w:r>
            <w:rPr>
              <w:rFonts w:ascii="Times New Roman" w:hAnsi="Times New Roman" w:cs="Times New Roman"/>
              <w:spacing w:val="4"/>
              <w:lang w:eastAsia="zh-CN"/>
            </w:rPr>
            <w:t>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_Toc19557 </w:instrText>
          </w:r>
          <w:r>
            <w:rPr>
              <w:rFonts w:ascii="Times New Roman" w:hAnsi="Times New Roman" w:cs="Times New Roman"/>
            </w:rPr>
            <w:fldChar w:fldCharType="separate"/>
          </w:r>
          <w:r>
            <w:rPr>
              <w:rFonts w:ascii="Times New Roman" w:hAnsi="Times New Roman" w:cs="Times New Roman"/>
            </w:rPr>
            <w:t>105</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"_Toc27561" </w:instrText>
          </w:r>
          <w:r>
            <w:fldChar w:fldCharType="separate"/>
          </w:r>
          <w:r>
            <w:rPr>
              <w:rFonts w:ascii="Times New Roman" w:hAnsi="Times New Roman" w:eastAsia="Times New Roman" w:cs="Times New Roman"/>
              <w:lang w:eastAsia="zh-CN"/>
            </w:rPr>
            <w:t xml:space="preserve">4.3 </w:t>
          </w:r>
          <w:r>
            <w:rPr>
              <w:rFonts w:ascii="Times New Roman" w:hAnsi="Times New Roman" w:cs="Times New Roman"/>
              <w:lang w:eastAsia="zh-CN"/>
            </w:rPr>
            <w:t>征求意见稿公众参与情况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_Toc27561 </w:instrText>
          </w:r>
          <w:r>
            <w:rPr>
              <w:rFonts w:ascii="Times New Roman" w:hAnsi="Times New Roman" w:cs="Times New Roman"/>
            </w:rPr>
            <w:fldChar w:fldCharType="separate"/>
          </w:r>
          <w:r>
            <w:rPr>
              <w:rFonts w:ascii="Times New Roman" w:hAnsi="Times New Roman" w:cs="Times New Roman"/>
            </w:rPr>
            <w:t>106</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"_Toc31428" </w:instrText>
          </w:r>
          <w:r>
            <w:fldChar w:fldCharType="separate"/>
          </w:r>
          <w:r>
            <w:rPr>
              <w:rFonts w:ascii="Times New Roman" w:hAnsi="Times New Roman" w:cs="Times New Roman"/>
              <w:lang w:eastAsia="zh-CN"/>
            </w:rPr>
            <w:t>4.4 相关部门及专家意见收集情况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_Toc31428 </w:instrText>
          </w:r>
          <w:r>
            <w:rPr>
              <w:rFonts w:ascii="Times New Roman" w:hAnsi="Times New Roman" w:cs="Times New Roman"/>
            </w:rPr>
            <w:fldChar w:fldCharType="separate"/>
          </w:r>
          <w:r>
            <w:rPr>
              <w:rFonts w:ascii="Times New Roman" w:hAnsi="Times New Roman" w:cs="Times New Roman"/>
            </w:rPr>
            <w:t>111</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"_Toc11244" </w:instrText>
          </w:r>
          <w:r>
            <w:fldChar w:fldCharType="separate"/>
          </w:r>
          <w:r>
            <w:rPr>
              <w:rFonts w:ascii="Times New Roman" w:hAnsi="Times New Roman" w:eastAsia="Arial" w:cs="Times New Roman"/>
              <w:lang w:eastAsia="zh-CN"/>
            </w:rPr>
            <w:t xml:space="preserve">4.5 </w:t>
          </w:r>
          <w:r>
            <w:rPr>
              <w:rFonts w:ascii="Times New Roman" w:hAnsi="Times New Roman" w:cs="Times New Roman"/>
              <w:spacing w:val="1"/>
              <w:lang w:eastAsia="zh-CN"/>
            </w:rPr>
            <w:t>规划实施以来的公众投诉意见</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_Toc11244 </w:instrText>
          </w:r>
          <w:r>
            <w:rPr>
              <w:rFonts w:ascii="Times New Roman" w:hAnsi="Times New Roman" w:cs="Times New Roman"/>
            </w:rPr>
            <w:fldChar w:fldCharType="separate"/>
          </w:r>
          <w:r>
            <w:rPr>
              <w:rFonts w:ascii="Times New Roman" w:hAnsi="Times New Roman" w:cs="Times New Roman"/>
            </w:rPr>
            <w:t>111</w:t>
          </w:r>
          <w:r>
            <w:rPr>
              <w:rFonts w:ascii="Times New Roman" w:hAnsi="Times New Roman" w:cs="Times New Roman"/>
            </w:rPr>
            <w:fldChar w:fldCharType="end"/>
          </w:r>
          <w:r>
            <w:rPr>
              <w:rFonts w:ascii="Times New Roman" w:hAnsi="Times New Roman" w:cs="Times New Roman"/>
            </w:rPr>
            <w:fldChar w:fldCharType="end"/>
          </w:r>
        </w:p>
        <w:p>
          <w:pPr>
            <w:pStyle w:val="42"/>
            <w:tabs>
              <w:tab w:val="right" w:leader="dot" w:pos="9070"/>
            </w:tabs>
            <w:ind w:firstLine="420"/>
            <w:rPr>
              <w:rFonts w:ascii="Times New Roman" w:hAnsi="Times New Roman" w:cs="Times New Roman"/>
              <w:b/>
              <w:bCs/>
              <w:lang w:eastAsia="zh-CN"/>
            </w:rPr>
          </w:pPr>
          <w:r>
            <w:fldChar w:fldCharType="begin"/>
          </w:r>
          <w:r>
            <w:instrText xml:space="preserve"> HYPERLINK \l "_Toc19833" </w:instrText>
          </w:r>
          <w:r>
            <w:fldChar w:fldCharType="separate"/>
          </w:r>
          <w:r>
            <w:rPr>
              <w:rFonts w:ascii="Times New Roman" w:hAnsi="Times New Roman" w:cs="Times New Roman"/>
              <w:b/>
              <w:bCs/>
              <w:lang w:eastAsia="zh-CN"/>
            </w:rPr>
            <w:t>5 环境影响对比评估及对策措施有效性分析</w:t>
          </w:r>
          <w:r>
            <w:rPr>
              <w:rFonts w:ascii="Times New Roman" w:hAnsi="Times New Roman" w:cs="Times New Roman"/>
              <w:b/>
              <w:bCs/>
              <w:lang w:eastAsia="zh-CN"/>
            </w:rPr>
            <w:tab/>
          </w:r>
          <w:r>
            <w:rPr>
              <w:rFonts w:ascii="Times New Roman" w:hAnsi="Times New Roman" w:cs="Times New Roman"/>
              <w:b/>
              <w:bCs/>
              <w:lang w:eastAsia="zh-CN"/>
            </w:rPr>
            <w:fldChar w:fldCharType="begin"/>
          </w:r>
          <w:r>
            <w:rPr>
              <w:rFonts w:ascii="Times New Roman" w:hAnsi="Times New Roman" w:cs="Times New Roman"/>
              <w:b/>
              <w:bCs/>
              <w:lang w:eastAsia="zh-CN"/>
            </w:rPr>
            <w:instrText xml:space="preserve"> PAGEREF _Toc19833 </w:instrText>
          </w:r>
          <w:r>
            <w:rPr>
              <w:rFonts w:ascii="Times New Roman" w:hAnsi="Times New Roman" w:cs="Times New Roman"/>
              <w:b/>
              <w:bCs/>
              <w:lang w:eastAsia="zh-CN"/>
            </w:rPr>
            <w:fldChar w:fldCharType="separate"/>
          </w:r>
          <w:r>
            <w:rPr>
              <w:rFonts w:ascii="Times New Roman" w:hAnsi="Times New Roman" w:cs="Times New Roman"/>
              <w:b/>
              <w:bCs/>
              <w:lang w:eastAsia="zh-CN"/>
            </w:rPr>
            <w:t>112</w:t>
          </w:r>
          <w:r>
            <w:rPr>
              <w:rFonts w:ascii="Times New Roman" w:hAnsi="Times New Roman" w:cs="Times New Roman"/>
              <w:b/>
              <w:bCs/>
              <w:lang w:eastAsia="zh-CN"/>
            </w:rPr>
            <w:fldChar w:fldCharType="end"/>
          </w:r>
          <w:r>
            <w:rPr>
              <w:rFonts w:ascii="Times New Roman" w:hAnsi="Times New Roman" w:cs="Times New Roman"/>
              <w:b/>
              <w:bCs/>
              <w:lang w:eastAsia="zh-C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"_Toc6263" </w:instrText>
          </w:r>
          <w:r>
            <w:fldChar w:fldCharType="separate"/>
          </w:r>
          <w:r>
            <w:rPr>
              <w:rFonts w:ascii="Times New Roman" w:hAnsi="Times New Roman" w:eastAsia="Arial" w:cs="Times New Roman"/>
              <w:lang w:eastAsia="zh-CN"/>
            </w:rPr>
            <w:t xml:space="preserve">5.1 </w:t>
          </w:r>
          <w:r>
            <w:rPr>
              <w:rFonts w:hint="eastAsia" w:cs="宋体"/>
              <w:lang w:eastAsia="zh-CN"/>
            </w:rPr>
            <w:t>规划已实施部分环境影响对比评估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_Toc6263 </w:instrText>
          </w:r>
          <w:r>
            <w:rPr>
              <w:rFonts w:ascii="Times New Roman" w:hAnsi="Times New Roman" w:cs="Times New Roman"/>
            </w:rPr>
            <w:fldChar w:fldCharType="separate"/>
          </w:r>
          <w:r>
            <w:rPr>
              <w:rFonts w:ascii="Times New Roman" w:hAnsi="Times New Roman" w:cs="Times New Roman"/>
            </w:rPr>
            <w:t>112</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"_Toc31872" </w:instrText>
          </w:r>
          <w:r>
            <w:fldChar w:fldCharType="separate"/>
          </w:r>
          <w:r>
            <w:rPr>
              <w:rFonts w:cs="Times New Roman"/>
            </w:rPr>
            <w:t xml:space="preserve">5.1.1 </w:t>
          </w:r>
          <w:r>
            <w:rPr>
              <w:rFonts w:hint="eastAsia" w:ascii="宋体" w:hAnsi="宋体" w:eastAsia="宋体" w:cs="宋体"/>
            </w:rPr>
            <w:t>大气环境影响对比评估</w:t>
          </w:r>
          <w:r>
            <w:rPr>
              <w:rFonts w:cs="Times New Roman"/>
            </w:rPr>
            <w:tab/>
          </w:r>
          <w:r>
            <w:rPr>
              <w:rFonts w:cs="Times New Roman"/>
            </w:rPr>
            <w:fldChar w:fldCharType="begin"/>
          </w:r>
          <w:r>
            <w:rPr>
              <w:rFonts w:cs="Times New Roman"/>
            </w:rPr>
            <w:instrText xml:space="preserve"> PAGEREF _Toc31872 </w:instrText>
          </w:r>
          <w:r>
            <w:rPr>
              <w:rFonts w:cs="Times New Roman"/>
            </w:rPr>
            <w:fldChar w:fldCharType="separate"/>
          </w:r>
          <w:r>
            <w:rPr>
              <w:rFonts w:cs="Times New Roman"/>
            </w:rPr>
            <w:t>112</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"_Toc17802" </w:instrText>
          </w:r>
          <w:r>
            <w:fldChar w:fldCharType="separate"/>
          </w:r>
          <w:r>
            <w:rPr>
              <w:rFonts w:cs="Times New Roman"/>
              <w:spacing w:val="-1"/>
            </w:rPr>
            <w:t xml:space="preserve">5.1.2 </w:t>
          </w:r>
          <w:r>
            <w:rPr>
              <w:rFonts w:eastAsia="宋体" w:cs="Times New Roman"/>
              <w:spacing w:val="-1"/>
            </w:rPr>
            <w:t>地表水环境影响对比评估</w:t>
          </w:r>
          <w:r>
            <w:rPr>
              <w:rFonts w:cs="Times New Roman"/>
            </w:rPr>
            <w:tab/>
          </w:r>
          <w:r>
            <w:rPr>
              <w:rFonts w:cs="Times New Roman"/>
            </w:rPr>
            <w:fldChar w:fldCharType="begin"/>
          </w:r>
          <w:r>
            <w:rPr>
              <w:rFonts w:cs="Times New Roman"/>
            </w:rPr>
            <w:instrText xml:space="preserve"> PAGEREF _Toc17802 </w:instrText>
          </w:r>
          <w:r>
            <w:rPr>
              <w:rFonts w:cs="Times New Roman"/>
            </w:rPr>
            <w:fldChar w:fldCharType="separate"/>
          </w:r>
          <w:r>
            <w:rPr>
              <w:rFonts w:cs="Times New Roman"/>
            </w:rPr>
            <w:t>112</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"_Toc32363" </w:instrText>
          </w:r>
          <w:r>
            <w:fldChar w:fldCharType="separate"/>
          </w:r>
          <w:r>
            <w:rPr>
              <w:rFonts w:cs="Times New Roman"/>
            </w:rPr>
            <w:t xml:space="preserve">5.1.3 </w:t>
          </w:r>
          <w:r>
            <w:rPr>
              <w:rFonts w:hint="eastAsia" w:ascii="宋体" w:hAnsi="宋体" w:eastAsia="宋体" w:cs="宋体"/>
            </w:rPr>
            <w:t>声环境影响对比评估</w:t>
          </w:r>
          <w:r>
            <w:rPr>
              <w:rFonts w:cs="Times New Roman"/>
            </w:rPr>
            <w:tab/>
          </w:r>
          <w:r>
            <w:rPr>
              <w:rFonts w:cs="Times New Roman"/>
            </w:rPr>
            <w:fldChar w:fldCharType="begin"/>
          </w:r>
          <w:r>
            <w:rPr>
              <w:rFonts w:cs="Times New Roman"/>
            </w:rPr>
            <w:instrText xml:space="preserve"> PAGEREF _Toc32363 </w:instrText>
          </w:r>
          <w:r>
            <w:rPr>
              <w:rFonts w:cs="Times New Roman"/>
            </w:rPr>
            <w:fldChar w:fldCharType="separate"/>
          </w:r>
          <w:r>
            <w:rPr>
              <w:rFonts w:cs="Times New Roman"/>
            </w:rPr>
            <w:t>113</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"_Toc32128" </w:instrText>
          </w:r>
          <w:r>
            <w:fldChar w:fldCharType="separate"/>
          </w:r>
          <w:r>
            <w:rPr>
              <w:rFonts w:cs="Times New Roman"/>
            </w:rPr>
            <w:t xml:space="preserve">5.1.4 </w:t>
          </w:r>
          <w:r>
            <w:rPr>
              <w:rFonts w:hint="eastAsia" w:ascii="宋体" w:hAnsi="宋体" w:eastAsia="宋体" w:cs="宋体"/>
            </w:rPr>
            <w:t>固体废物影响对比评估</w:t>
          </w:r>
          <w:r>
            <w:rPr>
              <w:rFonts w:cs="Times New Roman"/>
            </w:rPr>
            <w:tab/>
          </w:r>
          <w:r>
            <w:rPr>
              <w:rFonts w:cs="Times New Roman"/>
            </w:rPr>
            <w:fldChar w:fldCharType="begin"/>
          </w:r>
          <w:r>
            <w:rPr>
              <w:rFonts w:cs="Times New Roman"/>
            </w:rPr>
            <w:instrText xml:space="preserve"> PAGEREF _Toc32128 </w:instrText>
          </w:r>
          <w:r>
            <w:rPr>
              <w:rFonts w:cs="Times New Roman"/>
            </w:rPr>
            <w:fldChar w:fldCharType="separate"/>
          </w:r>
          <w:r>
            <w:rPr>
              <w:rFonts w:cs="Times New Roman"/>
            </w:rPr>
            <w:t>113</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"_Toc12854" </w:instrText>
          </w:r>
          <w:r>
            <w:fldChar w:fldCharType="separate"/>
          </w:r>
          <w:r>
            <w:rPr>
              <w:rFonts w:ascii="Times New Roman" w:hAnsi="Times New Roman" w:cs="Times New Roman"/>
              <w:lang w:eastAsia="zh-CN"/>
            </w:rPr>
            <w:t>5.2 环保措施有效性分析及整改建议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_Toc12854 </w:instrText>
          </w:r>
          <w:r>
            <w:rPr>
              <w:rFonts w:ascii="Times New Roman" w:hAnsi="Times New Roman" w:cs="Times New Roman"/>
            </w:rPr>
            <w:fldChar w:fldCharType="separate"/>
          </w:r>
          <w:r>
            <w:rPr>
              <w:rFonts w:ascii="Times New Roman" w:hAnsi="Times New Roman" w:cs="Times New Roman"/>
            </w:rPr>
            <w:t>114</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"_Toc16058" </w:instrText>
          </w:r>
          <w:r>
            <w:fldChar w:fldCharType="separate"/>
          </w:r>
          <w:r>
            <w:rPr>
              <w:rFonts w:cs="Times New Roman"/>
            </w:rPr>
            <w:t xml:space="preserve">5.2.1 </w:t>
          </w:r>
          <w:r>
            <w:rPr>
              <w:rFonts w:hint="eastAsia" w:ascii="宋体" w:hAnsi="宋体" w:eastAsia="宋体" w:cs="宋体"/>
            </w:rPr>
            <w:t>大气环境影响减缓措施有效性分析及整改建议</w:t>
          </w:r>
          <w:r>
            <w:rPr>
              <w:rFonts w:cs="Times New Roman"/>
            </w:rPr>
            <w:tab/>
          </w:r>
          <w:r>
            <w:rPr>
              <w:rFonts w:cs="Times New Roman"/>
            </w:rPr>
            <w:fldChar w:fldCharType="begin"/>
          </w:r>
          <w:r>
            <w:rPr>
              <w:rFonts w:cs="Times New Roman"/>
            </w:rPr>
            <w:instrText xml:space="preserve"> PAGEREF _Toc16058 </w:instrText>
          </w:r>
          <w:r>
            <w:rPr>
              <w:rFonts w:cs="Times New Roman"/>
            </w:rPr>
            <w:fldChar w:fldCharType="separate"/>
          </w:r>
          <w:r>
            <w:rPr>
              <w:rFonts w:cs="Times New Roman"/>
            </w:rPr>
            <w:t>114</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"_Toc32469" </w:instrText>
          </w:r>
          <w:r>
            <w:fldChar w:fldCharType="separate"/>
          </w:r>
          <w:r>
            <w:rPr>
              <w:rFonts w:cs="Times New Roman"/>
            </w:rPr>
            <w:t xml:space="preserve">5.2.2 </w:t>
          </w:r>
          <w:r>
            <w:rPr>
              <w:rFonts w:hint="eastAsia" w:ascii="宋体" w:hAnsi="宋体" w:eastAsia="宋体" w:cs="宋体"/>
            </w:rPr>
            <w:t>水环境影响减缓措施有效性分析及整改建议</w:t>
          </w:r>
          <w:r>
            <w:rPr>
              <w:rFonts w:cs="Times New Roman"/>
            </w:rPr>
            <w:tab/>
          </w:r>
          <w:r>
            <w:rPr>
              <w:rFonts w:cs="Times New Roman"/>
            </w:rPr>
            <w:fldChar w:fldCharType="begin"/>
          </w:r>
          <w:r>
            <w:rPr>
              <w:rFonts w:cs="Times New Roman"/>
            </w:rPr>
            <w:instrText xml:space="preserve"> PAGEREF _Toc32469 </w:instrText>
          </w:r>
          <w:r>
            <w:rPr>
              <w:rFonts w:cs="Times New Roman"/>
            </w:rPr>
            <w:fldChar w:fldCharType="separate"/>
          </w:r>
          <w:r>
            <w:rPr>
              <w:rFonts w:cs="Times New Roman"/>
            </w:rPr>
            <w:t>119</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"_Toc18305" </w:instrText>
          </w:r>
          <w:r>
            <w:fldChar w:fldCharType="separate"/>
          </w:r>
          <w:r>
            <w:rPr>
              <w:rFonts w:cs="Times New Roman"/>
            </w:rPr>
            <w:t xml:space="preserve">5.2.3 </w:t>
          </w:r>
          <w:r>
            <w:rPr>
              <w:rFonts w:hint="eastAsia" w:ascii="宋体" w:hAnsi="宋体" w:eastAsia="宋体" w:cs="宋体"/>
            </w:rPr>
            <w:t>声环境影响减缓措施有效性分析及建议</w:t>
          </w:r>
          <w:r>
            <w:rPr>
              <w:rFonts w:cs="Times New Roman"/>
            </w:rPr>
            <w:tab/>
          </w:r>
          <w:r>
            <w:rPr>
              <w:rFonts w:cs="Times New Roman"/>
            </w:rPr>
            <w:fldChar w:fldCharType="begin"/>
          </w:r>
          <w:r>
            <w:rPr>
              <w:rFonts w:cs="Times New Roman"/>
            </w:rPr>
            <w:instrText xml:space="preserve"> PAGEREF _Toc18305 </w:instrText>
          </w:r>
          <w:r>
            <w:rPr>
              <w:rFonts w:cs="Times New Roman"/>
            </w:rPr>
            <w:fldChar w:fldCharType="separate"/>
          </w:r>
          <w:r>
            <w:rPr>
              <w:rFonts w:cs="Times New Roman"/>
            </w:rPr>
            <w:t>119</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"_Toc25778" </w:instrText>
          </w:r>
          <w:r>
            <w:fldChar w:fldCharType="separate"/>
          </w:r>
          <w:r>
            <w:rPr>
              <w:rFonts w:cs="Times New Roman"/>
            </w:rPr>
            <w:t xml:space="preserve">5.2.4 </w:t>
          </w:r>
          <w:r>
            <w:rPr>
              <w:rFonts w:hint="eastAsia" w:ascii="宋体" w:hAnsi="宋体" w:eastAsia="宋体" w:cs="宋体"/>
            </w:rPr>
            <w:t>固体废物影响减缓措施有效性分析及整改建议</w:t>
          </w:r>
          <w:r>
            <w:rPr>
              <w:rFonts w:cs="Times New Roman"/>
            </w:rPr>
            <w:tab/>
          </w:r>
          <w:r>
            <w:rPr>
              <w:rFonts w:cs="Times New Roman"/>
            </w:rPr>
            <w:fldChar w:fldCharType="begin"/>
          </w:r>
          <w:r>
            <w:rPr>
              <w:rFonts w:cs="Times New Roman"/>
            </w:rPr>
            <w:instrText xml:space="preserve"> PAGEREF _Toc25778 </w:instrText>
          </w:r>
          <w:r>
            <w:rPr>
              <w:rFonts w:cs="Times New Roman"/>
            </w:rPr>
            <w:fldChar w:fldCharType="separate"/>
          </w:r>
          <w:r>
            <w:rPr>
              <w:rFonts w:cs="Times New Roman"/>
            </w:rPr>
            <w:t>120</w:t>
          </w:r>
          <w:r>
            <w:rPr>
              <w:rFonts w:cs="Times New Roman"/>
            </w:rPr>
            <w:fldChar w:fldCharType="end"/>
          </w:r>
          <w:r>
            <w:rPr>
              <w:rFonts w:cs="Times New Roman"/>
            </w:rPr>
            <w:fldChar w:fldCharType="end"/>
          </w:r>
        </w:p>
        <w:p>
          <w:pPr>
            <w:pStyle w:val="42"/>
            <w:tabs>
              <w:tab w:val="right" w:leader="dot" w:pos="9070"/>
            </w:tabs>
            <w:ind w:firstLine="420"/>
            <w:rPr>
              <w:rFonts w:ascii="Times New Roman" w:hAnsi="Times New Roman" w:cs="Times New Roman"/>
              <w:b/>
              <w:bCs/>
              <w:lang w:eastAsia="zh-CN"/>
            </w:rPr>
          </w:pPr>
          <w:r>
            <w:fldChar w:fldCharType="begin"/>
          </w:r>
          <w:r>
            <w:instrText xml:space="preserve"> HYPERLINK \l "_Toc12533" </w:instrText>
          </w:r>
          <w:r>
            <w:fldChar w:fldCharType="separate"/>
          </w:r>
          <w:r>
            <w:rPr>
              <w:rFonts w:ascii="Times New Roman" w:hAnsi="Times New Roman" w:cs="Times New Roman"/>
              <w:b/>
              <w:bCs/>
              <w:lang w:eastAsia="zh-CN"/>
            </w:rPr>
            <w:t>6 规划跟踪评价优化建议</w:t>
          </w:r>
          <w:r>
            <w:rPr>
              <w:rFonts w:ascii="Times New Roman" w:hAnsi="Times New Roman" w:cs="Times New Roman"/>
              <w:b/>
              <w:bCs/>
              <w:lang w:eastAsia="zh-CN"/>
            </w:rPr>
            <w:tab/>
          </w:r>
          <w:r>
            <w:rPr>
              <w:rFonts w:ascii="Times New Roman" w:hAnsi="Times New Roman" w:cs="Times New Roman"/>
              <w:b/>
              <w:bCs/>
              <w:lang w:eastAsia="zh-CN"/>
            </w:rPr>
            <w:fldChar w:fldCharType="begin"/>
          </w:r>
          <w:r>
            <w:rPr>
              <w:rFonts w:ascii="Times New Roman" w:hAnsi="Times New Roman" w:cs="Times New Roman"/>
              <w:b/>
              <w:bCs/>
              <w:lang w:eastAsia="zh-CN"/>
            </w:rPr>
            <w:instrText xml:space="preserve"> PAGEREF _Toc12533 </w:instrText>
          </w:r>
          <w:r>
            <w:rPr>
              <w:rFonts w:ascii="Times New Roman" w:hAnsi="Times New Roman" w:cs="Times New Roman"/>
              <w:b/>
              <w:bCs/>
              <w:lang w:eastAsia="zh-CN"/>
            </w:rPr>
            <w:fldChar w:fldCharType="separate"/>
          </w:r>
          <w:r>
            <w:rPr>
              <w:rFonts w:ascii="Times New Roman" w:hAnsi="Times New Roman" w:cs="Times New Roman"/>
              <w:b/>
              <w:bCs/>
              <w:lang w:eastAsia="zh-CN"/>
            </w:rPr>
            <w:t>122</w:t>
          </w:r>
          <w:r>
            <w:rPr>
              <w:rFonts w:ascii="Times New Roman" w:hAnsi="Times New Roman" w:cs="Times New Roman"/>
              <w:b/>
              <w:bCs/>
              <w:lang w:eastAsia="zh-CN"/>
            </w:rPr>
            <w:fldChar w:fldCharType="end"/>
          </w:r>
          <w:r>
            <w:rPr>
              <w:rFonts w:ascii="Times New Roman" w:hAnsi="Times New Roman" w:cs="Times New Roman"/>
              <w:b/>
              <w:bCs/>
              <w:lang w:eastAsia="zh-C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"_Toc1116" </w:instrText>
          </w:r>
          <w:r>
            <w:fldChar w:fldCharType="separate"/>
          </w:r>
          <w:r>
            <w:rPr>
              <w:rFonts w:ascii="Times New Roman" w:hAnsi="Times New Roman" w:cs="Times New Roman"/>
              <w:lang w:eastAsia="zh-CN"/>
            </w:rPr>
            <w:t>6.1 存在问题</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_Toc1116 </w:instrText>
          </w:r>
          <w:r>
            <w:rPr>
              <w:rFonts w:ascii="Times New Roman" w:hAnsi="Times New Roman" w:cs="Times New Roman"/>
            </w:rPr>
            <w:fldChar w:fldCharType="separate"/>
          </w:r>
          <w:r>
            <w:rPr>
              <w:rFonts w:ascii="Times New Roman" w:hAnsi="Times New Roman" w:cs="Times New Roman"/>
            </w:rPr>
            <w:t>122</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"_Toc13956" </w:instrText>
          </w:r>
          <w:r>
            <w:fldChar w:fldCharType="separate"/>
          </w:r>
          <w:r>
            <w:rPr>
              <w:rFonts w:ascii="Times New Roman" w:hAnsi="Times New Roman" w:eastAsia="Times New Roman" w:cs="Times New Roman"/>
              <w:lang w:eastAsia="zh-CN"/>
            </w:rPr>
            <w:t xml:space="preserve">6.2 </w:t>
          </w:r>
          <w:r>
            <w:rPr>
              <w:rFonts w:hint="eastAsia" w:cs="宋体"/>
              <w:lang w:eastAsia="zh-CN"/>
            </w:rPr>
            <w:t>环境管控要求</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_Toc13956 </w:instrText>
          </w:r>
          <w:r>
            <w:rPr>
              <w:rFonts w:ascii="Times New Roman" w:hAnsi="Times New Roman" w:cs="Times New Roman"/>
            </w:rPr>
            <w:fldChar w:fldCharType="separate"/>
          </w:r>
          <w:r>
            <w:rPr>
              <w:rFonts w:ascii="Times New Roman" w:hAnsi="Times New Roman" w:cs="Times New Roman"/>
            </w:rPr>
            <w:t>124</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"_Toc23585" </w:instrText>
          </w:r>
          <w:r>
            <w:fldChar w:fldCharType="separate"/>
          </w:r>
          <w:r>
            <w:rPr>
              <w:rFonts w:cs="Times New Roman"/>
            </w:rPr>
            <w:t>6.</w:t>
          </w:r>
          <w:r>
            <w:rPr>
              <w:rFonts w:cs="Times New Roman"/>
              <w:lang w:eastAsia="zh-CN"/>
            </w:rPr>
            <w:t>2</w:t>
          </w:r>
          <w:r>
            <w:rPr>
              <w:rFonts w:cs="Times New Roman"/>
            </w:rPr>
            <w:t xml:space="preserve">.1 </w:t>
          </w:r>
          <w:r>
            <w:rPr>
              <w:rFonts w:hint="eastAsia" w:ascii="宋体" w:hAnsi="宋体" w:eastAsia="宋体" w:cs="宋体"/>
            </w:rPr>
            <w:t>生态</w:t>
          </w:r>
          <w:r>
            <w:rPr>
              <w:rFonts w:hint="eastAsia" w:ascii="宋体" w:hAnsi="宋体" w:eastAsia="宋体" w:cs="宋体"/>
              <w:lang w:eastAsia="zh-CN"/>
            </w:rPr>
            <w:t>空间管制</w:t>
          </w:r>
          <w:r>
            <w:rPr>
              <w:rFonts w:hint="eastAsia" w:ascii="宋体" w:hAnsi="宋体" w:eastAsia="宋体" w:cs="宋体"/>
            </w:rPr>
            <w:t>红线</w:t>
          </w:r>
          <w:r>
            <w:rPr>
              <w:rFonts w:cs="Times New Roman"/>
            </w:rPr>
            <w:tab/>
          </w:r>
          <w:r>
            <w:rPr>
              <w:rFonts w:cs="Times New Roman"/>
            </w:rPr>
            <w:fldChar w:fldCharType="begin"/>
          </w:r>
          <w:r>
            <w:rPr>
              <w:rFonts w:cs="Times New Roman"/>
            </w:rPr>
            <w:instrText xml:space="preserve"> PAGEREF _Toc23585 </w:instrText>
          </w:r>
          <w:r>
            <w:rPr>
              <w:rFonts w:cs="Times New Roman"/>
            </w:rPr>
            <w:fldChar w:fldCharType="separate"/>
          </w:r>
          <w:r>
            <w:rPr>
              <w:rFonts w:cs="Times New Roman"/>
            </w:rPr>
            <w:t>124</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"_Toc13182" </w:instrText>
          </w:r>
          <w:r>
            <w:fldChar w:fldCharType="separate"/>
          </w:r>
          <w:r>
            <w:rPr>
              <w:rFonts w:cs="Times New Roman"/>
              <w:szCs w:val="28"/>
              <w:lang w:eastAsia="zh-CN"/>
            </w:rPr>
            <w:t xml:space="preserve">6.2.2 </w:t>
          </w:r>
          <w:r>
            <w:rPr>
              <w:rFonts w:hint="eastAsia" w:ascii="宋体" w:hAnsi="宋体" w:eastAsia="宋体" w:cs="宋体"/>
              <w:szCs w:val="28"/>
            </w:rPr>
            <w:t>环境质量底线清单</w:t>
          </w:r>
          <w:r>
            <w:rPr>
              <w:rFonts w:cs="Times New Roman"/>
            </w:rPr>
            <w:tab/>
          </w:r>
          <w:r>
            <w:rPr>
              <w:rFonts w:cs="Times New Roman"/>
            </w:rPr>
            <w:fldChar w:fldCharType="begin"/>
          </w:r>
          <w:r>
            <w:rPr>
              <w:rFonts w:cs="Times New Roman"/>
            </w:rPr>
            <w:instrText xml:space="preserve"> PAGEREF _Toc13182 </w:instrText>
          </w:r>
          <w:r>
            <w:rPr>
              <w:rFonts w:cs="Times New Roman"/>
            </w:rPr>
            <w:fldChar w:fldCharType="separate"/>
          </w:r>
          <w:r>
            <w:rPr>
              <w:rFonts w:cs="Times New Roman"/>
            </w:rPr>
            <w:t>124</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"_Toc8063" </w:instrText>
          </w:r>
          <w:r>
            <w:fldChar w:fldCharType="separate"/>
          </w:r>
          <w:r>
            <w:rPr>
              <w:rFonts w:cs="Times New Roman"/>
              <w:szCs w:val="28"/>
              <w:lang w:eastAsia="zh-CN"/>
            </w:rPr>
            <w:t xml:space="preserve">6.2.3 </w:t>
          </w:r>
          <w:r>
            <w:rPr>
              <w:rFonts w:hint="eastAsia" w:ascii="宋体" w:hAnsi="宋体" w:eastAsia="宋体" w:cs="宋体"/>
              <w:szCs w:val="28"/>
            </w:rPr>
            <w:t>资源利用上限清单</w:t>
          </w:r>
          <w:r>
            <w:rPr>
              <w:rFonts w:hint="eastAsia" w:ascii="宋体" w:hAnsi="宋体" w:eastAsia="宋体" w:cs="宋体"/>
              <w:szCs w:val="28"/>
              <w:lang w:eastAsia="zh-CN"/>
            </w:rPr>
            <w:t>、产业准入负面清单</w:t>
          </w:r>
          <w:r>
            <w:rPr>
              <w:rFonts w:cs="Times New Roman"/>
            </w:rPr>
            <w:tab/>
          </w:r>
          <w:r>
            <w:rPr>
              <w:rFonts w:cs="Times New Roman"/>
            </w:rPr>
            <w:fldChar w:fldCharType="begin"/>
          </w:r>
          <w:r>
            <w:rPr>
              <w:rFonts w:cs="Times New Roman"/>
            </w:rPr>
            <w:instrText xml:space="preserve"> PAGEREF _Toc8063 </w:instrText>
          </w:r>
          <w:r>
            <w:rPr>
              <w:rFonts w:cs="Times New Roman"/>
            </w:rPr>
            <w:fldChar w:fldCharType="separate"/>
          </w:r>
          <w:r>
            <w:rPr>
              <w:rFonts w:cs="Times New Roman"/>
            </w:rPr>
            <w:t>125</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"_Toc25894" </w:instrText>
          </w:r>
          <w:r>
            <w:fldChar w:fldCharType="separate"/>
          </w:r>
          <w:r>
            <w:rPr>
              <w:rFonts w:ascii="Times New Roman" w:hAnsi="Times New Roman" w:eastAsia="Times New Roman" w:cs="Times New Roman"/>
              <w:lang w:eastAsia="zh-CN"/>
            </w:rPr>
            <w:t xml:space="preserve">6.3 </w:t>
          </w:r>
          <w:r>
            <w:rPr>
              <w:rFonts w:ascii="Times New Roman" w:hAnsi="Times New Roman" w:cs="Times New Roman"/>
              <w:spacing w:val="-1"/>
            </w:rPr>
            <w:t>后续</w:t>
          </w:r>
          <w:r>
            <w:rPr>
              <w:rFonts w:hint="eastAsia" w:cs="宋体"/>
              <w:lang w:eastAsia="zh-CN"/>
            </w:rPr>
            <w:t>规划优化调整建议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_Toc25894 </w:instrText>
          </w:r>
          <w:r>
            <w:rPr>
              <w:rFonts w:ascii="Times New Roman" w:hAnsi="Times New Roman" w:cs="Times New Roman"/>
            </w:rPr>
            <w:fldChar w:fldCharType="separate"/>
          </w:r>
          <w:r>
            <w:rPr>
              <w:rFonts w:ascii="Times New Roman" w:hAnsi="Times New Roman" w:cs="Times New Roman"/>
            </w:rPr>
            <w:t>125</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"_Toc5985" </w:instrText>
          </w:r>
          <w:r>
            <w:fldChar w:fldCharType="separate"/>
          </w:r>
          <w:r>
            <w:rPr>
              <w:rFonts w:ascii="Times New Roman" w:hAnsi="Times New Roman" w:cs="Times New Roman"/>
              <w:lang w:eastAsia="zh-CN"/>
            </w:rPr>
            <w:t>6.4 规划后续实施过程中的环保对策与减缓措施建议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_Toc5985 </w:instrText>
          </w:r>
          <w:r>
            <w:rPr>
              <w:rFonts w:ascii="Times New Roman" w:hAnsi="Times New Roman" w:cs="Times New Roman"/>
            </w:rPr>
            <w:fldChar w:fldCharType="separate"/>
          </w:r>
          <w:r>
            <w:rPr>
              <w:rFonts w:ascii="Times New Roman" w:hAnsi="Times New Roman" w:cs="Times New Roman"/>
            </w:rPr>
            <w:t>125</w:t>
          </w:r>
          <w:r>
            <w:rPr>
              <w:rFonts w:ascii="Times New Roman" w:hAnsi="Times New Roman" w:cs="Times New Roman"/>
            </w:rPr>
            <w:fldChar w:fldCharType="end"/>
          </w:r>
          <w:r>
            <w:rPr>
              <w:rFonts w:ascii="Times New Roman" w:hAnsi="Times New Roman" w:cs="Times New Roman"/>
            </w:rPr>
            <w:fldChar w:fldCharType="end"/>
          </w:r>
        </w:p>
        <w:p>
          <w:pPr>
            <w:pStyle w:val="42"/>
            <w:tabs>
              <w:tab w:val="right" w:leader="dot" w:pos="9070"/>
            </w:tabs>
            <w:ind w:firstLine="420"/>
            <w:rPr>
              <w:rFonts w:ascii="Times New Roman" w:hAnsi="Times New Roman" w:cs="Times New Roman"/>
              <w:b/>
              <w:bCs/>
              <w:lang w:eastAsia="zh-CN"/>
            </w:rPr>
          </w:pPr>
          <w:r>
            <w:fldChar w:fldCharType="begin"/>
          </w:r>
          <w:r>
            <w:instrText xml:space="preserve"> HYPERLINK \l "_Toc22158" </w:instrText>
          </w:r>
          <w:r>
            <w:fldChar w:fldCharType="separate"/>
          </w:r>
          <w:r>
            <w:rPr>
              <w:rFonts w:ascii="Times New Roman" w:hAnsi="Times New Roman" w:cs="Times New Roman"/>
              <w:b/>
              <w:bCs/>
              <w:lang w:eastAsia="zh-CN"/>
            </w:rPr>
            <w:t xml:space="preserve">7 </w:t>
          </w:r>
          <w:r>
            <w:rPr>
              <w:rFonts w:hint="eastAsia" w:ascii="Times New Roman" w:hAnsi="Times New Roman" w:cs="Times New Roman"/>
              <w:b/>
              <w:bCs/>
              <w:lang w:eastAsia="zh-CN"/>
            </w:rPr>
            <w:t>评价结论</w:t>
          </w:r>
          <w:r>
            <w:rPr>
              <w:rFonts w:ascii="Times New Roman" w:hAnsi="Times New Roman" w:cs="Times New Roman"/>
              <w:b/>
              <w:bCs/>
              <w:lang w:eastAsia="zh-CN"/>
            </w:rPr>
            <w:tab/>
          </w:r>
          <w:r>
            <w:rPr>
              <w:rFonts w:ascii="Times New Roman" w:hAnsi="Times New Roman" w:cs="Times New Roman"/>
              <w:b/>
              <w:bCs/>
              <w:lang w:eastAsia="zh-CN"/>
            </w:rPr>
            <w:fldChar w:fldCharType="begin"/>
          </w:r>
          <w:r>
            <w:rPr>
              <w:rFonts w:ascii="Times New Roman" w:hAnsi="Times New Roman" w:cs="Times New Roman"/>
              <w:b/>
              <w:bCs/>
              <w:lang w:eastAsia="zh-CN"/>
            </w:rPr>
            <w:instrText xml:space="preserve"> PAGEREF _Toc22158 </w:instrText>
          </w:r>
          <w:r>
            <w:rPr>
              <w:rFonts w:ascii="Times New Roman" w:hAnsi="Times New Roman" w:cs="Times New Roman"/>
              <w:b/>
              <w:bCs/>
              <w:lang w:eastAsia="zh-CN"/>
            </w:rPr>
            <w:fldChar w:fldCharType="separate"/>
          </w:r>
          <w:r>
            <w:rPr>
              <w:rFonts w:ascii="Times New Roman" w:hAnsi="Times New Roman" w:cs="Times New Roman"/>
              <w:b/>
              <w:bCs/>
              <w:lang w:eastAsia="zh-CN"/>
            </w:rPr>
            <w:t>126</w:t>
          </w:r>
          <w:r>
            <w:rPr>
              <w:rFonts w:ascii="Times New Roman" w:hAnsi="Times New Roman" w:cs="Times New Roman"/>
              <w:b/>
              <w:bCs/>
              <w:lang w:eastAsia="zh-CN"/>
            </w:rPr>
            <w:fldChar w:fldCharType="end"/>
          </w:r>
          <w:r>
            <w:rPr>
              <w:rFonts w:ascii="Times New Roman" w:hAnsi="Times New Roman" w:cs="Times New Roman"/>
              <w:b/>
              <w:bCs/>
              <w:lang w:eastAsia="zh-C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"_Toc14625" </w:instrText>
          </w:r>
          <w:r>
            <w:fldChar w:fldCharType="separate"/>
          </w:r>
          <w:r>
            <w:rPr>
              <w:rFonts w:ascii="Times New Roman" w:hAnsi="Times New Roman" w:eastAsia="Times New Roman" w:cs="Times New Roman"/>
              <w:lang w:eastAsia="zh-CN"/>
            </w:rPr>
            <w:t xml:space="preserve">7.1 </w:t>
          </w:r>
          <w:r>
            <w:rPr>
              <w:rFonts w:hint="eastAsia" w:cs="宋体"/>
              <w:lang w:eastAsia="zh-CN"/>
            </w:rPr>
            <w:t>规划国际新兴产业园区规划实施概况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_Toc14625 </w:instrText>
          </w:r>
          <w:r>
            <w:rPr>
              <w:rFonts w:ascii="Times New Roman" w:hAnsi="Times New Roman" w:cs="Times New Roman"/>
            </w:rPr>
            <w:fldChar w:fldCharType="separate"/>
          </w:r>
          <w:r>
            <w:rPr>
              <w:rFonts w:ascii="Times New Roman" w:hAnsi="Times New Roman" w:cs="Times New Roman"/>
            </w:rPr>
            <w:t>126</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"_Toc3081" </w:instrText>
          </w:r>
          <w:r>
            <w:fldChar w:fldCharType="separate"/>
          </w:r>
          <w:r>
            <w:rPr>
              <w:rFonts w:ascii="Times New Roman" w:hAnsi="Times New Roman" w:eastAsia="Times New Roman" w:cs="Times New Roman"/>
              <w:lang w:eastAsia="zh-CN"/>
            </w:rPr>
            <w:t xml:space="preserve">7.2 </w:t>
          </w:r>
          <w:r>
            <w:rPr>
              <w:rFonts w:hint="eastAsia" w:cs="宋体"/>
              <w:lang w:eastAsia="zh-CN"/>
            </w:rPr>
            <w:t>区域生态环境演变趋势</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_Toc3081 </w:instrText>
          </w:r>
          <w:r>
            <w:rPr>
              <w:rFonts w:ascii="Times New Roman" w:hAnsi="Times New Roman" w:cs="Times New Roman"/>
            </w:rPr>
            <w:fldChar w:fldCharType="separate"/>
          </w:r>
          <w:r>
            <w:rPr>
              <w:rFonts w:ascii="Times New Roman" w:hAnsi="Times New Roman" w:cs="Times New Roman"/>
            </w:rPr>
            <w:t>127</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"_Toc21146" </w:instrText>
          </w:r>
          <w:r>
            <w:fldChar w:fldCharType="separate"/>
          </w:r>
          <w:r>
            <w:rPr>
              <w:rFonts w:cs="Times New Roman"/>
              <w:spacing w:val="-1"/>
            </w:rPr>
            <w:t xml:space="preserve">7.2.1 </w:t>
          </w:r>
          <w:r>
            <w:rPr>
              <w:rFonts w:eastAsia="宋体" w:cs="Times New Roman"/>
              <w:spacing w:val="-1"/>
            </w:rPr>
            <w:t>环境质量变化趋势</w:t>
          </w:r>
          <w:r>
            <w:rPr>
              <w:rFonts w:cs="Times New Roman"/>
            </w:rPr>
            <w:tab/>
          </w:r>
          <w:r>
            <w:rPr>
              <w:rFonts w:cs="Times New Roman"/>
            </w:rPr>
            <w:fldChar w:fldCharType="begin"/>
          </w:r>
          <w:r>
            <w:rPr>
              <w:rFonts w:cs="Times New Roman"/>
            </w:rPr>
            <w:instrText xml:space="preserve"> PAGEREF _Toc21146 </w:instrText>
          </w:r>
          <w:r>
            <w:rPr>
              <w:rFonts w:cs="Times New Roman"/>
            </w:rPr>
            <w:fldChar w:fldCharType="separate"/>
          </w:r>
          <w:r>
            <w:rPr>
              <w:rFonts w:cs="Times New Roman"/>
            </w:rPr>
            <w:t>127</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"_Toc29561" </w:instrText>
          </w:r>
          <w:r>
            <w:fldChar w:fldCharType="separate"/>
          </w:r>
          <w:r>
            <w:rPr>
              <w:rFonts w:cs="Times New Roman"/>
              <w:spacing w:val="-1"/>
            </w:rPr>
            <w:t xml:space="preserve">7.2.2 </w:t>
          </w:r>
          <w:r>
            <w:rPr>
              <w:rFonts w:eastAsia="宋体" w:cs="Times New Roman"/>
              <w:spacing w:val="-1"/>
            </w:rPr>
            <w:t>区域生态系统结构与功能变化结论</w:t>
          </w:r>
          <w:r>
            <w:rPr>
              <w:rFonts w:cs="Times New Roman"/>
            </w:rPr>
            <w:tab/>
          </w:r>
          <w:r>
            <w:rPr>
              <w:rFonts w:cs="Times New Roman"/>
            </w:rPr>
            <w:fldChar w:fldCharType="begin"/>
          </w:r>
          <w:r>
            <w:rPr>
              <w:rFonts w:cs="Times New Roman"/>
            </w:rPr>
            <w:instrText xml:space="preserve"> PAGEREF _Toc29561 </w:instrText>
          </w:r>
          <w:r>
            <w:rPr>
              <w:rFonts w:cs="Times New Roman"/>
            </w:rPr>
            <w:fldChar w:fldCharType="separate"/>
          </w:r>
          <w:r>
            <w:rPr>
              <w:rFonts w:cs="Times New Roman"/>
            </w:rPr>
            <w:t>128</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"_Toc23510" </w:instrText>
          </w:r>
          <w:r>
            <w:fldChar w:fldCharType="separate"/>
          </w:r>
          <w:r>
            <w:rPr>
              <w:rFonts w:ascii="Times New Roman" w:hAnsi="Times New Roman" w:eastAsia="Times New Roman" w:cs="Times New Roman"/>
              <w:lang w:eastAsia="zh-CN"/>
            </w:rPr>
            <w:t xml:space="preserve">7.3 </w:t>
          </w:r>
          <w:r>
            <w:rPr>
              <w:rFonts w:hint="eastAsia" w:cs="宋体"/>
              <w:lang w:eastAsia="zh-CN"/>
            </w:rPr>
            <w:t>资源环境承载力的变化情况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_Toc23510 </w:instrText>
          </w:r>
          <w:r>
            <w:rPr>
              <w:rFonts w:ascii="Times New Roman" w:hAnsi="Times New Roman" w:cs="Times New Roman"/>
            </w:rPr>
            <w:fldChar w:fldCharType="separate"/>
          </w:r>
          <w:r>
            <w:rPr>
              <w:rFonts w:ascii="Times New Roman" w:hAnsi="Times New Roman" w:cs="Times New Roman"/>
            </w:rPr>
            <w:t>129</w:t>
          </w:r>
          <w:r>
            <w:rPr>
              <w:rFonts w:ascii="Times New Roman" w:hAnsi="Times New Roman" w:cs="Times New Roman"/>
            </w:rPr>
            <w:fldChar w:fldCharType="end"/>
          </w:r>
          <w:r>
            <w:rPr>
              <w:rFonts w:ascii="Times New Roman" w:hAnsi="Times New Roman" w:cs="Times New Roman"/>
            </w:rPr>
            <w:fldChar w:fldCharType="end"/>
          </w:r>
        </w:p>
        <w:p>
          <w:pPr>
            <w:pStyle w:val="32"/>
            <w:tabs>
              <w:tab w:val="right" w:leader="dot" w:pos="9070"/>
            </w:tabs>
            <w:ind w:firstLine="420"/>
            <w:rPr>
              <w:rFonts w:cs="Times New Roman"/>
            </w:rPr>
          </w:pPr>
          <w:r>
            <w:fldChar w:fldCharType="begin"/>
          </w:r>
          <w:r>
            <w:instrText xml:space="preserve"> HYPERLINK \l "_Toc1989" </w:instrText>
          </w:r>
          <w:r>
            <w:fldChar w:fldCharType="separate"/>
          </w:r>
          <w:r>
            <w:rPr>
              <w:rFonts w:cs="Times New Roman"/>
              <w:spacing w:val="-1"/>
            </w:rPr>
            <w:t>7.</w:t>
          </w:r>
          <w:r>
            <w:rPr>
              <w:rFonts w:eastAsia="宋体" w:cs="Times New Roman"/>
              <w:spacing w:val="-1"/>
              <w:lang w:eastAsia="zh-CN"/>
            </w:rPr>
            <w:t>3</w:t>
          </w:r>
          <w:r>
            <w:rPr>
              <w:rFonts w:cs="Times New Roman"/>
              <w:spacing w:val="-1"/>
            </w:rPr>
            <w:t>.1</w:t>
          </w:r>
          <w:r>
            <w:rPr>
              <w:rFonts w:eastAsia="宋体" w:cs="Times New Roman"/>
              <w:spacing w:val="-1"/>
            </w:rPr>
            <w:t xml:space="preserve"> 资源承载力的变化情况</w:t>
          </w:r>
          <w:r>
            <w:rPr>
              <w:rFonts w:cs="Times New Roman"/>
            </w:rPr>
            <w:tab/>
          </w:r>
          <w:r>
            <w:rPr>
              <w:rFonts w:cs="Times New Roman"/>
            </w:rPr>
            <w:fldChar w:fldCharType="begin"/>
          </w:r>
          <w:r>
            <w:rPr>
              <w:rFonts w:cs="Times New Roman"/>
            </w:rPr>
            <w:instrText xml:space="preserve"> PAGEREF _Toc1989 </w:instrText>
          </w:r>
          <w:r>
            <w:rPr>
              <w:rFonts w:cs="Times New Roman"/>
            </w:rPr>
            <w:fldChar w:fldCharType="separate"/>
          </w:r>
          <w:r>
            <w:rPr>
              <w:rFonts w:cs="Times New Roman"/>
            </w:rPr>
            <w:t>129</w:t>
          </w:r>
          <w:r>
            <w:rPr>
              <w:rFonts w:cs="Times New Roman"/>
            </w:rPr>
            <w:fldChar w:fldCharType="end"/>
          </w:r>
          <w:r>
            <w:rPr>
              <w:rFonts w:cs="Times New Roman"/>
            </w:rPr>
            <w:fldChar w:fldCharType="end"/>
          </w:r>
        </w:p>
        <w:p>
          <w:pPr>
            <w:pStyle w:val="32"/>
            <w:tabs>
              <w:tab w:val="right" w:leader="dot" w:pos="9070"/>
            </w:tabs>
            <w:ind w:firstLine="420"/>
            <w:rPr>
              <w:rFonts w:cs="Times New Roman"/>
            </w:rPr>
          </w:pPr>
          <w:r>
            <w:fldChar w:fldCharType="begin"/>
          </w:r>
          <w:r>
            <w:instrText xml:space="preserve"> HYPERLINK \l "_Toc17175" </w:instrText>
          </w:r>
          <w:r>
            <w:fldChar w:fldCharType="separate"/>
          </w:r>
          <w:r>
            <w:rPr>
              <w:rFonts w:cs="Times New Roman"/>
              <w:spacing w:val="-1"/>
            </w:rPr>
            <w:t>7.</w:t>
          </w:r>
          <w:r>
            <w:rPr>
              <w:rFonts w:cs="Times New Roman"/>
              <w:spacing w:val="-1"/>
              <w:lang w:eastAsia="zh-CN"/>
            </w:rPr>
            <w:t>3</w:t>
          </w:r>
          <w:r>
            <w:rPr>
              <w:rFonts w:cs="Times New Roman"/>
              <w:spacing w:val="-1"/>
            </w:rPr>
            <w:t>.2</w:t>
          </w:r>
          <w:r>
            <w:rPr>
              <w:rFonts w:eastAsia="宋体" w:cs="Times New Roman"/>
              <w:spacing w:val="-1"/>
            </w:rPr>
            <w:t xml:space="preserve"> 环境承载力的变化情况</w:t>
          </w:r>
          <w:r>
            <w:rPr>
              <w:rFonts w:cs="Times New Roman"/>
            </w:rPr>
            <w:tab/>
          </w:r>
          <w:r>
            <w:rPr>
              <w:rFonts w:cs="Times New Roman"/>
            </w:rPr>
            <w:fldChar w:fldCharType="begin"/>
          </w:r>
          <w:r>
            <w:rPr>
              <w:rFonts w:cs="Times New Roman"/>
            </w:rPr>
            <w:instrText xml:space="preserve"> PAGEREF _Toc17175 </w:instrText>
          </w:r>
          <w:r>
            <w:rPr>
              <w:rFonts w:cs="Times New Roman"/>
            </w:rPr>
            <w:fldChar w:fldCharType="separate"/>
          </w:r>
          <w:r>
            <w:rPr>
              <w:rFonts w:cs="Times New Roman"/>
            </w:rPr>
            <w:t>129</w:t>
          </w:r>
          <w:r>
            <w:rPr>
              <w:rFonts w:cs="Times New Roman"/>
            </w:rPr>
            <w:fldChar w:fldCharType="end"/>
          </w:r>
          <w:r>
            <w:rPr>
              <w:rFonts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"_Toc18739" </w:instrText>
          </w:r>
          <w:r>
            <w:fldChar w:fldCharType="separate"/>
          </w:r>
          <w:r>
            <w:rPr>
              <w:rFonts w:ascii="Times New Roman" w:hAnsi="Times New Roman" w:eastAsia="Times New Roman" w:cs="Times New Roman"/>
              <w:lang w:eastAsia="zh-CN"/>
            </w:rPr>
            <w:t xml:space="preserve">7.4 </w:t>
          </w:r>
          <w:r>
            <w:rPr>
              <w:rFonts w:hint="eastAsia" w:cs="宋体"/>
              <w:lang w:eastAsia="zh-CN"/>
            </w:rPr>
            <w:t>公众意见调查</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_Toc18739 </w:instrText>
          </w:r>
          <w:r>
            <w:rPr>
              <w:rFonts w:ascii="Times New Roman" w:hAnsi="Times New Roman" w:cs="Times New Roman"/>
            </w:rPr>
            <w:fldChar w:fldCharType="separate"/>
          </w:r>
          <w:r>
            <w:rPr>
              <w:rFonts w:ascii="Times New Roman" w:hAnsi="Times New Roman" w:cs="Times New Roman"/>
            </w:rPr>
            <w:t>130</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"_Toc28243" </w:instrText>
          </w:r>
          <w:r>
            <w:fldChar w:fldCharType="separate"/>
          </w:r>
          <w:r>
            <w:rPr>
              <w:rFonts w:ascii="Times New Roman" w:hAnsi="Times New Roman" w:eastAsia="Times New Roman" w:cs="Times New Roman"/>
              <w:lang w:eastAsia="zh-CN"/>
            </w:rPr>
            <w:t xml:space="preserve">7.5 </w:t>
          </w:r>
          <w:r>
            <w:rPr>
              <w:rFonts w:hint="eastAsia" w:cs="宋体"/>
              <w:lang w:eastAsia="zh-CN"/>
            </w:rPr>
            <w:t>规划实施过程中存在的环境问题及解决方案建议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_Toc28243 </w:instrText>
          </w:r>
          <w:r>
            <w:rPr>
              <w:rFonts w:ascii="Times New Roman" w:hAnsi="Times New Roman" w:cs="Times New Roman"/>
            </w:rPr>
            <w:fldChar w:fldCharType="separate"/>
          </w:r>
          <w:r>
            <w:rPr>
              <w:rFonts w:ascii="Times New Roman" w:hAnsi="Times New Roman" w:cs="Times New Roman"/>
            </w:rPr>
            <w:t>130</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"_Toc31113" </w:instrText>
          </w:r>
          <w:r>
            <w:fldChar w:fldCharType="separate"/>
          </w:r>
          <w:r>
            <w:rPr>
              <w:rFonts w:ascii="Times New Roman" w:hAnsi="Times New Roman" w:eastAsia="Times New Roman" w:cs="Times New Roman"/>
              <w:lang w:eastAsia="zh-CN"/>
            </w:rPr>
            <w:t xml:space="preserve">7.6 </w:t>
          </w:r>
          <w:r>
            <w:rPr>
              <w:rFonts w:hint="eastAsia" w:cs="宋体"/>
              <w:lang w:eastAsia="zh-CN"/>
            </w:rPr>
            <w:t>跟踪评价总体结论</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_Toc31113 </w:instrText>
          </w:r>
          <w:r>
            <w:rPr>
              <w:rFonts w:ascii="Times New Roman" w:hAnsi="Times New Roman" w:cs="Times New Roman"/>
            </w:rPr>
            <w:fldChar w:fldCharType="separate"/>
          </w:r>
          <w:r>
            <w:rPr>
              <w:rFonts w:ascii="Times New Roman" w:hAnsi="Times New Roman" w:cs="Times New Roman"/>
            </w:rPr>
            <w:t>131</w:t>
          </w:r>
          <w:r>
            <w:rPr>
              <w:rFonts w:ascii="Times New Roman" w:hAnsi="Times New Roman" w:cs="Times New Roman"/>
            </w:rPr>
            <w:fldChar w:fldCharType="end"/>
          </w:r>
          <w:r>
            <w:rPr>
              <w:rFonts w:ascii="Times New Roman" w:hAnsi="Times New Roman" w:cs="Times New Roman"/>
            </w:rPr>
            <w:fldChar w:fldCharType="end"/>
          </w:r>
        </w:p>
        <w:p>
          <w:pPr>
            <w:pStyle w:val="42"/>
            <w:tabs>
              <w:tab w:val="right" w:leader="dot" w:pos="9070"/>
            </w:tabs>
            <w:ind w:firstLine="420"/>
            <w:rPr>
              <w:rFonts w:ascii="Times New Roman" w:hAnsi="Times New Roman" w:cs="Times New Roman"/>
              <w:b/>
              <w:bCs/>
              <w:lang w:eastAsia="zh-CN"/>
            </w:rPr>
          </w:pPr>
          <w:r>
            <w:fldChar w:fldCharType="begin"/>
          </w:r>
          <w:r>
            <w:instrText xml:space="preserve"> HYPERLINK \l "_Toc17749" </w:instrText>
          </w:r>
          <w:r>
            <w:fldChar w:fldCharType="separate"/>
          </w:r>
          <w:r>
            <w:rPr>
              <w:rFonts w:hint="eastAsia" w:ascii="Times New Roman" w:hAnsi="Times New Roman" w:cs="Times New Roman"/>
              <w:b/>
              <w:bCs/>
              <w:lang w:eastAsia="zh-CN"/>
            </w:rPr>
            <w:t>附件</w:t>
          </w:r>
          <w:r>
            <w:rPr>
              <w:rFonts w:ascii="Times New Roman" w:hAnsi="Times New Roman" w:cs="Times New Roman"/>
              <w:b/>
              <w:bCs/>
              <w:lang w:eastAsia="zh-CN"/>
            </w:rPr>
            <w:tab/>
          </w:r>
          <w:r>
            <w:rPr>
              <w:rFonts w:ascii="Times New Roman" w:hAnsi="Times New Roman" w:cs="Times New Roman"/>
              <w:b/>
              <w:bCs/>
              <w:lang w:eastAsia="zh-CN"/>
            </w:rPr>
            <w:fldChar w:fldCharType="begin"/>
          </w:r>
          <w:r>
            <w:rPr>
              <w:rFonts w:ascii="Times New Roman" w:hAnsi="Times New Roman" w:cs="Times New Roman"/>
              <w:b/>
              <w:bCs/>
              <w:lang w:eastAsia="zh-CN"/>
            </w:rPr>
            <w:instrText xml:space="preserve"> PAGEREF _Toc17749 </w:instrText>
          </w:r>
          <w:r>
            <w:rPr>
              <w:rFonts w:ascii="Times New Roman" w:hAnsi="Times New Roman" w:cs="Times New Roman"/>
              <w:b/>
              <w:bCs/>
              <w:lang w:eastAsia="zh-CN"/>
            </w:rPr>
            <w:fldChar w:fldCharType="separate"/>
          </w:r>
          <w:r>
            <w:rPr>
              <w:rFonts w:ascii="Times New Roman" w:hAnsi="Times New Roman" w:cs="Times New Roman"/>
              <w:b/>
              <w:bCs/>
              <w:lang w:eastAsia="zh-CN"/>
            </w:rPr>
            <w:t>133</w:t>
          </w:r>
          <w:r>
            <w:rPr>
              <w:rFonts w:ascii="Times New Roman" w:hAnsi="Times New Roman" w:cs="Times New Roman"/>
              <w:b/>
              <w:bCs/>
              <w:lang w:eastAsia="zh-CN"/>
            </w:rPr>
            <w:fldChar w:fldCharType="end"/>
          </w:r>
          <w:r>
            <w:rPr>
              <w:rFonts w:ascii="Times New Roman" w:hAnsi="Times New Roman" w:cs="Times New Roman"/>
              <w:b/>
              <w:bCs/>
              <w:lang w:eastAsia="zh-C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"_Toc16915" </w:instrText>
          </w:r>
          <w:r>
            <w:fldChar w:fldCharType="separate"/>
          </w:r>
          <w:r>
            <w:rPr>
              <w:rFonts w:ascii="Times New Roman" w:hAnsi="Times New Roman" w:cs="Times New Roman"/>
              <w:szCs w:val="24"/>
              <w:lang w:eastAsia="zh-CN"/>
            </w:rPr>
            <w:t>附件1 委托书</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_Toc16915 </w:instrText>
          </w:r>
          <w:r>
            <w:rPr>
              <w:rFonts w:ascii="Times New Roman" w:hAnsi="Times New Roman" w:cs="Times New Roman"/>
            </w:rPr>
            <w:fldChar w:fldCharType="separate"/>
          </w:r>
          <w:r>
            <w:rPr>
              <w:rFonts w:ascii="Times New Roman" w:hAnsi="Times New Roman" w:cs="Times New Roman"/>
            </w:rPr>
            <w:t>133</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"_Toc29219" </w:instrText>
          </w:r>
          <w:r>
            <w:fldChar w:fldCharType="separate"/>
          </w:r>
          <w:r>
            <w:rPr>
              <w:rFonts w:ascii="Times New Roman" w:hAnsi="Times New Roman" w:cs="Times New Roman"/>
              <w:szCs w:val="24"/>
              <w:lang w:eastAsia="zh-CN"/>
            </w:rPr>
            <w:t>附件2 关于</w:t>
          </w:r>
          <w:r>
            <w:rPr>
              <w:rFonts w:hint="eastAsia" w:ascii="Times New Roman" w:hAnsi="Times New Roman" w:cs="Times New Roman"/>
              <w:szCs w:val="24"/>
              <w:lang w:eastAsia="zh-CN"/>
            </w:rPr>
            <w:t>浑南国际新兴产业园区总体发展规划</w:t>
          </w:r>
          <w:r>
            <w:rPr>
              <w:rFonts w:ascii="Times New Roman" w:hAnsi="Times New Roman" w:cs="Times New Roman"/>
              <w:szCs w:val="24"/>
              <w:lang w:eastAsia="zh-CN"/>
            </w:rPr>
            <w:t>环境影响报告书的审查意见</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_Toc29219 </w:instrText>
          </w:r>
          <w:r>
            <w:rPr>
              <w:rFonts w:ascii="Times New Roman" w:hAnsi="Times New Roman" w:cs="Times New Roman"/>
            </w:rPr>
            <w:fldChar w:fldCharType="separate"/>
          </w:r>
          <w:r>
            <w:rPr>
              <w:rFonts w:ascii="Times New Roman" w:hAnsi="Times New Roman" w:cs="Times New Roman"/>
            </w:rPr>
            <w:t>134</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"_Toc23302" </w:instrText>
          </w:r>
          <w:r>
            <w:fldChar w:fldCharType="separate"/>
          </w:r>
          <w:r>
            <w:rPr>
              <w:rFonts w:ascii="Times New Roman" w:hAnsi="Times New Roman" w:cs="Times New Roman"/>
              <w:szCs w:val="24"/>
              <w:lang w:eastAsia="zh-CN"/>
            </w:rPr>
            <w:t>附件3关于</w:t>
          </w:r>
          <w:r>
            <w:rPr>
              <w:rFonts w:hint="eastAsia" w:ascii="Times New Roman" w:hAnsi="Times New Roman" w:cs="Times New Roman"/>
              <w:szCs w:val="24"/>
              <w:lang w:eastAsia="zh-CN"/>
            </w:rPr>
            <w:t>浑南国际新兴产业园区总体发展规划</w:t>
          </w:r>
          <w:r>
            <w:rPr>
              <w:rFonts w:ascii="Times New Roman" w:hAnsi="Times New Roman" w:cs="Times New Roman"/>
              <w:szCs w:val="24"/>
              <w:lang w:eastAsia="zh-CN"/>
            </w:rPr>
            <w:t>（调整）环境影响补充说明的意见</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_Toc23302 </w:instrText>
          </w:r>
          <w:r>
            <w:rPr>
              <w:rFonts w:ascii="Times New Roman" w:hAnsi="Times New Roman" w:cs="Times New Roman"/>
            </w:rPr>
            <w:fldChar w:fldCharType="separate"/>
          </w:r>
          <w:r>
            <w:rPr>
              <w:rFonts w:ascii="Times New Roman" w:hAnsi="Times New Roman" w:cs="Times New Roman"/>
            </w:rPr>
            <w:t>137</w:t>
          </w:r>
          <w:r>
            <w:rPr>
              <w:rFonts w:ascii="Times New Roman" w:hAnsi="Times New Roman" w:cs="Times New Roman"/>
            </w:rPr>
            <w:fldChar w:fldCharType="end"/>
          </w:r>
          <w:r>
            <w:rPr>
              <w:rFonts w:ascii="Times New Roman" w:hAnsi="Times New Roman" w:cs="Times New Roman"/>
            </w:rPr>
            <w:fldChar w:fldCharType="end"/>
          </w:r>
        </w:p>
        <w:p>
          <w:pPr>
            <w:pStyle w:val="52"/>
            <w:tabs>
              <w:tab w:val="right" w:leader="dot" w:pos="9070"/>
            </w:tabs>
            <w:ind w:firstLine="420"/>
            <w:rPr>
              <w:rFonts w:ascii="Times New Roman" w:hAnsi="Times New Roman" w:cs="Times New Roman"/>
            </w:rPr>
          </w:pPr>
          <w:r>
            <w:fldChar w:fldCharType="begin"/>
          </w:r>
          <w:r>
            <w:instrText xml:space="preserve"> HYPERLINK \l "_Toc12634" </w:instrText>
          </w:r>
          <w:r>
            <w:fldChar w:fldCharType="separate"/>
          </w:r>
          <w:r>
            <w:rPr>
              <w:rFonts w:ascii="Times New Roman" w:hAnsi="Times New Roman" w:cs="Times New Roman"/>
              <w:szCs w:val="24"/>
              <w:lang w:eastAsia="zh-CN"/>
            </w:rPr>
            <w:t>附件4检测报告</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_Toc12634 </w:instrText>
          </w:r>
          <w:r>
            <w:rPr>
              <w:rFonts w:ascii="Times New Roman" w:hAnsi="Times New Roman" w:cs="Times New Roman"/>
            </w:rPr>
            <w:fldChar w:fldCharType="separate"/>
          </w:r>
          <w:r>
            <w:rPr>
              <w:rFonts w:ascii="Times New Roman" w:hAnsi="Times New Roman" w:cs="Times New Roman"/>
            </w:rPr>
            <w:t>139</w:t>
          </w:r>
          <w:r>
            <w:rPr>
              <w:rFonts w:ascii="Times New Roman" w:hAnsi="Times New Roman" w:cs="Times New Roman"/>
            </w:rPr>
            <w:fldChar w:fldCharType="end"/>
          </w:r>
          <w:r>
            <w:rPr>
              <w:rFonts w:ascii="Times New Roman" w:hAnsi="Times New Roman" w:cs="Times New Roman"/>
            </w:rPr>
            <w:fldChar w:fldCharType="end"/>
          </w:r>
        </w:p>
        <w:p>
          <w:pPr>
            <w:pStyle w:val="42"/>
            <w:tabs>
              <w:tab w:val="right" w:leader="dot" w:pos="9070"/>
            </w:tabs>
            <w:ind w:firstLine="420"/>
            <w:rPr>
              <w:rFonts w:ascii="Times New Roman" w:hAnsi="Times New Roman" w:cs="Times New Roman"/>
              <w:b/>
              <w:bCs/>
              <w:lang w:eastAsia="zh-CN"/>
            </w:rPr>
          </w:pPr>
          <w:r>
            <w:fldChar w:fldCharType="begin"/>
          </w:r>
          <w:r>
            <w:instrText xml:space="preserve"> HYPERLINK \l "_Toc18136" </w:instrText>
          </w:r>
          <w:r>
            <w:fldChar w:fldCharType="separate"/>
          </w:r>
          <w:r>
            <w:rPr>
              <w:rFonts w:ascii="Times New Roman" w:hAnsi="Times New Roman" w:cs="Times New Roman"/>
              <w:b/>
              <w:bCs/>
              <w:lang w:eastAsia="zh-CN"/>
            </w:rPr>
            <w:t>附图</w:t>
          </w:r>
          <w:r>
            <w:rPr>
              <w:rFonts w:ascii="Times New Roman" w:hAnsi="Times New Roman" w:cs="Times New Roman"/>
              <w:b/>
              <w:bCs/>
              <w:lang w:eastAsia="zh-CN"/>
            </w:rPr>
            <w:tab/>
          </w:r>
          <w:r>
            <w:rPr>
              <w:rFonts w:ascii="Times New Roman" w:hAnsi="Times New Roman" w:cs="Times New Roman"/>
              <w:b/>
              <w:bCs/>
              <w:lang w:eastAsia="zh-CN"/>
            </w:rPr>
            <w:fldChar w:fldCharType="begin"/>
          </w:r>
          <w:r>
            <w:rPr>
              <w:rFonts w:ascii="Times New Roman" w:hAnsi="Times New Roman" w:cs="Times New Roman"/>
              <w:b/>
              <w:bCs/>
              <w:lang w:eastAsia="zh-CN"/>
            </w:rPr>
            <w:instrText xml:space="preserve"> PAGEREF _Toc18136 </w:instrText>
          </w:r>
          <w:r>
            <w:rPr>
              <w:rFonts w:ascii="Times New Roman" w:hAnsi="Times New Roman" w:cs="Times New Roman"/>
              <w:b/>
              <w:bCs/>
              <w:lang w:eastAsia="zh-CN"/>
            </w:rPr>
            <w:fldChar w:fldCharType="separate"/>
          </w:r>
          <w:r>
            <w:rPr>
              <w:rFonts w:ascii="Times New Roman" w:hAnsi="Times New Roman" w:cs="Times New Roman"/>
              <w:b/>
              <w:bCs/>
              <w:lang w:eastAsia="zh-CN"/>
            </w:rPr>
            <w:t>151</w:t>
          </w:r>
          <w:r>
            <w:rPr>
              <w:rFonts w:ascii="Times New Roman" w:hAnsi="Times New Roman" w:cs="Times New Roman"/>
              <w:b/>
              <w:bCs/>
              <w:lang w:eastAsia="zh-CN"/>
            </w:rPr>
            <w:fldChar w:fldCharType="end"/>
          </w:r>
          <w:r>
            <w:rPr>
              <w:rFonts w:ascii="Times New Roman" w:hAnsi="Times New Roman" w:cs="Times New Roman"/>
              <w:b/>
              <w:bCs/>
              <w:lang w:eastAsia="zh-CN"/>
            </w:rPr>
            <w:fldChar w:fldCharType="end"/>
          </w:r>
        </w:p>
        <w:p>
          <w:pPr>
            <w:pStyle w:val="38"/>
            <w:spacing w:before="72" w:after="72"/>
            <w:ind w:firstLine="480"/>
          </w:pPr>
          <w:r>
            <w:fldChar w:fldCharType="end"/>
          </w:r>
        </w:p>
      </w:sdtContent>
    </w:sdt>
    <w:p>
      <w:pPr>
        <w:tabs>
          <w:tab w:val="left" w:pos="7412"/>
        </w:tabs>
        <w:ind w:firstLine="480"/>
        <w:rPr>
          <w:rFonts w:cs="Times New Roman"/>
          <w:kern w:val="2"/>
          <w:lang w:eastAsia="zh-CN"/>
        </w:rPr>
      </w:pPr>
      <w:r>
        <w:rPr>
          <w:rFonts w:cs="Times New Roman"/>
          <w:kern w:val="2"/>
          <w:lang w:eastAsia="zh-CN"/>
        </w:rPr>
        <w:tab/>
      </w:r>
    </w:p>
    <w:p>
      <w:pPr>
        <w:tabs>
          <w:tab w:val="left" w:pos="7412"/>
        </w:tabs>
        <w:ind w:firstLine="480"/>
        <w:rPr>
          <w:lang w:eastAsia="zh-CN"/>
        </w:rPr>
        <w:sectPr>
          <w:headerReference r:id="rId11" w:type="default"/>
          <w:footerReference r:id="rId12" w:type="default"/>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linePitch="312" w:charSpace="0"/>
        </w:sectPr>
      </w:pPr>
      <w:r>
        <w:rPr>
          <w:lang w:eastAsia="zh-CN"/>
        </w:rPr>
        <w:tab/>
      </w:r>
    </w:p>
    <w:p>
      <w:pPr>
        <w:pStyle w:val="7"/>
        <w:jc w:val="center"/>
        <w:rPr>
          <w:rFonts w:ascii="Times New Roman" w:hAnsi="Times New Roman" w:cs="Times New Roman"/>
          <w:lang w:eastAsia="zh-CN"/>
        </w:rPr>
      </w:pPr>
      <w:bookmarkStart w:id="0" w:name="_Toc3020"/>
      <w:bookmarkStart w:id="1" w:name="_Toc22300"/>
      <w:r>
        <w:rPr>
          <w:rFonts w:ascii="Times New Roman" w:hAnsi="Times New Roman" w:cs="Times New Roman"/>
          <w:lang w:eastAsia="zh-CN"/>
        </w:rPr>
        <w:t>前  言</w:t>
      </w:r>
      <w:bookmarkEnd w:id="0"/>
      <w:bookmarkEnd w:id="1"/>
    </w:p>
    <w:p>
      <w:pPr>
        <w:pStyle w:val="6"/>
        <w:snapToGrid w:val="0"/>
        <w:ind w:firstLine="504"/>
        <w:rPr>
          <w:spacing w:val="6"/>
          <w:sz w:val="24"/>
          <w:szCs w:val="24"/>
        </w:rPr>
      </w:pPr>
      <w:bookmarkStart w:id="2" w:name="_Toc25330"/>
      <w:bookmarkStart w:id="3" w:name="_Toc6096"/>
      <w:r>
        <w:rPr>
          <w:spacing w:val="6"/>
          <w:sz w:val="24"/>
          <w:szCs w:val="24"/>
        </w:rPr>
        <w:t>（1）</w:t>
      </w:r>
      <w:r>
        <w:rPr>
          <w:rFonts w:hint="eastAsia"/>
          <w:spacing w:val="6"/>
          <w:sz w:val="24"/>
          <w:szCs w:val="24"/>
        </w:rPr>
        <w:t>产业园</w:t>
      </w:r>
      <w:r>
        <w:rPr>
          <w:spacing w:val="6"/>
          <w:sz w:val="24"/>
          <w:szCs w:val="24"/>
        </w:rPr>
        <w:t>规划历程及上轮规划环评开展情况</w:t>
      </w:r>
      <w:bookmarkEnd w:id="2"/>
      <w:bookmarkEnd w:id="3"/>
    </w:p>
    <w:p>
      <w:pPr>
        <w:ind w:firstLine="460"/>
        <w:rPr>
          <w:lang w:eastAsia="zh-CN"/>
        </w:rPr>
      </w:pPr>
      <w:r>
        <w:rPr>
          <w:spacing w:val="-5"/>
          <w:lang w:eastAsia="zh-CN"/>
        </w:rPr>
        <w:t>浑南国际新兴产业园区东邻沈抚连接带的沈抚新城、西邻连接主城金廊的浑南现</w:t>
      </w:r>
      <w:r>
        <w:rPr>
          <w:spacing w:val="-11"/>
          <w:lang w:eastAsia="zh-CN"/>
        </w:rPr>
        <w:t>代商贸区、西南邻未来沈阳的行政中心、文化中心、科技中心浑南新城，并与这三大</w:t>
      </w:r>
      <w:r>
        <w:rPr>
          <w:lang w:eastAsia="zh-CN"/>
        </w:rPr>
        <w:t>战略板块形成的互动作用明显，是城市向南发展的又一重点地区</w:t>
      </w:r>
      <w:r>
        <w:rPr>
          <w:rFonts w:hint="eastAsia"/>
          <w:lang w:eastAsia="zh-CN"/>
        </w:rPr>
        <w:t>。</w:t>
      </w:r>
    </w:p>
    <w:p>
      <w:pPr>
        <w:ind w:firstLine="456"/>
        <w:rPr>
          <w:rFonts w:cs="Times New Roman"/>
          <w:lang w:eastAsia="zh-CN"/>
        </w:rPr>
      </w:pPr>
      <w:r>
        <w:rPr>
          <w:spacing w:val="-6"/>
          <w:lang w:eastAsia="zh-CN"/>
        </w:rPr>
        <w:t>浑南国际新兴产业园区位于东陵区北部，规划范围东至三环高速，南至规划全运</w:t>
      </w:r>
      <w:r>
        <w:rPr>
          <w:spacing w:val="-3"/>
          <w:lang w:eastAsia="zh-CN"/>
        </w:rPr>
        <w:t>南路，西至沈李公路，北至浑河，总用地面积</w:t>
      </w:r>
      <w:r>
        <w:rPr>
          <w:rFonts w:eastAsia="Times New Roman"/>
          <w:lang w:eastAsia="zh-CN"/>
        </w:rPr>
        <w:t>51km</w:t>
      </w:r>
      <w:r>
        <w:rPr>
          <w:rFonts w:eastAsia="Times New Roman"/>
          <w:vertAlign w:val="superscript"/>
          <w:lang w:eastAsia="zh-CN"/>
        </w:rPr>
        <w:t>2</w:t>
      </w:r>
      <w:r>
        <w:rPr>
          <w:rFonts w:cs="Times New Roman"/>
          <w:lang w:eastAsia="zh-CN"/>
        </w:rPr>
        <w:t>。</w:t>
      </w:r>
      <w:r>
        <w:rPr>
          <w:rFonts w:eastAsia="Times New Roman"/>
          <w:lang w:eastAsia="zh-CN"/>
        </w:rPr>
        <w:t>2013</w:t>
      </w:r>
      <w:r>
        <w:rPr>
          <w:spacing w:val="-16"/>
          <w:lang w:eastAsia="zh-CN"/>
        </w:rPr>
        <w:t>年</w:t>
      </w:r>
      <w:r>
        <w:rPr>
          <w:rFonts w:eastAsia="Times New Roman"/>
          <w:lang w:eastAsia="zh-CN"/>
        </w:rPr>
        <w:t>7</w:t>
      </w:r>
      <w:r>
        <w:rPr>
          <w:spacing w:val="-1"/>
          <w:lang w:eastAsia="zh-CN"/>
        </w:rPr>
        <w:t>月浑南国际新兴产业园管理委员会编制完成《浑南国际新兴产业园区</w:t>
      </w:r>
      <w:r>
        <w:rPr>
          <w:spacing w:val="-12"/>
          <w:lang w:eastAsia="zh-CN"/>
        </w:rPr>
        <w:t>总体发展规划》</w:t>
      </w:r>
      <w:r>
        <w:rPr>
          <w:rFonts w:hint="eastAsia"/>
          <w:spacing w:val="-12"/>
          <w:lang w:eastAsia="zh-CN"/>
        </w:rPr>
        <w:t>，</w:t>
      </w:r>
      <w:r>
        <w:rPr>
          <w:rFonts w:cs="Times New Roman"/>
          <w:lang w:eastAsia="zh-CN"/>
        </w:rPr>
        <w:t>受</w:t>
      </w:r>
      <w:r>
        <w:rPr>
          <w:spacing w:val="-4"/>
          <w:lang w:eastAsia="zh-CN"/>
        </w:rPr>
        <w:t>浑南国际新兴产业园管理委员</w:t>
      </w:r>
      <w:r>
        <w:rPr>
          <w:rFonts w:cs="Times New Roman"/>
          <w:lang w:eastAsia="zh-CN"/>
        </w:rPr>
        <w:t>委托，</w:t>
      </w:r>
      <w:r>
        <w:rPr>
          <w:rFonts w:eastAsia="Times New Roman"/>
          <w:lang w:eastAsia="zh-CN"/>
        </w:rPr>
        <w:t>2013</w:t>
      </w:r>
      <w:r>
        <w:rPr>
          <w:spacing w:val="-27"/>
          <w:lang w:eastAsia="zh-CN"/>
        </w:rPr>
        <w:t>年</w:t>
      </w:r>
      <w:r>
        <w:rPr>
          <w:spacing w:val="-7"/>
          <w:lang w:eastAsia="zh-CN"/>
        </w:rPr>
        <w:t>沈阳环境科学研究院</w:t>
      </w:r>
      <w:r>
        <w:rPr>
          <w:rFonts w:cs="Times New Roman"/>
          <w:lang w:eastAsia="zh-CN"/>
        </w:rPr>
        <w:t>编制完成了</w:t>
      </w:r>
      <w:r>
        <w:rPr>
          <w:spacing w:val="-8"/>
          <w:lang w:eastAsia="zh-CN"/>
        </w:rPr>
        <w:t>《浑南国际新兴产业园区总体发展规划总体规划环</w:t>
      </w:r>
      <w:r>
        <w:rPr>
          <w:spacing w:val="-16"/>
          <w:lang w:eastAsia="zh-CN"/>
        </w:rPr>
        <w:t>境影响报告书》</w:t>
      </w:r>
      <w:r>
        <w:rPr>
          <w:rFonts w:cs="Times New Roman"/>
          <w:lang w:eastAsia="zh-CN"/>
        </w:rPr>
        <w:t>的环境影响评价工作。</w:t>
      </w:r>
      <w:r>
        <w:rPr>
          <w:rFonts w:hint="eastAsia" w:cs="Times New Roman"/>
          <w:lang w:eastAsia="zh-CN"/>
        </w:rPr>
        <w:t>2015年1月沈阳市环境技术评估中心</w:t>
      </w:r>
      <w:r>
        <w:rPr>
          <w:rFonts w:cs="Times New Roman"/>
          <w:lang w:eastAsia="zh-CN"/>
        </w:rPr>
        <w:t>出具了该</w:t>
      </w:r>
      <w:r>
        <w:rPr>
          <w:rFonts w:hint="eastAsia" w:cs="Times New Roman"/>
          <w:lang w:eastAsia="zh-CN"/>
        </w:rPr>
        <w:t>产业园</w:t>
      </w:r>
      <w:r>
        <w:rPr>
          <w:rFonts w:cs="Times New Roman"/>
          <w:lang w:eastAsia="zh-CN"/>
        </w:rPr>
        <w:t>规划环境影响报告书审查意见。</w:t>
      </w:r>
    </w:p>
    <w:p>
      <w:pPr>
        <w:ind w:firstLine="480"/>
        <w:rPr>
          <w:rFonts w:cs="Times New Roman"/>
          <w:bCs/>
          <w:lang w:eastAsia="zh-CN"/>
        </w:rPr>
      </w:pPr>
      <w:bookmarkStart w:id="4" w:name="_Toc8718"/>
      <w:bookmarkStart w:id="5" w:name="_Toc14028"/>
      <w:r>
        <w:rPr>
          <w:rFonts w:cs="Times New Roman"/>
          <w:bCs/>
          <w:lang w:eastAsia="zh-CN"/>
        </w:rPr>
        <w:t>（2）本次跟踪评价的必要性</w:t>
      </w:r>
      <w:bookmarkEnd w:id="4"/>
      <w:bookmarkEnd w:id="5"/>
    </w:p>
    <w:p>
      <w:pPr>
        <w:ind w:firstLine="480"/>
        <w:rPr>
          <w:rFonts w:cs="Times New Roman"/>
          <w:lang w:eastAsia="zh-CN"/>
        </w:rPr>
      </w:pPr>
      <w:r>
        <w:rPr>
          <w:rFonts w:cs="Times New Roman"/>
          <w:lang w:eastAsia="zh-CN"/>
        </w:rPr>
        <w:t>根据《中华人民共和国环境影响评价法》、《规划环境影响评价条例》：“实施五年以上的产业</w:t>
      </w:r>
      <w:r>
        <w:rPr>
          <w:rFonts w:hint="eastAsia" w:cs="Times New Roman"/>
          <w:lang w:eastAsia="zh-CN"/>
        </w:rPr>
        <w:t>国际新兴产业园区</w:t>
      </w:r>
      <w:r>
        <w:rPr>
          <w:rFonts w:cs="Times New Roman"/>
          <w:lang w:eastAsia="zh-CN"/>
        </w:rPr>
        <w:t>规划，规划编制部门应组织开展环境影响的跟踪评价，编制规划的跟踪环境影响报告书”。2019年3月生态环境部办公厅发布了（环办环评〔2019〕20号）《规划环境影响跟踪评价技术指南（试行）》，提出规划编制机关参考该指南及时开展规划环境影响跟踪评价工作。</w:t>
      </w:r>
    </w:p>
    <w:p>
      <w:pPr>
        <w:ind w:firstLine="480"/>
        <w:rPr>
          <w:rFonts w:cs="Times New Roman"/>
          <w:lang w:eastAsia="zh-CN"/>
        </w:rPr>
      </w:pPr>
      <w:r>
        <w:rPr>
          <w:lang w:eastAsia="zh-CN"/>
        </w:rPr>
        <w:t>浑南国际新兴产业园区总体发展规划</w:t>
      </w:r>
      <w:r>
        <w:rPr>
          <w:rFonts w:cs="Times New Roman"/>
          <w:lang w:eastAsia="zh-CN"/>
        </w:rPr>
        <w:t>自201</w:t>
      </w:r>
      <w:r>
        <w:rPr>
          <w:rFonts w:hint="eastAsia" w:cs="Times New Roman"/>
          <w:lang w:eastAsia="zh-CN"/>
        </w:rPr>
        <w:t>5</w:t>
      </w:r>
      <w:r>
        <w:rPr>
          <w:rFonts w:cs="Times New Roman"/>
          <w:lang w:eastAsia="zh-CN"/>
        </w:rPr>
        <w:t>年</w:t>
      </w:r>
      <w:r>
        <w:rPr>
          <w:rFonts w:hint="eastAsia" w:cs="Times New Roman"/>
          <w:lang w:eastAsia="zh-CN"/>
        </w:rPr>
        <w:t>1</w:t>
      </w:r>
      <w:r>
        <w:rPr>
          <w:rFonts w:cs="Times New Roman"/>
          <w:lang w:eastAsia="zh-CN"/>
        </w:rPr>
        <w:t>月取得规划环评审查意见后，历时已接近</w:t>
      </w:r>
      <w:r>
        <w:rPr>
          <w:rFonts w:hint="eastAsia" w:cs="Times New Roman"/>
          <w:lang w:eastAsia="zh-CN"/>
        </w:rPr>
        <w:t>6</w:t>
      </w:r>
      <w:r>
        <w:rPr>
          <w:rFonts w:cs="Times New Roman"/>
          <w:lang w:eastAsia="zh-CN"/>
        </w:rPr>
        <w:t>年时间，需开展规划环境影响跟踪评价工作。为此，</w:t>
      </w:r>
      <w:r>
        <w:rPr>
          <w:lang w:eastAsia="zh-CN"/>
        </w:rPr>
        <w:t>浑南国际新兴产业园管理委员</w:t>
      </w:r>
      <w:r>
        <w:rPr>
          <w:rFonts w:hint="eastAsia"/>
          <w:lang w:eastAsia="zh-CN"/>
        </w:rPr>
        <w:t>委</w:t>
      </w:r>
      <w:r>
        <w:rPr>
          <w:rFonts w:cs="Times New Roman"/>
          <w:lang w:eastAsia="zh-CN"/>
        </w:rPr>
        <w:t>托</w:t>
      </w:r>
      <w:r>
        <w:rPr>
          <w:rFonts w:hint="eastAsia" w:cs="Times New Roman"/>
          <w:lang w:eastAsia="zh-CN"/>
        </w:rPr>
        <w:t>沈阳联鑫环保科技有限公司</w:t>
      </w:r>
      <w:r>
        <w:rPr>
          <w:rFonts w:cs="Times New Roman"/>
          <w:lang w:eastAsia="zh-CN"/>
        </w:rPr>
        <w:t>开展</w:t>
      </w:r>
      <w:r>
        <w:rPr>
          <w:rFonts w:hint="eastAsia" w:cs="Times New Roman"/>
          <w:lang w:eastAsia="zh-CN"/>
        </w:rPr>
        <w:t>浑南国际新兴产业园区总体发展规划</w:t>
      </w:r>
      <w:r>
        <w:rPr>
          <w:rFonts w:cs="Times New Roman"/>
          <w:lang w:eastAsia="zh-CN"/>
        </w:rPr>
        <w:t>环境影响跟踪评价工作。</w:t>
      </w:r>
    </w:p>
    <w:p>
      <w:pPr>
        <w:ind w:firstLine="480"/>
        <w:rPr>
          <w:rFonts w:cs="Times New Roman"/>
          <w:lang w:eastAsia="zh-CN"/>
        </w:rPr>
      </w:pPr>
      <w:r>
        <w:rPr>
          <w:rFonts w:cs="Times New Roman"/>
          <w:lang w:eastAsia="zh-CN"/>
        </w:rPr>
        <w:t>依据《关于</w:t>
      </w:r>
      <w:r>
        <w:rPr>
          <w:rFonts w:hint="eastAsia" w:cs="Times New Roman"/>
          <w:lang w:eastAsia="zh-CN"/>
        </w:rPr>
        <w:t>浑南国际新兴产业园区总体发展规划</w:t>
      </w:r>
      <w:r>
        <w:rPr>
          <w:rFonts w:cs="Times New Roman"/>
          <w:lang w:eastAsia="zh-CN"/>
        </w:rPr>
        <w:t>环境影响报告书的审查意见》，本次评价以</w:t>
      </w:r>
      <w:r>
        <w:rPr>
          <w:rFonts w:hint="eastAsia" w:cs="Times New Roman"/>
          <w:lang w:eastAsia="zh-CN"/>
        </w:rPr>
        <w:t>国际新兴产业园区</w:t>
      </w:r>
      <w:r>
        <w:rPr>
          <w:rFonts w:cs="Times New Roman"/>
          <w:lang w:eastAsia="zh-CN"/>
        </w:rPr>
        <w:t>规范控制面积</w:t>
      </w:r>
      <w:r>
        <w:rPr>
          <w:rFonts w:eastAsia="Times New Roman"/>
          <w:lang w:eastAsia="zh-CN"/>
        </w:rPr>
        <w:t>51km</w:t>
      </w:r>
      <w:r>
        <w:rPr>
          <w:rFonts w:eastAsia="Times New Roman"/>
          <w:vertAlign w:val="superscript"/>
          <w:lang w:eastAsia="zh-CN"/>
        </w:rPr>
        <w:t>2</w:t>
      </w:r>
      <w:r>
        <w:rPr>
          <w:rFonts w:cs="Times New Roman"/>
          <w:lang w:eastAsia="zh-CN"/>
        </w:rPr>
        <w:t>为评价范围。</w:t>
      </w:r>
    </w:p>
    <w:p>
      <w:pPr>
        <w:pStyle w:val="6"/>
        <w:snapToGrid w:val="0"/>
        <w:ind w:firstLine="480"/>
        <w:rPr>
          <w:sz w:val="24"/>
          <w:szCs w:val="24"/>
        </w:rPr>
      </w:pPr>
      <w:bookmarkStart w:id="6" w:name="_Toc22737"/>
      <w:bookmarkStart w:id="7" w:name="_Toc248"/>
      <w:r>
        <w:rPr>
          <w:sz w:val="24"/>
          <w:szCs w:val="24"/>
        </w:rPr>
        <w:t>（3）跟踪评价过程简介</w:t>
      </w:r>
      <w:bookmarkEnd w:id="6"/>
      <w:bookmarkEnd w:id="7"/>
    </w:p>
    <w:p>
      <w:pPr>
        <w:pStyle w:val="6"/>
        <w:snapToGrid w:val="0"/>
        <w:ind w:firstLine="480"/>
        <w:rPr>
          <w:sz w:val="24"/>
          <w:szCs w:val="24"/>
        </w:rPr>
      </w:pPr>
      <w:r>
        <w:rPr>
          <w:sz w:val="24"/>
          <w:szCs w:val="24"/>
        </w:rPr>
        <w:t>本次跟踪评价内容可分为规划已实施部分和未实施部分。本评价重点针对规划已实施部分进行跟踪评价，通过调查环境质量变化情况、环保措施执行情况及公众参与调查意见，识别已实施的对策和措施存在的主要问题，并对规划已实施部分造成的不良生态环境影响提出整改措施。</w:t>
      </w:r>
    </w:p>
    <w:p>
      <w:pPr>
        <w:ind w:firstLine="480"/>
        <w:contextualSpacing/>
        <w:rPr>
          <w:rFonts w:cs="Times New Roman"/>
          <w:lang w:eastAsia="zh-CN"/>
        </w:rPr>
      </w:pPr>
      <w:r>
        <w:rPr>
          <w:rFonts w:cs="Times New Roman"/>
          <w:lang w:eastAsia="zh-CN"/>
        </w:rPr>
        <w:t>接受委托后，我单位立即组织技术人员进行了现场踏勘，在对</w:t>
      </w:r>
      <w:r>
        <w:rPr>
          <w:rFonts w:hint="eastAsia" w:cs="Times New Roman"/>
          <w:lang w:eastAsia="zh-CN"/>
        </w:rPr>
        <w:t>国际新兴产业园区</w:t>
      </w:r>
      <w:r>
        <w:rPr>
          <w:rFonts w:cs="Times New Roman"/>
          <w:lang w:eastAsia="zh-CN"/>
        </w:rPr>
        <w:t>内相关企业、事业单位等进行现场调查，在对污染源及环境质量现状进行监测的基础上，按照《规划环境影响评价技术导则》及《规划环境影响跟踪评价技术指南》等要求，编制了《</w:t>
      </w:r>
      <w:r>
        <w:rPr>
          <w:rFonts w:hint="eastAsia" w:cs="Times New Roman"/>
          <w:lang w:eastAsia="zh-CN"/>
        </w:rPr>
        <w:t>浑南国际新兴产业园区总体发展规划</w:t>
      </w:r>
      <w:r>
        <w:rPr>
          <w:rFonts w:cs="Times New Roman"/>
          <w:lang w:eastAsia="zh-CN"/>
        </w:rPr>
        <w:t>环境影响跟踪评价报告书》。</w:t>
      </w:r>
    </w:p>
    <w:p>
      <w:pPr>
        <w:ind w:firstLine="480"/>
        <w:contextualSpacing/>
        <w:rPr>
          <w:rFonts w:cs="Times New Roman"/>
          <w:lang w:eastAsia="zh-CN"/>
        </w:rPr>
      </w:pPr>
      <w:r>
        <w:rPr>
          <w:rFonts w:cs="Times New Roman"/>
          <w:lang w:eastAsia="zh-CN"/>
        </w:rPr>
        <w:t>经过多年的发展，</w:t>
      </w:r>
      <w:r>
        <w:rPr>
          <w:rFonts w:hint="eastAsia" w:cs="Times New Roman"/>
          <w:lang w:eastAsia="zh-CN"/>
        </w:rPr>
        <w:t>浑南国际新兴产业园区</w:t>
      </w:r>
      <w:r>
        <w:rPr>
          <w:rFonts w:cs="Times New Roman"/>
          <w:lang w:eastAsia="zh-CN"/>
        </w:rPr>
        <w:t>道路和市政基础设施建设取得了显著成效，</w:t>
      </w:r>
      <w:r>
        <w:rPr>
          <w:rFonts w:hint="eastAsia" w:cs="Times New Roman"/>
          <w:lang w:eastAsia="zh-CN"/>
        </w:rPr>
        <w:t>国际新兴产业园区</w:t>
      </w:r>
      <w:r>
        <w:rPr>
          <w:rFonts w:cs="Times New Roman"/>
          <w:lang w:eastAsia="zh-CN"/>
        </w:rPr>
        <w:t>内水、电、热等基础设施工程条件也得到了迅速改善。</w:t>
      </w:r>
      <w:r>
        <w:rPr>
          <w:rFonts w:hint="eastAsia" w:cs="Times New Roman"/>
          <w:lang w:eastAsia="zh-CN"/>
        </w:rPr>
        <w:t>国际新兴产业园区</w:t>
      </w:r>
      <w:r>
        <w:rPr>
          <w:rFonts w:cs="Times New Roman"/>
          <w:lang w:eastAsia="zh-CN"/>
        </w:rPr>
        <w:t>的发展并未对周围环境造成明显不利影响。</w:t>
      </w:r>
    </w:p>
    <w:p>
      <w:pPr>
        <w:ind w:firstLine="480"/>
        <w:contextualSpacing/>
        <w:rPr>
          <w:rFonts w:cs="Times New Roman"/>
          <w:lang w:eastAsia="zh-CN"/>
        </w:rPr>
        <w:sectPr>
          <w:footerReference r:id="rId13" w:type="default"/>
          <w:pgSz w:w="11910" w:h="16840"/>
          <w:pgMar w:top="1418" w:right="1418" w:bottom="1418" w:left="1418" w:header="1134" w:footer="1134" w:gutter="0"/>
          <w:pgBorders>
            <w:top w:val="none" w:sz="0" w:space="0"/>
            <w:left w:val="none" w:sz="0" w:space="0"/>
            <w:bottom w:val="none" w:sz="0" w:space="0"/>
            <w:right w:val="none" w:sz="0" w:space="0"/>
          </w:pgBorders>
          <w:pgNumType w:start="1"/>
          <w:cols w:space="720" w:num="1"/>
          <w:docGrid w:linePitch="299" w:charSpace="0"/>
        </w:sectPr>
      </w:pPr>
      <w:r>
        <w:rPr>
          <w:rFonts w:cs="Times New Roman"/>
          <w:lang w:eastAsia="zh-CN"/>
        </w:rPr>
        <w:t>在报告编制和修改过程中，得到了</w:t>
      </w:r>
      <w:r>
        <w:rPr>
          <w:lang w:eastAsia="zh-CN"/>
        </w:rPr>
        <w:t>浑南国际新兴产业园管理委员</w:t>
      </w:r>
      <w:r>
        <w:rPr>
          <w:rFonts w:hint="eastAsia"/>
          <w:lang w:eastAsia="zh-CN"/>
        </w:rPr>
        <w:t>会</w:t>
      </w:r>
      <w:r>
        <w:rPr>
          <w:rFonts w:cs="Times New Roman"/>
          <w:lang w:eastAsia="zh-CN"/>
        </w:rPr>
        <w:t>各部门的大力支持，在此表示衷心的感谢。</w:t>
      </w:r>
    </w:p>
    <w:p>
      <w:pPr>
        <w:pStyle w:val="7"/>
        <w:rPr>
          <w:rFonts w:ascii="Times New Roman" w:hAnsi="Times New Roman" w:cs="Times New Roman"/>
          <w:lang w:eastAsia="zh-CN"/>
        </w:rPr>
      </w:pPr>
      <w:bookmarkStart w:id="8" w:name="_Toc3682"/>
      <w:bookmarkStart w:id="9" w:name="_Toc826"/>
      <w:r>
        <w:rPr>
          <w:rFonts w:ascii="Times New Roman" w:hAnsi="Times New Roman" w:cs="Times New Roman"/>
          <w:lang w:eastAsia="zh-CN"/>
        </w:rPr>
        <w:t>1 总则</w:t>
      </w:r>
      <w:bookmarkEnd w:id="8"/>
      <w:bookmarkEnd w:id="9"/>
    </w:p>
    <w:p>
      <w:pPr>
        <w:pStyle w:val="8"/>
        <w:rPr>
          <w:rFonts w:ascii="Times New Roman" w:hAnsi="Times New Roman" w:cs="Times New Roman"/>
          <w:lang w:eastAsia="zh-CN"/>
        </w:rPr>
      </w:pPr>
      <w:bookmarkStart w:id="10" w:name="_Toc13522"/>
      <w:bookmarkStart w:id="11" w:name="_Toc6052"/>
      <w:r>
        <w:rPr>
          <w:rFonts w:ascii="Times New Roman" w:hAnsi="Times New Roman" w:cs="Times New Roman"/>
          <w:lang w:eastAsia="zh-CN"/>
        </w:rPr>
        <w:t>1.1 编制依据</w:t>
      </w:r>
      <w:bookmarkEnd w:id="10"/>
      <w:bookmarkEnd w:id="11"/>
    </w:p>
    <w:p>
      <w:pPr>
        <w:pStyle w:val="9"/>
        <w:rPr>
          <w:rFonts w:ascii="Times New Roman" w:hAnsi="Times New Roman"/>
        </w:rPr>
      </w:pPr>
      <w:bookmarkStart w:id="12" w:name="_Toc22550118"/>
      <w:bookmarkStart w:id="13" w:name="_Toc57572390"/>
      <w:bookmarkStart w:id="14" w:name="_Toc22905"/>
      <w:bookmarkStart w:id="15" w:name="_Toc10368"/>
      <w:bookmarkStart w:id="16" w:name="_Toc22551072"/>
      <w:bookmarkStart w:id="17" w:name="_Toc24646"/>
      <w:r>
        <w:rPr>
          <w:rFonts w:ascii="Times New Roman" w:hAnsi="Times New Roman"/>
        </w:rPr>
        <w:t>1.1.1国家环境保护法律、法规、</w:t>
      </w:r>
      <w:bookmarkStart w:id="18" w:name="_Toc449704181"/>
      <w:bookmarkStart w:id="19" w:name="_Toc434408470"/>
      <w:bookmarkStart w:id="20" w:name="_Toc435793830"/>
      <w:bookmarkStart w:id="21" w:name="_Toc370113086"/>
      <w:bookmarkStart w:id="22" w:name="_Toc426709149"/>
      <w:bookmarkStart w:id="23" w:name="_Toc297299602"/>
      <w:r>
        <w:rPr>
          <w:rFonts w:ascii="Times New Roman" w:hAnsi="Times New Roman"/>
        </w:rPr>
        <w:t>规章及规范性文件</w:t>
      </w:r>
      <w:bookmarkEnd w:id="12"/>
      <w:bookmarkEnd w:id="13"/>
      <w:bookmarkEnd w:id="14"/>
      <w:bookmarkEnd w:id="15"/>
      <w:bookmarkEnd w:id="16"/>
      <w:bookmarkEnd w:id="17"/>
      <w:bookmarkEnd w:id="18"/>
      <w:bookmarkEnd w:id="19"/>
      <w:bookmarkEnd w:id="20"/>
      <w:bookmarkEnd w:id="21"/>
      <w:bookmarkEnd w:id="22"/>
      <w:bookmarkEnd w:id="23"/>
    </w:p>
    <w:p>
      <w:pPr>
        <w:widowControl/>
        <w:ind w:firstLine="480"/>
        <w:rPr>
          <w:color w:val="000000" w:themeColor="text1"/>
          <w:lang w:eastAsia="zh-CN"/>
          <w14:textFill>
            <w14:solidFill>
              <w14:schemeClr w14:val="tx1"/>
            </w14:solidFill>
          </w14:textFill>
        </w:rPr>
      </w:pPr>
      <w:bookmarkStart w:id="24" w:name="_Toc22551073"/>
      <w:bookmarkStart w:id="25" w:name="_Toc22550119"/>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）《中华人民共和国环境保护法》（中华人民共和国主席令第</w:t>
      </w:r>
      <w:r>
        <w:rPr>
          <w:rFonts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2015</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日起修订施行；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w:t>
      </w:r>
      <w:r>
        <w:rPr>
          <w:rFonts w:hint="eastAsia" w:ascii="宋体" w:hAnsi="宋体" w:cs="宋体"/>
          <w:color w:val="000000" w:themeColor="text1"/>
          <w:lang w:eastAsia="zh-CN" w:bidi="ar"/>
          <w14:textFill>
            <w14:solidFill>
              <w14:schemeClr w14:val="tx1"/>
            </w14:solidFill>
          </w14:textFill>
        </w:rPr>
        <w:t>）《中华人民共和国环境影响评价法》（中华人民共和国主席令第</w:t>
      </w:r>
      <w:r>
        <w:rPr>
          <w:rFonts w:cs="Times New Roman"/>
          <w:color w:val="000000" w:themeColor="text1"/>
          <w:lang w:eastAsia="zh-CN" w:bidi="ar"/>
          <w14:textFill>
            <w14:solidFill>
              <w14:schemeClr w14:val="tx1"/>
            </w14:solidFill>
          </w14:textFill>
        </w:rPr>
        <w:t>77</w:t>
      </w:r>
      <w:r>
        <w:rPr>
          <w:rFonts w:hint="eastAsia" w:ascii="宋体" w:hAnsi="宋体" w:cs="宋体"/>
          <w:color w:val="000000" w:themeColor="text1"/>
          <w:lang w:eastAsia="zh-CN" w:bidi="ar"/>
          <w14:textFill>
            <w14:solidFill>
              <w14:schemeClr w14:val="tx1"/>
            </w14:solidFill>
          </w14:textFill>
        </w:rPr>
        <w:t>号），</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12</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29</w:t>
      </w:r>
      <w:r>
        <w:rPr>
          <w:rFonts w:hint="eastAsia" w:ascii="宋体" w:hAnsi="宋体" w:cs="宋体"/>
          <w:color w:val="000000" w:themeColor="text1"/>
          <w:lang w:eastAsia="zh-CN" w:bidi="ar"/>
          <w14:textFill>
            <w14:solidFill>
              <w14:schemeClr w14:val="tx1"/>
            </w14:solidFill>
          </w14:textFill>
        </w:rPr>
        <w:t xml:space="preserve">日修订施行；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w:t>
      </w:r>
      <w:r>
        <w:rPr>
          <w:rFonts w:hint="eastAsia" w:ascii="宋体" w:hAnsi="宋体" w:cs="宋体"/>
          <w:color w:val="000000" w:themeColor="text1"/>
          <w:lang w:eastAsia="zh-CN" w:bidi="ar"/>
          <w14:textFill>
            <w14:solidFill>
              <w14:schemeClr w14:val="tx1"/>
            </w14:solidFill>
          </w14:textFill>
        </w:rPr>
        <w:t>）《中华人民共和国大气污染防治法》（中华人民共和国主席令第</w:t>
      </w:r>
      <w:r>
        <w:rPr>
          <w:rFonts w:cs="Times New Roman"/>
          <w:color w:val="000000" w:themeColor="text1"/>
          <w:lang w:eastAsia="zh-CN" w:bidi="ar"/>
          <w14:textFill>
            <w14:solidFill>
              <w14:schemeClr w14:val="tx1"/>
            </w14:solidFill>
          </w14:textFill>
        </w:rPr>
        <w:t>32</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2016</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日起修订施行；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w:t>
      </w:r>
      <w:r>
        <w:rPr>
          <w:rFonts w:hint="eastAsia" w:ascii="宋体" w:hAnsi="宋体" w:cs="宋体"/>
          <w:color w:val="000000" w:themeColor="text1"/>
          <w:lang w:eastAsia="zh-CN" w:bidi="ar"/>
          <w14:textFill>
            <w14:solidFill>
              <w14:schemeClr w14:val="tx1"/>
            </w14:solidFill>
          </w14:textFill>
        </w:rPr>
        <w:t>） 《中华人民共和国水法》（中华人民共和国主席令第</w:t>
      </w:r>
      <w:r>
        <w:rPr>
          <w:rFonts w:cs="Times New Roman"/>
          <w:color w:val="000000" w:themeColor="text1"/>
          <w:lang w:eastAsia="zh-CN" w:bidi="ar"/>
          <w14:textFill>
            <w14:solidFill>
              <w14:schemeClr w14:val="tx1"/>
            </w14:solidFill>
          </w14:textFill>
        </w:rPr>
        <w:t>74</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2016</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7</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w:t>
      </w:r>
      <w:r>
        <w:rPr>
          <w:rFonts w:hint="eastAsia" w:ascii="宋体" w:hAnsi="宋体" w:cs="宋体"/>
          <w:color w:val="000000" w:themeColor="text1"/>
          <w:lang w:eastAsia="zh-CN" w:bidi="ar"/>
          <w14:textFill>
            <w14:solidFill>
              <w14:schemeClr w14:val="tx1"/>
            </w14:solidFill>
          </w14:textFill>
        </w:rPr>
        <w:t xml:space="preserve">日起修订施行；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w:t>
      </w:r>
      <w:r>
        <w:rPr>
          <w:rFonts w:hint="eastAsia" w:ascii="宋体" w:hAnsi="宋体" w:cs="宋体"/>
          <w:color w:val="000000" w:themeColor="text1"/>
          <w:lang w:eastAsia="zh-CN" w:bidi="ar"/>
          <w14:textFill>
            <w14:solidFill>
              <w14:schemeClr w14:val="tx1"/>
            </w14:solidFill>
          </w14:textFill>
        </w:rPr>
        <w:t>）《中华人民共和国水污染防治法》（中华人民共和国主席令第</w:t>
      </w:r>
      <w:r>
        <w:rPr>
          <w:rFonts w:cs="Times New Roman"/>
          <w:color w:val="000000" w:themeColor="text1"/>
          <w:lang w:eastAsia="zh-CN" w:bidi="ar"/>
          <w14:textFill>
            <w14:solidFill>
              <w14:schemeClr w14:val="tx1"/>
            </w14:solidFill>
          </w14:textFill>
        </w:rPr>
        <w:t>87</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2017</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6</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27</w:t>
      </w:r>
      <w:r>
        <w:rPr>
          <w:rFonts w:hint="eastAsia" w:ascii="宋体" w:hAnsi="宋体" w:cs="宋体"/>
          <w:color w:val="000000" w:themeColor="text1"/>
          <w:lang w:eastAsia="zh-CN" w:bidi="ar"/>
          <w14:textFill>
            <w14:solidFill>
              <w14:schemeClr w14:val="tx1"/>
            </w14:solidFill>
          </w14:textFill>
        </w:rPr>
        <w:t xml:space="preserve">日起修订施行；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w:t>
      </w:r>
      <w:r>
        <w:rPr>
          <w:rFonts w:hint="eastAsia" w:ascii="宋体" w:hAnsi="宋体" w:cs="宋体"/>
          <w:color w:val="000000" w:themeColor="text1"/>
          <w:lang w:eastAsia="zh-CN" w:bidi="ar"/>
          <w14:textFill>
            <w14:solidFill>
              <w14:schemeClr w14:val="tx1"/>
            </w14:solidFill>
          </w14:textFill>
        </w:rPr>
        <w:t>）《中华人民共和国环境噪声污染防治法》（中华人民共和国主席令第</w:t>
      </w:r>
      <w:r>
        <w:rPr>
          <w:rFonts w:cs="Times New Roman"/>
          <w:color w:val="000000" w:themeColor="text1"/>
          <w:lang w:eastAsia="zh-CN" w:bidi="ar"/>
          <w14:textFill>
            <w14:solidFill>
              <w14:schemeClr w14:val="tx1"/>
            </w14:solidFill>
          </w14:textFill>
        </w:rPr>
        <w:t>77</w:t>
      </w:r>
      <w:r>
        <w:rPr>
          <w:rFonts w:hint="eastAsia" w:ascii="宋体" w:hAnsi="宋体" w:cs="宋体"/>
          <w:color w:val="000000" w:themeColor="text1"/>
          <w:lang w:eastAsia="zh-CN" w:bidi="ar"/>
          <w14:textFill>
            <w14:solidFill>
              <w14:schemeClr w14:val="tx1"/>
            </w14:solidFill>
          </w14:textFill>
        </w:rPr>
        <w:t>号公布），自</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12</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29</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7</w:t>
      </w:r>
      <w:r>
        <w:rPr>
          <w:rFonts w:hint="eastAsia" w:ascii="宋体" w:hAnsi="宋体" w:cs="宋体"/>
          <w:color w:val="000000" w:themeColor="text1"/>
          <w:lang w:eastAsia="zh-CN" w:bidi="ar"/>
          <w14:textFill>
            <w14:solidFill>
              <w14:schemeClr w14:val="tx1"/>
            </w14:solidFill>
          </w14:textFill>
        </w:rPr>
        <w:t>）《中华人民共和国固体废物污染环境防治法》（</w:t>
      </w:r>
      <w:r>
        <w:rPr>
          <w:rFonts w:cs="Times New Roman"/>
          <w:color w:val="000000" w:themeColor="text1"/>
          <w:lang w:eastAsia="zh-CN" w:bidi="ar"/>
          <w14:textFill>
            <w14:solidFill>
              <w14:schemeClr w14:val="tx1"/>
            </w14:solidFill>
          </w14:textFill>
        </w:rPr>
        <w:t>2020</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4</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29</w:t>
      </w:r>
      <w:r>
        <w:rPr>
          <w:rFonts w:hint="eastAsia" w:ascii="宋体" w:hAnsi="宋体" w:cs="宋体"/>
          <w:color w:val="000000" w:themeColor="text1"/>
          <w:lang w:eastAsia="zh-CN" w:bidi="ar"/>
          <w14:textFill>
            <w14:solidFill>
              <w14:schemeClr w14:val="tx1"/>
            </w14:solidFill>
          </w14:textFill>
        </w:rPr>
        <w:t>日第十三届全国人民代表大会常务委员会第十七次会议第二次修订），自</w:t>
      </w:r>
      <w:r>
        <w:rPr>
          <w:rFonts w:cs="Times New Roman"/>
          <w:color w:val="000000" w:themeColor="text1"/>
          <w:lang w:eastAsia="zh-CN" w:bidi="ar"/>
          <w14:textFill>
            <w14:solidFill>
              <w14:schemeClr w14:val="tx1"/>
            </w14:solidFill>
          </w14:textFill>
        </w:rPr>
        <w:t>2020</w:t>
      </w:r>
      <w:r>
        <w:rPr>
          <w:rFonts w:hint="eastAsia" w:ascii="宋体" w:hAnsi="宋体" w:cs="宋体"/>
          <w:color w:val="000000" w:themeColor="text1"/>
          <w:lang w:eastAsia="zh-CN" w:bidi="ar"/>
          <w14:textFill>
            <w14:solidFill>
              <w14:schemeClr w14:val="tx1"/>
            </w14:solidFill>
          </w14:textFill>
        </w:rPr>
        <w:t xml:space="preserve">年 </w:t>
      </w:r>
      <w:r>
        <w:rPr>
          <w:rFonts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日起施行；</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8</w:t>
      </w:r>
      <w:r>
        <w:rPr>
          <w:rFonts w:hint="eastAsia" w:ascii="宋体" w:hAnsi="宋体" w:cs="宋体"/>
          <w:color w:val="000000" w:themeColor="text1"/>
          <w:lang w:eastAsia="zh-CN" w:bidi="ar"/>
          <w14:textFill>
            <w14:solidFill>
              <w14:schemeClr w14:val="tx1"/>
            </w14:solidFill>
          </w14:textFill>
        </w:rPr>
        <w:t>）《中华人民共和国清洁生产促进法（</w:t>
      </w:r>
      <w:r>
        <w:rPr>
          <w:rFonts w:cs="Times New Roman"/>
          <w:color w:val="000000" w:themeColor="text1"/>
          <w:lang w:eastAsia="zh-CN" w:bidi="ar"/>
          <w14:textFill>
            <w14:solidFill>
              <w14:schemeClr w14:val="tx1"/>
            </w14:solidFill>
          </w14:textFill>
        </w:rPr>
        <w:t xml:space="preserve">2012 </w:t>
      </w:r>
      <w:r>
        <w:rPr>
          <w:rFonts w:hint="eastAsia" w:ascii="宋体" w:hAnsi="宋体" w:cs="宋体"/>
          <w:color w:val="000000" w:themeColor="text1"/>
          <w:lang w:eastAsia="zh-CN" w:bidi="ar"/>
          <w14:textFill>
            <w14:solidFill>
              <w14:schemeClr w14:val="tx1"/>
            </w14:solidFill>
          </w14:textFill>
        </w:rPr>
        <w:t>修正）》（中华人民共和国主席令第</w:t>
      </w:r>
      <w:r>
        <w:rPr>
          <w:rFonts w:cs="Times New Roman"/>
          <w:color w:val="000000" w:themeColor="text1"/>
          <w:lang w:eastAsia="zh-CN" w:bidi="ar"/>
          <w14:textFill>
            <w14:solidFill>
              <w14:schemeClr w14:val="tx1"/>
            </w14:solidFill>
          </w14:textFill>
        </w:rPr>
        <w:t>54</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2012</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7</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 《中华人民共和国循环经济促进法》（中华人民共和国主席令第四号），自</w:t>
      </w:r>
      <w:r>
        <w:rPr>
          <w:rFonts w:cs="Times New Roman"/>
          <w:color w:val="000000" w:themeColor="text1"/>
          <w:lang w:eastAsia="zh-CN" w:bidi="ar"/>
          <w14:textFill>
            <w14:solidFill>
              <w14:schemeClr w14:val="tx1"/>
            </w14:solidFill>
          </w14:textFill>
        </w:rPr>
        <w:t>2009</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10</w:t>
      </w:r>
      <w:r>
        <w:rPr>
          <w:rFonts w:hint="eastAsia" w:ascii="宋体" w:hAnsi="宋体" w:cs="宋体"/>
          <w:color w:val="000000" w:themeColor="text1"/>
          <w:lang w:eastAsia="zh-CN" w:bidi="ar"/>
          <w14:textFill>
            <w14:solidFill>
              <w14:schemeClr w14:val="tx1"/>
            </w14:solidFill>
          </w14:textFill>
        </w:rPr>
        <w:t xml:space="preserve">）《中华人民共和国节约能源法》（中华人民共和国主席令第七十七号），自 </w:t>
      </w:r>
      <w:r>
        <w:rPr>
          <w:rFonts w:cs="Times New Roman"/>
          <w:color w:val="000000" w:themeColor="text1"/>
          <w:lang w:eastAsia="zh-CN" w:bidi="ar"/>
          <w14:textFill>
            <w14:solidFill>
              <w14:schemeClr w14:val="tx1"/>
            </w14:solidFill>
          </w14:textFill>
        </w:rPr>
        <w:t>2008</w:t>
      </w:r>
      <w:r>
        <w:rPr>
          <w:rFonts w:hint="eastAsia" w:ascii="宋体" w:hAnsi="宋体" w:cs="宋体"/>
          <w:color w:val="000000" w:themeColor="text1"/>
          <w:lang w:eastAsia="zh-CN" w:bidi="ar"/>
          <w14:textFill>
            <w14:solidFill>
              <w14:schemeClr w14:val="tx1"/>
            </w14:solidFill>
          </w14:textFill>
        </w:rPr>
        <w:t>年4月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11</w:t>
      </w:r>
      <w:r>
        <w:rPr>
          <w:rFonts w:hint="eastAsia" w:ascii="宋体" w:hAnsi="宋体" w:cs="宋体"/>
          <w:color w:val="000000" w:themeColor="text1"/>
          <w:lang w:eastAsia="zh-CN" w:bidi="ar"/>
          <w14:textFill>
            <w14:solidFill>
              <w14:schemeClr w14:val="tx1"/>
            </w14:solidFill>
          </w14:textFill>
        </w:rPr>
        <w:t>）《中华人民共和国土地管理法》（中华人民共和国主席令第二十八号），自</w:t>
      </w:r>
      <w:r>
        <w:rPr>
          <w:rFonts w:cs="Times New Roman"/>
          <w:color w:val="000000" w:themeColor="text1"/>
          <w:lang w:eastAsia="zh-CN" w:bidi="ar"/>
          <w14:textFill>
            <w14:solidFill>
              <w14:schemeClr w14:val="tx1"/>
            </w14:solidFill>
          </w14:textFill>
        </w:rPr>
        <w:t>200</w:t>
      </w:r>
      <w:r>
        <w:rPr>
          <w:rFonts w:hint="eastAsia" w:cs="Times New Roman"/>
          <w:color w:val="000000" w:themeColor="text1"/>
          <w:lang w:eastAsia="zh-CN" w:bidi="ar"/>
          <w14:textFill>
            <w14:solidFill>
              <w14:schemeClr w14:val="tx1"/>
            </w14:solidFill>
          </w14:textFill>
        </w:rPr>
        <w:t>4</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8</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28</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12</w:t>
      </w:r>
      <w:r>
        <w:rPr>
          <w:rFonts w:hint="eastAsia" w:ascii="宋体" w:hAnsi="宋体" w:cs="宋体"/>
          <w:color w:val="000000" w:themeColor="text1"/>
          <w:lang w:eastAsia="zh-CN" w:bidi="ar"/>
          <w14:textFill>
            <w14:solidFill>
              <w14:schemeClr w14:val="tx1"/>
            </w14:solidFill>
          </w14:textFill>
        </w:rPr>
        <w:t>）《中华人民共和国城乡规划法》（中华人民共和国主席令第</w:t>
      </w:r>
      <w:r>
        <w:rPr>
          <w:rFonts w:cs="Times New Roman"/>
          <w:color w:val="000000" w:themeColor="text1"/>
          <w:lang w:eastAsia="zh-CN" w:bidi="ar"/>
          <w14:textFill>
            <w14:solidFill>
              <w14:schemeClr w14:val="tx1"/>
            </w14:solidFill>
          </w14:textFill>
        </w:rPr>
        <w:t xml:space="preserve">74 </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2008</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13</w:t>
      </w:r>
      <w:r>
        <w:rPr>
          <w:rFonts w:hint="eastAsia" w:ascii="宋体" w:hAnsi="宋体" w:cs="宋体"/>
          <w:color w:val="000000" w:themeColor="text1"/>
          <w:lang w:eastAsia="zh-CN" w:bidi="ar"/>
          <w14:textFill>
            <w14:solidFill>
              <w14:schemeClr w14:val="tx1"/>
            </w14:solidFill>
          </w14:textFill>
        </w:rPr>
        <w:t>）《规划环境影响评价条例》（中华人民共和国国务院令第</w:t>
      </w:r>
      <w:r>
        <w:rPr>
          <w:rFonts w:cs="Times New Roman"/>
          <w:color w:val="000000" w:themeColor="text1"/>
          <w:lang w:eastAsia="zh-CN" w:bidi="ar"/>
          <w14:textFill>
            <w14:solidFill>
              <w14:schemeClr w14:val="tx1"/>
            </w14:solidFill>
          </w14:textFill>
        </w:rPr>
        <w:t>559</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2009</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10</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14</w:t>
      </w:r>
      <w:r>
        <w:rPr>
          <w:rFonts w:hint="eastAsia" w:ascii="宋体" w:hAnsi="宋体" w:cs="宋体"/>
          <w:color w:val="000000" w:themeColor="text1"/>
          <w:lang w:eastAsia="zh-CN" w:bidi="ar"/>
          <w14:textFill>
            <w14:solidFill>
              <w14:schemeClr w14:val="tx1"/>
            </w14:solidFill>
          </w14:textFill>
        </w:rPr>
        <w:t>）《建设项目环境保护管理条例》（中华人民共和国国务院令</w:t>
      </w:r>
      <w:r>
        <w:rPr>
          <w:rFonts w:cs="Times New Roman"/>
          <w:color w:val="000000" w:themeColor="text1"/>
          <w:lang w:eastAsia="zh-CN" w:bidi="ar"/>
          <w14:textFill>
            <w14:solidFill>
              <w14:schemeClr w14:val="tx1"/>
            </w14:solidFill>
          </w14:textFill>
        </w:rPr>
        <w:t>682</w:t>
      </w:r>
      <w:r>
        <w:rPr>
          <w:rFonts w:hint="eastAsia" w:ascii="宋体" w:hAnsi="宋体" w:cs="宋体"/>
          <w:color w:val="000000" w:themeColor="text1"/>
          <w:lang w:eastAsia="zh-CN" w:bidi="ar"/>
          <w14:textFill>
            <w14:solidFill>
              <w14:schemeClr w14:val="tx1"/>
            </w14:solidFill>
          </w14:textFill>
        </w:rPr>
        <w:t>号），</w:t>
      </w:r>
      <w:r>
        <w:rPr>
          <w:rFonts w:cs="Times New Roman"/>
          <w:color w:val="000000" w:themeColor="text1"/>
          <w:lang w:eastAsia="zh-CN" w:bidi="ar"/>
          <w14:textFill>
            <w14:solidFill>
              <w14:schemeClr w14:val="tx1"/>
            </w14:solidFill>
          </w14:textFill>
        </w:rPr>
        <w:t>2017</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10</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日修改施行； </w:t>
      </w:r>
    </w:p>
    <w:p>
      <w:pPr>
        <w:widowControl/>
        <w:ind w:firstLine="480"/>
        <w:rPr>
          <w:rFonts w:ascii="宋体" w:hAnsi="宋体" w:cs="宋体"/>
          <w:color w:val="000000" w:themeColor="text1"/>
          <w:lang w:eastAsia="zh-CN" w:bidi="ar"/>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15</w:t>
      </w:r>
      <w:r>
        <w:rPr>
          <w:rFonts w:hint="eastAsia" w:ascii="宋体" w:hAnsi="宋体" w:cs="宋体"/>
          <w:color w:val="000000" w:themeColor="text1"/>
          <w:lang w:eastAsia="zh-CN" w:bidi="ar"/>
          <w14:textFill>
            <w14:solidFill>
              <w14:schemeClr w14:val="tx1"/>
            </w14:solidFill>
          </w14:textFill>
        </w:rPr>
        <w:t xml:space="preserve">）《中共中央国务院关于加快推进生态文明建设的意见》；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16</w:t>
      </w:r>
      <w:r>
        <w:rPr>
          <w:rFonts w:hint="eastAsia" w:ascii="宋体" w:hAnsi="宋体" w:cs="宋体"/>
          <w:color w:val="000000" w:themeColor="text1"/>
          <w:lang w:eastAsia="zh-CN" w:bidi="ar"/>
          <w14:textFill>
            <w14:solidFill>
              <w14:schemeClr w14:val="tx1"/>
            </w14:solidFill>
          </w14:textFill>
        </w:rPr>
        <w:t xml:space="preserve">）《中共中央国务院关于全面加强生态环境保护坚决打好污染防治攻坚战的意见》；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17</w:t>
      </w:r>
      <w:r>
        <w:rPr>
          <w:rFonts w:hint="eastAsia" w:ascii="宋体" w:hAnsi="宋体" w:cs="宋体"/>
          <w:color w:val="000000" w:themeColor="text1"/>
          <w:lang w:eastAsia="zh-CN" w:bidi="ar"/>
          <w14:textFill>
            <w14:solidFill>
              <w14:schemeClr w14:val="tx1"/>
            </w14:solidFill>
          </w14:textFill>
        </w:rPr>
        <w:t>）《中共中央办公厅国务院办公厅关于划定并严守生态保护红线的若干意见》；</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18</w:t>
      </w:r>
      <w:r>
        <w:rPr>
          <w:rFonts w:hint="eastAsia" w:ascii="宋体" w:hAnsi="宋体" w:cs="宋体"/>
          <w:color w:val="000000" w:themeColor="text1"/>
          <w:lang w:eastAsia="zh-CN" w:bidi="ar"/>
          <w14:textFill>
            <w14:solidFill>
              <w14:schemeClr w14:val="tx1"/>
            </w14:solidFill>
          </w14:textFill>
        </w:rPr>
        <w:t>）《基本农田保护条例》（国务院令第</w:t>
      </w:r>
      <w:r>
        <w:rPr>
          <w:rFonts w:cs="Times New Roman"/>
          <w:color w:val="000000" w:themeColor="text1"/>
          <w:lang w:eastAsia="zh-CN" w:bidi="ar"/>
          <w14:textFill>
            <w14:solidFill>
              <w14:schemeClr w14:val="tx1"/>
            </w14:solidFill>
          </w14:textFill>
        </w:rPr>
        <w:t>257</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1999</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日起施行；</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19</w:t>
      </w:r>
      <w:r>
        <w:rPr>
          <w:rFonts w:hint="eastAsia" w:ascii="宋体" w:hAnsi="宋体" w:cs="宋体"/>
          <w:color w:val="000000" w:themeColor="text1"/>
          <w:lang w:eastAsia="zh-CN" w:bidi="ar"/>
          <w14:textFill>
            <w14:solidFill>
              <w14:schemeClr w14:val="tx1"/>
            </w14:solidFill>
          </w14:textFill>
        </w:rPr>
        <w:t>）《建设项目环境影响评价分类管理名录》（中华人民共和国环境保护部令第</w:t>
      </w:r>
      <w:r>
        <w:rPr>
          <w:rFonts w:cs="Times New Roman"/>
          <w:color w:val="000000" w:themeColor="text1"/>
          <w:lang w:eastAsia="zh-CN" w:bidi="ar"/>
          <w14:textFill>
            <w14:solidFill>
              <w14:schemeClr w14:val="tx1"/>
            </w14:solidFill>
          </w14:textFill>
        </w:rPr>
        <w:t>33</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20</w:t>
      </w:r>
      <w:r>
        <w:rPr>
          <w:rFonts w:hint="eastAsia" w:ascii="宋体" w:hAnsi="宋体" w:cs="宋体"/>
          <w:color w:val="000000" w:themeColor="text1"/>
          <w:lang w:eastAsia="zh-CN" w:bidi="ar"/>
          <w14:textFill>
            <w14:solidFill>
              <w14:schemeClr w14:val="tx1"/>
            </w14:solidFill>
          </w14:textFill>
        </w:rPr>
        <w:t>）《突发环境事件应急管理办法》（中华人民共和国环境保护部令第</w:t>
      </w:r>
      <w:r>
        <w:rPr>
          <w:rFonts w:cs="Times New Roman"/>
          <w:color w:val="000000" w:themeColor="text1"/>
          <w:lang w:eastAsia="zh-CN" w:bidi="ar"/>
          <w14:textFill>
            <w14:solidFill>
              <w14:schemeClr w14:val="tx1"/>
            </w14:solidFill>
          </w14:textFill>
        </w:rPr>
        <w:t>34</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21</w:t>
      </w:r>
      <w:r>
        <w:rPr>
          <w:rFonts w:hint="eastAsia" w:ascii="宋体" w:hAnsi="宋体" w:cs="宋体"/>
          <w:color w:val="000000" w:themeColor="text1"/>
          <w:lang w:eastAsia="zh-CN" w:bidi="ar"/>
          <w14:textFill>
            <w14:solidFill>
              <w14:schemeClr w14:val="tx1"/>
            </w14:solidFill>
          </w14:textFill>
        </w:rPr>
        <w:t>）《污染地块土壤环境管理办法（试行）》（中华人民共和国环境保护部令第</w:t>
      </w:r>
      <w:r>
        <w:rPr>
          <w:rFonts w:cs="Times New Roman"/>
          <w:color w:val="000000" w:themeColor="text1"/>
          <w:lang w:eastAsia="zh-CN" w:bidi="ar"/>
          <w14:textFill>
            <w14:solidFill>
              <w14:schemeClr w14:val="tx1"/>
            </w14:solidFill>
          </w14:textFill>
        </w:rPr>
        <w:t>42</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22</w:t>
      </w:r>
      <w:r>
        <w:rPr>
          <w:rFonts w:hint="eastAsia" w:ascii="宋体" w:hAnsi="宋体" w:cs="宋体"/>
          <w:color w:val="000000" w:themeColor="text1"/>
          <w:lang w:eastAsia="zh-CN" w:bidi="ar"/>
          <w14:textFill>
            <w14:solidFill>
              <w14:schemeClr w14:val="tx1"/>
            </w14:solidFill>
          </w14:textFill>
        </w:rPr>
        <w:t xml:space="preserve">）《饮用水水源保护区污染防治管理规定》；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23</w:t>
      </w:r>
      <w:r>
        <w:rPr>
          <w:rFonts w:hint="eastAsia" w:ascii="宋体" w:hAnsi="宋体" w:cs="宋体"/>
          <w:color w:val="000000" w:themeColor="text1"/>
          <w:lang w:eastAsia="zh-CN" w:bidi="ar"/>
          <w14:textFill>
            <w14:solidFill>
              <w14:schemeClr w14:val="tx1"/>
            </w14:solidFill>
          </w14:textFill>
        </w:rPr>
        <w:t>）《关于修改</w:t>
      </w:r>
      <w:r>
        <w:rPr>
          <w:rFonts w:cs="Times New Roman"/>
          <w:color w:val="000000" w:themeColor="text1"/>
          <w:lang w:eastAsia="zh-CN" w:bidi="ar"/>
          <w14:textFill>
            <w14:solidFill>
              <w14:schemeClr w14:val="tx1"/>
            </w14:solidFill>
          </w14:textFill>
        </w:rPr>
        <w:t>&lt;</w:t>
      </w:r>
      <w:r>
        <w:rPr>
          <w:rFonts w:hint="eastAsia" w:ascii="宋体" w:hAnsi="宋体" w:cs="宋体"/>
          <w:color w:val="000000" w:themeColor="text1"/>
          <w:lang w:eastAsia="zh-CN" w:bidi="ar"/>
          <w14:textFill>
            <w14:solidFill>
              <w14:schemeClr w14:val="tx1"/>
            </w14:solidFill>
          </w14:textFill>
        </w:rPr>
        <w:t>建设项目环境影响评价分类管理名录</w:t>
      </w:r>
      <w:r>
        <w:rPr>
          <w:rFonts w:cs="Times New Roman"/>
          <w:color w:val="000000" w:themeColor="text1"/>
          <w:lang w:eastAsia="zh-CN" w:bidi="ar"/>
          <w14:textFill>
            <w14:solidFill>
              <w14:schemeClr w14:val="tx1"/>
            </w14:solidFill>
          </w14:textFill>
        </w:rPr>
        <w:t>&gt;</w:t>
      </w:r>
      <w:r>
        <w:rPr>
          <w:rFonts w:hint="eastAsia" w:ascii="宋体" w:hAnsi="宋体" w:cs="宋体"/>
          <w:color w:val="000000" w:themeColor="text1"/>
          <w:lang w:eastAsia="zh-CN" w:bidi="ar"/>
          <w14:textFill>
            <w14:solidFill>
              <w14:schemeClr w14:val="tx1"/>
            </w14:solidFill>
          </w14:textFill>
        </w:rPr>
        <w:t>部分内容的决定》（中华人民共和国环境保护部令第</w:t>
      </w:r>
      <w:r>
        <w:rPr>
          <w:rFonts w:cs="Times New Roman"/>
          <w:color w:val="000000" w:themeColor="text1"/>
          <w:lang w:eastAsia="zh-CN" w:bidi="ar"/>
          <w14:textFill>
            <w14:solidFill>
              <w14:schemeClr w14:val="tx1"/>
            </w14:solidFill>
          </w14:textFill>
        </w:rPr>
        <w:t>44</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24</w:t>
      </w:r>
      <w:r>
        <w:rPr>
          <w:rFonts w:hint="eastAsia" w:ascii="宋体" w:hAnsi="宋体" w:cs="宋体"/>
          <w:color w:val="000000" w:themeColor="text1"/>
          <w:lang w:eastAsia="zh-CN" w:bidi="ar"/>
          <w14:textFill>
            <w14:solidFill>
              <w14:schemeClr w14:val="tx1"/>
            </w14:solidFill>
          </w14:textFill>
        </w:rPr>
        <w:t xml:space="preserve">）《农用地土壤环境管理办法（试行）》（中华人民共和国环境保护部令第 </w:t>
      </w:r>
    </w:p>
    <w:p>
      <w:pPr>
        <w:widowControl/>
        <w:ind w:firstLine="480"/>
        <w:rPr>
          <w:color w:val="000000" w:themeColor="text1"/>
          <w:lang w:eastAsia="zh-CN"/>
          <w14:textFill>
            <w14:solidFill>
              <w14:schemeClr w14:val="tx1"/>
            </w14:solidFill>
          </w14:textFill>
        </w:rPr>
      </w:pPr>
      <w:r>
        <w:rPr>
          <w:rFonts w:cs="Times New Roman"/>
          <w:color w:val="000000" w:themeColor="text1"/>
          <w:lang w:eastAsia="zh-CN" w:bidi="ar"/>
          <w14:textFill>
            <w14:solidFill>
              <w14:schemeClr w14:val="tx1"/>
            </w14:solidFill>
          </w14:textFill>
        </w:rPr>
        <w:t xml:space="preserve">46 </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25</w:t>
      </w:r>
      <w:r>
        <w:rPr>
          <w:rFonts w:hint="eastAsia" w:ascii="宋体" w:hAnsi="宋体" w:cs="宋体"/>
          <w:color w:val="000000" w:themeColor="text1"/>
          <w:lang w:eastAsia="zh-CN" w:bidi="ar"/>
          <w14:textFill>
            <w14:solidFill>
              <w14:schemeClr w14:val="tx1"/>
            </w14:solidFill>
          </w14:textFill>
        </w:rPr>
        <w:t>）《工矿用地土壤环境管理办法（试行）》（中华人民共和国生态环境部令第</w:t>
      </w:r>
      <w:r>
        <w:rPr>
          <w:rFonts w:cs="Times New Roman"/>
          <w:color w:val="000000" w:themeColor="text1"/>
          <w:lang w:eastAsia="zh-CN" w:bidi="ar"/>
          <w14:textFill>
            <w14:solidFill>
              <w14:schemeClr w14:val="tx1"/>
            </w14:solidFill>
          </w14:textFill>
        </w:rPr>
        <w:t>3</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8</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26</w:t>
      </w:r>
      <w:r>
        <w:rPr>
          <w:rFonts w:hint="eastAsia" w:ascii="宋体" w:hAnsi="宋体" w:cs="宋体"/>
          <w:color w:val="000000" w:themeColor="text1"/>
          <w:lang w:eastAsia="zh-CN" w:bidi="ar"/>
          <w14:textFill>
            <w14:solidFill>
              <w14:schemeClr w14:val="tx1"/>
            </w14:solidFill>
          </w14:textFill>
        </w:rPr>
        <w:t>）《环境影响评价公众参与办法》（中华人民共和国生态环境部令第</w:t>
      </w:r>
      <w:r>
        <w:rPr>
          <w:rFonts w:cs="Times New Roman"/>
          <w:color w:val="000000" w:themeColor="text1"/>
          <w:lang w:eastAsia="zh-CN" w:bidi="ar"/>
          <w14:textFill>
            <w14:solidFill>
              <w14:schemeClr w14:val="tx1"/>
            </w14:solidFill>
          </w14:textFill>
        </w:rPr>
        <w:t>4</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2019</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27</w:t>
      </w:r>
      <w:r>
        <w:rPr>
          <w:rFonts w:hint="eastAsia" w:ascii="宋体" w:hAnsi="宋体" w:cs="宋体"/>
          <w:color w:val="000000" w:themeColor="text1"/>
          <w:lang w:eastAsia="zh-CN" w:bidi="ar"/>
          <w14:textFill>
            <w14:solidFill>
              <w14:schemeClr w14:val="tx1"/>
            </w14:solidFill>
          </w14:textFill>
        </w:rPr>
        <w:t>）《环境保护公众参与办法》（环境保护部令第</w:t>
      </w:r>
      <w:r>
        <w:rPr>
          <w:rFonts w:cs="Times New Roman"/>
          <w:color w:val="000000" w:themeColor="text1"/>
          <w:lang w:eastAsia="zh-CN" w:bidi="ar"/>
          <w14:textFill>
            <w14:solidFill>
              <w14:schemeClr w14:val="tx1"/>
            </w14:solidFill>
          </w14:textFill>
        </w:rPr>
        <w:t>35</w:t>
      </w:r>
      <w:r>
        <w:rPr>
          <w:rFonts w:hint="eastAsia" w:ascii="宋体" w:hAnsi="宋体" w:cs="宋体"/>
          <w:color w:val="000000" w:themeColor="text1"/>
          <w:lang w:eastAsia="zh-CN" w:bidi="ar"/>
          <w14:textFill>
            <w14:solidFill>
              <w14:schemeClr w14:val="tx1"/>
            </w14:solidFill>
          </w14:textFill>
        </w:rPr>
        <w:t>号），</w:t>
      </w:r>
      <w:r>
        <w:rPr>
          <w:rFonts w:cs="Times New Roman"/>
          <w:color w:val="000000" w:themeColor="text1"/>
          <w:lang w:eastAsia="zh-CN" w:bidi="ar"/>
          <w14:textFill>
            <w14:solidFill>
              <w14:schemeClr w14:val="tx1"/>
            </w14:solidFill>
          </w14:textFill>
        </w:rPr>
        <w:t>2015</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日起施行；</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28</w:t>
      </w:r>
      <w:r>
        <w:rPr>
          <w:rFonts w:hint="eastAsia" w:ascii="宋体" w:hAnsi="宋体" w:cs="宋体"/>
          <w:color w:val="000000" w:themeColor="text1"/>
          <w:lang w:eastAsia="zh-CN" w:bidi="ar"/>
          <w14:textFill>
            <w14:solidFill>
              <w14:schemeClr w14:val="tx1"/>
            </w14:solidFill>
          </w14:textFill>
        </w:rPr>
        <w:t>）《危险化学品安全管理条例》（中华人民共和国国务院令</w:t>
      </w:r>
      <w:r>
        <w:rPr>
          <w:rFonts w:cs="Times New Roman"/>
          <w:color w:val="000000" w:themeColor="text1"/>
          <w:lang w:eastAsia="zh-CN" w:bidi="ar"/>
          <w14:textFill>
            <w14:solidFill>
              <w14:schemeClr w14:val="tx1"/>
            </w14:solidFill>
          </w14:textFill>
        </w:rPr>
        <w:t>591</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2011</w:t>
      </w:r>
      <w:r>
        <w:rPr>
          <w:rFonts w:hint="eastAsia" w:ascii="宋体" w:hAnsi="宋体" w:cs="宋体"/>
          <w:color w:val="000000" w:themeColor="text1"/>
          <w:lang w:eastAsia="zh-CN" w:bidi="ar"/>
          <w14:textFill>
            <w14:solidFill>
              <w14:schemeClr w14:val="tx1"/>
            </w14:solidFill>
          </w14:textFill>
        </w:rPr>
        <w:t>年1</w:t>
      </w:r>
      <w:r>
        <w:rPr>
          <w:rFonts w:cs="Times New Roman"/>
          <w:color w:val="000000" w:themeColor="text1"/>
          <w:lang w:eastAsia="zh-CN" w:bidi="ar"/>
          <w14:textFill>
            <w14:solidFill>
              <w14:schemeClr w14:val="tx1"/>
            </w14:solidFill>
          </w14:textFill>
        </w:rPr>
        <w:t>2</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日起施行；</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29</w:t>
      </w:r>
      <w:r>
        <w:rPr>
          <w:rFonts w:hint="eastAsia" w:ascii="宋体" w:hAnsi="宋体" w:cs="宋体"/>
          <w:color w:val="000000" w:themeColor="text1"/>
          <w:lang w:eastAsia="zh-CN" w:bidi="ar"/>
          <w14:textFill>
            <w14:solidFill>
              <w14:schemeClr w14:val="tx1"/>
            </w14:solidFill>
          </w14:textFill>
        </w:rPr>
        <w:t>）《城镇排水与污水处理条例》（中华人民共和国国务院令</w:t>
      </w:r>
      <w:r>
        <w:rPr>
          <w:rFonts w:cs="Times New Roman"/>
          <w:color w:val="000000" w:themeColor="text1"/>
          <w:lang w:eastAsia="zh-CN" w:bidi="ar"/>
          <w14:textFill>
            <w14:solidFill>
              <w14:schemeClr w14:val="tx1"/>
            </w14:solidFill>
          </w14:textFill>
        </w:rPr>
        <w:t>641</w:t>
      </w:r>
      <w:r>
        <w:rPr>
          <w:rFonts w:hint="eastAsia" w:ascii="宋体" w:hAnsi="宋体" w:cs="宋体"/>
          <w:color w:val="000000" w:themeColor="text1"/>
          <w:lang w:eastAsia="zh-CN" w:bidi="ar"/>
          <w14:textFill>
            <w14:solidFill>
              <w14:schemeClr w14:val="tx1"/>
            </w14:solidFill>
          </w14:textFill>
        </w:rPr>
        <w:t>号），自</w:t>
      </w:r>
      <w:r>
        <w:rPr>
          <w:rFonts w:cs="Times New Roman"/>
          <w:color w:val="000000" w:themeColor="text1"/>
          <w:lang w:eastAsia="zh-CN" w:bidi="ar"/>
          <w14:textFill>
            <w14:solidFill>
              <w14:schemeClr w14:val="tx1"/>
            </w14:solidFill>
          </w14:textFill>
        </w:rPr>
        <w:t>2014</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日起施行；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30</w:t>
      </w:r>
      <w:r>
        <w:rPr>
          <w:rFonts w:hint="eastAsia" w:ascii="宋体" w:hAnsi="宋体" w:cs="宋体"/>
          <w:color w:val="000000" w:themeColor="text1"/>
          <w:lang w:eastAsia="zh-CN" w:bidi="ar"/>
          <w14:textFill>
            <w14:solidFill>
              <w14:schemeClr w14:val="tx1"/>
            </w14:solidFill>
          </w14:textFill>
        </w:rPr>
        <w:t>）《国务院关于落实科学发展观加强环境保护的决定》（国发〔</w:t>
      </w:r>
      <w:r>
        <w:rPr>
          <w:rFonts w:cs="Times New Roman"/>
          <w:color w:val="000000" w:themeColor="text1"/>
          <w:lang w:eastAsia="zh-CN" w:bidi="ar"/>
          <w14:textFill>
            <w14:solidFill>
              <w14:schemeClr w14:val="tx1"/>
            </w14:solidFill>
          </w14:textFill>
        </w:rPr>
        <w:t>2005</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39</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31</w:t>
      </w:r>
      <w:r>
        <w:rPr>
          <w:rFonts w:hint="eastAsia" w:ascii="宋体" w:hAnsi="宋体" w:cs="宋体"/>
          <w:color w:val="000000" w:themeColor="text1"/>
          <w:lang w:eastAsia="zh-CN" w:bidi="ar"/>
          <w14:textFill>
            <w14:solidFill>
              <w14:schemeClr w14:val="tx1"/>
            </w14:solidFill>
          </w14:textFill>
        </w:rPr>
        <w:t>）《国务院关于印发节能减排综合性工作方案的通知》（国发〔</w:t>
      </w:r>
      <w:r>
        <w:rPr>
          <w:rFonts w:cs="Times New Roman"/>
          <w:color w:val="000000" w:themeColor="text1"/>
          <w:lang w:eastAsia="zh-CN" w:bidi="ar"/>
          <w14:textFill>
            <w14:solidFill>
              <w14:schemeClr w14:val="tx1"/>
            </w14:solidFill>
          </w14:textFill>
        </w:rPr>
        <w:t>2007</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15</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32</w:t>
      </w:r>
      <w:r>
        <w:rPr>
          <w:rFonts w:hint="eastAsia" w:ascii="宋体" w:hAnsi="宋体" w:cs="宋体"/>
          <w:color w:val="000000" w:themeColor="text1"/>
          <w:lang w:eastAsia="zh-CN" w:bidi="ar"/>
          <w14:textFill>
            <w14:solidFill>
              <w14:schemeClr w14:val="tx1"/>
            </w14:solidFill>
          </w14:textFill>
        </w:rPr>
        <w:t>）《国务院关于加强环境保护重点工作的意见》（国发〔</w:t>
      </w:r>
      <w:r>
        <w:rPr>
          <w:rFonts w:cs="Times New Roman"/>
          <w:color w:val="000000" w:themeColor="text1"/>
          <w:lang w:eastAsia="zh-CN" w:bidi="ar"/>
          <w14:textFill>
            <w14:solidFill>
              <w14:schemeClr w14:val="tx1"/>
            </w14:solidFill>
          </w14:textFill>
        </w:rPr>
        <w:t>2011</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35</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33</w:t>
      </w:r>
      <w:r>
        <w:rPr>
          <w:rFonts w:hint="eastAsia" w:ascii="宋体" w:hAnsi="宋体" w:cs="宋体"/>
          <w:color w:val="000000" w:themeColor="text1"/>
          <w:lang w:eastAsia="zh-CN" w:bidi="ar"/>
          <w14:textFill>
            <w14:solidFill>
              <w14:schemeClr w14:val="tx1"/>
            </w14:solidFill>
          </w14:textFill>
        </w:rPr>
        <w:t>）《国务院关于印发大气污染防治行动计划的通知》（国发〔</w:t>
      </w:r>
      <w:r>
        <w:rPr>
          <w:rFonts w:cs="Times New Roman"/>
          <w:color w:val="000000" w:themeColor="text1"/>
          <w:lang w:eastAsia="zh-CN" w:bidi="ar"/>
          <w14:textFill>
            <w14:solidFill>
              <w14:schemeClr w14:val="tx1"/>
            </w14:solidFill>
          </w14:textFill>
        </w:rPr>
        <w:t>2013</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37</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34</w:t>
      </w:r>
      <w:r>
        <w:rPr>
          <w:rFonts w:hint="eastAsia" w:ascii="宋体" w:hAnsi="宋体" w:cs="宋体"/>
          <w:color w:val="000000" w:themeColor="text1"/>
          <w:lang w:eastAsia="zh-CN" w:bidi="ar"/>
          <w14:textFill>
            <w14:solidFill>
              <w14:schemeClr w14:val="tx1"/>
            </w14:solidFill>
          </w14:textFill>
        </w:rPr>
        <w:t>）《国务院关于印发水污染防治行动计划的通知》（国发〔</w:t>
      </w:r>
      <w:r>
        <w:rPr>
          <w:rFonts w:cs="Times New Roman"/>
          <w:color w:val="000000" w:themeColor="text1"/>
          <w:lang w:eastAsia="zh-CN" w:bidi="ar"/>
          <w14:textFill>
            <w14:solidFill>
              <w14:schemeClr w14:val="tx1"/>
            </w14:solidFill>
          </w14:textFill>
        </w:rPr>
        <w:t>2015</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17</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35</w:t>
      </w:r>
      <w:r>
        <w:rPr>
          <w:rFonts w:hint="eastAsia" w:ascii="宋体" w:hAnsi="宋体" w:cs="宋体"/>
          <w:color w:val="000000" w:themeColor="text1"/>
          <w:lang w:eastAsia="zh-CN" w:bidi="ar"/>
          <w14:textFill>
            <w14:solidFill>
              <w14:schemeClr w14:val="tx1"/>
            </w14:solidFill>
          </w14:textFill>
        </w:rPr>
        <w:t>）《国务院关于印发土壤污染防治行动计划的通知》（国发〔</w:t>
      </w:r>
      <w:r>
        <w:rPr>
          <w:rFonts w:cs="Times New Roman"/>
          <w:color w:val="000000" w:themeColor="text1"/>
          <w:lang w:eastAsia="zh-CN" w:bidi="ar"/>
          <w14:textFill>
            <w14:solidFill>
              <w14:schemeClr w14:val="tx1"/>
            </w14:solidFill>
          </w14:textFill>
        </w:rPr>
        <w:t>2016</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31</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36</w:t>
      </w:r>
      <w:r>
        <w:rPr>
          <w:rFonts w:hint="eastAsia" w:ascii="宋体" w:hAnsi="宋体" w:cs="宋体"/>
          <w:color w:val="000000" w:themeColor="text1"/>
          <w:lang w:eastAsia="zh-CN" w:bidi="ar"/>
          <w14:textFill>
            <w14:solidFill>
              <w14:schemeClr w14:val="tx1"/>
            </w14:solidFill>
          </w14:textFill>
        </w:rPr>
        <w:t>）《国务院关于推进国际产能和装备制造合作的指导意见》（国发〔</w:t>
      </w:r>
      <w:r>
        <w:rPr>
          <w:rFonts w:cs="Times New Roman"/>
          <w:color w:val="000000" w:themeColor="text1"/>
          <w:lang w:eastAsia="zh-CN" w:bidi="ar"/>
          <w14:textFill>
            <w14:solidFill>
              <w14:schemeClr w14:val="tx1"/>
            </w14:solidFill>
          </w14:textFill>
        </w:rPr>
        <w:t>2015</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30</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37</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十三五</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控制温室气体排放工作方案》（国发〔</w:t>
      </w:r>
      <w:r>
        <w:rPr>
          <w:rFonts w:cs="Times New Roman"/>
          <w:color w:val="000000" w:themeColor="text1"/>
          <w:lang w:eastAsia="zh-CN" w:bidi="ar"/>
          <w14:textFill>
            <w14:solidFill>
              <w14:schemeClr w14:val="tx1"/>
            </w14:solidFill>
          </w14:textFill>
        </w:rPr>
        <w:t>2016</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61</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38</w:t>
      </w:r>
      <w:r>
        <w:rPr>
          <w:rFonts w:hint="eastAsia" w:ascii="宋体" w:hAnsi="宋体" w:cs="宋体"/>
          <w:color w:val="000000" w:themeColor="text1"/>
          <w:lang w:eastAsia="zh-CN" w:bidi="ar"/>
          <w14:textFill>
            <w14:solidFill>
              <w14:schemeClr w14:val="tx1"/>
            </w14:solidFill>
          </w14:textFill>
        </w:rPr>
        <w:t>）《国务院关于印发打赢蓝天保卫战三年行动计划的通知》（国发〔</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22</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39</w:t>
      </w:r>
      <w:r>
        <w:rPr>
          <w:rFonts w:hint="eastAsia" w:ascii="宋体" w:hAnsi="宋体" w:cs="宋体"/>
          <w:color w:val="000000" w:themeColor="text1"/>
          <w:lang w:eastAsia="zh-CN" w:bidi="ar"/>
          <w14:textFill>
            <w14:solidFill>
              <w14:schemeClr w14:val="tx1"/>
            </w14:solidFill>
          </w14:textFill>
        </w:rPr>
        <w:t>）《国务院办公厅关于促进国家级经济技术开发区转型升级创新发展的若干意见》（国办发〔</w:t>
      </w:r>
      <w:r>
        <w:rPr>
          <w:rFonts w:cs="Times New Roman"/>
          <w:color w:val="000000" w:themeColor="text1"/>
          <w:lang w:eastAsia="zh-CN" w:bidi="ar"/>
          <w14:textFill>
            <w14:solidFill>
              <w14:schemeClr w14:val="tx1"/>
            </w14:solidFill>
          </w14:textFill>
        </w:rPr>
        <w:t>2014</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54</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40</w:t>
      </w:r>
      <w:r>
        <w:rPr>
          <w:rFonts w:hint="eastAsia" w:ascii="宋体" w:hAnsi="宋体" w:cs="宋体"/>
          <w:color w:val="000000" w:themeColor="text1"/>
          <w:lang w:eastAsia="zh-CN" w:bidi="ar"/>
          <w14:textFill>
            <w14:solidFill>
              <w14:schemeClr w14:val="tx1"/>
            </w14:solidFill>
          </w14:textFill>
        </w:rPr>
        <w:t>）《国务院关于加强环境保护重点工作的意见》（国发〔</w:t>
      </w:r>
      <w:r>
        <w:rPr>
          <w:rFonts w:cs="Times New Roman"/>
          <w:color w:val="000000" w:themeColor="text1"/>
          <w:lang w:eastAsia="zh-CN" w:bidi="ar"/>
          <w14:textFill>
            <w14:solidFill>
              <w14:schemeClr w14:val="tx1"/>
            </w14:solidFill>
          </w14:textFill>
        </w:rPr>
        <w:t>2011</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35</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41</w:t>
      </w:r>
      <w:r>
        <w:rPr>
          <w:rFonts w:hint="eastAsia" w:ascii="宋体" w:hAnsi="宋体" w:cs="宋体"/>
          <w:color w:val="000000" w:themeColor="text1"/>
          <w:lang w:eastAsia="zh-CN" w:bidi="ar"/>
          <w14:textFill>
            <w14:solidFill>
              <w14:schemeClr w14:val="tx1"/>
            </w14:solidFill>
          </w14:textFill>
        </w:rPr>
        <w:t>）《国家危险废物名录》（环境保护部、国家发改委令第</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42</w:t>
      </w:r>
      <w:r>
        <w:rPr>
          <w:rFonts w:hint="eastAsia" w:ascii="宋体" w:hAnsi="宋体" w:cs="宋体"/>
          <w:color w:val="000000" w:themeColor="text1"/>
          <w:lang w:eastAsia="zh-CN" w:bidi="ar"/>
          <w14:textFill>
            <w14:solidFill>
              <w14:schemeClr w14:val="tx1"/>
            </w14:solidFill>
          </w14:textFill>
        </w:rPr>
        <w:t>）《关于印发</w:t>
      </w:r>
      <w:r>
        <w:rPr>
          <w:rFonts w:cs="Times New Roman"/>
          <w:color w:val="000000" w:themeColor="text1"/>
          <w:lang w:eastAsia="zh-CN" w:bidi="ar"/>
          <w14:textFill>
            <w14:solidFill>
              <w14:schemeClr w14:val="tx1"/>
            </w14:solidFill>
          </w14:textFill>
        </w:rPr>
        <w:t>&lt;</w:t>
      </w:r>
      <w:r>
        <w:rPr>
          <w:rFonts w:hint="eastAsia" w:ascii="宋体" w:hAnsi="宋体" w:cs="宋体"/>
          <w:color w:val="000000" w:themeColor="text1"/>
          <w:lang w:eastAsia="zh-CN" w:bidi="ar"/>
          <w14:textFill>
            <w14:solidFill>
              <w14:schemeClr w14:val="tx1"/>
            </w14:solidFill>
          </w14:textFill>
        </w:rPr>
        <w:t>编制环境影响报告书的规划的具体范围（试行）</w:t>
      </w:r>
      <w:r>
        <w:rPr>
          <w:rFonts w:cs="Times New Roman"/>
          <w:color w:val="000000" w:themeColor="text1"/>
          <w:lang w:eastAsia="zh-CN" w:bidi="ar"/>
          <w14:textFill>
            <w14:solidFill>
              <w14:schemeClr w14:val="tx1"/>
            </w14:solidFill>
          </w14:textFill>
        </w:rPr>
        <w:t>&gt;</w:t>
      </w:r>
      <w:r>
        <w:rPr>
          <w:rFonts w:hint="eastAsia" w:ascii="宋体" w:hAnsi="宋体" w:cs="宋体"/>
          <w:color w:val="000000" w:themeColor="text1"/>
          <w:lang w:eastAsia="zh-CN" w:bidi="ar"/>
          <w14:textFill>
            <w14:solidFill>
              <w14:schemeClr w14:val="tx1"/>
            </w14:solidFill>
          </w14:textFill>
        </w:rPr>
        <w:t>和</w:t>
      </w:r>
      <w:r>
        <w:rPr>
          <w:rFonts w:cs="Times New Roman"/>
          <w:color w:val="000000" w:themeColor="text1"/>
          <w:lang w:eastAsia="zh-CN" w:bidi="ar"/>
          <w14:textFill>
            <w14:solidFill>
              <w14:schemeClr w14:val="tx1"/>
            </w14:solidFill>
          </w14:textFill>
        </w:rPr>
        <w:t>&lt;</w:t>
      </w:r>
      <w:r>
        <w:rPr>
          <w:rFonts w:hint="eastAsia" w:ascii="宋体" w:hAnsi="宋体" w:cs="宋体"/>
          <w:color w:val="000000" w:themeColor="text1"/>
          <w:lang w:eastAsia="zh-CN" w:bidi="ar"/>
          <w14:textFill>
            <w14:solidFill>
              <w14:schemeClr w14:val="tx1"/>
            </w14:solidFill>
          </w14:textFill>
        </w:rPr>
        <w:t>编制环境影响篇章或说明的规划的具体范围（试行）</w:t>
      </w:r>
      <w:r>
        <w:rPr>
          <w:rFonts w:cs="Times New Roman"/>
          <w:color w:val="000000" w:themeColor="text1"/>
          <w:lang w:eastAsia="zh-CN" w:bidi="ar"/>
          <w14:textFill>
            <w14:solidFill>
              <w14:schemeClr w14:val="tx1"/>
            </w14:solidFill>
          </w14:textFill>
        </w:rPr>
        <w:t>&gt;</w:t>
      </w:r>
      <w:r>
        <w:rPr>
          <w:rFonts w:hint="eastAsia" w:ascii="宋体" w:hAnsi="宋体" w:cs="宋体"/>
          <w:color w:val="000000" w:themeColor="text1"/>
          <w:lang w:eastAsia="zh-CN" w:bidi="ar"/>
          <w14:textFill>
            <w14:solidFill>
              <w14:schemeClr w14:val="tx1"/>
            </w14:solidFill>
          </w14:textFill>
        </w:rPr>
        <w:t>的通知》（环发〔</w:t>
      </w:r>
      <w:r>
        <w:rPr>
          <w:rFonts w:cs="Times New Roman"/>
          <w:color w:val="000000" w:themeColor="text1"/>
          <w:lang w:eastAsia="zh-CN" w:bidi="ar"/>
          <w14:textFill>
            <w14:solidFill>
              <w14:schemeClr w14:val="tx1"/>
            </w14:solidFill>
          </w14:textFill>
        </w:rPr>
        <w:t>2004</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98</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43</w:t>
      </w:r>
      <w:r>
        <w:rPr>
          <w:rFonts w:hint="eastAsia" w:ascii="宋体" w:hAnsi="宋体" w:cs="宋体"/>
          <w:color w:val="000000" w:themeColor="text1"/>
          <w:lang w:eastAsia="zh-CN" w:bidi="ar"/>
          <w14:textFill>
            <w14:solidFill>
              <w14:schemeClr w14:val="tx1"/>
            </w14:solidFill>
          </w14:textFill>
        </w:rPr>
        <w:t>）《关于进一步加强规划环境影响评价工作的通知》（环发〔</w:t>
      </w:r>
      <w:r>
        <w:rPr>
          <w:rFonts w:cs="Times New Roman"/>
          <w:color w:val="000000" w:themeColor="text1"/>
          <w:lang w:eastAsia="zh-CN" w:bidi="ar"/>
          <w14:textFill>
            <w14:solidFill>
              <w14:schemeClr w14:val="tx1"/>
            </w14:solidFill>
          </w14:textFill>
        </w:rPr>
        <w:t>2011</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99</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44</w:t>
      </w:r>
      <w:r>
        <w:rPr>
          <w:rFonts w:hint="eastAsia" w:ascii="宋体" w:hAnsi="宋体" w:cs="宋体"/>
          <w:color w:val="000000" w:themeColor="text1"/>
          <w:lang w:eastAsia="zh-CN" w:bidi="ar"/>
          <w14:textFill>
            <w14:solidFill>
              <w14:schemeClr w14:val="tx1"/>
            </w14:solidFill>
          </w14:textFill>
        </w:rPr>
        <w:t>）《关于加强产业园区规划环境影响评价有关工作的通知》（环发〔</w:t>
      </w:r>
      <w:r>
        <w:rPr>
          <w:rFonts w:cs="Times New Roman"/>
          <w:color w:val="000000" w:themeColor="text1"/>
          <w:lang w:eastAsia="zh-CN" w:bidi="ar"/>
          <w14:textFill>
            <w14:solidFill>
              <w14:schemeClr w14:val="tx1"/>
            </w14:solidFill>
          </w14:textFill>
        </w:rPr>
        <w:t>2011</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cs="Times New Roman"/>
          <w:color w:val="000000" w:themeColor="text1"/>
          <w:lang w:eastAsia="zh-CN" w:bidi="ar"/>
          <w14:textFill>
            <w14:solidFill>
              <w14:schemeClr w14:val="tx1"/>
            </w14:solidFill>
          </w14:textFill>
        </w:rPr>
        <w:t>4</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45</w:t>
      </w:r>
      <w:r>
        <w:rPr>
          <w:rFonts w:hint="eastAsia" w:ascii="宋体" w:hAnsi="宋体" w:cs="宋体"/>
          <w:color w:val="000000" w:themeColor="text1"/>
          <w:lang w:eastAsia="zh-CN" w:bidi="ar"/>
          <w14:textFill>
            <w14:solidFill>
              <w14:schemeClr w14:val="tx1"/>
            </w14:solidFill>
          </w14:textFill>
        </w:rPr>
        <w:t>）《关于进一步加强环境影响评价管理防范环境风险的通知》（环发〔</w:t>
      </w:r>
      <w:r>
        <w:rPr>
          <w:rFonts w:cs="Times New Roman"/>
          <w:color w:val="000000" w:themeColor="text1"/>
          <w:lang w:eastAsia="zh-CN" w:bidi="ar"/>
          <w14:textFill>
            <w14:solidFill>
              <w14:schemeClr w14:val="tx1"/>
            </w14:solidFill>
          </w14:textFill>
        </w:rPr>
        <w:t>2012</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77</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46</w:t>
      </w:r>
      <w:r>
        <w:rPr>
          <w:rFonts w:hint="eastAsia" w:ascii="宋体" w:hAnsi="宋体" w:cs="宋体"/>
          <w:color w:val="000000" w:themeColor="text1"/>
          <w:lang w:eastAsia="zh-CN" w:bidi="ar"/>
          <w14:textFill>
            <w14:solidFill>
              <w14:schemeClr w14:val="tx1"/>
            </w14:solidFill>
          </w14:textFill>
        </w:rPr>
        <w:t>）《关于切实加强风险防范严格环境影响评价管理的通知》（环发〔</w:t>
      </w:r>
      <w:r>
        <w:rPr>
          <w:rFonts w:cs="Times New Roman"/>
          <w:color w:val="000000" w:themeColor="text1"/>
          <w:lang w:eastAsia="zh-CN" w:bidi="ar"/>
          <w14:textFill>
            <w14:solidFill>
              <w14:schemeClr w14:val="tx1"/>
            </w14:solidFill>
          </w14:textFill>
        </w:rPr>
        <w:t>2012</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98</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47</w:t>
      </w:r>
      <w:r>
        <w:rPr>
          <w:rFonts w:hint="eastAsia" w:ascii="宋体" w:hAnsi="宋体" w:cs="宋体"/>
          <w:color w:val="000000" w:themeColor="text1"/>
          <w:lang w:eastAsia="zh-CN" w:bidi="ar"/>
          <w14:textFill>
            <w14:solidFill>
              <w14:schemeClr w14:val="tx1"/>
            </w14:solidFill>
          </w14:textFill>
        </w:rPr>
        <w:t>）《关于落实大气污染防治行动计划严格环境影响评价准入的通知》（环办〔</w:t>
      </w:r>
      <w:r>
        <w:rPr>
          <w:rFonts w:cs="Times New Roman"/>
          <w:color w:val="000000" w:themeColor="text1"/>
          <w:lang w:eastAsia="zh-CN" w:bidi="ar"/>
          <w14:textFill>
            <w14:solidFill>
              <w14:schemeClr w14:val="tx1"/>
            </w14:solidFill>
          </w14:textFill>
        </w:rPr>
        <w:t>2014</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30</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48</w:t>
      </w:r>
      <w:r>
        <w:rPr>
          <w:rFonts w:hint="eastAsia" w:ascii="宋体" w:hAnsi="宋体" w:cs="宋体"/>
          <w:color w:val="000000" w:themeColor="text1"/>
          <w:lang w:eastAsia="zh-CN" w:bidi="ar"/>
          <w14:textFill>
            <w14:solidFill>
              <w14:schemeClr w14:val="tx1"/>
            </w14:solidFill>
          </w14:textFill>
        </w:rPr>
        <w:t>） 《关于加快推动生活方式绿色化的实施意见》（环发〔</w:t>
      </w:r>
      <w:r>
        <w:rPr>
          <w:rFonts w:cs="Times New Roman"/>
          <w:color w:val="000000" w:themeColor="text1"/>
          <w:lang w:eastAsia="zh-CN" w:bidi="ar"/>
          <w14:textFill>
            <w14:solidFill>
              <w14:schemeClr w14:val="tx1"/>
            </w14:solidFill>
          </w14:textFill>
        </w:rPr>
        <w:t>2015</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135</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49</w:t>
      </w:r>
      <w:r>
        <w:rPr>
          <w:rFonts w:hint="eastAsia" w:ascii="宋体" w:hAnsi="宋体" w:cs="宋体"/>
          <w:color w:val="000000" w:themeColor="text1"/>
          <w:lang w:eastAsia="zh-CN" w:bidi="ar"/>
          <w14:textFill>
            <w14:solidFill>
              <w14:schemeClr w14:val="tx1"/>
            </w14:solidFill>
          </w14:textFill>
        </w:rPr>
        <w:t>） 《关于以改善环境质量为核心加强环境影响评价管理的通知》（环环评〔</w:t>
      </w:r>
      <w:r>
        <w:rPr>
          <w:rFonts w:cs="Times New Roman"/>
          <w:color w:val="000000" w:themeColor="text1"/>
          <w:lang w:eastAsia="zh-CN" w:bidi="ar"/>
          <w14:textFill>
            <w14:solidFill>
              <w14:schemeClr w14:val="tx1"/>
            </w14:solidFill>
          </w14:textFill>
        </w:rPr>
        <w:t>2016</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150</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50</w:t>
      </w:r>
      <w:r>
        <w:rPr>
          <w:rFonts w:hint="eastAsia" w:ascii="宋体" w:hAnsi="宋体" w:cs="宋体"/>
          <w:color w:val="000000" w:themeColor="text1"/>
          <w:lang w:eastAsia="zh-CN" w:bidi="ar"/>
          <w14:textFill>
            <w14:solidFill>
              <w14:schemeClr w14:val="tx1"/>
            </w14:solidFill>
          </w14:textFill>
        </w:rPr>
        <w:t>）《关于规划环境影响评价加强空间管制、总量管控和环境准入的指导意见（试行）》（环办环评〔</w:t>
      </w:r>
      <w:r>
        <w:rPr>
          <w:rFonts w:cs="Times New Roman"/>
          <w:color w:val="000000" w:themeColor="text1"/>
          <w:lang w:eastAsia="zh-CN" w:bidi="ar"/>
          <w14:textFill>
            <w14:solidFill>
              <w14:schemeClr w14:val="tx1"/>
            </w14:solidFill>
          </w14:textFill>
        </w:rPr>
        <w:t>2016</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14</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51</w:t>
      </w:r>
      <w:r>
        <w:rPr>
          <w:rFonts w:hint="eastAsia" w:ascii="宋体" w:hAnsi="宋体" w:cs="宋体"/>
          <w:color w:val="000000" w:themeColor="text1"/>
          <w:lang w:eastAsia="zh-CN" w:bidi="ar"/>
          <w14:textFill>
            <w14:solidFill>
              <w14:schemeClr w14:val="tx1"/>
            </w14:solidFill>
          </w14:textFill>
        </w:rPr>
        <w:t>）《关于加强规划环境影响评价与建设项目环境影响评价联动工作的意见》（环发〔</w:t>
      </w:r>
      <w:r>
        <w:rPr>
          <w:rFonts w:cs="Times New Roman"/>
          <w:color w:val="000000" w:themeColor="text1"/>
          <w:lang w:eastAsia="zh-CN" w:bidi="ar"/>
          <w14:textFill>
            <w14:solidFill>
              <w14:schemeClr w14:val="tx1"/>
            </w14:solidFill>
          </w14:textFill>
        </w:rPr>
        <w:t>2015</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178</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52</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十三五</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挥发性有机物污染防治工作方案》（环大气〔</w:t>
      </w:r>
      <w:r>
        <w:rPr>
          <w:rFonts w:cs="Times New Roman"/>
          <w:color w:val="000000" w:themeColor="text1"/>
          <w:lang w:eastAsia="zh-CN" w:bidi="ar"/>
          <w14:textFill>
            <w14:solidFill>
              <w14:schemeClr w14:val="tx1"/>
            </w14:solidFill>
          </w14:textFill>
        </w:rPr>
        <w:t>2017</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121</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53</w:t>
      </w:r>
      <w:r>
        <w:rPr>
          <w:rFonts w:hint="eastAsia" w:ascii="宋体" w:hAnsi="宋体" w:cs="宋体"/>
          <w:color w:val="000000" w:themeColor="text1"/>
          <w:lang w:eastAsia="zh-CN" w:bidi="ar"/>
          <w14:textFill>
            <w14:solidFill>
              <w14:schemeClr w14:val="tx1"/>
            </w14:solidFill>
          </w14:textFill>
        </w:rPr>
        <w:t>）《关于加强涉重金属行业污染防控的意见》（环土壤〔</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22</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54</w:t>
      </w:r>
      <w:r>
        <w:rPr>
          <w:rFonts w:hint="eastAsia" w:ascii="宋体" w:hAnsi="宋体" w:cs="宋体"/>
          <w:color w:val="000000" w:themeColor="text1"/>
          <w:lang w:eastAsia="zh-CN" w:bidi="ar"/>
          <w14:textFill>
            <w14:solidFill>
              <w14:schemeClr w14:val="tx1"/>
            </w14:solidFill>
          </w14:textFill>
        </w:rPr>
        <w:t>）《农业农村污染治理攻坚战行动计划》（环土壤〔</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143</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55</w:t>
      </w:r>
      <w:r>
        <w:rPr>
          <w:rFonts w:hint="eastAsia" w:ascii="宋体" w:hAnsi="宋体" w:cs="宋体"/>
          <w:color w:val="000000" w:themeColor="text1"/>
          <w:lang w:eastAsia="zh-CN" w:bidi="ar"/>
          <w14:textFill>
            <w14:solidFill>
              <w14:schemeClr w14:val="tx1"/>
            </w14:solidFill>
          </w14:textFill>
        </w:rPr>
        <w:t>）《关于印发地下水污染防治实施方案的通知》（环土壤〔</w:t>
      </w:r>
      <w:r>
        <w:rPr>
          <w:rFonts w:cs="Times New Roman"/>
          <w:color w:val="000000" w:themeColor="text1"/>
          <w:lang w:eastAsia="zh-CN" w:bidi="ar"/>
          <w14:textFill>
            <w14:solidFill>
              <w14:schemeClr w14:val="tx1"/>
            </w14:solidFill>
          </w14:textFill>
        </w:rPr>
        <w:t>2019</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25</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56</w:t>
      </w:r>
      <w:r>
        <w:rPr>
          <w:rFonts w:hint="eastAsia" w:ascii="宋体" w:hAnsi="宋体" w:cs="宋体"/>
          <w:color w:val="000000" w:themeColor="text1"/>
          <w:lang w:eastAsia="zh-CN" w:bidi="ar"/>
          <w14:textFill>
            <w14:solidFill>
              <w14:schemeClr w14:val="tx1"/>
            </w14:solidFill>
          </w14:textFill>
        </w:rPr>
        <w:t>）《关于印发</w:t>
      </w:r>
      <w:r>
        <w:rPr>
          <w:rFonts w:cs="Times New Roman"/>
          <w:color w:val="000000" w:themeColor="text1"/>
          <w:lang w:eastAsia="zh-CN" w:bidi="ar"/>
          <w14:textFill>
            <w14:solidFill>
              <w14:schemeClr w14:val="tx1"/>
            </w14:solidFill>
          </w14:textFill>
        </w:rPr>
        <w:t>&lt;</w:t>
      </w:r>
      <w:r>
        <w:rPr>
          <w:rFonts w:hint="eastAsia" w:ascii="宋体" w:hAnsi="宋体" w:cs="宋体"/>
          <w:color w:val="000000" w:themeColor="text1"/>
          <w:lang w:eastAsia="zh-CN" w:bidi="ar"/>
          <w14:textFill>
            <w14:solidFill>
              <w14:schemeClr w14:val="tx1"/>
            </w14:solidFill>
          </w14:textFill>
        </w:rPr>
        <w:t>重点行业挥发性有机物综合治理方案</w:t>
      </w:r>
      <w:r>
        <w:rPr>
          <w:rFonts w:cs="Times New Roman"/>
          <w:color w:val="000000" w:themeColor="text1"/>
          <w:lang w:eastAsia="zh-CN" w:bidi="ar"/>
          <w14:textFill>
            <w14:solidFill>
              <w14:schemeClr w14:val="tx1"/>
            </w14:solidFill>
          </w14:textFill>
        </w:rPr>
        <w:t>&gt;</w:t>
      </w:r>
      <w:r>
        <w:rPr>
          <w:rFonts w:hint="eastAsia" w:ascii="宋体" w:hAnsi="宋体" w:cs="宋体"/>
          <w:color w:val="000000" w:themeColor="text1"/>
          <w:lang w:eastAsia="zh-CN" w:bidi="ar"/>
          <w14:textFill>
            <w14:solidFill>
              <w14:schemeClr w14:val="tx1"/>
            </w14:solidFill>
          </w14:textFill>
        </w:rPr>
        <w:t>的通知》（环大气〔</w:t>
      </w:r>
      <w:r>
        <w:rPr>
          <w:rFonts w:cs="Times New Roman"/>
          <w:color w:val="000000" w:themeColor="text1"/>
          <w:lang w:eastAsia="zh-CN" w:bidi="ar"/>
          <w14:textFill>
            <w14:solidFill>
              <w14:schemeClr w14:val="tx1"/>
            </w14:solidFill>
          </w14:textFill>
        </w:rPr>
        <w:t>2019</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53</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57</w:t>
      </w:r>
      <w:r>
        <w:rPr>
          <w:rFonts w:hint="eastAsia" w:ascii="宋体" w:hAnsi="宋体" w:cs="宋体"/>
          <w:color w:val="000000" w:themeColor="text1"/>
          <w:lang w:eastAsia="zh-CN" w:bidi="ar"/>
          <w14:textFill>
            <w14:solidFill>
              <w14:schemeClr w14:val="tx1"/>
            </w14:solidFill>
          </w14:textFill>
        </w:rPr>
        <w:t>）《工业炉窑大气污染综合治理方案》（环大气〔</w:t>
      </w:r>
      <w:r>
        <w:rPr>
          <w:rFonts w:cs="Times New Roman"/>
          <w:color w:val="000000" w:themeColor="text1"/>
          <w:lang w:eastAsia="zh-CN" w:bidi="ar"/>
          <w14:textFill>
            <w14:solidFill>
              <w14:schemeClr w14:val="tx1"/>
            </w14:solidFill>
          </w14:textFill>
        </w:rPr>
        <w:t>2019</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56</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58</w:t>
      </w:r>
      <w:r>
        <w:rPr>
          <w:rFonts w:hint="eastAsia" w:ascii="宋体" w:hAnsi="宋体" w:cs="宋体"/>
          <w:color w:val="000000" w:themeColor="text1"/>
          <w:lang w:eastAsia="zh-CN" w:bidi="ar"/>
          <w14:textFill>
            <w14:solidFill>
              <w14:schemeClr w14:val="tx1"/>
            </w14:solidFill>
          </w14:textFill>
        </w:rPr>
        <w:t>）《产业结构调整指导目录（</w:t>
      </w:r>
      <w:r>
        <w:rPr>
          <w:rFonts w:cs="Times New Roman"/>
          <w:color w:val="000000" w:themeColor="text1"/>
          <w:lang w:eastAsia="zh-CN" w:bidi="ar"/>
          <w14:textFill>
            <w14:solidFill>
              <w14:schemeClr w14:val="tx1"/>
            </w14:solidFill>
          </w14:textFill>
        </w:rPr>
        <w:t>2019</w:t>
      </w:r>
      <w:r>
        <w:rPr>
          <w:rFonts w:hint="eastAsia" w:ascii="宋体" w:hAnsi="宋体" w:cs="宋体"/>
          <w:color w:val="000000" w:themeColor="text1"/>
          <w:lang w:eastAsia="zh-CN" w:bidi="ar"/>
          <w14:textFill>
            <w14:solidFill>
              <w14:schemeClr w14:val="tx1"/>
            </w14:solidFill>
          </w14:textFill>
        </w:rPr>
        <w:t xml:space="preserve">年本）》（中华人民共和国国家发展和改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革委员会令第</w:t>
      </w:r>
      <w:r>
        <w:rPr>
          <w:rFonts w:cs="Times New Roman"/>
          <w:color w:val="000000" w:themeColor="text1"/>
          <w:lang w:eastAsia="zh-CN" w:bidi="ar"/>
          <w14:textFill>
            <w14:solidFill>
              <w14:schemeClr w14:val="tx1"/>
            </w14:solidFill>
          </w14:textFill>
        </w:rPr>
        <w:t>29</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59</w:t>
      </w:r>
      <w:r>
        <w:rPr>
          <w:rFonts w:hint="eastAsia" w:ascii="宋体" w:hAnsi="宋体" w:cs="宋体"/>
          <w:color w:val="000000" w:themeColor="text1"/>
          <w:lang w:eastAsia="zh-CN" w:bidi="ar"/>
          <w14:textFill>
            <w14:solidFill>
              <w14:schemeClr w14:val="tx1"/>
            </w14:solidFill>
          </w14:textFill>
        </w:rPr>
        <w:t>）《鼓励外商投资产业目录（</w:t>
      </w:r>
      <w:r>
        <w:rPr>
          <w:rFonts w:cs="Times New Roman"/>
          <w:color w:val="000000" w:themeColor="text1"/>
          <w:lang w:eastAsia="zh-CN" w:bidi="ar"/>
          <w14:textFill>
            <w14:solidFill>
              <w14:schemeClr w14:val="tx1"/>
            </w14:solidFill>
          </w14:textFill>
        </w:rPr>
        <w:t>2019</w:t>
      </w:r>
      <w:r>
        <w:rPr>
          <w:rFonts w:hint="eastAsia" w:ascii="宋体" w:hAnsi="宋体" w:cs="宋体"/>
          <w:color w:val="000000" w:themeColor="text1"/>
          <w:lang w:eastAsia="zh-CN" w:bidi="ar"/>
          <w14:textFill>
            <w14:solidFill>
              <w14:schemeClr w14:val="tx1"/>
            </w14:solidFill>
          </w14:textFill>
        </w:rPr>
        <w:t xml:space="preserve">年版）》（中华人民共和国国家发展和改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革委员会 中华人民共和国商务部令第</w:t>
      </w:r>
      <w:r>
        <w:rPr>
          <w:rFonts w:cs="Times New Roman"/>
          <w:color w:val="000000" w:themeColor="text1"/>
          <w:lang w:eastAsia="zh-CN" w:bidi="ar"/>
          <w14:textFill>
            <w14:solidFill>
              <w14:schemeClr w14:val="tx1"/>
            </w14:solidFill>
          </w14:textFill>
        </w:rPr>
        <w:t>27</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60</w:t>
      </w:r>
      <w:r>
        <w:rPr>
          <w:rFonts w:hint="eastAsia" w:ascii="宋体" w:hAnsi="宋体" w:cs="宋体"/>
          <w:color w:val="000000" w:themeColor="text1"/>
          <w:lang w:eastAsia="zh-CN" w:bidi="ar"/>
          <w14:textFill>
            <w14:solidFill>
              <w14:schemeClr w14:val="tx1"/>
            </w14:solidFill>
          </w14:textFill>
        </w:rPr>
        <w:t>）《外商投资准入特别管理措施（负面清单）（</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年版）》（中华人民共和国国家发展和改革委员会中华人民共和国商务部令第</w:t>
      </w:r>
      <w:r>
        <w:rPr>
          <w:rFonts w:cs="Times New Roman"/>
          <w:color w:val="000000" w:themeColor="text1"/>
          <w:lang w:eastAsia="zh-CN" w:bidi="ar"/>
          <w14:textFill>
            <w14:solidFill>
              <w14:schemeClr w14:val="tx1"/>
            </w14:solidFill>
          </w14:textFill>
        </w:rPr>
        <w:t>18</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61</w:t>
      </w:r>
      <w:r>
        <w:rPr>
          <w:rFonts w:hint="eastAsia" w:ascii="宋体" w:hAnsi="宋体" w:cs="宋体"/>
          <w:color w:val="000000" w:themeColor="text1"/>
          <w:lang w:eastAsia="zh-CN" w:bidi="ar"/>
          <w14:textFill>
            <w14:solidFill>
              <w14:schemeClr w14:val="tx1"/>
            </w14:solidFill>
          </w14:textFill>
        </w:rPr>
        <w:t>）《绿色产业指导目录（</w:t>
      </w:r>
      <w:r>
        <w:rPr>
          <w:rFonts w:cs="Times New Roman"/>
          <w:color w:val="000000" w:themeColor="text1"/>
          <w:lang w:eastAsia="zh-CN" w:bidi="ar"/>
          <w14:textFill>
            <w14:solidFill>
              <w14:schemeClr w14:val="tx1"/>
            </w14:solidFill>
          </w14:textFill>
        </w:rPr>
        <w:t xml:space="preserve">2019 </w:t>
      </w:r>
      <w:r>
        <w:rPr>
          <w:rFonts w:hint="eastAsia" w:ascii="宋体" w:hAnsi="宋体" w:cs="宋体"/>
          <w:color w:val="000000" w:themeColor="text1"/>
          <w:lang w:eastAsia="zh-CN" w:bidi="ar"/>
          <w14:textFill>
            <w14:solidFill>
              <w14:schemeClr w14:val="tx1"/>
            </w14:solidFill>
          </w14:textFill>
        </w:rPr>
        <w:t>年版）》（发改环资〔</w:t>
      </w:r>
      <w:r>
        <w:rPr>
          <w:rFonts w:cs="Times New Roman"/>
          <w:color w:val="000000" w:themeColor="text1"/>
          <w:lang w:eastAsia="zh-CN" w:bidi="ar"/>
          <w14:textFill>
            <w14:solidFill>
              <w14:schemeClr w14:val="tx1"/>
            </w14:solidFill>
          </w14:textFill>
        </w:rPr>
        <w:t>2019</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 xml:space="preserve">293 </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62</w:t>
      </w:r>
      <w:r>
        <w:rPr>
          <w:rFonts w:hint="eastAsia" w:ascii="宋体" w:hAnsi="宋体" w:cs="宋体"/>
          <w:color w:val="000000" w:themeColor="text1"/>
          <w:lang w:eastAsia="zh-CN" w:bidi="ar"/>
          <w14:textFill>
            <w14:solidFill>
              <w14:schemeClr w14:val="tx1"/>
            </w14:solidFill>
          </w14:textFill>
        </w:rPr>
        <w:t>）《战略性新兴产业分类（</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 xml:space="preserve">）》（国家统计局令第 </w:t>
      </w:r>
      <w:r>
        <w:rPr>
          <w:rFonts w:cs="Times New Roman"/>
          <w:color w:val="000000" w:themeColor="text1"/>
          <w:lang w:eastAsia="zh-CN" w:bidi="ar"/>
          <w14:textFill>
            <w14:solidFill>
              <w14:schemeClr w14:val="tx1"/>
            </w14:solidFill>
          </w14:textFill>
        </w:rPr>
        <w:t xml:space="preserve">23 </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63</w:t>
      </w:r>
      <w:r>
        <w:rPr>
          <w:rFonts w:hint="eastAsia" w:ascii="宋体" w:hAnsi="宋体" w:cs="宋体"/>
          <w:color w:val="000000" w:themeColor="text1"/>
          <w:lang w:eastAsia="zh-CN" w:bidi="ar"/>
          <w14:textFill>
            <w14:solidFill>
              <w14:schemeClr w14:val="tx1"/>
            </w14:solidFill>
          </w14:textFill>
        </w:rPr>
        <w:t>）《部分工业行业淘汰落后生产工艺装备和产品指导目录（</w:t>
      </w:r>
      <w:r>
        <w:rPr>
          <w:rFonts w:cs="Times New Roman"/>
          <w:color w:val="000000" w:themeColor="text1"/>
          <w:lang w:eastAsia="zh-CN" w:bidi="ar"/>
          <w14:textFill>
            <w14:solidFill>
              <w14:schemeClr w14:val="tx1"/>
            </w14:solidFill>
          </w14:textFill>
        </w:rPr>
        <w:t>2010</w:t>
      </w:r>
      <w:r>
        <w:rPr>
          <w:rFonts w:hint="eastAsia" w:ascii="宋体" w:hAnsi="宋体" w:cs="宋体"/>
          <w:color w:val="000000" w:themeColor="text1"/>
          <w:lang w:eastAsia="zh-CN" w:bidi="ar"/>
          <w14:textFill>
            <w14:solidFill>
              <w14:schemeClr w14:val="tx1"/>
            </w14:solidFill>
          </w14:textFill>
        </w:rPr>
        <w:t>年本）》（工产业〔</w:t>
      </w:r>
      <w:r>
        <w:rPr>
          <w:rFonts w:cs="Times New Roman"/>
          <w:color w:val="000000" w:themeColor="text1"/>
          <w:lang w:eastAsia="zh-CN" w:bidi="ar"/>
          <w14:textFill>
            <w14:solidFill>
              <w14:schemeClr w14:val="tx1"/>
            </w14:solidFill>
          </w14:textFill>
        </w:rPr>
        <w:t>2010</w:t>
      </w:r>
      <w:r>
        <w:rPr>
          <w:rFonts w:hint="eastAsia" w:ascii="宋体" w:hAnsi="宋体" w:cs="宋体"/>
          <w:color w:val="000000" w:themeColor="text1"/>
          <w:lang w:eastAsia="zh-CN" w:bidi="ar"/>
          <w14:textFill>
            <w14:solidFill>
              <w14:schemeClr w14:val="tx1"/>
            </w14:solidFill>
          </w14:textFill>
        </w:rPr>
        <w:t>〕第</w:t>
      </w:r>
      <w:r>
        <w:rPr>
          <w:rFonts w:cs="Times New Roman"/>
          <w:color w:val="000000" w:themeColor="text1"/>
          <w:lang w:eastAsia="zh-CN" w:bidi="ar"/>
          <w14:textFill>
            <w14:solidFill>
              <w14:schemeClr w14:val="tx1"/>
            </w14:solidFill>
          </w14:textFill>
        </w:rPr>
        <w:t>122</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64</w:t>
      </w:r>
      <w:r>
        <w:rPr>
          <w:rFonts w:hint="eastAsia" w:ascii="宋体" w:hAnsi="宋体" w:cs="宋体"/>
          <w:color w:val="000000" w:themeColor="text1"/>
          <w:lang w:eastAsia="zh-CN" w:bidi="ar"/>
          <w14:textFill>
            <w14:solidFill>
              <w14:schemeClr w14:val="tx1"/>
            </w14:solidFill>
          </w14:textFill>
        </w:rPr>
        <w:t>）《关于加强城镇污水处理厂污泥污染防治工作的通知》（环办〔</w:t>
      </w:r>
      <w:r>
        <w:rPr>
          <w:rFonts w:cs="Times New Roman"/>
          <w:color w:val="000000" w:themeColor="text1"/>
          <w:lang w:eastAsia="zh-CN" w:bidi="ar"/>
          <w14:textFill>
            <w14:solidFill>
              <w14:schemeClr w14:val="tx1"/>
            </w14:solidFill>
          </w14:textFill>
        </w:rPr>
        <w:t>2010</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157</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65</w:t>
      </w:r>
      <w:r>
        <w:rPr>
          <w:rFonts w:hint="eastAsia" w:ascii="宋体" w:hAnsi="宋体" w:cs="宋体"/>
          <w:color w:val="000000" w:themeColor="text1"/>
          <w:lang w:eastAsia="zh-CN" w:bidi="ar"/>
          <w14:textFill>
            <w14:solidFill>
              <w14:schemeClr w14:val="tx1"/>
            </w14:solidFill>
          </w14:textFill>
        </w:rPr>
        <w:t>）《产业用地政策实施工作指引（</w:t>
      </w:r>
      <w:r>
        <w:rPr>
          <w:rFonts w:cs="Times New Roman"/>
          <w:color w:val="000000" w:themeColor="text1"/>
          <w:lang w:eastAsia="zh-CN" w:bidi="ar"/>
          <w14:textFill>
            <w14:solidFill>
              <w14:schemeClr w14:val="tx1"/>
            </w14:solidFill>
          </w14:textFill>
        </w:rPr>
        <w:t xml:space="preserve">2019 </w:t>
      </w:r>
      <w:r>
        <w:rPr>
          <w:rFonts w:hint="eastAsia" w:ascii="宋体" w:hAnsi="宋体" w:cs="宋体"/>
          <w:color w:val="000000" w:themeColor="text1"/>
          <w:lang w:eastAsia="zh-CN" w:bidi="ar"/>
          <w14:textFill>
            <w14:solidFill>
              <w14:schemeClr w14:val="tx1"/>
            </w14:solidFill>
          </w14:textFill>
        </w:rPr>
        <w:t>年版）》（自然资源办发〔</w:t>
      </w:r>
      <w:r>
        <w:rPr>
          <w:rFonts w:cs="Times New Roman"/>
          <w:color w:val="000000" w:themeColor="text1"/>
          <w:lang w:eastAsia="zh-CN" w:bidi="ar"/>
          <w14:textFill>
            <w14:solidFill>
              <w14:schemeClr w14:val="tx1"/>
            </w14:solidFill>
          </w14:textFill>
        </w:rPr>
        <w:t>2019</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31</w:t>
      </w:r>
      <w:r>
        <w:rPr>
          <w:rFonts w:hint="eastAsia" w:ascii="宋体" w:hAnsi="宋体" w:cs="宋体"/>
          <w:color w:val="000000" w:themeColor="text1"/>
          <w:lang w:eastAsia="zh-CN" w:bidi="ar"/>
          <w14:textFill>
            <w14:solidFill>
              <w14:schemeClr w14:val="tx1"/>
            </w14:solidFill>
          </w14:textFill>
        </w:rPr>
        <w:t>号）；</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66</w:t>
      </w:r>
      <w:r>
        <w:rPr>
          <w:rFonts w:hint="eastAsia" w:ascii="宋体" w:hAnsi="宋体" w:cs="宋体"/>
          <w:color w:val="000000" w:themeColor="text1"/>
          <w:lang w:eastAsia="zh-CN" w:bidi="ar"/>
          <w14:textFill>
            <w14:solidFill>
              <w14:schemeClr w14:val="tx1"/>
            </w14:solidFill>
          </w14:textFill>
        </w:rPr>
        <w:t>）《关于进一步加强城市节水工作的通知》（建城〔</w:t>
      </w:r>
      <w:r>
        <w:rPr>
          <w:rFonts w:cs="Times New Roman"/>
          <w:color w:val="000000" w:themeColor="text1"/>
          <w:lang w:eastAsia="zh-CN" w:bidi="ar"/>
          <w14:textFill>
            <w14:solidFill>
              <w14:schemeClr w14:val="tx1"/>
            </w14:solidFill>
          </w14:textFill>
        </w:rPr>
        <w:t>2014</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114</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67</w:t>
      </w:r>
      <w:r>
        <w:rPr>
          <w:rFonts w:hint="eastAsia" w:ascii="宋体" w:hAnsi="宋体" w:cs="宋体"/>
          <w:color w:val="000000" w:themeColor="text1"/>
          <w:lang w:eastAsia="zh-CN" w:bidi="ar"/>
          <w14:textFill>
            <w14:solidFill>
              <w14:schemeClr w14:val="tx1"/>
            </w14:solidFill>
          </w14:textFill>
        </w:rPr>
        <w:t>）《城市黑臭水体治理攻坚战实施方案》（建城〔</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104</w:t>
      </w:r>
      <w:r>
        <w:rPr>
          <w:rFonts w:hint="eastAsia" w:ascii="宋体" w:hAnsi="宋体" w:cs="宋体"/>
          <w:color w:val="000000" w:themeColor="text1"/>
          <w:lang w:eastAsia="zh-CN" w:bidi="ar"/>
          <w14:textFill>
            <w14:solidFill>
              <w14:schemeClr w14:val="tx1"/>
            </w14:solidFill>
          </w14:textFill>
        </w:rPr>
        <w:t>号）；</w:t>
      </w:r>
    </w:p>
    <w:p>
      <w:pPr>
        <w:widowControl/>
        <w:ind w:firstLine="480"/>
        <w:rPr>
          <w:lang w:eastAsia="zh-CN"/>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68</w:t>
      </w:r>
      <w:r>
        <w:rPr>
          <w:rFonts w:hint="eastAsia" w:ascii="宋体" w:hAnsi="宋体" w:cs="宋体"/>
          <w:color w:val="000000" w:themeColor="text1"/>
          <w:lang w:eastAsia="zh-CN" w:bidi="ar"/>
          <w14:textFill>
            <w14:solidFill>
              <w14:schemeClr w14:val="tx1"/>
            </w14:solidFill>
          </w14:textFill>
        </w:rPr>
        <w:t>）《关于开展工程建设项目审批制度改革试点的通知》（国办发〔</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33</w:t>
      </w:r>
      <w:r>
        <w:rPr>
          <w:rFonts w:hint="eastAsia" w:ascii="宋体" w:hAnsi="宋体" w:cs="宋体"/>
          <w:color w:val="000000" w:themeColor="text1"/>
          <w:lang w:eastAsia="zh-CN" w:bidi="ar"/>
          <w14:textFill>
            <w14:solidFill>
              <w14:schemeClr w14:val="tx1"/>
            </w14:solidFill>
          </w14:textFill>
        </w:rPr>
        <w:t>号）。</w:t>
      </w:r>
      <w:r>
        <w:rPr>
          <w:rFonts w:hint="eastAsia" w:ascii="宋体" w:hAnsi="宋体" w:cs="宋体"/>
          <w:color w:val="000000"/>
          <w:lang w:eastAsia="zh-CN" w:bidi="ar"/>
        </w:rPr>
        <w:t xml:space="preserve"> </w:t>
      </w:r>
    </w:p>
    <w:bookmarkEnd w:id="24"/>
    <w:bookmarkEnd w:id="25"/>
    <w:p>
      <w:pPr>
        <w:pStyle w:val="9"/>
        <w:rPr>
          <w:rFonts w:ascii="Times New Roman" w:hAnsi="Times New Roman"/>
        </w:rPr>
      </w:pPr>
      <w:bookmarkStart w:id="26" w:name="_Toc11880"/>
      <w:r>
        <w:rPr>
          <w:rFonts w:ascii="Times New Roman" w:hAnsi="Times New Roman"/>
        </w:rPr>
        <w:t>1.1.2辽宁省法律、法规、规章及规范性文件</w:t>
      </w:r>
      <w:bookmarkEnd w:id="26"/>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w:t>
      </w:r>
      <w:r>
        <w:rPr>
          <w:rFonts w:hint="eastAsia" w:ascii="宋体" w:hAnsi="宋体" w:cs="宋体"/>
          <w:color w:val="000000"/>
          <w:lang w:eastAsia="zh-CN" w:bidi="ar"/>
        </w:rPr>
        <w:t>）《辽宁省环境保护条例》（辽宁省人民代表大会常务委员会公告第</w:t>
      </w:r>
      <w:r>
        <w:rPr>
          <w:rFonts w:cs="Times New Roman"/>
          <w:color w:val="000000"/>
          <w:lang w:eastAsia="zh-CN" w:bidi="ar"/>
        </w:rPr>
        <w:t>79</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w:t>
      </w:r>
      <w:r>
        <w:rPr>
          <w:rFonts w:hint="eastAsia" w:ascii="宋体" w:hAnsi="宋体" w:cs="宋体"/>
          <w:color w:val="000000"/>
          <w:lang w:eastAsia="zh-CN" w:bidi="ar"/>
        </w:rPr>
        <w:t>）《辽宁省大气污染防治条例》（辽宁省人民代表大会常务委员会公告第</w:t>
      </w:r>
      <w:r>
        <w:rPr>
          <w:rFonts w:cs="Times New Roman"/>
          <w:color w:val="000000"/>
          <w:lang w:eastAsia="zh-CN" w:bidi="ar"/>
        </w:rPr>
        <w:t>71</w:t>
      </w:r>
      <w:r>
        <w:rPr>
          <w:rFonts w:hint="eastAsia" w:ascii="宋体" w:hAnsi="宋体" w:cs="宋体"/>
          <w:color w:val="000000"/>
          <w:lang w:eastAsia="zh-CN" w:bidi="ar"/>
        </w:rPr>
        <w:t>号）；</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3</w:t>
      </w:r>
      <w:r>
        <w:rPr>
          <w:rFonts w:hint="eastAsia" w:ascii="宋体" w:hAnsi="宋体" w:cs="宋体"/>
          <w:color w:val="000000"/>
          <w:lang w:eastAsia="zh-CN" w:bidi="ar"/>
        </w:rPr>
        <w:t>）《辽宁省节约能源条例》（</w:t>
      </w:r>
      <w:r>
        <w:rPr>
          <w:rFonts w:cs="Times New Roman"/>
          <w:color w:val="000000"/>
          <w:lang w:eastAsia="zh-CN" w:bidi="ar"/>
        </w:rPr>
        <w:t>2006</w:t>
      </w:r>
      <w:r>
        <w:rPr>
          <w:rFonts w:hint="eastAsia" w:ascii="宋体" w:hAnsi="宋体" w:cs="宋体"/>
          <w:color w:val="000000"/>
          <w:lang w:eastAsia="zh-CN" w:bidi="ar"/>
        </w:rPr>
        <w:t>年</w:t>
      </w:r>
      <w:r>
        <w:rPr>
          <w:rFonts w:cs="Times New Roman"/>
          <w:color w:val="000000"/>
          <w:lang w:eastAsia="zh-CN" w:bidi="ar"/>
        </w:rPr>
        <w:t>1</w:t>
      </w:r>
      <w:r>
        <w:rPr>
          <w:rFonts w:hint="eastAsia" w:ascii="宋体" w:hAnsi="宋体" w:cs="宋体"/>
          <w:color w:val="000000"/>
          <w:lang w:eastAsia="zh-CN" w:bidi="ar"/>
        </w:rPr>
        <w:t>月</w:t>
      </w:r>
      <w:r>
        <w:rPr>
          <w:rFonts w:cs="Times New Roman"/>
          <w:color w:val="000000"/>
          <w:lang w:eastAsia="zh-CN" w:bidi="ar"/>
        </w:rPr>
        <w:t>13</w:t>
      </w:r>
      <w:r>
        <w:rPr>
          <w:rFonts w:hint="eastAsia" w:ascii="宋体" w:hAnsi="宋体" w:cs="宋体"/>
          <w:color w:val="000000"/>
          <w:lang w:eastAsia="zh-CN" w:bidi="ar"/>
        </w:rPr>
        <w:t xml:space="preserve">日辽宁省第十届人民代表大会常务委员会第二十三次会议通过）；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4</w:t>
      </w:r>
      <w:r>
        <w:rPr>
          <w:rFonts w:hint="eastAsia" w:ascii="宋体" w:hAnsi="宋体" w:cs="宋体"/>
          <w:color w:val="000000"/>
          <w:lang w:eastAsia="zh-CN" w:bidi="ar"/>
        </w:rPr>
        <w:t>） 《辽宁省城镇绿化条例》（</w:t>
      </w:r>
      <w:r>
        <w:rPr>
          <w:rFonts w:cs="Times New Roman"/>
          <w:color w:val="000000"/>
          <w:lang w:eastAsia="zh-CN" w:bidi="ar"/>
        </w:rPr>
        <w:t>2012</w:t>
      </w:r>
      <w:r>
        <w:rPr>
          <w:rFonts w:hint="eastAsia" w:ascii="宋体" w:hAnsi="宋体" w:cs="宋体"/>
          <w:color w:val="000000"/>
          <w:lang w:eastAsia="zh-CN" w:bidi="ar"/>
        </w:rPr>
        <w:t>年</w:t>
      </w:r>
      <w:r>
        <w:rPr>
          <w:rFonts w:cs="Times New Roman"/>
          <w:color w:val="000000"/>
          <w:lang w:eastAsia="zh-CN" w:bidi="ar"/>
        </w:rPr>
        <w:t>1</w:t>
      </w:r>
      <w:r>
        <w:rPr>
          <w:rFonts w:hint="eastAsia" w:ascii="宋体" w:hAnsi="宋体" w:cs="宋体"/>
          <w:color w:val="000000"/>
          <w:lang w:eastAsia="zh-CN" w:bidi="ar"/>
        </w:rPr>
        <w:t>月</w:t>
      </w:r>
      <w:r>
        <w:rPr>
          <w:rFonts w:cs="Times New Roman"/>
          <w:color w:val="000000"/>
          <w:lang w:eastAsia="zh-CN" w:bidi="ar"/>
        </w:rPr>
        <w:t>5</w:t>
      </w:r>
      <w:r>
        <w:rPr>
          <w:rFonts w:hint="eastAsia" w:ascii="宋体" w:hAnsi="宋体" w:cs="宋体"/>
          <w:color w:val="000000"/>
          <w:lang w:eastAsia="zh-CN" w:bidi="ar"/>
        </w:rPr>
        <w:t xml:space="preserve">日辽宁省第十一届人民代表大会常务委员会第二十七次会议通过）；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5</w:t>
      </w:r>
      <w:r>
        <w:rPr>
          <w:rFonts w:hint="eastAsia" w:ascii="宋体" w:hAnsi="宋体" w:cs="宋体"/>
          <w:color w:val="000000"/>
          <w:lang w:eastAsia="zh-CN" w:bidi="ar"/>
        </w:rPr>
        <w:t>） 《辽宁省河道管理条例》（</w:t>
      </w:r>
      <w:r>
        <w:rPr>
          <w:rFonts w:cs="Times New Roman"/>
          <w:color w:val="000000"/>
          <w:lang w:eastAsia="zh-CN" w:bidi="ar"/>
        </w:rPr>
        <w:t>2012</w:t>
      </w:r>
      <w:r>
        <w:rPr>
          <w:rFonts w:hint="eastAsia" w:ascii="宋体" w:hAnsi="宋体" w:cs="宋体"/>
          <w:color w:val="000000"/>
          <w:lang w:eastAsia="zh-CN" w:bidi="ar"/>
        </w:rPr>
        <w:t>年</w:t>
      </w:r>
      <w:r>
        <w:rPr>
          <w:rFonts w:cs="Times New Roman"/>
          <w:color w:val="000000"/>
          <w:lang w:eastAsia="zh-CN" w:bidi="ar"/>
        </w:rPr>
        <w:t>11</w:t>
      </w:r>
      <w:r>
        <w:rPr>
          <w:rFonts w:hint="eastAsia" w:ascii="宋体" w:hAnsi="宋体" w:cs="宋体"/>
          <w:color w:val="000000"/>
          <w:lang w:eastAsia="zh-CN" w:bidi="ar"/>
        </w:rPr>
        <w:t>月</w:t>
      </w:r>
      <w:r>
        <w:rPr>
          <w:rFonts w:cs="Times New Roman"/>
          <w:color w:val="000000"/>
          <w:lang w:eastAsia="zh-CN" w:bidi="ar"/>
        </w:rPr>
        <w:t>29</w:t>
      </w:r>
      <w:r>
        <w:rPr>
          <w:rFonts w:hint="eastAsia" w:ascii="宋体" w:hAnsi="宋体" w:cs="宋体"/>
          <w:color w:val="000000"/>
          <w:lang w:eastAsia="zh-CN" w:bidi="ar"/>
        </w:rPr>
        <w:t xml:space="preserve">日辽宁省第十一届人民代表大会常务委员会第三十三次会议通过）；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6</w:t>
      </w:r>
      <w:r>
        <w:rPr>
          <w:rFonts w:hint="eastAsia" w:ascii="宋体" w:hAnsi="宋体" w:cs="宋体"/>
          <w:color w:val="000000"/>
          <w:lang w:eastAsia="zh-CN" w:bidi="ar"/>
        </w:rPr>
        <w:t>） 《辽宁省固体废物污染环境防治办法》（辽宁省人民政府令第</w:t>
      </w:r>
      <w:r>
        <w:rPr>
          <w:rFonts w:cs="Times New Roman"/>
          <w:color w:val="000000"/>
          <w:lang w:eastAsia="zh-CN" w:bidi="ar"/>
        </w:rPr>
        <w:t>134</w:t>
      </w:r>
      <w:r>
        <w:rPr>
          <w:rFonts w:hint="eastAsia" w:ascii="宋体" w:hAnsi="宋体" w:cs="宋体"/>
          <w:color w:val="000000"/>
          <w:lang w:eastAsia="zh-CN" w:bidi="ar"/>
        </w:rPr>
        <w:t>号，</w:t>
      </w:r>
      <w:r>
        <w:rPr>
          <w:rFonts w:cs="Times New Roman"/>
          <w:color w:val="000000"/>
          <w:lang w:eastAsia="zh-CN" w:bidi="ar"/>
        </w:rPr>
        <w:t>2017</w:t>
      </w:r>
      <w:r>
        <w:rPr>
          <w:rFonts w:hint="eastAsia" w:ascii="宋体" w:hAnsi="宋体" w:cs="宋体"/>
          <w:color w:val="000000"/>
          <w:lang w:eastAsia="zh-CN" w:bidi="ar"/>
        </w:rPr>
        <w:t>年</w:t>
      </w:r>
      <w:r>
        <w:rPr>
          <w:rFonts w:cs="Times New Roman"/>
          <w:color w:val="000000"/>
          <w:lang w:eastAsia="zh-CN" w:bidi="ar"/>
        </w:rPr>
        <w:t>11</w:t>
      </w:r>
      <w:r>
        <w:rPr>
          <w:rFonts w:hint="eastAsia" w:ascii="宋体" w:hAnsi="宋体" w:cs="宋体"/>
          <w:color w:val="000000"/>
          <w:lang w:eastAsia="zh-CN" w:bidi="ar"/>
        </w:rPr>
        <w:t>月</w:t>
      </w:r>
      <w:r>
        <w:rPr>
          <w:rFonts w:cs="Times New Roman"/>
          <w:color w:val="000000"/>
          <w:lang w:eastAsia="zh-CN" w:bidi="ar"/>
        </w:rPr>
        <w:t>29</w:t>
      </w:r>
      <w:r>
        <w:rPr>
          <w:rFonts w:hint="eastAsia" w:ascii="宋体" w:hAnsi="宋体" w:cs="宋体"/>
          <w:color w:val="000000"/>
          <w:lang w:eastAsia="zh-CN" w:bidi="ar"/>
        </w:rPr>
        <w:t xml:space="preserve">日修改）；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7</w:t>
      </w:r>
      <w:r>
        <w:rPr>
          <w:rFonts w:hint="eastAsia" w:ascii="宋体" w:hAnsi="宋体" w:cs="宋体"/>
          <w:color w:val="000000"/>
          <w:lang w:eastAsia="zh-CN" w:bidi="ar"/>
        </w:rPr>
        <w:t>）《辽宁省机动车排气污染防治管理办法》（辽宁省人民政府令第</w:t>
      </w:r>
      <w:r>
        <w:rPr>
          <w:rFonts w:cs="Times New Roman"/>
          <w:color w:val="000000"/>
          <w:lang w:eastAsia="zh-CN" w:bidi="ar"/>
        </w:rPr>
        <w:t>135</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8</w:t>
      </w:r>
      <w:r>
        <w:rPr>
          <w:rFonts w:hint="eastAsia" w:ascii="宋体" w:hAnsi="宋体" w:cs="宋体"/>
          <w:color w:val="000000"/>
          <w:lang w:eastAsia="zh-CN" w:bidi="ar"/>
        </w:rPr>
        <w:t>）《辽宁省污水处理厂运行监督管理规定》（辽宁省人民政府令第</w:t>
      </w:r>
      <w:r>
        <w:rPr>
          <w:rFonts w:cs="Times New Roman"/>
          <w:color w:val="000000"/>
          <w:lang w:eastAsia="zh-CN" w:bidi="ar"/>
        </w:rPr>
        <w:t>240</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9</w:t>
      </w:r>
      <w:r>
        <w:rPr>
          <w:rFonts w:hint="eastAsia" w:ascii="宋体" w:hAnsi="宋体" w:cs="宋体"/>
          <w:color w:val="000000"/>
          <w:lang w:eastAsia="zh-CN" w:bidi="ar"/>
        </w:rPr>
        <w:t>）《辽宁省基本农田保护办法》（辽宁省人民政府令第</w:t>
      </w:r>
      <w:r>
        <w:rPr>
          <w:rFonts w:cs="Times New Roman"/>
          <w:color w:val="000000"/>
          <w:lang w:eastAsia="zh-CN" w:bidi="ar"/>
        </w:rPr>
        <w:t>188</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10</w:t>
      </w:r>
      <w:r>
        <w:rPr>
          <w:rFonts w:hint="eastAsia" w:ascii="宋体" w:hAnsi="宋体" w:cs="宋体"/>
          <w:color w:val="000000"/>
          <w:lang w:eastAsia="zh-CN" w:bidi="ar"/>
        </w:rPr>
        <w:t>）《辽宁省禁止提取地下水规定》（辽宁省人民政府令第</w:t>
      </w:r>
      <w:r>
        <w:rPr>
          <w:rFonts w:cs="Times New Roman"/>
          <w:color w:val="000000"/>
          <w:lang w:eastAsia="zh-CN" w:bidi="ar"/>
        </w:rPr>
        <w:t>255</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11</w:t>
      </w:r>
      <w:r>
        <w:rPr>
          <w:rFonts w:hint="eastAsia" w:ascii="宋体" w:hAnsi="宋体" w:cs="宋体"/>
          <w:color w:val="000000"/>
          <w:lang w:eastAsia="zh-CN" w:bidi="ar"/>
        </w:rPr>
        <w:t>）《辽宁省大气污染防治条例》（辽宁省人民代表大会常务委员会公告第</w:t>
      </w:r>
      <w:r>
        <w:rPr>
          <w:rFonts w:cs="Times New Roman"/>
          <w:color w:val="000000"/>
          <w:lang w:eastAsia="zh-CN" w:bidi="ar"/>
        </w:rPr>
        <w:t>71</w:t>
      </w:r>
      <w:r>
        <w:rPr>
          <w:rFonts w:hint="eastAsia" w:ascii="宋体" w:hAnsi="宋体" w:cs="宋体"/>
          <w:color w:val="000000"/>
          <w:lang w:eastAsia="zh-CN" w:bidi="ar"/>
        </w:rPr>
        <w:t>号，</w:t>
      </w:r>
      <w:r>
        <w:rPr>
          <w:rFonts w:cs="Times New Roman"/>
          <w:color w:val="000000"/>
          <w:lang w:eastAsia="zh-CN" w:bidi="ar"/>
        </w:rPr>
        <w:t>2017.8.1</w:t>
      </w:r>
      <w:r>
        <w:rPr>
          <w:rFonts w:hint="eastAsia" w:ascii="宋体" w:hAnsi="宋体" w:cs="宋体"/>
          <w:color w:val="000000"/>
          <w:lang w:eastAsia="zh-CN" w:bidi="ar"/>
        </w:rPr>
        <w:t xml:space="preserve">起施行）；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12</w:t>
      </w:r>
      <w:r>
        <w:rPr>
          <w:rFonts w:hint="eastAsia" w:ascii="宋体" w:hAnsi="宋体" w:cs="宋体"/>
          <w:color w:val="000000"/>
          <w:lang w:eastAsia="zh-CN" w:bidi="ar"/>
        </w:rPr>
        <w:t>）《辽宁省人民政府关于蓝天工程的实施意见》（辽政发〔</w:t>
      </w:r>
      <w:r>
        <w:rPr>
          <w:rFonts w:cs="Times New Roman"/>
          <w:color w:val="000000"/>
          <w:lang w:eastAsia="zh-CN" w:bidi="ar"/>
        </w:rPr>
        <w:t>2012</w:t>
      </w:r>
      <w:r>
        <w:rPr>
          <w:rFonts w:hint="eastAsia" w:ascii="宋体" w:hAnsi="宋体" w:cs="宋体"/>
          <w:color w:val="000000"/>
          <w:lang w:eastAsia="zh-CN" w:bidi="ar"/>
        </w:rPr>
        <w:t>〕</w:t>
      </w:r>
      <w:r>
        <w:rPr>
          <w:rFonts w:cs="Times New Roman"/>
          <w:color w:val="000000"/>
          <w:lang w:eastAsia="zh-CN" w:bidi="ar"/>
        </w:rPr>
        <w:t>36</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13</w:t>
      </w:r>
      <w:r>
        <w:rPr>
          <w:rFonts w:hint="eastAsia" w:ascii="宋体" w:hAnsi="宋体" w:cs="宋体"/>
          <w:color w:val="000000"/>
          <w:lang w:eastAsia="zh-CN" w:bidi="ar"/>
        </w:rPr>
        <w:t>）《辽宁省大气污染防治行动计划实施方案》（辽政发〔</w:t>
      </w:r>
      <w:r>
        <w:rPr>
          <w:rFonts w:cs="Times New Roman"/>
          <w:color w:val="000000"/>
          <w:lang w:eastAsia="zh-CN" w:bidi="ar"/>
        </w:rPr>
        <w:t>2014</w:t>
      </w:r>
      <w:r>
        <w:rPr>
          <w:rFonts w:hint="eastAsia" w:ascii="宋体" w:hAnsi="宋体" w:cs="宋体"/>
          <w:color w:val="000000"/>
          <w:lang w:eastAsia="zh-CN" w:bidi="ar"/>
        </w:rPr>
        <w:t>〕</w:t>
      </w:r>
      <w:r>
        <w:rPr>
          <w:rFonts w:hint="eastAsia" w:cs="Times New Roman"/>
          <w:color w:val="000000"/>
          <w:lang w:eastAsia="zh-CN" w:bidi="ar"/>
        </w:rPr>
        <w:t>8</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14</w:t>
      </w:r>
      <w:r>
        <w:rPr>
          <w:rFonts w:hint="eastAsia" w:ascii="宋体" w:hAnsi="宋体" w:cs="宋体"/>
          <w:color w:val="000000"/>
          <w:lang w:eastAsia="zh-CN" w:bidi="ar"/>
        </w:rPr>
        <w:t xml:space="preserve">）《辽宁省人民政府关于印发辽宁省水污染防治工作方案的通知》（辽政 </w:t>
      </w:r>
    </w:p>
    <w:p>
      <w:pPr>
        <w:widowControl/>
        <w:ind w:firstLine="480"/>
        <w:jc w:val="left"/>
        <w:rPr>
          <w:lang w:eastAsia="zh-CN"/>
        </w:rPr>
      </w:pPr>
      <w:r>
        <w:rPr>
          <w:rFonts w:hint="eastAsia" w:ascii="宋体" w:hAnsi="宋体" w:cs="宋体"/>
          <w:color w:val="000000"/>
          <w:lang w:eastAsia="zh-CN" w:bidi="ar"/>
        </w:rPr>
        <w:t>发〔</w:t>
      </w:r>
      <w:r>
        <w:rPr>
          <w:rFonts w:cs="Times New Roman"/>
          <w:color w:val="000000"/>
          <w:lang w:eastAsia="zh-CN" w:bidi="ar"/>
        </w:rPr>
        <w:t>2015</w:t>
      </w:r>
      <w:r>
        <w:rPr>
          <w:rFonts w:hint="eastAsia" w:ascii="宋体" w:hAnsi="宋体" w:cs="宋体"/>
          <w:color w:val="000000"/>
          <w:lang w:eastAsia="zh-CN" w:bidi="ar"/>
        </w:rPr>
        <w:t>〕</w:t>
      </w:r>
      <w:r>
        <w:rPr>
          <w:rFonts w:cs="Times New Roman"/>
          <w:color w:val="000000"/>
          <w:lang w:eastAsia="zh-CN" w:bidi="ar"/>
        </w:rPr>
        <w:t>79</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15</w:t>
      </w:r>
      <w:r>
        <w:rPr>
          <w:rFonts w:hint="eastAsia" w:ascii="宋体" w:hAnsi="宋体" w:cs="宋体"/>
          <w:color w:val="000000"/>
          <w:lang w:eastAsia="zh-CN" w:bidi="ar"/>
        </w:rPr>
        <w:t xml:space="preserve">）《辽宁省人民政府关于印发辽宁省土壤污染防治工作方案的通知》（辽 </w:t>
      </w:r>
    </w:p>
    <w:p>
      <w:pPr>
        <w:widowControl/>
        <w:ind w:firstLine="480"/>
        <w:jc w:val="left"/>
        <w:rPr>
          <w:lang w:eastAsia="zh-CN"/>
        </w:rPr>
      </w:pPr>
      <w:r>
        <w:rPr>
          <w:rFonts w:hint="eastAsia" w:ascii="宋体" w:hAnsi="宋体" w:cs="宋体"/>
          <w:color w:val="000000"/>
          <w:lang w:eastAsia="zh-CN" w:bidi="ar"/>
        </w:rPr>
        <w:t>政发〔</w:t>
      </w:r>
      <w:r>
        <w:rPr>
          <w:rFonts w:cs="Times New Roman"/>
          <w:color w:val="000000"/>
          <w:lang w:eastAsia="zh-CN" w:bidi="ar"/>
        </w:rPr>
        <w:t>2016</w:t>
      </w:r>
      <w:r>
        <w:rPr>
          <w:rFonts w:hint="eastAsia" w:ascii="宋体" w:hAnsi="宋体" w:cs="宋体"/>
          <w:color w:val="000000"/>
          <w:lang w:eastAsia="zh-CN" w:bidi="ar"/>
        </w:rPr>
        <w:t>〕</w:t>
      </w:r>
      <w:r>
        <w:rPr>
          <w:rFonts w:cs="Times New Roman"/>
          <w:color w:val="000000"/>
          <w:lang w:eastAsia="zh-CN" w:bidi="ar"/>
        </w:rPr>
        <w:t>58</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16</w:t>
      </w:r>
      <w:r>
        <w:rPr>
          <w:rFonts w:hint="eastAsia" w:ascii="宋体" w:hAnsi="宋体" w:cs="宋体"/>
          <w:color w:val="000000"/>
          <w:lang w:eastAsia="zh-CN" w:bidi="ar"/>
        </w:rPr>
        <w:t>）《辽宁省人民政府关于印发辽宁省打赢蓝天保卫战三年行动方案（</w:t>
      </w:r>
      <w:r>
        <w:rPr>
          <w:rFonts w:cs="Times New Roman"/>
          <w:color w:val="000000"/>
          <w:lang w:eastAsia="zh-CN" w:bidi="ar"/>
        </w:rPr>
        <w:t>2018—2020</w:t>
      </w:r>
      <w:r>
        <w:rPr>
          <w:rFonts w:hint="eastAsia" w:ascii="宋体" w:hAnsi="宋体" w:cs="宋体"/>
          <w:color w:val="000000"/>
          <w:lang w:eastAsia="zh-CN" w:bidi="ar"/>
        </w:rPr>
        <w:t>年）的通知》（辽政发〔</w:t>
      </w:r>
      <w:r>
        <w:rPr>
          <w:rFonts w:cs="Times New Roman"/>
          <w:color w:val="000000"/>
          <w:lang w:eastAsia="zh-CN" w:bidi="ar"/>
        </w:rPr>
        <w:t>2018</w:t>
      </w:r>
      <w:r>
        <w:rPr>
          <w:rFonts w:hint="eastAsia" w:ascii="宋体" w:hAnsi="宋体" w:cs="宋体"/>
          <w:color w:val="000000"/>
          <w:lang w:eastAsia="zh-CN" w:bidi="ar"/>
        </w:rPr>
        <w:t>〕</w:t>
      </w:r>
      <w:r>
        <w:rPr>
          <w:rFonts w:cs="Times New Roman"/>
          <w:color w:val="000000"/>
          <w:lang w:eastAsia="zh-CN" w:bidi="ar"/>
        </w:rPr>
        <w:t>31</w:t>
      </w:r>
      <w:r>
        <w:rPr>
          <w:rFonts w:hint="eastAsia" w:ascii="宋体" w:hAnsi="宋体" w:cs="宋体"/>
          <w:color w:val="000000"/>
          <w:lang w:eastAsia="zh-CN" w:bidi="ar"/>
        </w:rPr>
        <w:t>号）；</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17</w:t>
      </w:r>
      <w:r>
        <w:rPr>
          <w:rFonts w:hint="eastAsia" w:ascii="宋体" w:hAnsi="宋体" w:cs="宋体"/>
          <w:color w:val="000000"/>
          <w:lang w:eastAsia="zh-CN" w:bidi="ar"/>
        </w:rPr>
        <w:t>）《辽宁省人民政府关于加强环境保护重点工作的实施意见》（辽政发〔</w:t>
      </w:r>
      <w:r>
        <w:rPr>
          <w:rFonts w:cs="Times New Roman"/>
          <w:color w:val="000000"/>
          <w:lang w:eastAsia="zh-CN" w:bidi="ar"/>
        </w:rPr>
        <w:t>2010</w:t>
      </w:r>
      <w:r>
        <w:rPr>
          <w:rFonts w:hint="eastAsia" w:ascii="宋体" w:hAnsi="宋体" w:cs="宋体"/>
          <w:color w:val="000000"/>
          <w:lang w:eastAsia="zh-CN" w:bidi="ar"/>
        </w:rPr>
        <w:t>〕</w:t>
      </w:r>
      <w:r>
        <w:rPr>
          <w:rFonts w:cs="Times New Roman"/>
          <w:color w:val="000000"/>
          <w:lang w:eastAsia="zh-CN" w:bidi="ar"/>
        </w:rPr>
        <w:t>39</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18</w:t>
      </w:r>
      <w:r>
        <w:rPr>
          <w:rFonts w:hint="eastAsia" w:ascii="宋体" w:hAnsi="宋体" w:cs="宋体"/>
          <w:color w:val="000000"/>
          <w:lang w:eastAsia="zh-CN" w:bidi="ar"/>
        </w:rPr>
        <w:t>）《辽宁省突发事件应对条例》（</w:t>
      </w:r>
      <w:r>
        <w:rPr>
          <w:rFonts w:cs="Times New Roman"/>
          <w:color w:val="000000"/>
          <w:lang w:eastAsia="zh-CN" w:bidi="ar"/>
        </w:rPr>
        <w:t>2009</w:t>
      </w:r>
      <w:r>
        <w:rPr>
          <w:rFonts w:hint="eastAsia" w:ascii="宋体" w:hAnsi="宋体" w:cs="宋体"/>
          <w:color w:val="000000"/>
          <w:lang w:eastAsia="zh-CN" w:bidi="ar"/>
        </w:rPr>
        <w:t>年</w:t>
      </w:r>
      <w:r>
        <w:rPr>
          <w:rFonts w:cs="Times New Roman"/>
          <w:color w:val="000000"/>
          <w:lang w:eastAsia="zh-CN" w:bidi="ar"/>
        </w:rPr>
        <w:t>7</w:t>
      </w:r>
      <w:r>
        <w:rPr>
          <w:rFonts w:hint="eastAsia" w:ascii="宋体" w:hAnsi="宋体" w:cs="宋体"/>
          <w:color w:val="000000"/>
          <w:lang w:eastAsia="zh-CN" w:bidi="ar"/>
        </w:rPr>
        <w:t>月</w:t>
      </w:r>
      <w:r>
        <w:rPr>
          <w:rFonts w:cs="Times New Roman"/>
          <w:color w:val="000000"/>
          <w:lang w:eastAsia="zh-CN" w:bidi="ar"/>
        </w:rPr>
        <w:t>31</w:t>
      </w:r>
      <w:r>
        <w:rPr>
          <w:rFonts w:hint="eastAsia" w:ascii="宋体" w:hAnsi="宋体" w:cs="宋体"/>
          <w:color w:val="000000"/>
          <w:lang w:eastAsia="zh-CN" w:bidi="ar"/>
        </w:rPr>
        <w:t xml:space="preserve">日辽宁省第十一届人民代表大会常务委员会第十次会议通过）；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19</w:t>
      </w:r>
      <w:r>
        <w:rPr>
          <w:rFonts w:hint="eastAsia" w:ascii="宋体" w:hAnsi="宋体" w:cs="宋体"/>
          <w:color w:val="000000"/>
          <w:lang w:eastAsia="zh-CN" w:bidi="ar"/>
        </w:rPr>
        <w:t>） 《辽宁省人民政府办公厅转发省水利厅关于全省封闭地下水取水工程总体方案的通知》（辽政办〔</w:t>
      </w:r>
      <w:r>
        <w:rPr>
          <w:rFonts w:cs="Times New Roman"/>
          <w:color w:val="000000"/>
          <w:lang w:eastAsia="zh-CN" w:bidi="ar"/>
        </w:rPr>
        <w:t>2011</w:t>
      </w:r>
      <w:r>
        <w:rPr>
          <w:rFonts w:hint="eastAsia" w:ascii="宋体" w:hAnsi="宋体" w:cs="宋体"/>
          <w:color w:val="000000"/>
          <w:lang w:eastAsia="zh-CN" w:bidi="ar"/>
        </w:rPr>
        <w:t>〕</w:t>
      </w:r>
      <w:r>
        <w:rPr>
          <w:rFonts w:cs="Times New Roman"/>
          <w:color w:val="000000"/>
          <w:lang w:eastAsia="zh-CN" w:bidi="ar"/>
        </w:rPr>
        <w:t>15</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20</w:t>
      </w:r>
      <w:r>
        <w:rPr>
          <w:rFonts w:hint="eastAsia" w:ascii="宋体" w:hAnsi="宋体" w:cs="宋体"/>
          <w:color w:val="000000"/>
          <w:lang w:eastAsia="zh-CN" w:bidi="ar"/>
        </w:rPr>
        <w:t>） 《辽宁省人民政府办公厅转发省环保厅关于做好全省大气污染联防联控工作意见的通知》（辽政办发〔</w:t>
      </w:r>
      <w:r>
        <w:rPr>
          <w:rFonts w:cs="Times New Roman"/>
          <w:color w:val="000000"/>
          <w:lang w:eastAsia="zh-CN" w:bidi="ar"/>
        </w:rPr>
        <w:t>2011</w:t>
      </w:r>
      <w:r>
        <w:rPr>
          <w:rFonts w:hint="eastAsia" w:ascii="宋体" w:hAnsi="宋体" w:cs="宋体"/>
          <w:color w:val="000000"/>
          <w:lang w:eastAsia="zh-CN" w:bidi="ar"/>
        </w:rPr>
        <w:t>〕</w:t>
      </w:r>
      <w:r>
        <w:rPr>
          <w:rFonts w:cs="Times New Roman"/>
          <w:color w:val="000000"/>
          <w:lang w:eastAsia="zh-CN" w:bidi="ar"/>
        </w:rPr>
        <w:t>23</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21</w:t>
      </w:r>
      <w:r>
        <w:rPr>
          <w:rFonts w:hint="eastAsia" w:ascii="宋体" w:hAnsi="宋体" w:cs="宋体"/>
          <w:color w:val="000000"/>
          <w:lang w:eastAsia="zh-CN" w:bidi="ar"/>
        </w:rPr>
        <w:t>） 《辽宁省人民政府关于大辽河浑河太子河污染治理工作的实施意见》（辽政发〔</w:t>
      </w:r>
      <w:r>
        <w:rPr>
          <w:rFonts w:cs="Times New Roman"/>
          <w:color w:val="000000"/>
          <w:lang w:eastAsia="zh-CN" w:bidi="ar"/>
        </w:rPr>
        <w:t>2012</w:t>
      </w:r>
      <w:r>
        <w:rPr>
          <w:rFonts w:hint="eastAsia" w:ascii="宋体" w:hAnsi="宋体" w:cs="宋体"/>
          <w:color w:val="000000"/>
          <w:lang w:eastAsia="zh-CN" w:bidi="ar"/>
        </w:rPr>
        <w:t>〕</w:t>
      </w:r>
      <w:r>
        <w:rPr>
          <w:rFonts w:cs="Times New Roman"/>
          <w:color w:val="000000"/>
          <w:lang w:eastAsia="zh-CN" w:bidi="ar"/>
        </w:rPr>
        <w:t>9</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22</w:t>
      </w:r>
      <w:r>
        <w:rPr>
          <w:rFonts w:hint="eastAsia" w:ascii="宋体" w:hAnsi="宋体" w:cs="宋体"/>
          <w:color w:val="000000"/>
          <w:lang w:eastAsia="zh-CN" w:bidi="ar"/>
        </w:rPr>
        <w:t>） 《辽宁省人民政府办公厅关于加强机场净空保护区域内建设项目审批管理工作的通知》（辽政办明电〔</w:t>
      </w:r>
      <w:r>
        <w:rPr>
          <w:rFonts w:cs="Times New Roman"/>
          <w:color w:val="000000"/>
          <w:lang w:eastAsia="zh-CN" w:bidi="ar"/>
        </w:rPr>
        <w:t>2008</w:t>
      </w:r>
      <w:r>
        <w:rPr>
          <w:rFonts w:hint="eastAsia" w:ascii="宋体" w:hAnsi="宋体" w:cs="宋体"/>
          <w:color w:val="000000"/>
          <w:lang w:eastAsia="zh-CN" w:bidi="ar"/>
        </w:rPr>
        <w:t>〕</w:t>
      </w:r>
      <w:r>
        <w:rPr>
          <w:rFonts w:cs="Times New Roman"/>
          <w:color w:val="000000"/>
          <w:lang w:eastAsia="zh-CN" w:bidi="ar"/>
        </w:rPr>
        <w:t>177</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23</w:t>
      </w:r>
      <w:r>
        <w:rPr>
          <w:rFonts w:hint="eastAsia" w:ascii="宋体" w:hAnsi="宋体" w:cs="宋体"/>
          <w:color w:val="000000"/>
          <w:lang w:eastAsia="zh-CN" w:bidi="ar"/>
        </w:rPr>
        <w:t>）《辽宁省人民政府关于加强环境保护重点工作的实施意见》（辽政发〔</w:t>
      </w:r>
      <w:r>
        <w:rPr>
          <w:rFonts w:cs="Times New Roman"/>
          <w:color w:val="000000"/>
          <w:lang w:eastAsia="zh-CN" w:bidi="ar"/>
        </w:rPr>
        <w:t>2012</w:t>
      </w:r>
      <w:r>
        <w:rPr>
          <w:rFonts w:hint="eastAsia" w:ascii="宋体" w:hAnsi="宋体" w:cs="宋体"/>
          <w:color w:val="000000"/>
          <w:lang w:eastAsia="zh-CN" w:bidi="ar"/>
        </w:rPr>
        <w:t>〕</w:t>
      </w:r>
      <w:r>
        <w:rPr>
          <w:rFonts w:cs="Times New Roman"/>
          <w:color w:val="000000"/>
          <w:lang w:eastAsia="zh-CN" w:bidi="ar"/>
        </w:rPr>
        <w:t>3</w:t>
      </w:r>
      <w:r>
        <w:rPr>
          <w:rFonts w:hint="eastAsia" w:cs="Times New Roman"/>
          <w:color w:val="000000"/>
          <w:lang w:eastAsia="zh-CN" w:bidi="ar"/>
        </w:rPr>
        <w:t>7</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24</w:t>
      </w:r>
      <w:r>
        <w:rPr>
          <w:rFonts w:hint="eastAsia" w:ascii="宋体" w:hAnsi="宋体" w:cs="宋体"/>
          <w:color w:val="000000"/>
          <w:lang w:eastAsia="zh-CN" w:bidi="ar"/>
        </w:rPr>
        <w:t>）《辽宁省产业发展指导目录（</w:t>
      </w:r>
      <w:r>
        <w:rPr>
          <w:rFonts w:cs="Times New Roman"/>
          <w:color w:val="000000"/>
          <w:lang w:eastAsia="zh-CN" w:bidi="ar"/>
        </w:rPr>
        <w:t>2008</w:t>
      </w:r>
      <w:r>
        <w:rPr>
          <w:rFonts w:hint="eastAsia" w:ascii="宋体" w:hAnsi="宋体" w:cs="宋体"/>
          <w:color w:val="000000"/>
          <w:lang w:eastAsia="zh-CN" w:bidi="ar"/>
        </w:rPr>
        <w:t xml:space="preserve">年本）》；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25</w:t>
      </w:r>
      <w:r>
        <w:rPr>
          <w:rFonts w:hint="eastAsia" w:ascii="宋体" w:hAnsi="宋体" w:cs="宋体"/>
          <w:color w:val="000000"/>
          <w:lang w:eastAsia="zh-CN" w:bidi="ar"/>
        </w:rPr>
        <w:t>）《辽宁省主体功能区规划》（辽政发〔</w:t>
      </w:r>
      <w:r>
        <w:rPr>
          <w:rFonts w:cs="Times New Roman"/>
          <w:color w:val="000000"/>
          <w:lang w:eastAsia="zh-CN" w:bidi="ar"/>
        </w:rPr>
        <w:t>2014</w:t>
      </w:r>
      <w:r>
        <w:rPr>
          <w:rFonts w:hint="eastAsia" w:ascii="宋体" w:hAnsi="宋体" w:cs="宋体"/>
          <w:color w:val="000000"/>
          <w:lang w:eastAsia="zh-CN" w:bidi="ar"/>
        </w:rPr>
        <w:t>〕</w:t>
      </w:r>
      <w:r>
        <w:rPr>
          <w:rFonts w:cs="Times New Roman"/>
          <w:color w:val="000000"/>
          <w:lang w:eastAsia="zh-CN" w:bidi="ar"/>
        </w:rPr>
        <w:t>11</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26</w:t>
      </w:r>
      <w:r>
        <w:rPr>
          <w:rFonts w:hint="eastAsia" w:ascii="宋体" w:hAnsi="宋体" w:cs="宋体"/>
          <w:color w:val="000000"/>
          <w:lang w:eastAsia="zh-CN" w:bidi="ar"/>
        </w:rPr>
        <w:t>）《关于蓝天工程的实施意见》（辽宁省人民政府，辽政发〔</w:t>
      </w:r>
      <w:r>
        <w:rPr>
          <w:rFonts w:cs="Times New Roman"/>
          <w:color w:val="000000"/>
          <w:lang w:eastAsia="zh-CN" w:bidi="ar"/>
        </w:rPr>
        <w:t>2012</w:t>
      </w:r>
      <w:r>
        <w:rPr>
          <w:rFonts w:hint="eastAsia" w:ascii="宋体" w:hAnsi="宋体" w:cs="宋体"/>
          <w:color w:val="000000"/>
          <w:lang w:eastAsia="zh-CN" w:bidi="ar"/>
        </w:rPr>
        <w:t>〕</w:t>
      </w:r>
      <w:r>
        <w:rPr>
          <w:rFonts w:cs="Times New Roman"/>
          <w:color w:val="000000"/>
          <w:lang w:eastAsia="zh-CN" w:bidi="ar"/>
        </w:rPr>
        <w:t>3</w:t>
      </w:r>
      <w:r>
        <w:rPr>
          <w:rFonts w:hint="eastAsia" w:cs="Times New Roman"/>
          <w:color w:val="000000"/>
          <w:lang w:eastAsia="zh-CN" w:bidi="ar"/>
        </w:rPr>
        <w:t>6</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27</w:t>
      </w:r>
      <w:r>
        <w:rPr>
          <w:rFonts w:hint="eastAsia" w:ascii="宋体" w:hAnsi="宋体" w:cs="宋体"/>
          <w:color w:val="000000"/>
          <w:lang w:eastAsia="zh-CN" w:bidi="ar"/>
        </w:rPr>
        <w:t>）《辽宁省环境保护厅关于贯彻执行环保部建设项目主要污染物排放总量指标审核及管理暂行办法的通知》（辽环发〔</w:t>
      </w:r>
      <w:r>
        <w:rPr>
          <w:rFonts w:cs="Times New Roman"/>
          <w:color w:val="000000"/>
          <w:lang w:eastAsia="zh-CN" w:bidi="ar"/>
        </w:rPr>
        <w:t>2015</w:t>
      </w:r>
      <w:r>
        <w:rPr>
          <w:rFonts w:hint="eastAsia" w:ascii="宋体" w:hAnsi="宋体" w:cs="宋体"/>
          <w:color w:val="000000"/>
          <w:lang w:eastAsia="zh-CN" w:bidi="ar"/>
        </w:rPr>
        <w:t>〕</w:t>
      </w:r>
      <w:r>
        <w:rPr>
          <w:rFonts w:cs="Times New Roman"/>
          <w:color w:val="000000"/>
          <w:lang w:eastAsia="zh-CN" w:bidi="ar"/>
        </w:rPr>
        <w:t>17</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28</w:t>
      </w:r>
      <w:r>
        <w:rPr>
          <w:rFonts w:hint="eastAsia" w:ascii="宋体" w:hAnsi="宋体" w:cs="宋体"/>
          <w:color w:val="000000"/>
          <w:lang w:eastAsia="zh-CN" w:bidi="ar"/>
        </w:rPr>
        <w:t>） 《辽宁省人民政府关于沈阳市县级以上城市集中式饮用水水源保护区的批复》（辽政〔</w:t>
      </w:r>
      <w:r>
        <w:rPr>
          <w:rFonts w:cs="Times New Roman"/>
          <w:color w:val="000000"/>
          <w:lang w:eastAsia="zh-CN" w:bidi="ar"/>
        </w:rPr>
        <w:t>2018</w:t>
      </w:r>
      <w:r>
        <w:rPr>
          <w:rFonts w:hint="eastAsia" w:ascii="宋体" w:hAnsi="宋体" w:cs="宋体"/>
          <w:color w:val="000000"/>
          <w:lang w:eastAsia="zh-CN" w:bidi="ar"/>
        </w:rPr>
        <w:t>〕</w:t>
      </w:r>
      <w:r>
        <w:rPr>
          <w:rFonts w:cs="Times New Roman"/>
          <w:color w:val="000000"/>
          <w:lang w:eastAsia="zh-CN" w:bidi="ar"/>
        </w:rPr>
        <w:t>163</w:t>
      </w:r>
      <w:r>
        <w:rPr>
          <w:rFonts w:hint="eastAsia" w:ascii="宋体" w:hAnsi="宋体" w:cs="宋体"/>
          <w:color w:val="000000"/>
          <w:lang w:eastAsia="zh-CN" w:bidi="ar"/>
        </w:rPr>
        <w:t xml:space="preserve">号）；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29</w:t>
      </w:r>
      <w:r>
        <w:rPr>
          <w:rFonts w:hint="eastAsia" w:ascii="宋体" w:hAnsi="宋体" w:cs="宋体"/>
          <w:color w:val="000000"/>
          <w:lang w:eastAsia="zh-CN" w:bidi="ar"/>
        </w:rPr>
        <w:t>） 《辽宁省人民政府关于调整沈阳市部分饮用水水源保护区的批复》（辽政〔</w:t>
      </w:r>
      <w:r>
        <w:rPr>
          <w:rFonts w:cs="Times New Roman"/>
          <w:color w:val="000000"/>
          <w:lang w:eastAsia="zh-CN" w:bidi="ar"/>
        </w:rPr>
        <w:t>2019</w:t>
      </w:r>
      <w:r>
        <w:rPr>
          <w:rFonts w:hint="eastAsia" w:ascii="宋体" w:hAnsi="宋体" w:cs="宋体"/>
          <w:color w:val="000000"/>
          <w:lang w:eastAsia="zh-CN" w:bidi="ar"/>
        </w:rPr>
        <w:t>〕</w:t>
      </w:r>
      <w:r>
        <w:rPr>
          <w:rFonts w:cs="Times New Roman"/>
          <w:color w:val="000000"/>
          <w:lang w:eastAsia="zh-CN" w:bidi="ar"/>
        </w:rPr>
        <w:t>71</w:t>
      </w:r>
      <w:r>
        <w:rPr>
          <w:rFonts w:hint="eastAsia" w:ascii="宋体" w:hAnsi="宋体" w:cs="宋体"/>
          <w:color w:val="000000"/>
          <w:lang w:eastAsia="zh-CN" w:bidi="ar"/>
        </w:rPr>
        <w:t>号）。</w:t>
      </w:r>
    </w:p>
    <w:p>
      <w:pPr>
        <w:pStyle w:val="9"/>
        <w:rPr>
          <w:rFonts w:ascii="Times New Roman" w:hAnsi="Times New Roman"/>
          <w:color w:val="000000" w:themeColor="text1"/>
          <w14:textFill>
            <w14:solidFill>
              <w14:schemeClr w14:val="tx1"/>
            </w14:solidFill>
          </w14:textFill>
        </w:rPr>
      </w:pPr>
      <w:bookmarkStart w:id="27" w:name="_Toc24283"/>
      <w:r>
        <w:rPr>
          <w:rFonts w:ascii="Times New Roman" w:hAnsi="Times New Roman"/>
        </w:rPr>
        <w:t>1.1.</w:t>
      </w:r>
      <w:r>
        <w:rPr>
          <w:rFonts w:ascii="Times New Roman" w:hAnsi="Times New Roman"/>
          <w:color w:val="000000" w:themeColor="text1"/>
          <w14:textFill>
            <w14:solidFill>
              <w14:schemeClr w14:val="tx1"/>
            </w14:solidFill>
          </w14:textFill>
        </w:rPr>
        <w:t>3沈阳市法律、法规、规章及规范性文件</w:t>
      </w:r>
      <w:bookmarkEnd w:id="27"/>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）《沈阳市公众参与环境保护办法》（沈阳市人民政府令第</w:t>
      </w:r>
      <w:r>
        <w:rPr>
          <w:rFonts w:cs="Times New Roman"/>
          <w:color w:val="000000" w:themeColor="text1"/>
          <w:lang w:eastAsia="zh-CN" w:bidi="ar"/>
          <w14:textFill>
            <w14:solidFill>
              <w14:schemeClr w14:val="tx1"/>
            </w14:solidFill>
          </w14:textFill>
        </w:rPr>
        <w:t>42</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w:t>
      </w:r>
      <w:r>
        <w:rPr>
          <w:rFonts w:hint="eastAsia" w:ascii="宋体" w:hAnsi="宋体" w:cs="宋体"/>
          <w:color w:val="000000" w:themeColor="text1"/>
          <w:lang w:eastAsia="zh-CN" w:bidi="ar"/>
          <w14:textFill>
            <w14:solidFill>
              <w14:schemeClr w14:val="tx1"/>
            </w14:solidFill>
          </w14:textFill>
        </w:rPr>
        <w:t>）《沈阳市节约能源条例》（</w:t>
      </w:r>
      <w:r>
        <w:rPr>
          <w:rFonts w:cs="Times New Roman"/>
          <w:color w:val="000000" w:themeColor="text1"/>
          <w:lang w:eastAsia="zh-CN" w:bidi="ar"/>
          <w14:textFill>
            <w14:solidFill>
              <w14:schemeClr w14:val="tx1"/>
            </w14:solidFill>
          </w14:textFill>
        </w:rPr>
        <w:t>2005</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4</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22</w:t>
      </w:r>
      <w:r>
        <w:rPr>
          <w:rFonts w:hint="eastAsia" w:ascii="宋体" w:hAnsi="宋体" w:cs="宋体"/>
          <w:color w:val="000000" w:themeColor="text1"/>
          <w:lang w:eastAsia="zh-CN" w:bidi="ar"/>
          <w14:textFill>
            <w14:solidFill>
              <w14:schemeClr w14:val="tx1"/>
            </w14:solidFill>
          </w14:textFill>
        </w:rPr>
        <w:t>日沈阳市第十三届人民代表大会常务委员会第二十次会议通过；</w:t>
      </w:r>
      <w:r>
        <w:rPr>
          <w:rFonts w:cs="Times New Roman"/>
          <w:color w:val="000000" w:themeColor="text1"/>
          <w:lang w:eastAsia="zh-CN" w:bidi="ar"/>
          <w14:textFill>
            <w14:solidFill>
              <w14:schemeClr w14:val="tx1"/>
            </w14:solidFill>
          </w14:textFill>
        </w:rPr>
        <w:t>2005</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5</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28</w:t>
      </w:r>
      <w:r>
        <w:rPr>
          <w:rFonts w:hint="eastAsia" w:ascii="宋体" w:hAnsi="宋体" w:cs="宋体"/>
          <w:color w:val="000000" w:themeColor="text1"/>
          <w:lang w:eastAsia="zh-CN" w:bidi="ar"/>
          <w14:textFill>
            <w14:solidFill>
              <w14:schemeClr w14:val="tx1"/>
            </w14:solidFill>
          </w14:textFill>
        </w:rPr>
        <w:t xml:space="preserve">日辽宁省第十届人民代表大会常务委员会第十九次会议批准）；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w:t>
      </w:r>
      <w:r>
        <w:rPr>
          <w:rFonts w:hint="eastAsia" w:ascii="宋体" w:hAnsi="宋体" w:cs="宋体"/>
          <w:color w:val="000000" w:themeColor="text1"/>
          <w:lang w:eastAsia="zh-CN" w:bidi="ar"/>
          <w14:textFill>
            <w14:solidFill>
              <w14:schemeClr w14:val="tx1"/>
            </w14:solidFill>
          </w14:textFill>
        </w:rPr>
        <w:t>） 《沈阳市大气污染防治条例》（</w:t>
      </w:r>
      <w:r>
        <w:rPr>
          <w:rFonts w:cs="Times New Roman"/>
          <w:color w:val="000000" w:themeColor="text1"/>
          <w:lang w:eastAsia="zh-CN" w:bidi="ar"/>
          <w14:textFill>
            <w14:solidFill>
              <w14:schemeClr w14:val="tx1"/>
            </w14:solidFill>
          </w14:textFill>
        </w:rPr>
        <w:t>2019</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w:t>
      </w:r>
      <w:r>
        <w:rPr>
          <w:rFonts w:hint="eastAsia" w:cs="Times New Roman"/>
          <w:color w:val="000000" w:themeColor="text1"/>
          <w:lang w:eastAsia="zh-CN" w:bidi="ar"/>
          <w14:textFill>
            <w14:solidFill>
              <w14:schemeClr w14:val="tx1"/>
            </w14:solidFill>
          </w14:textFill>
        </w:rPr>
        <w:t>8</w:t>
      </w:r>
      <w:r>
        <w:rPr>
          <w:rFonts w:hint="eastAsia" w:ascii="宋体" w:hAnsi="宋体" w:cs="宋体"/>
          <w:color w:val="000000" w:themeColor="text1"/>
          <w:lang w:eastAsia="zh-CN" w:bidi="ar"/>
          <w14:textFill>
            <w14:solidFill>
              <w14:schemeClr w14:val="tx1"/>
            </w14:solidFill>
          </w14:textFill>
        </w:rPr>
        <w:t>日辽宁省第十三届人民代表大会常务委员会第十四次会议批准）；</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w:t>
      </w:r>
      <w:r>
        <w:rPr>
          <w:rFonts w:hint="eastAsia" w:ascii="宋体" w:hAnsi="宋体" w:cs="宋体"/>
          <w:color w:val="000000" w:themeColor="text1"/>
          <w:lang w:eastAsia="zh-CN" w:bidi="ar"/>
          <w14:textFill>
            <w14:solidFill>
              <w14:schemeClr w14:val="tx1"/>
            </w14:solidFill>
          </w14:textFill>
        </w:rPr>
        <w:t>）《沈阳市水污染防治条例》（</w:t>
      </w:r>
      <w:r>
        <w:rPr>
          <w:rFonts w:cs="Times New Roman"/>
          <w:color w:val="000000" w:themeColor="text1"/>
          <w:lang w:eastAsia="zh-CN" w:bidi="ar"/>
          <w14:textFill>
            <w14:solidFill>
              <w14:schemeClr w14:val="tx1"/>
            </w14:solidFill>
          </w14:textFill>
        </w:rPr>
        <w:t>2012</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5</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22</w:t>
      </w:r>
      <w:r>
        <w:rPr>
          <w:rFonts w:hint="eastAsia" w:ascii="宋体" w:hAnsi="宋体" w:cs="宋体"/>
          <w:color w:val="000000" w:themeColor="text1"/>
          <w:lang w:eastAsia="zh-CN" w:bidi="ar"/>
          <w14:textFill>
            <w14:solidFill>
              <w14:schemeClr w14:val="tx1"/>
            </w14:solidFill>
          </w14:textFill>
        </w:rPr>
        <w:t>日辽宁省十一届人大常委会第</w:t>
      </w:r>
      <w:r>
        <w:rPr>
          <w:rFonts w:cs="Times New Roman"/>
          <w:color w:val="000000" w:themeColor="text1"/>
          <w:lang w:eastAsia="zh-CN" w:bidi="ar"/>
          <w14:textFill>
            <w14:solidFill>
              <w14:schemeClr w14:val="tx1"/>
            </w14:solidFill>
          </w14:textFill>
        </w:rPr>
        <w:t>29</w:t>
      </w:r>
      <w:r>
        <w:rPr>
          <w:rFonts w:hint="eastAsia" w:ascii="宋体" w:hAnsi="宋体" w:cs="宋体"/>
          <w:color w:val="000000" w:themeColor="text1"/>
          <w:lang w:eastAsia="zh-CN" w:bidi="ar"/>
          <w14:textFill>
            <w14:solidFill>
              <w14:schemeClr w14:val="tx1"/>
            </w14:solidFill>
          </w14:textFill>
        </w:rPr>
        <w:t xml:space="preserve">次会议批准）；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w:t>
      </w:r>
      <w:r>
        <w:rPr>
          <w:rFonts w:hint="eastAsia" w:ascii="宋体" w:hAnsi="宋体" w:cs="宋体"/>
          <w:color w:val="000000" w:themeColor="text1"/>
          <w:lang w:eastAsia="zh-CN" w:bidi="ar"/>
          <w14:textFill>
            <w14:solidFill>
              <w14:schemeClr w14:val="tx1"/>
            </w14:solidFill>
          </w14:textFill>
        </w:rPr>
        <w:t>）《沈阳市环境噪声污染防治条例》（</w:t>
      </w:r>
      <w:r>
        <w:rPr>
          <w:rFonts w:cs="Times New Roman"/>
          <w:color w:val="000000" w:themeColor="text1"/>
          <w:lang w:eastAsia="zh-CN" w:bidi="ar"/>
          <w14:textFill>
            <w14:solidFill>
              <w14:schemeClr w14:val="tx1"/>
            </w14:solidFill>
          </w14:textFill>
        </w:rPr>
        <w:t>2007</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12</w:t>
      </w:r>
      <w:r>
        <w:rPr>
          <w:rFonts w:hint="eastAsia" w:ascii="宋体" w:hAnsi="宋体" w:cs="宋体"/>
          <w:color w:val="000000" w:themeColor="text1"/>
          <w:lang w:eastAsia="zh-CN" w:bidi="ar"/>
          <w14:textFill>
            <w14:solidFill>
              <w14:schemeClr w14:val="tx1"/>
            </w14:solidFill>
          </w14:textFill>
        </w:rPr>
        <w:t xml:space="preserve">日辽宁省第十届人民代表大会常务委员会第二十九次会议批准）；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w:t>
      </w:r>
      <w:r>
        <w:rPr>
          <w:rFonts w:hint="eastAsia" w:ascii="宋体" w:hAnsi="宋体" w:cs="宋体"/>
          <w:color w:val="000000" w:themeColor="text1"/>
          <w:lang w:eastAsia="zh-CN" w:bidi="ar"/>
          <w14:textFill>
            <w14:solidFill>
              <w14:schemeClr w14:val="tx1"/>
            </w14:solidFill>
          </w14:textFill>
        </w:rPr>
        <w:t>）《沈阳市危险废物污染环境防治条例》（</w:t>
      </w:r>
      <w:r>
        <w:rPr>
          <w:rFonts w:cs="Times New Roman"/>
          <w:color w:val="000000" w:themeColor="text1"/>
          <w:lang w:eastAsia="zh-CN" w:bidi="ar"/>
          <w14:textFill>
            <w14:solidFill>
              <w14:schemeClr w14:val="tx1"/>
            </w14:solidFill>
          </w14:textFill>
        </w:rPr>
        <w:t>2008</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11</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28</w:t>
      </w:r>
      <w:r>
        <w:rPr>
          <w:rFonts w:hint="eastAsia" w:ascii="宋体" w:hAnsi="宋体" w:cs="宋体"/>
          <w:color w:val="000000" w:themeColor="text1"/>
          <w:lang w:eastAsia="zh-CN" w:bidi="ar"/>
          <w14:textFill>
            <w14:solidFill>
              <w14:schemeClr w14:val="tx1"/>
            </w14:solidFill>
          </w14:textFill>
        </w:rPr>
        <w:t xml:space="preserve">日辽宁省第十一届人民代表大会常务委员会第五次会议批准）；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7</w:t>
      </w:r>
      <w:r>
        <w:rPr>
          <w:rFonts w:hint="eastAsia" w:ascii="宋体" w:hAnsi="宋体" w:cs="宋体"/>
          <w:color w:val="000000" w:themeColor="text1"/>
          <w:lang w:eastAsia="zh-CN" w:bidi="ar"/>
          <w14:textFill>
            <w14:solidFill>
              <w14:schemeClr w14:val="tx1"/>
            </w14:solidFill>
          </w14:textFill>
        </w:rPr>
        <w:t>）《沈阳市地上不可移动文物和地下文物保护条例》（</w:t>
      </w:r>
      <w:r>
        <w:rPr>
          <w:rFonts w:cs="Times New Roman"/>
          <w:color w:val="000000" w:themeColor="text1"/>
          <w:lang w:eastAsia="zh-CN" w:bidi="ar"/>
          <w14:textFill>
            <w14:solidFill>
              <w14:schemeClr w14:val="tx1"/>
            </w14:solidFill>
          </w14:textFill>
        </w:rPr>
        <w:t>2005</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23</w:t>
      </w:r>
      <w:r>
        <w:rPr>
          <w:rFonts w:hint="eastAsia" w:ascii="宋体" w:hAnsi="宋体" w:cs="宋体"/>
          <w:color w:val="000000" w:themeColor="text1"/>
          <w:lang w:eastAsia="zh-CN" w:bidi="ar"/>
          <w14:textFill>
            <w14:solidFill>
              <w14:schemeClr w14:val="tx1"/>
            </w14:solidFill>
          </w14:textFill>
        </w:rPr>
        <w:t xml:space="preserve">日辽宁省第十届人民代表大会常务委员会第二十一次会议批准）；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8</w:t>
      </w:r>
      <w:r>
        <w:rPr>
          <w:rFonts w:hint="eastAsia" w:ascii="宋体" w:hAnsi="宋体" w:cs="宋体"/>
          <w:color w:val="000000" w:themeColor="text1"/>
          <w:lang w:eastAsia="zh-CN" w:bidi="ar"/>
          <w14:textFill>
            <w14:solidFill>
              <w14:schemeClr w14:val="tx1"/>
            </w14:solidFill>
          </w14:textFill>
        </w:rPr>
        <w:t>）《沈阳市人民政府办公厅转发市水利局关于封闭地下水取水工程实施方案的通知》（沈政办发〔</w:t>
      </w:r>
      <w:r>
        <w:rPr>
          <w:rFonts w:cs="Times New Roman"/>
          <w:color w:val="000000" w:themeColor="text1"/>
          <w:lang w:eastAsia="zh-CN" w:bidi="ar"/>
          <w14:textFill>
            <w14:solidFill>
              <w14:schemeClr w14:val="tx1"/>
            </w14:solidFill>
          </w14:textFill>
        </w:rPr>
        <w:t>2011</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117</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）《沈阳市城市房屋拆迁管理办法》（沈阳市人民政府令第</w:t>
      </w:r>
      <w:r>
        <w:rPr>
          <w:rFonts w:cs="Times New Roman"/>
          <w:color w:val="000000" w:themeColor="text1"/>
          <w:lang w:eastAsia="zh-CN" w:bidi="ar"/>
          <w14:textFill>
            <w14:solidFill>
              <w14:schemeClr w14:val="tx1"/>
            </w14:solidFill>
          </w14:textFill>
        </w:rPr>
        <w:t>19</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10</w:t>
      </w:r>
      <w:r>
        <w:rPr>
          <w:rFonts w:hint="eastAsia" w:ascii="宋体" w:hAnsi="宋体" w:cs="宋体"/>
          <w:color w:val="000000" w:themeColor="text1"/>
          <w:lang w:eastAsia="zh-CN" w:bidi="ar"/>
          <w14:textFill>
            <w14:solidFill>
              <w14:schemeClr w14:val="tx1"/>
            </w14:solidFill>
          </w14:textFill>
        </w:rPr>
        <w:t>）《沈阳市城市绿化条例》（</w:t>
      </w:r>
      <w:r>
        <w:rPr>
          <w:rFonts w:cs="Times New Roman"/>
          <w:color w:val="000000" w:themeColor="text1"/>
          <w:lang w:eastAsia="zh-CN" w:bidi="ar"/>
          <w14:textFill>
            <w14:solidFill>
              <w14:schemeClr w14:val="tx1"/>
            </w14:solidFill>
          </w14:textFill>
        </w:rPr>
        <w:t>2001</w:t>
      </w:r>
      <w:r>
        <w:rPr>
          <w:rFonts w:hint="eastAsia" w:ascii="宋体" w:hAnsi="宋体" w:cs="宋体"/>
          <w:color w:val="000000" w:themeColor="text1"/>
          <w:lang w:eastAsia="zh-CN" w:bidi="ar"/>
          <w14:textFill>
            <w14:solidFill>
              <w14:schemeClr w14:val="tx1"/>
            </w14:solidFill>
          </w14:textFill>
        </w:rPr>
        <w:t>年</w:t>
      </w:r>
      <w:r>
        <w:rPr>
          <w:rFonts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月</w:t>
      </w:r>
      <w:r>
        <w:rPr>
          <w:rFonts w:cs="Times New Roman"/>
          <w:color w:val="000000" w:themeColor="text1"/>
          <w:lang w:eastAsia="zh-CN" w:bidi="ar"/>
          <w14:textFill>
            <w14:solidFill>
              <w14:schemeClr w14:val="tx1"/>
            </w14:solidFill>
          </w14:textFill>
        </w:rPr>
        <w:t>21</w:t>
      </w:r>
      <w:r>
        <w:rPr>
          <w:rFonts w:hint="eastAsia" w:ascii="宋体" w:hAnsi="宋体" w:cs="宋体"/>
          <w:color w:val="000000" w:themeColor="text1"/>
          <w:lang w:eastAsia="zh-CN" w:bidi="ar"/>
          <w14:textFill>
            <w14:solidFill>
              <w14:schemeClr w14:val="tx1"/>
            </w14:solidFill>
          </w14:textFill>
        </w:rPr>
        <w:t xml:space="preserve">日通过）；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11</w:t>
      </w:r>
      <w:r>
        <w:rPr>
          <w:rFonts w:hint="eastAsia" w:ascii="宋体" w:hAnsi="宋体" w:cs="宋体"/>
          <w:color w:val="000000" w:themeColor="text1"/>
          <w:lang w:eastAsia="zh-CN" w:bidi="ar"/>
          <w14:textFill>
            <w14:solidFill>
              <w14:schemeClr w14:val="tx1"/>
            </w14:solidFill>
          </w14:textFill>
        </w:rPr>
        <w:t>）《沈阳市声环境功能区划》（沈政〔</w:t>
      </w:r>
      <w:r>
        <w:rPr>
          <w:rFonts w:cs="Times New Roman"/>
          <w:color w:val="000000" w:themeColor="text1"/>
          <w:lang w:eastAsia="zh-CN" w:bidi="ar"/>
          <w14:textFill>
            <w14:solidFill>
              <w14:schemeClr w14:val="tx1"/>
            </w14:solidFill>
          </w14:textFill>
        </w:rPr>
        <w:t>2017</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126</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12</w:t>
      </w:r>
      <w:r>
        <w:rPr>
          <w:rFonts w:hint="eastAsia" w:ascii="宋体" w:hAnsi="宋体" w:cs="宋体"/>
          <w:color w:val="000000" w:themeColor="text1"/>
          <w:lang w:eastAsia="zh-CN" w:bidi="ar"/>
          <w14:textFill>
            <w14:solidFill>
              <w14:schemeClr w14:val="tx1"/>
            </w14:solidFill>
          </w14:textFill>
        </w:rPr>
        <w:t>）《关于同意沈阳市地面水功能区划管理意见的批复》（沈政〔</w:t>
      </w:r>
      <w:r>
        <w:rPr>
          <w:rFonts w:cs="Times New Roman"/>
          <w:color w:val="000000" w:themeColor="text1"/>
          <w:lang w:eastAsia="zh-CN" w:bidi="ar"/>
          <w14:textFill>
            <w14:solidFill>
              <w14:schemeClr w14:val="tx1"/>
            </w14:solidFill>
          </w14:textFill>
        </w:rPr>
        <w:t>1997</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30</w:t>
      </w:r>
      <w:r>
        <w:rPr>
          <w:rFonts w:hint="eastAsia" w:ascii="宋体" w:hAnsi="宋体" w:cs="宋体"/>
          <w:color w:val="000000" w:themeColor="text1"/>
          <w:lang w:eastAsia="zh-CN" w:bidi="ar"/>
          <w14:textFill>
            <w14:solidFill>
              <w14:schemeClr w14:val="tx1"/>
            </w14:solidFill>
          </w14:textFill>
        </w:rPr>
        <w:t>号）；</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13</w:t>
      </w:r>
      <w:r>
        <w:rPr>
          <w:rFonts w:hint="eastAsia" w:ascii="宋体" w:hAnsi="宋体" w:cs="宋体"/>
          <w:color w:val="000000" w:themeColor="text1"/>
          <w:lang w:eastAsia="zh-CN" w:bidi="ar"/>
          <w14:textFill>
            <w14:solidFill>
              <w14:schemeClr w14:val="tx1"/>
            </w14:solidFill>
          </w14:textFill>
        </w:rPr>
        <w:t>）《关于同意沈阳市环境空气质量功能区管理意见的批复》（沈政〔</w:t>
      </w:r>
      <w:r>
        <w:rPr>
          <w:rFonts w:cs="Times New Roman"/>
          <w:color w:val="000000" w:themeColor="text1"/>
          <w:lang w:eastAsia="zh-CN" w:bidi="ar"/>
          <w14:textFill>
            <w14:solidFill>
              <w14:schemeClr w14:val="tx1"/>
            </w14:solidFill>
          </w14:textFill>
        </w:rPr>
        <w:t>2000</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15</w:t>
      </w:r>
      <w:r>
        <w:rPr>
          <w:rFonts w:hint="eastAsia" w:ascii="宋体" w:hAnsi="宋体" w:cs="宋体"/>
          <w:color w:val="000000" w:themeColor="text1"/>
          <w:lang w:eastAsia="zh-CN" w:bidi="ar"/>
          <w14:textFill>
            <w14:solidFill>
              <w14:schemeClr w14:val="tx1"/>
            </w14:solidFill>
          </w14:textFill>
        </w:rPr>
        <w:t>号）；</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14</w:t>
      </w:r>
      <w:r>
        <w:rPr>
          <w:rFonts w:hint="eastAsia" w:ascii="宋体" w:hAnsi="宋体" w:cs="宋体"/>
          <w:color w:val="000000" w:themeColor="text1"/>
          <w:lang w:eastAsia="zh-CN" w:bidi="ar"/>
          <w14:textFill>
            <w14:solidFill>
              <w14:schemeClr w14:val="tx1"/>
            </w14:solidFill>
          </w14:textFill>
        </w:rPr>
        <w:t>）《沈阳市人民政府关于印发沈阳市蓝天行动实施方案（</w:t>
      </w:r>
      <w:r>
        <w:rPr>
          <w:rFonts w:cs="Times New Roman"/>
          <w:color w:val="000000" w:themeColor="text1"/>
          <w:lang w:eastAsia="zh-CN" w:bidi="ar"/>
          <w14:textFill>
            <w14:solidFill>
              <w14:schemeClr w14:val="tx1"/>
            </w14:solidFill>
          </w14:textFill>
        </w:rPr>
        <w:t>2015-2017</w:t>
      </w:r>
      <w:r>
        <w:rPr>
          <w:rFonts w:hint="eastAsia" w:ascii="宋体" w:hAnsi="宋体" w:cs="宋体"/>
          <w:color w:val="000000" w:themeColor="text1"/>
          <w:lang w:eastAsia="zh-CN" w:bidi="ar"/>
          <w14:textFill>
            <w14:solidFill>
              <w14:schemeClr w14:val="tx1"/>
            </w14:solidFill>
          </w14:textFill>
        </w:rPr>
        <w:t>年）的通知》（沈政发〔</w:t>
      </w:r>
      <w:r>
        <w:rPr>
          <w:rFonts w:cs="Times New Roman"/>
          <w:color w:val="000000" w:themeColor="text1"/>
          <w:lang w:eastAsia="zh-CN" w:bidi="ar"/>
          <w14:textFill>
            <w14:solidFill>
              <w14:schemeClr w14:val="tx1"/>
            </w14:solidFill>
          </w14:textFill>
        </w:rPr>
        <w:t>2015</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19</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15</w:t>
      </w:r>
      <w:r>
        <w:rPr>
          <w:rFonts w:hint="eastAsia" w:ascii="宋体" w:hAnsi="宋体" w:cs="宋体"/>
          <w:color w:val="000000" w:themeColor="text1"/>
          <w:lang w:eastAsia="zh-CN" w:bidi="ar"/>
          <w14:textFill>
            <w14:solidFill>
              <w14:schemeClr w14:val="tx1"/>
            </w14:solidFill>
          </w14:textFill>
        </w:rPr>
        <w:t xml:space="preserve">）《沈阳市建设项目环保审批准入特别限制措施（负面清单）》（试行）（沈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环保〔</w:t>
      </w:r>
      <w:r>
        <w:rPr>
          <w:rFonts w:cs="Times New Roman"/>
          <w:color w:val="000000" w:themeColor="text1"/>
          <w:lang w:eastAsia="zh-CN" w:bidi="ar"/>
          <w14:textFill>
            <w14:solidFill>
              <w14:schemeClr w14:val="tx1"/>
            </w14:solidFill>
          </w14:textFill>
        </w:rPr>
        <w:t>2017</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76</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16</w:t>
      </w:r>
      <w:r>
        <w:rPr>
          <w:rFonts w:hint="eastAsia" w:ascii="宋体" w:hAnsi="宋体" w:cs="宋体"/>
          <w:color w:val="000000" w:themeColor="text1"/>
          <w:lang w:eastAsia="zh-CN" w:bidi="ar"/>
          <w14:textFill>
            <w14:solidFill>
              <w14:schemeClr w14:val="tx1"/>
            </w14:solidFill>
          </w14:textFill>
        </w:rPr>
        <w:t>）《关于进一步规范危险化学品建设项目管理的通知》（沈安监发〔</w:t>
      </w:r>
      <w:r>
        <w:rPr>
          <w:rFonts w:cs="Times New Roman"/>
          <w:color w:val="000000" w:themeColor="text1"/>
          <w:lang w:eastAsia="zh-CN" w:bidi="ar"/>
          <w14:textFill>
            <w14:solidFill>
              <w14:schemeClr w14:val="tx1"/>
            </w14:solidFill>
          </w14:textFill>
        </w:rPr>
        <w:t>2007</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28</w:t>
      </w:r>
      <w:r>
        <w:rPr>
          <w:rFonts w:hint="eastAsia" w:ascii="宋体" w:hAnsi="宋体" w:cs="宋体"/>
          <w:color w:val="000000" w:themeColor="text1"/>
          <w:lang w:eastAsia="zh-CN" w:bidi="ar"/>
          <w14:textFill>
            <w14:solidFill>
              <w14:schemeClr w14:val="tx1"/>
            </w14:solidFill>
          </w14:textFill>
        </w:rPr>
        <w:t>号）；</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17</w:t>
      </w:r>
      <w:r>
        <w:rPr>
          <w:rFonts w:hint="eastAsia" w:ascii="宋体" w:hAnsi="宋体" w:cs="宋体"/>
          <w:color w:val="000000" w:themeColor="text1"/>
          <w:lang w:eastAsia="zh-CN" w:bidi="ar"/>
          <w14:textFill>
            <w14:solidFill>
              <w14:schemeClr w14:val="tx1"/>
            </w14:solidFill>
          </w14:textFill>
        </w:rPr>
        <w:t>）《沈阳市工程建设项目审批制度改革试点工作方案》（沈政发〔</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33</w:t>
      </w:r>
      <w:r>
        <w:rPr>
          <w:rFonts w:hint="eastAsia" w:ascii="宋体" w:hAnsi="宋体" w:cs="宋体"/>
          <w:color w:val="000000" w:themeColor="text1"/>
          <w:lang w:eastAsia="zh-CN" w:bidi="ar"/>
          <w14:textFill>
            <w14:solidFill>
              <w14:schemeClr w14:val="tx1"/>
            </w14:solidFill>
          </w14:textFill>
        </w:rPr>
        <w:t>号）；</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18</w:t>
      </w:r>
      <w:r>
        <w:rPr>
          <w:rFonts w:hint="eastAsia" w:ascii="宋体" w:hAnsi="宋体" w:cs="宋体"/>
          <w:color w:val="000000" w:themeColor="text1"/>
          <w:lang w:eastAsia="zh-CN" w:bidi="ar"/>
          <w14:textFill>
            <w14:solidFill>
              <w14:schemeClr w14:val="tx1"/>
            </w14:solidFill>
          </w14:textFill>
        </w:rPr>
        <w:t>）《关于转发沈阳市环境保护局关于印发沈阳市区域环境影响评价实施细则（试行）的通知》（沈建改办〔</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19</w:t>
      </w:r>
      <w:r>
        <w:rPr>
          <w:rFonts w:hint="eastAsia" w:ascii="宋体" w:hAnsi="宋体" w:cs="宋体"/>
          <w:color w:val="000000" w:themeColor="text1"/>
          <w:lang w:eastAsia="zh-CN" w:bidi="ar"/>
          <w14:textFill>
            <w14:solidFill>
              <w14:schemeClr w14:val="tx1"/>
            </w14:solidFill>
          </w14:textFill>
        </w:rPr>
        <w:t>）《沈阳市环境保护局关于印发沈阳市区域环境影响评价实施细则（试行）的通知》（沈环保〔</w:t>
      </w:r>
      <w:r>
        <w:rPr>
          <w:rFonts w:cs="Times New Roman"/>
          <w:color w:val="000000" w:themeColor="text1"/>
          <w:lang w:eastAsia="zh-CN" w:bidi="ar"/>
          <w14:textFill>
            <w14:solidFill>
              <w14:schemeClr w14:val="tx1"/>
            </w14:solidFill>
          </w14:textFill>
        </w:rPr>
        <w:t>2018</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473</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20</w:t>
      </w:r>
      <w:r>
        <w:rPr>
          <w:rFonts w:hint="eastAsia" w:ascii="宋体" w:hAnsi="宋体" w:cs="宋体"/>
          <w:color w:val="000000" w:themeColor="text1"/>
          <w:lang w:eastAsia="zh-CN" w:bidi="ar"/>
          <w14:textFill>
            <w14:solidFill>
              <w14:schemeClr w14:val="tx1"/>
            </w14:solidFill>
          </w14:textFill>
        </w:rPr>
        <w:t>）《沈阳市生态保护红线》；</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21</w:t>
      </w:r>
      <w:r>
        <w:rPr>
          <w:rFonts w:hint="eastAsia" w:ascii="宋体" w:hAnsi="宋体" w:cs="宋体"/>
          <w:color w:val="000000" w:themeColor="text1"/>
          <w:lang w:eastAsia="zh-CN" w:bidi="ar"/>
          <w14:textFill>
            <w14:solidFill>
              <w14:schemeClr w14:val="tx1"/>
            </w14:solidFill>
          </w14:textFill>
        </w:rPr>
        <w:t>）《沈阳市建设项目环境准入限制政策目录（</w:t>
      </w:r>
      <w:r>
        <w:rPr>
          <w:rFonts w:cs="Times New Roman"/>
          <w:color w:val="000000" w:themeColor="text1"/>
          <w:lang w:eastAsia="zh-CN" w:bidi="ar"/>
          <w14:textFill>
            <w14:solidFill>
              <w14:schemeClr w14:val="tx1"/>
            </w14:solidFill>
          </w14:textFill>
        </w:rPr>
        <w:t>202</w:t>
      </w:r>
      <w:r>
        <w:rPr>
          <w:rFonts w:hint="eastAsia"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年版）》。</w:t>
      </w:r>
    </w:p>
    <w:p>
      <w:pPr>
        <w:pStyle w:val="9"/>
        <w:rPr>
          <w:rFonts w:ascii="Times New Roman" w:hAnsi="Times New Roman"/>
        </w:rPr>
      </w:pPr>
      <w:bookmarkStart w:id="28" w:name="_Toc1067"/>
      <w:bookmarkStart w:id="29" w:name="_Toc57572392"/>
      <w:bookmarkStart w:id="30" w:name="_Toc22551074"/>
      <w:bookmarkStart w:id="31" w:name="_Toc22550120"/>
      <w:r>
        <w:rPr>
          <w:rFonts w:ascii="Times New Roman" w:hAnsi="Times New Roman"/>
        </w:rPr>
        <w:t>1.1.4有关技术导则与规范</w:t>
      </w:r>
      <w:bookmarkEnd w:id="28"/>
      <w:bookmarkEnd w:id="29"/>
      <w:bookmarkEnd w:id="30"/>
      <w:bookmarkEnd w:id="31"/>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1</w:t>
      </w:r>
      <w:r>
        <w:rPr>
          <w:rFonts w:hint="eastAsia" w:ascii="宋体" w:hAnsi="宋体" w:cs="宋体"/>
          <w:color w:val="000000"/>
          <w:lang w:eastAsia="zh-CN" w:bidi="ar"/>
        </w:rPr>
        <w:t>）《规划环境影响评价技术导则 总纲》（</w:t>
      </w:r>
      <w:r>
        <w:rPr>
          <w:rFonts w:cs="Times New Roman"/>
          <w:color w:val="000000"/>
          <w:lang w:eastAsia="zh-CN" w:bidi="ar"/>
        </w:rPr>
        <w:t>HJ130-2019</w:t>
      </w:r>
      <w:r>
        <w:rPr>
          <w:rFonts w:hint="eastAsia" w:ascii="宋体" w:hAnsi="宋体" w:cs="宋体"/>
          <w:color w:val="000000"/>
          <w:lang w:eastAsia="zh-CN" w:bidi="ar"/>
        </w:rPr>
        <w:t xml:space="preserve">）；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2</w:t>
      </w:r>
      <w:r>
        <w:rPr>
          <w:rFonts w:hint="eastAsia" w:ascii="宋体" w:hAnsi="宋体" w:cs="宋体"/>
          <w:color w:val="000000"/>
          <w:lang w:eastAsia="zh-CN" w:bidi="ar"/>
        </w:rPr>
        <w:t>）《开发区区域环境影响评价技术导则》（</w:t>
      </w:r>
      <w:r>
        <w:rPr>
          <w:rFonts w:cs="Times New Roman"/>
          <w:color w:val="000000"/>
          <w:lang w:eastAsia="zh-CN" w:bidi="ar"/>
        </w:rPr>
        <w:t>HJ/T131-2003</w:t>
      </w:r>
      <w:r>
        <w:rPr>
          <w:rFonts w:hint="eastAsia" w:ascii="宋体" w:hAnsi="宋体" w:cs="宋体"/>
          <w:color w:val="000000"/>
          <w:lang w:eastAsia="zh-CN" w:bidi="ar"/>
        </w:rPr>
        <w:t xml:space="preserve">）；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3</w:t>
      </w:r>
      <w:r>
        <w:rPr>
          <w:rFonts w:hint="eastAsia" w:ascii="宋体" w:hAnsi="宋体" w:cs="宋体"/>
          <w:color w:val="000000"/>
          <w:lang w:eastAsia="zh-CN" w:bidi="ar"/>
        </w:rPr>
        <w:t>）《建设项目环境影响评价技术导则 总纲》（</w:t>
      </w:r>
      <w:r>
        <w:rPr>
          <w:rFonts w:cs="Times New Roman"/>
          <w:color w:val="000000"/>
          <w:lang w:eastAsia="zh-CN" w:bidi="ar"/>
        </w:rPr>
        <w:t>HJ2.1-2016</w:t>
      </w:r>
      <w:r>
        <w:rPr>
          <w:rFonts w:hint="eastAsia" w:ascii="宋体" w:hAnsi="宋体" w:cs="宋体"/>
          <w:color w:val="000000"/>
          <w:lang w:eastAsia="zh-CN" w:bidi="ar"/>
        </w:rPr>
        <w:t xml:space="preserve">）； </w:t>
      </w:r>
    </w:p>
    <w:p>
      <w:pPr>
        <w:widowControl/>
        <w:ind w:firstLine="480"/>
        <w:jc w:val="left"/>
        <w:rPr>
          <w:lang w:eastAsia="zh-CN"/>
        </w:rPr>
      </w:pPr>
      <w:r>
        <w:rPr>
          <w:rFonts w:hint="eastAsia" w:ascii="宋体" w:hAnsi="宋体" w:cs="宋体"/>
          <w:color w:val="000000"/>
          <w:lang w:eastAsia="zh-CN" w:bidi="ar"/>
        </w:rPr>
        <w:t>（</w:t>
      </w:r>
      <w:r>
        <w:rPr>
          <w:rFonts w:cs="Times New Roman"/>
          <w:color w:val="000000"/>
          <w:lang w:eastAsia="zh-CN" w:bidi="ar"/>
        </w:rPr>
        <w:t>4</w:t>
      </w:r>
      <w:r>
        <w:rPr>
          <w:rFonts w:hint="eastAsia" w:ascii="宋体" w:hAnsi="宋体" w:cs="宋体"/>
          <w:color w:val="000000"/>
          <w:lang w:eastAsia="zh-CN" w:bidi="ar"/>
        </w:rPr>
        <w:t>）《环境影响评价技术导则大气环境》（</w:t>
      </w:r>
      <w:r>
        <w:rPr>
          <w:rFonts w:cs="Times New Roman"/>
          <w:color w:val="000000"/>
          <w:lang w:eastAsia="zh-CN" w:bidi="ar"/>
        </w:rPr>
        <w:t>HJ2.2-2018</w:t>
      </w:r>
      <w:r>
        <w:rPr>
          <w:rFonts w:hint="eastAsia" w:ascii="宋体" w:hAnsi="宋体" w:cs="宋体"/>
          <w:color w:val="000000"/>
          <w:lang w:eastAsia="zh-CN" w:bidi="ar"/>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w:t>
      </w:r>
      <w:r>
        <w:rPr>
          <w:rFonts w:hint="eastAsia" w:ascii="宋体" w:hAnsi="宋体" w:cs="宋体"/>
          <w:color w:val="000000" w:themeColor="text1"/>
          <w:lang w:eastAsia="zh-CN" w:bidi="ar"/>
          <w14:textFill>
            <w14:solidFill>
              <w14:schemeClr w14:val="tx1"/>
            </w14:solidFill>
          </w14:textFill>
        </w:rPr>
        <w:t>）《环境影响评价技术导则地表水环境》（</w:t>
      </w:r>
      <w:r>
        <w:rPr>
          <w:rFonts w:cs="Times New Roman"/>
          <w:color w:val="000000" w:themeColor="text1"/>
          <w:lang w:eastAsia="zh-CN" w:bidi="ar"/>
          <w14:textFill>
            <w14:solidFill>
              <w14:schemeClr w14:val="tx1"/>
            </w14:solidFill>
          </w14:textFill>
        </w:rPr>
        <w:t>HJ2.3-2018</w:t>
      </w:r>
      <w:r>
        <w:rPr>
          <w:rFonts w:hint="eastAsia" w:ascii="宋体" w:hAnsi="宋体" w:cs="宋体"/>
          <w:color w:val="000000" w:themeColor="text1"/>
          <w:lang w:eastAsia="zh-CN" w:bidi="ar"/>
          <w14:textFill>
            <w14:solidFill>
              <w14:schemeClr w14:val="tx1"/>
            </w14:solidFill>
          </w14:textFill>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6</w:t>
      </w:r>
      <w:r>
        <w:rPr>
          <w:rFonts w:hint="eastAsia" w:ascii="宋体" w:hAnsi="宋体" w:cs="宋体"/>
          <w:color w:val="000000" w:themeColor="text1"/>
          <w:lang w:eastAsia="zh-CN" w:bidi="ar"/>
          <w14:textFill>
            <w14:solidFill>
              <w14:schemeClr w14:val="tx1"/>
            </w14:solidFill>
          </w14:textFill>
        </w:rPr>
        <w:t>）《环境影响评价技术导则地下水环境》（</w:t>
      </w:r>
      <w:r>
        <w:rPr>
          <w:rFonts w:cs="Times New Roman"/>
          <w:color w:val="000000" w:themeColor="text1"/>
          <w:lang w:eastAsia="zh-CN" w:bidi="ar"/>
          <w14:textFill>
            <w14:solidFill>
              <w14:schemeClr w14:val="tx1"/>
            </w14:solidFill>
          </w14:textFill>
        </w:rPr>
        <w:t>HJ610-2016</w:t>
      </w:r>
      <w:r>
        <w:rPr>
          <w:rFonts w:hint="eastAsia" w:ascii="宋体" w:hAnsi="宋体" w:cs="宋体"/>
          <w:color w:val="000000" w:themeColor="text1"/>
          <w:lang w:eastAsia="zh-CN" w:bidi="ar"/>
          <w14:textFill>
            <w14:solidFill>
              <w14:schemeClr w14:val="tx1"/>
            </w14:solidFill>
          </w14:textFill>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7</w:t>
      </w:r>
      <w:r>
        <w:rPr>
          <w:rFonts w:hint="eastAsia" w:ascii="宋体" w:hAnsi="宋体" w:cs="宋体"/>
          <w:color w:val="000000" w:themeColor="text1"/>
          <w:lang w:eastAsia="zh-CN" w:bidi="ar"/>
          <w14:textFill>
            <w14:solidFill>
              <w14:schemeClr w14:val="tx1"/>
            </w14:solidFill>
          </w14:textFill>
        </w:rPr>
        <w:t>）《环境影响评价技术导则声环境》（</w:t>
      </w:r>
      <w:r>
        <w:rPr>
          <w:rFonts w:cs="Times New Roman"/>
          <w:color w:val="000000" w:themeColor="text1"/>
          <w:lang w:eastAsia="zh-CN" w:bidi="ar"/>
          <w14:textFill>
            <w14:solidFill>
              <w14:schemeClr w14:val="tx1"/>
            </w14:solidFill>
          </w14:textFill>
        </w:rPr>
        <w:t>HJ2.4-2009</w:t>
      </w:r>
      <w:r>
        <w:rPr>
          <w:rFonts w:hint="eastAsia" w:ascii="宋体" w:hAnsi="宋体" w:cs="宋体"/>
          <w:color w:val="000000" w:themeColor="text1"/>
          <w:lang w:eastAsia="zh-CN" w:bidi="ar"/>
          <w14:textFill>
            <w14:solidFill>
              <w14:schemeClr w14:val="tx1"/>
            </w14:solidFill>
          </w14:textFill>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8</w:t>
      </w:r>
      <w:r>
        <w:rPr>
          <w:rFonts w:hint="eastAsia" w:ascii="宋体" w:hAnsi="宋体" w:cs="宋体"/>
          <w:color w:val="000000" w:themeColor="text1"/>
          <w:lang w:eastAsia="zh-CN" w:bidi="ar"/>
          <w14:textFill>
            <w14:solidFill>
              <w14:schemeClr w14:val="tx1"/>
            </w14:solidFill>
          </w14:textFill>
        </w:rPr>
        <w:t>）《环境影响评价技术导则生态环境》（</w:t>
      </w:r>
      <w:r>
        <w:rPr>
          <w:rFonts w:cs="Times New Roman"/>
          <w:color w:val="000000" w:themeColor="text1"/>
          <w:lang w:eastAsia="zh-CN" w:bidi="ar"/>
          <w14:textFill>
            <w14:solidFill>
              <w14:schemeClr w14:val="tx1"/>
            </w14:solidFill>
          </w14:textFill>
        </w:rPr>
        <w:t>HJ19-2011</w:t>
      </w:r>
      <w:r>
        <w:rPr>
          <w:rFonts w:hint="eastAsia" w:ascii="宋体" w:hAnsi="宋体" w:cs="宋体"/>
          <w:color w:val="000000" w:themeColor="text1"/>
          <w:lang w:eastAsia="zh-CN" w:bidi="ar"/>
          <w14:textFill>
            <w14:solidFill>
              <w14:schemeClr w14:val="tx1"/>
            </w14:solidFill>
          </w14:textFill>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）《建设项目环境风险评价技术导则》（</w:t>
      </w:r>
      <w:r>
        <w:rPr>
          <w:rFonts w:cs="Times New Roman"/>
          <w:color w:val="000000" w:themeColor="text1"/>
          <w:lang w:eastAsia="zh-CN" w:bidi="ar"/>
          <w14:textFill>
            <w14:solidFill>
              <w14:schemeClr w14:val="tx1"/>
            </w14:solidFill>
          </w14:textFill>
        </w:rPr>
        <w:t>HJ169-2018</w:t>
      </w:r>
      <w:r>
        <w:rPr>
          <w:rFonts w:hint="eastAsia" w:ascii="宋体" w:hAnsi="宋体" w:cs="宋体"/>
          <w:color w:val="000000" w:themeColor="text1"/>
          <w:lang w:eastAsia="zh-CN" w:bidi="ar"/>
          <w14:textFill>
            <w14:solidFill>
              <w14:schemeClr w14:val="tx1"/>
            </w14:solidFill>
          </w14:textFill>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10</w:t>
      </w:r>
      <w:r>
        <w:rPr>
          <w:rFonts w:hint="eastAsia" w:ascii="宋体" w:hAnsi="宋体" w:cs="宋体"/>
          <w:color w:val="000000" w:themeColor="text1"/>
          <w:lang w:eastAsia="zh-CN" w:bidi="ar"/>
          <w14:textFill>
            <w14:solidFill>
              <w14:schemeClr w14:val="tx1"/>
            </w14:solidFill>
          </w14:textFill>
        </w:rPr>
        <w:t>）《环境影响评价技术导则 土壤环境（试行）》（</w:t>
      </w:r>
      <w:r>
        <w:rPr>
          <w:rFonts w:cs="Times New Roman"/>
          <w:color w:val="000000" w:themeColor="text1"/>
          <w:lang w:eastAsia="zh-CN" w:bidi="ar"/>
          <w14:textFill>
            <w14:solidFill>
              <w14:schemeClr w14:val="tx1"/>
            </w14:solidFill>
          </w14:textFill>
        </w:rPr>
        <w:t>HJ964-2018</w:t>
      </w:r>
      <w:r>
        <w:rPr>
          <w:rFonts w:hint="eastAsia" w:ascii="宋体" w:hAnsi="宋体" w:cs="宋体"/>
          <w:color w:val="000000" w:themeColor="text1"/>
          <w:lang w:eastAsia="zh-CN" w:bidi="ar"/>
          <w14:textFill>
            <w14:solidFill>
              <w14:schemeClr w14:val="tx1"/>
            </w14:solidFill>
          </w14:textFill>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11</w:t>
      </w:r>
      <w:r>
        <w:rPr>
          <w:rFonts w:hint="eastAsia" w:ascii="宋体" w:hAnsi="宋体" w:cs="宋体"/>
          <w:color w:val="000000" w:themeColor="text1"/>
          <w:lang w:eastAsia="zh-CN" w:bidi="ar"/>
          <w14:textFill>
            <w14:solidFill>
              <w14:schemeClr w14:val="tx1"/>
            </w14:solidFill>
          </w14:textFill>
        </w:rPr>
        <w:t>）《生态环境状况评价技术规范（试行）》（</w:t>
      </w:r>
      <w:r>
        <w:rPr>
          <w:rFonts w:cs="Times New Roman"/>
          <w:color w:val="000000" w:themeColor="text1"/>
          <w:lang w:eastAsia="zh-CN" w:bidi="ar"/>
          <w14:textFill>
            <w14:solidFill>
              <w14:schemeClr w14:val="tx1"/>
            </w14:solidFill>
          </w14:textFill>
        </w:rPr>
        <w:t>HJ/T192-2006</w:t>
      </w:r>
      <w:r>
        <w:rPr>
          <w:rFonts w:hint="eastAsia" w:ascii="宋体" w:hAnsi="宋体" w:cs="宋体"/>
          <w:color w:val="000000" w:themeColor="text1"/>
          <w:lang w:eastAsia="zh-CN" w:bidi="ar"/>
          <w14:textFill>
            <w14:solidFill>
              <w14:schemeClr w14:val="tx1"/>
            </w14:solidFill>
          </w14:textFill>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12</w:t>
      </w:r>
      <w:r>
        <w:rPr>
          <w:rFonts w:hint="eastAsia" w:ascii="宋体" w:hAnsi="宋体" w:cs="宋体"/>
          <w:color w:val="000000" w:themeColor="text1"/>
          <w:lang w:eastAsia="zh-CN" w:bidi="ar"/>
          <w14:textFill>
            <w14:solidFill>
              <w14:schemeClr w14:val="tx1"/>
            </w14:solidFill>
          </w14:textFill>
        </w:rPr>
        <w:t>）《综合类生态工业园区标准》（</w:t>
      </w:r>
      <w:r>
        <w:rPr>
          <w:rFonts w:cs="Times New Roman"/>
          <w:color w:val="000000" w:themeColor="text1"/>
          <w:lang w:eastAsia="zh-CN" w:bidi="ar"/>
          <w14:textFill>
            <w14:solidFill>
              <w14:schemeClr w14:val="tx1"/>
            </w14:solidFill>
          </w14:textFill>
        </w:rPr>
        <w:t>HJ 274-2015</w:t>
      </w:r>
      <w:r>
        <w:rPr>
          <w:rFonts w:hint="eastAsia" w:ascii="宋体" w:hAnsi="宋体" w:cs="宋体"/>
          <w:color w:val="000000" w:themeColor="text1"/>
          <w:lang w:eastAsia="zh-CN" w:bidi="ar"/>
          <w14:textFill>
            <w14:solidFill>
              <w14:schemeClr w14:val="tx1"/>
            </w14:solidFill>
          </w14:textFill>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13</w:t>
      </w:r>
      <w:r>
        <w:rPr>
          <w:rFonts w:hint="eastAsia" w:ascii="宋体" w:hAnsi="宋体" w:cs="宋体"/>
          <w:color w:val="000000" w:themeColor="text1"/>
          <w:lang w:eastAsia="zh-CN" w:bidi="ar"/>
          <w14:textFill>
            <w14:solidFill>
              <w14:schemeClr w14:val="tx1"/>
            </w14:solidFill>
          </w14:textFill>
        </w:rPr>
        <w:t>）《环境管理体系要求及使用指南》（</w:t>
      </w:r>
      <w:r>
        <w:rPr>
          <w:rFonts w:cs="Times New Roman"/>
          <w:color w:val="000000" w:themeColor="text1"/>
          <w:lang w:eastAsia="zh-CN" w:bidi="ar"/>
          <w14:textFill>
            <w14:solidFill>
              <w14:schemeClr w14:val="tx1"/>
            </w14:solidFill>
          </w14:textFill>
        </w:rPr>
        <w:t>GB/T 24001-2004/ ISO 14001</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2004</w:t>
      </w:r>
      <w:r>
        <w:rPr>
          <w:rFonts w:hint="eastAsia" w:ascii="宋体" w:hAnsi="宋体" w:cs="宋体"/>
          <w:color w:val="000000" w:themeColor="text1"/>
          <w:lang w:eastAsia="zh-CN" w:bidi="ar"/>
          <w14:textFill>
            <w14:solidFill>
              <w14:schemeClr w14:val="tx1"/>
            </w14:solidFill>
          </w14:textFill>
        </w:rPr>
        <w:t>）。</w:t>
      </w:r>
    </w:p>
    <w:p>
      <w:pPr>
        <w:pStyle w:val="9"/>
        <w:rPr>
          <w:rFonts w:ascii="Times New Roman" w:hAnsi="Times New Roman"/>
        </w:rPr>
      </w:pPr>
      <w:bookmarkStart w:id="32" w:name="_Toc6834"/>
      <w:r>
        <w:rPr>
          <w:rFonts w:ascii="Times New Roman" w:hAnsi="Times New Roman"/>
        </w:rPr>
        <w:t>1.1.5 其他规划及技术资料</w:t>
      </w:r>
      <w:bookmarkEnd w:id="32"/>
    </w:p>
    <w:p>
      <w:pPr>
        <w:pStyle w:val="25"/>
        <w:spacing w:after="0"/>
        <w:ind w:firstLine="480"/>
        <w:contextualSpacing/>
        <w:rPr>
          <w:rFonts w:cs="Times New Roman"/>
          <w:color w:val="000000" w:themeColor="text1"/>
          <w:lang w:eastAsia="zh-CN"/>
          <w14:textFill>
            <w14:solidFill>
              <w14:schemeClr w14:val="tx1"/>
            </w14:solidFill>
          </w14:textFill>
        </w:rPr>
      </w:pPr>
      <w:r>
        <w:rPr>
          <w:rFonts w:cs="Times New Roman"/>
          <w:color w:val="000000" w:themeColor="text1"/>
          <w:lang w:eastAsia="zh-CN"/>
          <w14:textFill>
            <w14:solidFill>
              <w14:schemeClr w14:val="tx1"/>
            </w14:solidFill>
          </w14:textFill>
        </w:rPr>
        <w:t>（1）《</w:t>
      </w:r>
      <w:r>
        <w:rPr>
          <w:rFonts w:hint="eastAsia" w:cs="Times New Roman"/>
          <w:color w:val="000000" w:themeColor="text1"/>
          <w:lang w:eastAsia="zh-CN"/>
          <w14:textFill>
            <w14:solidFill>
              <w14:schemeClr w14:val="tx1"/>
            </w14:solidFill>
          </w14:textFill>
        </w:rPr>
        <w:t>浑南国际新兴产业园区总体发展规划</w:t>
      </w:r>
      <w:r>
        <w:rPr>
          <w:rFonts w:cs="Times New Roman"/>
          <w:color w:val="000000" w:themeColor="text1"/>
          <w:lang w:eastAsia="zh-CN"/>
          <w14:textFill>
            <w14:solidFill>
              <w14:schemeClr w14:val="tx1"/>
            </w14:solidFill>
          </w14:textFill>
        </w:rPr>
        <w:t>环境影响报告书》（201</w:t>
      </w:r>
      <w:r>
        <w:rPr>
          <w:rFonts w:hint="eastAsia" w:cs="Times New Roman"/>
          <w:color w:val="000000" w:themeColor="text1"/>
          <w:lang w:eastAsia="zh-CN"/>
          <w14:textFill>
            <w14:solidFill>
              <w14:schemeClr w14:val="tx1"/>
            </w14:solidFill>
          </w14:textFill>
        </w:rPr>
        <w:t>3</w:t>
      </w:r>
      <w:r>
        <w:rPr>
          <w:rFonts w:cs="Times New Roman"/>
          <w:color w:val="000000" w:themeColor="text1"/>
          <w:lang w:eastAsia="zh-CN"/>
          <w14:textFill>
            <w14:solidFill>
              <w14:schemeClr w14:val="tx1"/>
            </w14:solidFill>
          </w14:textFill>
        </w:rPr>
        <w:t>.</w:t>
      </w:r>
      <w:r>
        <w:rPr>
          <w:rFonts w:hint="eastAsia" w:cs="Times New Roman"/>
          <w:color w:val="000000" w:themeColor="text1"/>
          <w:lang w:eastAsia="zh-CN"/>
          <w14:textFill>
            <w14:solidFill>
              <w14:schemeClr w14:val="tx1"/>
            </w14:solidFill>
          </w14:textFill>
        </w:rPr>
        <w:t>8</w:t>
      </w:r>
      <w:r>
        <w:rPr>
          <w:rFonts w:cs="Times New Roman"/>
          <w:color w:val="000000" w:themeColor="text1"/>
          <w:lang w:eastAsia="zh-CN"/>
          <w14:textFill>
            <w14:solidFill>
              <w14:schemeClr w14:val="tx1"/>
            </w14:solidFill>
          </w14:textFill>
        </w:rPr>
        <w:t>）</w:t>
      </w:r>
    </w:p>
    <w:p>
      <w:pPr>
        <w:pStyle w:val="25"/>
        <w:spacing w:after="0"/>
        <w:ind w:firstLine="480"/>
        <w:contextualSpacing/>
        <w:rPr>
          <w:rFonts w:cs="Times New Roman"/>
          <w:color w:val="000000" w:themeColor="text1"/>
          <w:lang w:eastAsia="zh-CN"/>
          <w14:textFill>
            <w14:solidFill>
              <w14:schemeClr w14:val="tx1"/>
            </w14:solidFill>
          </w14:textFill>
        </w:rPr>
      </w:pPr>
      <w:r>
        <w:rPr>
          <w:rFonts w:cs="Times New Roman"/>
          <w:color w:val="000000" w:themeColor="text1"/>
          <w:lang w:eastAsia="zh-CN"/>
          <w14:textFill>
            <w14:solidFill>
              <w14:schemeClr w14:val="tx1"/>
            </w14:solidFill>
          </w14:textFill>
        </w:rPr>
        <w:t>（2）《关于</w:t>
      </w:r>
      <w:r>
        <w:rPr>
          <w:rFonts w:hint="eastAsia" w:cs="Times New Roman"/>
          <w:color w:val="000000" w:themeColor="text1"/>
          <w:lang w:eastAsia="zh-CN"/>
          <w14:textFill>
            <w14:solidFill>
              <w14:schemeClr w14:val="tx1"/>
            </w14:solidFill>
          </w14:textFill>
        </w:rPr>
        <w:t>浑南国际新兴产业园区总体发展规划</w:t>
      </w:r>
      <w:r>
        <w:rPr>
          <w:rFonts w:cs="Times New Roman"/>
          <w:color w:val="000000" w:themeColor="text1"/>
          <w:lang w:eastAsia="zh-CN"/>
          <w14:textFill>
            <w14:solidFill>
              <w14:schemeClr w14:val="tx1"/>
            </w14:solidFill>
          </w14:textFill>
        </w:rPr>
        <w:t>环境影响报告书的审查意见》（</w:t>
      </w:r>
      <w:r>
        <w:rPr>
          <w:rFonts w:hint="eastAsia" w:cs="Times New Roman"/>
          <w:color w:val="000000" w:themeColor="text1"/>
          <w:lang w:eastAsia="zh-CN"/>
          <w14:textFill>
            <w14:solidFill>
              <w14:schemeClr w14:val="tx1"/>
            </w14:solidFill>
          </w14:textFill>
        </w:rPr>
        <w:t>2015.1</w:t>
      </w:r>
      <w:r>
        <w:rPr>
          <w:rFonts w:cs="Times New Roman"/>
          <w:color w:val="000000" w:themeColor="text1"/>
          <w:lang w:eastAsia="zh-CN"/>
          <w14:textFill>
            <w14:solidFill>
              <w14:schemeClr w14:val="tx1"/>
            </w14:solidFill>
          </w14:textFill>
        </w:rPr>
        <w:t>）</w:t>
      </w:r>
    </w:p>
    <w:p>
      <w:pPr>
        <w:widowControl/>
        <w:ind w:firstLine="480"/>
        <w:jc w:val="left"/>
        <w:rPr>
          <w:color w:val="000000" w:themeColor="text1"/>
          <w:lang w:eastAsia="zh-CN"/>
          <w14:textFill>
            <w14:solidFill>
              <w14:schemeClr w14:val="tx1"/>
            </w14:solidFill>
          </w14:textFill>
        </w:rPr>
      </w:pPr>
      <w:r>
        <w:rPr>
          <w:rFonts w:cs="Times New Roman"/>
          <w:color w:val="000000" w:themeColor="text1"/>
          <w:lang w:eastAsia="zh-CN"/>
          <w14:textFill>
            <w14:solidFill>
              <w14:schemeClr w14:val="tx1"/>
            </w14:solidFill>
          </w14:textFill>
        </w:rPr>
        <w:t>（</w:t>
      </w:r>
      <w:r>
        <w:rPr>
          <w:rFonts w:hint="eastAsia" w:cs="Times New Roman"/>
          <w:color w:val="000000" w:themeColor="text1"/>
          <w:lang w:eastAsia="zh-CN"/>
          <w14:textFill>
            <w14:solidFill>
              <w14:schemeClr w14:val="tx1"/>
            </w14:solidFill>
          </w14:textFill>
        </w:rPr>
        <w:t>3</w:t>
      </w:r>
      <w:r>
        <w:rPr>
          <w:rFonts w:cs="Times New Roman"/>
          <w:color w:val="000000" w:themeColor="text1"/>
          <w:lang w:eastAsia="zh-CN"/>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 xml:space="preserve">《国民经济和社会发展第十三个五年规划的建议》；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hint="eastAsia" w:cs="Times New Roman"/>
          <w:color w:val="000000" w:themeColor="text1"/>
          <w:lang w:eastAsia="zh-CN" w:bidi="ar"/>
          <w14:textFill>
            <w14:solidFill>
              <w14:schemeClr w14:val="tx1"/>
            </w14:solidFill>
          </w14:textFill>
        </w:rPr>
        <w:t>4</w:t>
      </w:r>
      <w:r>
        <w:rPr>
          <w:rFonts w:hint="eastAsia" w:ascii="宋体" w:hAnsi="宋体" w:cs="宋体"/>
          <w:color w:val="000000" w:themeColor="text1"/>
          <w:lang w:eastAsia="zh-CN" w:bidi="ar"/>
          <w14:textFill>
            <w14:solidFill>
              <w14:schemeClr w14:val="tx1"/>
            </w14:solidFill>
          </w14:textFill>
        </w:rPr>
        <w:t>）《全国主体功能区规划》（国发〔</w:t>
      </w:r>
      <w:r>
        <w:rPr>
          <w:rFonts w:cs="Times New Roman"/>
          <w:color w:val="000000" w:themeColor="text1"/>
          <w:lang w:eastAsia="zh-CN" w:bidi="ar"/>
          <w14:textFill>
            <w14:solidFill>
              <w14:schemeClr w14:val="tx1"/>
            </w14:solidFill>
          </w14:textFill>
        </w:rPr>
        <w:t>2010</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46</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hint="eastAsia" w:cs="Times New Roman"/>
          <w:color w:val="000000" w:themeColor="text1"/>
          <w:lang w:eastAsia="zh-CN" w:bidi="ar"/>
          <w14:textFill>
            <w14:solidFill>
              <w14:schemeClr w14:val="tx1"/>
            </w14:solidFill>
          </w14:textFill>
        </w:rPr>
        <w:t>5</w:t>
      </w:r>
      <w:r>
        <w:rPr>
          <w:rFonts w:hint="eastAsia" w:ascii="宋体" w:hAnsi="宋体" w:cs="宋体"/>
          <w:color w:val="000000" w:themeColor="text1"/>
          <w:lang w:eastAsia="zh-CN" w:bidi="ar"/>
          <w14:textFill>
            <w14:solidFill>
              <w14:schemeClr w14:val="tx1"/>
            </w14:solidFill>
          </w14:textFill>
        </w:rPr>
        <w:t>）《国家环境保护</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十三五</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 xml:space="preserve">规划》；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hint="eastAsia" w:cs="Times New Roman"/>
          <w:color w:val="000000" w:themeColor="text1"/>
          <w:lang w:eastAsia="zh-CN" w:bidi="ar"/>
          <w14:textFill>
            <w14:solidFill>
              <w14:schemeClr w14:val="tx1"/>
            </w14:solidFill>
          </w14:textFill>
        </w:rPr>
        <w:t>6</w:t>
      </w:r>
      <w:r>
        <w:rPr>
          <w:rFonts w:hint="eastAsia" w:ascii="宋体" w:hAnsi="宋体" w:cs="宋体"/>
          <w:color w:val="000000" w:themeColor="text1"/>
          <w:lang w:eastAsia="zh-CN" w:bidi="ar"/>
          <w14:textFill>
            <w14:solidFill>
              <w14:schemeClr w14:val="tx1"/>
            </w14:solidFill>
          </w14:textFill>
        </w:rPr>
        <w:t>）《北方地区冬季清洁取暖规划（</w:t>
      </w:r>
      <w:r>
        <w:rPr>
          <w:rFonts w:cs="Times New Roman"/>
          <w:color w:val="000000" w:themeColor="text1"/>
          <w:lang w:eastAsia="zh-CN" w:bidi="ar"/>
          <w14:textFill>
            <w14:solidFill>
              <w14:schemeClr w14:val="tx1"/>
            </w14:solidFill>
          </w14:textFill>
        </w:rPr>
        <w:t>2017—2021</w:t>
      </w:r>
      <w:r>
        <w:rPr>
          <w:rFonts w:hint="eastAsia" w:ascii="宋体" w:hAnsi="宋体" w:cs="宋体"/>
          <w:color w:val="000000" w:themeColor="text1"/>
          <w:lang w:eastAsia="zh-CN" w:bidi="ar"/>
          <w14:textFill>
            <w14:solidFill>
              <w14:schemeClr w14:val="tx1"/>
            </w14:solidFill>
          </w14:textFill>
        </w:rPr>
        <w:t xml:space="preserve">年）》；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hint="eastAsia" w:cs="Times New Roman"/>
          <w:color w:val="000000" w:themeColor="text1"/>
          <w:lang w:eastAsia="zh-CN" w:bidi="ar"/>
          <w14:textFill>
            <w14:solidFill>
              <w14:schemeClr w14:val="tx1"/>
            </w14:solidFill>
          </w14:textFill>
        </w:rPr>
        <w:t>7</w:t>
      </w:r>
      <w:r>
        <w:rPr>
          <w:rFonts w:hint="eastAsia" w:ascii="宋体" w:hAnsi="宋体" w:cs="宋体"/>
          <w:color w:val="000000" w:themeColor="text1"/>
          <w:lang w:eastAsia="zh-CN" w:bidi="ar"/>
          <w14:textFill>
            <w14:solidFill>
              <w14:schemeClr w14:val="tx1"/>
            </w14:solidFill>
          </w14:textFill>
        </w:rPr>
        <w:t>）《重点区域大气污染防治</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十二五</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 xml:space="preserve">规划》；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hint="eastAsia" w:cs="Times New Roman"/>
          <w:color w:val="000000" w:themeColor="text1"/>
          <w:lang w:eastAsia="zh-CN" w:bidi="ar"/>
          <w14:textFill>
            <w14:solidFill>
              <w14:schemeClr w14:val="tx1"/>
            </w14:solidFill>
          </w14:textFill>
        </w:rPr>
        <w:t>8</w:t>
      </w:r>
      <w:r>
        <w:rPr>
          <w:rFonts w:hint="eastAsia" w:ascii="宋体" w:hAnsi="宋体" w:cs="宋体"/>
          <w:color w:val="000000" w:themeColor="text1"/>
          <w:lang w:eastAsia="zh-CN" w:bidi="ar"/>
          <w14:textFill>
            <w14:solidFill>
              <w14:schemeClr w14:val="tx1"/>
            </w14:solidFill>
          </w14:textFill>
        </w:rPr>
        <w:t>）《辽宁省主体功能区规划》（辽政发〔</w:t>
      </w:r>
      <w:r>
        <w:rPr>
          <w:rFonts w:cs="Times New Roman"/>
          <w:color w:val="000000" w:themeColor="text1"/>
          <w:lang w:eastAsia="zh-CN" w:bidi="ar"/>
          <w14:textFill>
            <w14:solidFill>
              <w14:schemeClr w14:val="tx1"/>
            </w14:solidFill>
          </w14:textFill>
        </w:rPr>
        <w:t>2014</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 xml:space="preserve">号）；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hint="eastAsia" w:cs="Times New Roman"/>
          <w:color w:val="000000" w:themeColor="text1"/>
          <w:lang w:eastAsia="zh-CN" w:bidi="ar"/>
          <w14:textFill>
            <w14:solidFill>
              <w14:schemeClr w14:val="tx1"/>
            </w14:solidFill>
          </w14:textFill>
        </w:rPr>
        <w:t>9</w:t>
      </w:r>
      <w:r>
        <w:rPr>
          <w:rFonts w:hint="eastAsia" w:ascii="宋体" w:hAnsi="宋体" w:cs="宋体"/>
          <w:color w:val="000000" w:themeColor="text1"/>
          <w:lang w:eastAsia="zh-CN" w:bidi="ar"/>
          <w14:textFill>
            <w14:solidFill>
              <w14:schemeClr w14:val="tx1"/>
            </w14:solidFill>
          </w14:textFill>
        </w:rPr>
        <w:t xml:space="preserve">）《辽宁省国民经济和社会发展第十三个五年规划》；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hint="eastAsia" w:cs="Times New Roman"/>
          <w:color w:val="000000" w:themeColor="text1"/>
          <w:lang w:eastAsia="zh-CN" w:bidi="ar"/>
          <w14:textFill>
            <w14:solidFill>
              <w14:schemeClr w14:val="tx1"/>
            </w14:solidFill>
          </w14:textFill>
        </w:rPr>
        <w:t>10</w:t>
      </w:r>
      <w:r>
        <w:rPr>
          <w:rFonts w:hint="eastAsia" w:ascii="宋体" w:hAnsi="宋体" w:cs="宋体"/>
          <w:color w:val="000000" w:themeColor="text1"/>
          <w:lang w:eastAsia="zh-CN" w:bidi="ar"/>
          <w14:textFill>
            <w14:solidFill>
              <w14:schemeClr w14:val="tx1"/>
            </w14:solidFill>
          </w14:textFill>
        </w:rPr>
        <w:t xml:space="preserve">）《辽宁省生态功能区划》；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hint="eastAsia" w:cs="Times New Roman"/>
          <w:color w:val="000000" w:themeColor="text1"/>
          <w:lang w:eastAsia="zh-CN" w:bidi="ar"/>
          <w14:textFill>
            <w14:solidFill>
              <w14:schemeClr w14:val="tx1"/>
            </w14:solidFill>
          </w14:textFill>
        </w:rPr>
        <w:t>11</w:t>
      </w:r>
      <w:r>
        <w:rPr>
          <w:rFonts w:hint="eastAsia" w:ascii="宋体" w:hAnsi="宋体" w:cs="宋体"/>
          <w:color w:val="000000" w:themeColor="text1"/>
          <w:lang w:eastAsia="zh-CN" w:bidi="ar"/>
          <w14:textFill>
            <w14:solidFill>
              <w14:schemeClr w14:val="tx1"/>
            </w14:solidFill>
          </w14:textFill>
        </w:rPr>
        <w:t>）《辽宁省环境保护</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十三五</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 xml:space="preserve">规划》；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cs="Times New Roman"/>
          <w:color w:val="000000" w:themeColor="text1"/>
          <w:lang w:eastAsia="zh-CN" w:bidi="ar"/>
          <w14:textFill>
            <w14:solidFill>
              <w14:schemeClr w14:val="tx1"/>
            </w14:solidFill>
          </w14:textFill>
        </w:rPr>
        <w:t>2</w:t>
      </w:r>
      <w:r>
        <w:rPr>
          <w:rFonts w:hint="eastAsia" w:ascii="宋体" w:hAnsi="宋体" w:cs="宋体"/>
          <w:color w:val="000000" w:themeColor="text1"/>
          <w:lang w:eastAsia="zh-CN" w:bidi="ar"/>
          <w14:textFill>
            <w14:solidFill>
              <w14:schemeClr w14:val="tx1"/>
            </w14:solidFill>
          </w14:textFill>
        </w:rPr>
        <w:t xml:space="preserve">） 《沈阳市国民经济和社会发展第十三个五年规划》；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cs="Times New Roman"/>
          <w:color w:val="000000" w:themeColor="text1"/>
          <w:lang w:eastAsia="zh-CN" w:bidi="ar"/>
          <w14:textFill>
            <w14:solidFill>
              <w14:schemeClr w14:val="tx1"/>
            </w14:solidFill>
          </w14:textFill>
        </w:rPr>
        <w:t>3</w:t>
      </w:r>
      <w:r>
        <w:rPr>
          <w:rFonts w:hint="eastAsia" w:ascii="宋体" w:hAnsi="宋体" w:cs="宋体"/>
          <w:color w:val="000000" w:themeColor="text1"/>
          <w:lang w:eastAsia="zh-CN" w:bidi="ar"/>
          <w14:textFill>
            <w14:solidFill>
              <w14:schemeClr w14:val="tx1"/>
            </w14:solidFill>
          </w14:textFill>
        </w:rPr>
        <w:t>） 《沈阳市城市总体规划（</w:t>
      </w:r>
      <w:r>
        <w:rPr>
          <w:rFonts w:cs="Times New Roman"/>
          <w:color w:val="000000" w:themeColor="text1"/>
          <w:lang w:eastAsia="zh-CN" w:bidi="ar"/>
          <w14:textFill>
            <w14:solidFill>
              <w14:schemeClr w14:val="tx1"/>
            </w14:solidFill>
          </w14:textFill>
        </w:rPr>
        <w:t xml:space="preserve">2011-2020 </w:t>
      </w:r>
      <w:r>
        <w:rPr>
          <w:rFonts w:hint="eastAsia" w:ascii="宋体" w:hAnsi="宋体" w:cs="宋体"/>
          <w:color w:val="000000" w:themeColor="text1"/>
          <w:lang w:eastAsia="zh-CN" w:bidi="ar"/>
          <w14:textFill>
            <w14:solidFill>
              <w14:schemeClr w14:val="tx1"/>
            </w14:solidFill>
          </w14:textFill>
        </w:rPr>
        <w:t xml:space="preserve">年）》；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cs="Times New Roman"/>
          <w:color w:val="000000" w:themeColor="text1"/>
          <w:lang w:eastAsia="zh-CN" w:bidi="ar"/>
          <w14:textFill>
            <w14:solidFill>
              <w14:schemeClr w14:val="tx1"/>
            </w14:solidFill>
          </w14:textFill>
        </w:rPr>
        <w:t>4</w:t>
      </w:r>
      <w:r>
        <w:rPr>
          <w:rFonts w:hint="eastAsia" w:ascii="宋体" w:hAnsi="宋体" w:cs="宋体"/>
          <w:color w:val="000000" w:themeColor="text1"/>
          <w:lang w:eastAsia="zh-CN" w:bidi="ar"/>
          <w14:textFill>
            <w14:solidFill>
              <w14:schemeClr w14:val="tx1"/>
            </w14:solidFill>
          </w14:textFill>
        </w:rPr>
        <w:t>） 《沈阳市土地利用总体规划（</w:t>
      </w:r>
      <w:r>
        <w:rPr>
          <w:rFonts w:cs="Times New Roman"/>
          <w:color w:val="000000" w:themeColor="text1"/>
          <w:lang w:eastAsia="zh-CN" w:bidi="ar"/>
          <w14:textFill>
            <w14:solidFill>
              <w14:schemeClr w14:val="tx1"/>
            </w14:solidFill>
          </w14:textFill>
        </w:rPr>
        <w:t>2006-2020</w:t>
      </w:r>
      <w:r>
        <w:rPr>
          <w:rFonts w:hint="eastAsia" w:ascii="宋体" w:hAnsi="宋体" w:cs="宋体"/>
          <w:color w:val="000000" w:themeColor="text1"/>
          <w:lang w:eastAsia="zh-CN" w:bidi="ar"/>
          <w14:textFill>
            <w14:solidFill>
              <w14:schemeClr w14:val="tx1"/>
            </w14:solidFill>
          </w14:textFill>
        </w:rPr>
        <w:t xml:space="preserve">）》；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cs="Times New Roman"/>
          <w:color w:val="000000" w:themeColor="text1"/>
          <w:lang w:eastAsia="zh-CN" w:bidi="ar"/>
          <w14:textFill>
            <w14:solidFill>
              <w14:schemeClr w14:val="tx1"/>
            </w14:solidFill>
          </w14:textFill>
        </w:rPr>
        <w:t>5</w:t>
      </w:r>
      <w:r>
        <w:rPr>
          <w:rFonts w:hint="eastAsia" w:ascii="宋体" w:hAnsi="宋体" w:cs="宋体"/>
          <w:color w:val="000000" w:themeColor="text1"/>
          <w:lang w:eastAsia="zh-CN" w:bidi="ar"/>
          <w14:textFill>
            <w14:solidFill>
              <w14:schemeClr w14:val="tx1"/>
            </w14:solidFill>
          </w14:textFill>
        </w:rPr>
        <w:t>） 《沈阳市水资源开发利用与保护</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十三五</w:t>
      </w:r>
      <w:r>
        <w:rPr>
          <w:rFonts w:cs="Times New Roman"/>
          <w:color w:val="000000" w:themeColor="text1"/>
          <w:lang w:eastAsia="zh-CN" w:bidi="ar"/>
          <w14:textFill>
            <w14:solidFill>
              <w14:schemeClr w14:val="tx1"/>
            </w14:solidFill>
          </w14:textFill>
        </w:rPr>
        <w:t>”</w:t>
      </w:r>
      <w:r>
        <w:rPr>
          <w:rFonts w:hint="eastAsia" w:ascii="宋体" w:hAnsi="宋体" w:cs="宋体"/>
          <w:color w:val="000000" w:themeColor="text1"/>
          <w:lang w:eastAsia="zh-CN" w:bidi="ar"/>
          <w14:textFill>
            <w14:solidFill>
              <w14:schemeClr w14:val="tx1"/>
            </w14:solidFill>
          </w14:textFill>
        </w:rPr>
        <w:t>规划》；</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cs="Times New Roman"/>
          <w:color w:val="000000" w:themeColor="text1"/>
          <w:lang w:eastAsia="zh-CN" w:bidi="ar"/>
          <w14:textFill>
            <w14:solidFill>
              <w14:schemeClr w14:val="tx1"/>
            </w14:solidFill>
          </w14:textFill>
        </w:rPr>
        <w:t>6</w:t>
      </w:r>
      <w:r>
        <w:rPr>
          <w:rFonts w:hint="eastAsia" w:ascii="宋体" w:hAnsi="宋体" w:cs="宋体"/>
          <w:color w:val="000000" w:themeColor="text1"/>
          <w:lang w:eastAsia="zh-CN" w:bidi="ar"/>
          <w14:textFill>
            <w14:solidFill>
              <w14:schemeClr w14:val="tx1"/>
            </w14:solidFill>
          </w14:textFill>
        </w:rPr>
        <w:t>） 《沈阳市热电发展总体规划（</w:t>
      </w:r>
      <w:r>
        <w:rPr>
          <w:rFonts w:cs="Times New Roman"/>
          <w:color w:val="000000" w:themeColor="text1"/>
          <w:lang w:eastAsia="zh-CN" w:bidi="ar"/>
          <w14:textFill>
            <w14:solidFill>
              <w14:schemeClr w14:val="tx1"/>
            </w14:solidFill>
          </w14:textFill>
        </w:rPr>
        <w:t>2017-2020</w:t>
      </w:r>
      <w:r>
        <w:rPr>
          <w:rFonts w:hint="eastAsia" w:ascii="宋体" w:hAnsi="宋体" w:cs="宋体"/>
          <w:color w:val="000000" w:themeColor="text1"/>
          <w:lang w:eastAsia="zh-CN" w:bidi="ar"/>
          <w14:textFill>
            <w14:solidFill>
              <w14:schemeClr w14:val="tx1"/>
            </w14:solidFill>
          </w14:textFill>
        </w:rPr>
        <w:t xml:space="preserve">年）》； </w:t>
      </w:r>
    </w:p>
    <w:p>
      <w:pPr>
        <w:widowControl/>
        <w:ind w:firstLine="480"/>
        <w:jc w:val="left"/>
        <w:rPr>
          <w:color w:val="000000" w:themeColor="text1"/>
          <w:lang w:eastAsia="zh-CN"/>
          <w14:textFill>
            <w14:solidFill>
              <w14:schemeClr w14:val="tx1"/>
            </w14:solidFill>
          </w14:textFill>
        </w:rPr>
      </w:pP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1</w:t>
      </w:r>
      <w:r>
        <w:rPr>
          <w:rFonts w:hint="eastAsia" w:cs="Times New Roman"/>
          <w:color w:val="000000" w:themeColor="text1"/>
          <w:lang w:eastAsia="zh-CN" w:bidi="ar"/>
          <w14:textFill>
            <w14:solidFill>
              <w14:schemeClr w14:val="tx1"/>
            </w14:solidFill>
          </w14:textFill>
        </w:rPr>
        <w:t>7</w:t>
      </w:r>
      <w:r>
        <w:rPr>
          <w:rFonts w:hint="eastAsia" w:ascii="宋体" w:hAnsi="宋体" w:cs="宋体"/>
          <w:color w:val="000000" w:themeColor="text1"/>
          <w:lang w:eastAsia="zh-CN" w:bidi="ar"/>
          <w14:textFill>
            <w14:solidFill>
              <w14:schemeClr w14:val="tx1"/>
            </w14:solidFill>
          </w14:textFill>
        </w:rPr>
        <w:t>） 《沈阳市城市热电发展总体规划（</w:t>
      </w:r>
      <w:r>
        <w:rPr>
          <w:rFonts w:cs="Times New Roman"/>
          <w:color w:val="000000" w:themeColor="text1"/>
          <w:lang w:eastAsia="zh-CN" w:bidi="ar"/>
          <w14:textFill>
            <w14:solidFill>
              <w14:schemeClr w14:val="tx1"/>
            </w14:solidFill>
          </w14:textFill>
        </w:rPr>
        <w:t>2017-2020</w:t>
      </w:r>
      <w:r>
        <w:rPr>
          <w:rFonts w:hint="eastAsia" w:ascii="宋体" w:hAnsi="宋体" w:cs="宋体"/>
          <w:color w:val="000000" w:themeColor="text1"/>
          <w:lang w:eastAsia="zh-CN" w:bidi="ar"/>
          <w14:textFill>
            <w14:solidFill>
              <w14:schemeClr w14:val="tx1"/>
            </w14:solidFill>
          </w14:textFill>
        </w:rPr>
        <w:t>年）环境影响报告书》。</w:t>
      </w:r>
    </w:p>
    <w:p>
      <w:pPr>
        <w:pStyle w:val="8"/>
        <w:rPr>
          <w:rFonts w:ascii="Times New Roman" w:hAnsi="Times New Roman" w:cs="Times New Roman"/>
          <w:lang w:eastAsia="zh-CN"/>
        </w:rPr>
      </w:pPr>
      <w:bookmarkStart w:id="33" w:name="_Toc1124"/>
      <w:bookmarkStart w:id="34" w:name="_Toc18457"/>
      <w:r>
        <w:rPr>
          <w:rFonts w:ascii="Times New Roman" w:hAnsi="Times New Roman" w:cs="Times New Roman"/>
          <w:lang w:eastAsia="zh-CN"/>
        </w:rPr>
        <w:t>1.2 评价目的、指导思想和原则</w:t>
      </w:r>
      <w:bookmarkEnd w:id="33"/>
      <w:bookmarkEnd w:id="34"/>
    </w:p>
    <w:p>
      <w:pPr>
        <w:pStyle w:val="9"/>
        <w:rPr>
          <w:rFonts w:ascii="Times New Roman" w:hAnsi="Times New Roman"/>
          <w:color w:val="auto"/>
          <w:spacing w:val="-1"/>
        </w:rPr>
      </w:pPr>
      <w:bookmarkStart w:id="35" w:name="_Toc15721"/>
      <w:r>
        <w:rPr>
          <w:rFonts w:ascii="Times New Roman" w:hAnsi="Times New Roman"/>
          <w:color w:val="auto"/>
          <w:spacing w:val="-1"/>
        </w:rPr>
        <w:t>1.2.1 评价目的</w:t>
      </w:r>
      <w:bookmarkEnd w:id="35"/>
    </w:p>
    <w:p>
      <w:pPr>
        <w:pStyle w:val="25"/>
        <w:spacing w:after="0"/>
        <w:ind w:firstLine="480"/>
        <w:rPr>
          <w:rFonts w:cs="Times New Roman"/>
          <w:lang w:eastAsia="zh-CN"/>
        </w:rPr>
      </w:pPr>
      <w:r>
        <w:rPr>
          <w:rFonts w:cs="Times New Roman"/>
          <w:lang w:eastAsia="zh-CN"/>
        </w:rPr>
        <w:t>对</w:t>
      </w:r>
      <w:r>
        <w:rPr>
          <w:rFonts w:hint="eastAsia" w:cs="Times New Roman"/>
          <w:lang w:eastAsia="zh-CN"/>
        </w:rPr>
        <w:t>国际新兴产业园区</w:t>
      </w:r>
      <w:r>
        <w:rPr>
          <w:rFonts w:cs="Times New Roman"/>
          <w:lang w:eastAsia="zh-CN"/>
        </w:rPr>
        <w:t>的实际开发现状调查</w:t>
      </w:r>
      <w:r>
        <w:rPr>
          <w:rFonts w:cs="Times New Roman"/>
          <w:spacing w:val="-32"/>
          <w:lang w:eastAsia="zh-CN"/>
        </w:rPr>
        <w:t>、</w:t>
      </w:r>
      <w:r>
        <w:rPr>
          <w:rFonts w:cs="Times New Roman"/>
          <w:lang w:eastAsia="zh-CN"/>
        </w:rPr>
        <w:t>环境影响回顾性评价</w:t>
      </w:r>
      <w:r>
        <w:rPr>
          <w:rFonts w:cs="Times New Roman"/>
          <w:spacing w:val="-32"/>
          <w:lang w:eastAsia="zh-CN"/>
        </w:rPr>
        <w:t>，</w:t>
      </w:r>
      <w:r>
        <w:rPr>
          <w:rFonts w:cs="Times New Roman"/>
          <w:lang w:eastAsia="zh-CN"/>
        </w:rPr>
        <w:t>对照分析与上一轮规划及规划环评的要求执行情况</w:t>
      </w:r>
      <w:r>
        <w:rPr>
          <w:rFonts w:cs="Times New Roman"/>
          <w:spacing w:val="-32"/>
          <w:lang w:eastAsia="zh-CN"/>
        </w:rPr>
        <w:t>，</w:t>
      </w:r>
      <w:r>
        <w:rPr>
          <w:rFonts w:cs="Times New Roman"/>
          <w:lang w:eastAsia="zh-CN"/>
        </w:rPr>
        <w:t>分析上一轮规划与最新的相关法律法规的符合性</w:t>
      </w:r>
      <w:r>
        <w:rPr>
          <w:rFonts w:cs="Times New Roman"/>
          <w:spacing w:val="-32"/>
          <w:lang w:eastAsia="zh-CN"/>
        </w:rPr>
        <w:t>，</w:t>
      </w:r>
      <w:r>
        <w:rPr>
          <w:rFonts w:cs="Times New Roman"/>
          <w:lang w:eastAsia="zh-CN"/>
        </w:rPr>
        <w:t>识别</w:t>
      </w:r>
      <w:r>
        <w:rPr>
          <w:rFonts w:hint="eastAsia" w:cs="Times New Roman"/>
          <w:lang w:eastAsia="zh-CN"/>
        </w:rPr>
        <w:t>国际新兴产业园区</w:t>
      </w:r>
      <w:r>
        <w:rPr>
          <w:rFonts w:cs="Times New Roman"/>
          <w:lang w:eastAsia="zh-CN"/>
        </w:rPr>
        <w:t>存在的主要环境问题和资源环境制约因素</w:t>
      </w:r>
      <w:r>
        <w:rPr>
          <w:rFonts w:cs="Times New Roman"/>
          <w:spacing w:val="-63"/>
          <w:lang w:eastAsia="zh-CN"/>
        </w:rPr>
        <w:t>，</w:t>
      </w:r>
      <w:r>
        <w:rPr>
          <w:rFonts w:cs="Times New Roman"/>
          <w:spacing w:val="-2"/>
          <w:lang w:eastAsia="zh-CN"/>
        </w:rPr>
        <w:t>并提出相应的环保措施，从环境保护角度，优化</w:t>
      </w:r>
      <w:r>
        <w:rPr>
          <w:rFonts w:hint="eastAsia" w:cs="Times New Roman"/>
          <w:spacing w:val="-2"/>
          <w:lang w:eastAsia="zh-CN"/>
        </w:rPr>
        <w:t>国际新兴产业园区</w:t>
      </w:r>
      <w:r>
        <w:rPr>
          <w:rFonts w:cs="Times New Roman"/>
          <w:spacing w:val="-2"/>
          <w:lang w:eastAsia="zh-CN"/>
        </w:rPr>
        <w:t>布局，督促配套环保基础</w:t>
      </w:r>
      <w:r>
        <w:rPr>
          <w:rFonts w:cs="Times New Roman"/>
          <w:lang w:eastAsia="zh-CN"/>
        </w:rPr>
        <w:t>设施的完善，指导入区项目的环境管理工作。</w:t>
      </w:r>
    </w:p>
    <w:p>
      <w:pPr>
        <w:pStyle w:val="25"/>
        <w:spacing w:after="0"/>
        <w:ind w:firstLine="484"/>
        <w:rPr>
          <w:rFonts w:cs="Times New Roman"/>
          <w:lang w:eastAsia="zh-CN"/>
        </w:rPr>
      </w:pPr>
      <w:r>
        <w:rPr>
          <w:rFonts w:cs="Times New Roman"/>
          <w:spacing w:val="1"/>
          <w:lang w:eastAsia="zh-CN"/>
        </w:rPr>
        <w:t>以改善区域环境质量和保障区域生态安全为目标，结合区域生态环境质量变化情况、</w:t>
      </w:r>
      <w:r>
        <w:rPr>
          <w:rFonts w:cs="Times New Roman"/>
          <w:lang w:eastAsia="zh-CN"/>
        </w:rPr>
        <w:t>国家和地方最新的生态环境管理要求和公众对规划实施产生的生态环境影响的意见</w:t>
      </w:r>
      <w:r>
        <w:rPr>
          <w:rFonts w:cs="Times New Roman"/>
          <w:spacing w:val="-63"/>
          <w:lang w:eastAsia="zh-CN"/>
        </w:rPr>
        <w:t>，</w:t>
      </w:r>
      <w:r>
        <w:rPr>
          <w:rFonts w:cs="Times New Roman"/>
          <w:lang w:eastAsia="zh-CN"/>
        </w:rPr>
        <w:t>对已</w:t>
      </w:r>
      <w:r>
        <w:rPr>
          <w:rFonts w:cs="Times New Roman"/>
          <w:spacing w:val="-2"/>
          <w:lang w:eastAsia="zh-CN"/>
        </w:rPr>
        <w:t>经和正在产生的环境影响进行监测、调查和评价，分析规划实施的实际环境影响，评估规</w:t>
      </w:r>
      <w:r>
        <w:rPr>
          <w:rFonts w:cs="Times New Roman"/>
          <w:lang w:eastAsia="zh-CN"/>
        </w:rPr>
        <w:t>划采取的预防或者减轻不良生态环境影响的对策和措施的有效性</w:t>
      </w:r>
      <w:r>
        <w:rPr>
          <w:rFonts w:cs="Times New Roman"/>
          <w:spacing w:val="-63"/>
          <w:lang w:eastAsia="zh-CN"/>
        </w:rPr>
        <w:t>，</w:t>
      </w:r>
      <w:r>
        <w:rPr>
          <w:rFonts w:cs="Times New Roman"/>
          <w:lang w:eastAsia="zh-CN"/>
        </w:rPr>
        <w:t>研判规划实施是否对生态环境产生了重大影响</w:t>
      </w:r>
      <w:r>
        <w:rPr>
          <w:rFonts w:cs="Times New Roman"/>
          <w:spacing w:val="-32"/>
          <w:lang w:eastAsia="zh-CN"/>
        </w:rPr>
        <w:t>，</w:t>
      </w:r>
      <w:r>
        <w:rPr>
          <w:rFonts w:cs="Times New Roman"/>
          <w:lang w:eastAsia="zh-CN"/>
        </w:rPr>
        <w:t>对规划已实施部分造成的生态环境问题提出解决方案</w:t>
      </w:r>
      <w:r>
        <w:rPr>
          <w:rFonts w:cs="Times New Roman"/>
          <w:spacing w:val="-32"/>
          <w:lang w:eastAsia="zh-CN"/>
        </w:rPr>
        <w:t>，</w:t>
      </w:r>
      <w:r>
        <w:rPr>
          <w:rFonts w:cs="Times New Roman"/>
          <w:lang w:eastAsia="zh-CN"/>
        </w:rPr>
        <w:t>对规划后续实施内容提出优化调整建议或减轻不良生态环境影响的对策和措施。</w:t>
      </w:r>
    </w:p>
    <w:p>
      <w:pPr>
        <w:pStyle w:val="25"/>
        <w:spacing w:after="0"/>
        <w:ind w:firstLine="472"/>
        <w:rPr>
          <w:rFonts w:cs="Times New Roman"/>
          <w:lang w:eastAsia="zh-CN"/>
        </w:rPr>
      </w:pPr>
      <w:r>
        <w:rPr>
          <w:rFonts w:cs="Times New Roman"/>
          <w:spacing w:val="-2"/>
          <w:lang w:eastAsia="zh-CN"/>
        </w:rPr>
        <w:t>识别区域资源、环境制约因素，确定生态空间管控、环境质量底线和资源利用上线的</w:t>
      </w:r>
      <w:r>
        <w:rPr>
          <w:rFonts w:cs="Times New Roman"/>
          <w:spacing w:val="23"/>
          <w:lang w:eastAsia="zh-CN"/>
        </w:rPr>
        <w:t xml:space="preserve"> </w:t>
      </w:r>
      <w:r>
        <w:rPr>
          <w:rFonts w:cs="Times New Roman"/>
          <w:lang w:eastAsia="zh-CN"/>
        </w:rPr>
        <w:t>要求</w:t>
      </w:r>
      <w:r>
        <w:rPr>
          <w:rFonts w:cs="Times New Roman"/>
          <w:spacing w:val="-32"/>
          <w:lang w:eastAsia="zh-CN"/>
        </w:rPr>
        <w:t>，</w:t>
      </w:r>
      <w:r>
        <w:rPr>
          <w:rFonts w:cs="Times New Roman"/>
          <w:lang w:eastAsia="zh-CN"/>
        </w:rPr>
        <w:t>提出</w:t>
      </w:r>
      <w:r>
        <w:rPr>
          <w:rFonts w:hint="eastAsia" w:cs="Times New Roman"/>
          <w:lang w:eastAsia="zh-CN"/>
        </w:rPr>
        <w:t>国际新兴产业园区</w:t>
      </w:r>
      <w:r>
        <w:rPr>
          <w:rFonts w:cs="Times New Roman"/>
          <w:lang w:eastAsia="zh-CN"/>
        </w:rPr>
        <w:t>污染物排放总量上限要求和环境准入负面清单</w:t>
      </w:r>
      <w:r>
        <w:rPr>
          <w:rFonts w:cs="Times New Roman"/>
          <w:spacing w:val="-32"/>
          <w:lang w:eastAsia="zh-CN"/>
        </w:rPr>
        <w:t>，</w:t>
      </w:r>
      <w:r>
        <w:rPr>
          <w:rFonts w:cs="Times New Roman"/>
          <w:lang w:eastAsia="zh-CN"/>
        </w:rPr>
        <w:t>为规划决策和环境管理提供依据。</w:t>
      </w:r>
    </w:p>
    <w:p>
      <w:pPr>
        <w:pStyle w:val="9"/>
        <w:rPr>
          <w:rFonts w:ascii="Times New Roman" w:hAnsi="Times New Roman"/>
          <w:spacing w:val="-1"/>
        </w:rPr>
      </w:pPr>
      <w:bookmarkStart w:id="36" w:name="_Toc30264"/>
      <w:r>
        <w:rPr>
          <w:rFonts w:ascii="Times New Roman" w:hAnsi="Times New Roman"/>
          <w:spacing w:val="-1"/>
        </w:rPr>
        <w:t>1.2.2 指导思想</w:t>
      </w:r>
      <w:bookmarkEnd w:id="36"/>
    </w:p>
    <w:p>
      <w:pPr>
        <w:pStyle w:val="25"/>
        <w:spacing w:after="0"/>
        <w:ind w:firstLine="484"/>
        <w:rPr>
          <w:rFonts w:cs="Times New Roman"/>
          <w:spacing w:val="1"/>
          <w:lang w:eastAsia="zh-CN"/>
        </w:rPr>
      </w:pPr>
      <w:r>
        <w:rPr>
          <w:rFonts w:cs="Times New Roman"/>
          <w:spacing w:val="1"/>
          <w:lang w:eastAsia="zh-CN"/>
        </w:rPr>
        <w:t>以促进区域经济、社会和环境协调持续发展为宗旨，以落实科学发展观、构建资源节约型、环境友好型和谐社会为目标，贯彻循环经济理念，充分体现“科学规划、合理布局、清洁生产、总量控制、集中治理、统一监督”的方针，坚持污染防治与生态保护与建设并重的原则。从宏观角度分析论证区域经济建设和社会发展与环境保护之间存在的矛盾，提出区域发展现在与潜在的环境问题，找出解决问题的办法，以达到经济社会与环境协调发展的目的。</w:t>
      </w:r>
    </w:p>
    <w:p>
      <w:pPr>
        <w:pStyle w:val="9"/>
        <w:rPr>
          <w:rFonts w:ascii="Times New Roman" w:hAnsi="Times New Roman"/>
          <w:spacing w:val="-1"/>
        </w:rPr>
      </w:pPr>
      <w:bookmarkStart w:id="37" w:name="_Toc3494"/>
      <w:r>
        <w:rPr>
          <w:rFonts w:ascii="Times New Roman" w:hAnsi="Times New Roman"/>
          <w:spacing w:val="-1"/>
        </w:rPr>
        <w:t>1.2.3 评价原则</w:t>
      </w:r>
      <w:bookmarkEnd w:id="37"/>
    </w:p>
    <w:p>
      <w:pPr>
        <w:adjustRightInd w:val="0"/>
        <w:snapToGrid w:val="0"/>
        <w:ind w:firstLine="484"/>
        <w:rPr>
          <w:rFonts w:cs="Times New Roman"/>
          <w:spacing w:val="1"/>
          <w:lang w:eastAsia="zh-CN"/>
        </w:rPr>
      </w:pPr>
      <w:r>
        <w:rPr>
          <w:rFonts w:cs="Times New Roman"/>
          <w:spacing w:val="1"/>
          <w:lang w:eastAsia="zh-CN"/>
        </w:rPr>
        <w:t>（1）按照环评导则要求的科学、客观、公正、整体性、公众参与、一致性原则、可操作性原则等各项基本原则开展跟踪评价工作。</w:t>
      </w:r>
    </w:p>
    <w:p>
      <w:pPr>
        <w:adjustRightInd w:val="0"/>
        <w:snapToGrid w:val="0"/>
        <w:ind w:firstLine="484"/>
        <w:rPr>
          <w:rFonts w:cs="Times New Roman"/>
          <w:spacing w:val="1"/>
          <w:lang w:eastAsia="zh-CN"/>
        </w:rPr>
      </w:pPr>
      <w:r>
        <w:rPr>
          <w:rFonts w:cs="Times New Roman"/>
          <w:spacing w:val="1"/>
          <w:lang w:eastAsia="zh-CN"/>
        </w:rPr>
        <w:t>（2）坚持“有利于产业升级、有利于结构调整、有利于污染集中控制、有利于生态产业链的延伸和环境综合整治”的原则；坚持用循环经济的理念指导</w:t>
      </w:r>
      <w:r>
        <w:rPr>
          <w:rFonts w:hint="eastAsia" w:cs="Times New Roman"/>
          <w:spacing w:val="1"/>
          <w:lang w:eastAsia="zh-CN"/>
        </w:rPr>
        <w:t>国际新兴产业园区</w:t>
      </w:r>
      <w:r>
        <w:rPr>
          <w:rFonts w:cs="Times New Roman"/>
          <w:spacing w:val="1"/>
          <w:lang w:eastAsia="zh-CN"/>
        </w:rPr>
        <w:t>的建设和发展，促进生态型</w:t>
      </w:r>
      <w:r>
        <w:rPr>
          <w:rFonts w:hint="eastAsia" w:cs="Times New Roman"/>
          <w:spacing w:val="1"/>
          <w:lang w:eastAsia="zh-CN"/>
        </w:rPr>
        <w:t>国际新兴产业园区</w:t>
      </w:r>
      <w:r>
        <w:rPr>
          <w:rFonts w:cs="Times New Roman"/>
          <w:spacing w:val="1"/>
          <w:lang w:eastAsia="zh-CN"/>
        </w:rPr>
        <w:t>的建设。</w:t>
      </w:r>
    </w:p>
    <w:p>
      <w:pPr>
        <w:adjustRightInd w:val="0"/>
        <w:snapToGrid w:val="0"/>
        <w:ind w:firstLine="484"/>
        <w:rPr>
          <w:rFonts w:cs="Times New Roman"/>
          <w:spacing w:val="1"/>
          <w:lang w:eastAsia="zh-CN"/>
        </w:rPr>
      </w:pPr>
      <w:r>
        <w:rPr>
          <w:rFonts w:cs="Times New Roman"/>
          <w:spacing w:val="1"/>
          <w:lang w:eastAsia="zh-CN"/>
        </w:rPr>
        <w:t>（3）坚持“环保优先方针”和“不欠旧帐、多还老帐”的原则，对照国家和地方构建和谐社会的要求，以及环境保护工作的提升要求，通过跟踪评价，推动</w:t>
      </w:r>
      <w:r>
        <w:rPr>
          <w:rFonts w:hint="eastAsia" w:cs="Times New Roman"/>
          <w:spacing w:val="1"/>
          <w:lang w:eastAsia="zh-CN"/>
        </w:rPr>
        <w:t>国际新兴产业园区</w:t>
      </w:r>
      <w:r>
        <w:rPr>
          <w:rFonts w:cs="Times New Roman"/>
          <w:spacing w:val="1"/>
          <w:lang w:eastAsia="zh-CN"/>
        </w:rPr>
        <w:t>实现可持续发展。</w:t>
      </w:r>
    </w:p>
    <w:p>
      <w:pPr>
        <w:adjustRightInd w:val="0"/>
        <w:snapToGrid w:val="0"/>
        <w:ind w:firstLine="484"/>
        <w:rPr>
          <w:rFonts w:cs="Times New Roman"/>
          <w:lang w:eastAsia="zh-CN"/>
        </w:rPr>
      </w:pPr>
      <w:r>
        <w:rPr>
          <w:rFonts w:cs="Times New Roman"/>
          <w:spacing w:val="1"/>
          <w:lang w:eastAsia="zh-CN"/>
        </w:rPr>
        <w:t>（4）坚持突出重点，通过跟踪评价，对照</w:t>
      </w:r>
      <w:r>
        <w:rPr>
          <w:rFonts w:hint="eastAsia" w:cs="Times New Roman"/>
          <w:spacing w:val="1"/>
          <w:lang w:eastAsia="zh-CN"/>
        </w:rPr>
        <w:t>国际新兴产业园区</w:t>
      </w:r>
      <w:r>
        <w:rPr>
          <w:rFonts w:cs="Times New Roman"/>
          <w:spacing w:val="1"/>
          <w:lang w:eastAsia="zh-CN"/>
        </w:rPr>
        <w:t>规划环评结论及批复要点，排查存在的主要环境问题和区域环境制约因素，明确解决方案，从环境保护角度，优化</w:t>
      </w:r>
      <w:r>
        <w:rPr>
          <w:rFonts w:hint="eastAsia" w:cs="Times New Roman"/>
          <w:spacing w:val="1"/>
          <w:lang w:eastAsia="zh-CN"/>
        </w:rPr>
        <w:t>国际新兴产业园区</w:t>
      </w:r>
      <w:r>
        <w:rPr>
          <w:rFonts w:cs="Times New Roman"/>
          <w:spacing w:val="1"/>
          <w:lang w:eastAsia="zh-CN"/>
        </w:rPr>
        <w:t>产业布局，督促配套环保基础设施的完善，指导入</w:t>
      </w:r>
      <w:r>
        <w:rPr>
          <w:rFonts w:hint="eastAsia" w:cs="Times New Roman"/>
          <w:spacing w:val="1"/>
          <w:lang w:eastAsia="zh-CN"/>
        </w:rPr>
        <w:t>国际新兴产业园区</w:t>
      </w:r>
      <w:r>
        <w:rPr>
          <w:rFonts w:cs="Times New Roman"/>
          <w:spacing w:val="1"/>
          <w:lang w:eastAsia="zh-CN"/>
        </w:rPr>
        <w:t>项目的环境管理工作</w:t>
      </w:r>
      <w:r>
        <w:rPr>
          <w:rFonts w:cs="Times New Roman"/>
          <w:lang w:eastAsia="zh-CN"/>
        </w:rPr>
        <w:t>。</w:t>
      </w:r>
    </w:p>
    <w:p>
      <w:pPr>
        <w:pStyle w:val="8"/>
        <w:rPr>
          <w:rFonts w:ascii="Times New Roman" w:hAnsi="Times New Roman" w:cs="Times New Roman"/>
          <w:lang w:eastAsia="zh-CN"/>
        </w:rPr>
      </w:pPr>
      <w:bookmarkStart w:id="38" w:name="_bookmark5"/>
      <w:bookmarkEnd w:id="38"/>
      <w:bookmarkStart w:id="39" w:name="_Toc1773"/>
      <w:bookmarkStart w:id="40" w:name="_Toc31100"/>
      <w:r>
        <w:rPr>
          <w:rFonts w:ascii="Times New Roman" w:hAnsi="Times New Roman" w:cs="Times New Roman"/>
          <w:lang w:eastAsia="zh-CN"/>
        </w:rPr>
        <w:t>1.3 评价重点</w:t>
      </w:r>
      <w:bookmarkEnd w:id="39"/>
      <w:bookmarkEnd w:id="40"/>
    </w:p>
    <w:p>
      <w:pPr>
        <w:adjustRightInd w:val="0"/>
        <w:snapToGrid w:val="0"/>
        <w:ind w:firstLine="480"/>
        <w:rPr>
          <w:rFonts w:cs="Times New Roman"/>
          <w:lang w:eastAsia="zh-CN"/>
        </w:rPr>
      </w:pPr>
      <w:r>
        <w:rPr>
          <w:rFonts w:cs="Times New Roman"/>
          <w:lang w:eastAsia="zh-CN"/>
        </w:rPr>
        <w:t>（1）针对规划环评、环评结论和批复要求，通过对</w:t>
      </w:r>
      <w:r>
        <w:rPr>
          <w:rFonts w:hint="eastAsia" w:cs="Times New Roman"/>
          <w:lang w:eastAsia="zh-CN"/>
        </w:rPr>
        <w:t>国际新兴产业园区</w:t>
      </w:r>
      <w:r>
        <w:rPr>
          <w:rFonts w:cs="Times New Roman"/>
          <w:lang w:eastAsia="zh-CN"/>
        </w:rPr>
        <w:t>开发强度、土地利用、功能布局、产业定位等执行情况的调查，分析实际开发状况与规划、规划环评及其批复之间的差异，找出开发建设中存在的问题。</w:t>
      </w:r>
    </w:p>
    <w:p>
      <w:pPr>
        <w:adjustRightInd w:val="0"/>
        <w:snapToGrid w:val="0"/>
        <w:ind w:firstLine="480"/>
        <w:rPr>
          <w:rFonts w:cs="Times New Roman"/>
          <w:lang w:eastAsia="zh-CN"/>
        </w:rPr>
      </w:pPr>
      <w:r>
        <w:rPr>
          <w:rFonts w:cs="Times New Roman"/>
          <w:lang w:eastAsia="zh-CN"/>
        </w:rPr>
        <w:t>（2）通过对</w:t>
      </w:r>
      <w:r>
        <w:rPr>
          <w:rFonts w:hint="eastAsia" w:cs="Times New Roman"/>
          <w:lang w:eastAsia="zh-CN"/>
        </w:rPr>
        <w:t>国际新兴产业园区</w:t>
      </w:r>
      <w:r>
        <w:rPr>
          <w:rFonts w:cs="Times New Roman"/>
          <w:lang w:eastAsia="zh-CN"/>
        </w:rPr>
        <w:t>已建、在建和拟建企业调查，</w:t>
      </w:r>
      <w:r>
        <w:rPr>
          <w:rFonts w:hint="eastAsia" w:cs="Times New Roman"/>
          <w:lang w:eastAsia="zh-CN"/>
        </w:rPr>
        <w:t>国际新兴产业园区</w:t>
      </w:r>
      <w:r>
        <w:rPr>
          <w:rFonts w:cs="Times New Roman"/>
          <w:lang w:eastAsia="zh-CN"/>
        </w:rPr>
        <w:t>及周边地区环境质量现状监测，进一步排查</w:t>
      </w:r>
      <w:r>
        <w:rPr>
          <w:rFonts w:hint="eastAsia" w:cs="Times New Roman"/>
          <w:lang w:eastAsia="zh-CN"/>
        </w:rPr>
        <w:t>国际新兴产业园区</w:t>
      </w:r>
      <w:r>
        <w:rPr>
          <w:rFonts w:cs="Times New Roman"/>
          <w:lang w:eastAsia="zh-CN"/>
        </w:rPr>
        <w:t>存在的环境问题，并针对性地提出整改补救措施。</w:t>
      </w:r>
    </w:p>
    <w:p>
      <w:pPr>
        <w:adjustRightInd w:val="0"/>
        <w:snapToGrid w:val="0"/>
        <w:ind w:firstLine="480"/>
        <w:rPr>
          <w:rFonts w:cs="Times New Roman"/>
          <w:lang w:eastAsia="zh-CN"/>
        </w:rPr>
      </w:pPr>
      <w:r>
        <w:rPr>
          <w:rFonts w:cs="Times New Roman"/>
          <w:lang w:eastAsia="zh-CN"/>
        </w:rPr>
        <w:t>（3）对</w:t>
      </w:r>
      <w:r>
        <w:rPr>
          <w:rFonts w:hint="eastAsia" w:cs="Times New Roman"/>
          <w:lang w:eastAsia="zh-CN"/>
        </w:rPr>
        <w:t>国际新兴产业园区</w:t>
      </w:r>
      <w:r>
        <w:rPr>
          <w:rFonts w:cs="Times New Roman"/>
          <w:lang w:eastAsia="zh-CN"/>
        </w:rPr>
        <w:t>环保基础设施建设运转情况进行调查，在现状问题分析的基础上提出优化污染防治措施的建议。</w:t>
      </w:r>
    </w:p>
    <w:p>
      <w:pPr>
        <w:adjustRightInd w:val="0"/>
        <w:snapToGrid w:val="0"/>
        <w:ind w:firstLine="480"/>
        <w:rPr>
          <w:rFonts w:cs="Times New Roman"/>
          <w:lang w:eastAsia="zh-CN"/>
        </w:rPr>
      </w:pPr>
      <w:r>
        <w:rPr>
          <w:rFonts w:cs="Times New Roman"/>
          <w:lang w:eastAsia="zh-CN"/>
        </w:rPr>
        <w:t>（4）结合</w:t>
      </w:r>
      <w:r>
        <w:rPr>
          <w:rFonts w:hint="eastAsia" w:cs="Times New Roman"/>
          <w:lang w:eastAsia="zh-CN"/>
        </w:rPr>
        <w:t>国际新兴产业园区</w:t>
      </w:r>
      <w:r>
        <w:rPr>
          <w:rFonts w:cs="Times New Roman"/>
          <w:lang w:eastAsia="zh-CN"/>
        </w:rPr>
        <w:t>产业定位、区域环境敏感特征和入驻企业现状，分析</w:t>
      </w:r>
      <w:r>
        <w:rPr>
          <w:rFonts w:hint="eastAsia" w:cs="Times New Roman"/>
          <w:lang w:eastAsia="zh-CN"/>
        </w:rPr>
        <w:t>国际新兴产业园区</w:t>
      </w:r>
      <w:r>
        <w:rPr>
          <w:rFonts w:cs="Times New Roman"/>
          <w:lang w:eastAsia="zh-CN"/>
        </w:rPr>
        <w:t>风险防范措施的落实情况，针对存在的问题提出优化整改方向。</w:t>
      </w:r>
    </w:p>
    <w:p>
      <w:pPr>
        <w:pStyle w:val="8"/>
        <w:rPr>
          <w:rFonts w:ascii="Times New Roman" w:hAnsi="Times New Roman" w:cs="Times New Roman"/>
          <w:lang w:eastAsia="zh-CN"/>
        </w:rPr>
      </w:pPr>
      <w:bookmarkStart w:id="41" w:name="_Toc31532"/>
      <w:bookmarkStart w:id="42" w:name="_Toc30856"/>
      <w:r>
        <w:rPr>
          <w:rFonts w:ascii="Times New Roman" w:hAnsi="Times New Roman" w:cs="Times New Roman"/>
          <w:lang w:eastAsia="zh-CN"/>
        </w:rPr>
        <w:t>1.4 工作程序</w:t>
      </w:r>
      <w:bookmarkEnd w:id="41"/>
      <w:bookmarkEnd w:id="42"/>
    </w:p>
    <w:p>
      <w:pPr>
        <w:adjustRightInd w:val="0"/>
        <w:snapToGrid w:val="0"/>
        <w:ind w:firstLine="480"/>
        <w:rPr>
          <w:rFonts w:cs="Times New Roman"/>
          <w:lang w:eastAsia="zh-CN"/>
        </w:rPr>
      </w:pPr>
      <w:r>
        <w:rPr>
          <w:rFonts w:cs="Times New Roman"/>
          <w:lang w:eastAsia="zh-CN"/>
        </w:rPr>
        <w:t>（1）通过调查规划实施情况、受影响区域的生态环境演变趋势，分析规划实施产生的实际生态环境影响，并与环境影响评价文件预测的影响状况进行比较和评估。</w:t>
      </w:r>
    </w:p>
    <w:p>
      <w:pPr>
        <w:adjustRightInd w:val="0"/>
        <w:snapToGrid w:val="0"/>
        <w:ind w:firstLine="480"/>
        <w:rPr>
          <w:rFonts w:cs="Times New Roman"/>
          <w:lang w:eastAsia="zh-CN"/>
        </w:rPr>
      </w:pPr>
      <w:r>
        <w:rPr>
          <w:rFonts w:cs="Times New Roman"/>
          <w:lang w:eastAsia="zh-CN"/>
        </w:rPr>
        <w:t>（2）对规划已实施部分，如规划实施中采取的预防或者减轻不良生态环境影响的对策和措施有效，且符合国家和地方最新的生态环境管理要求，可提出继续实施原规划方案的建议。如对策和措施不能满足国家和地方最新的生态环境管理要求，结合公众意见，对规划已实施部分造成的不良生态环境影响提出整改措施。</w:t>
      </w:r>
    </w:p>
    <w:p>
      <w:pPr>
        <w:adjustRightInd w:val="0"/>
        <w:snapToGrid w:val="0"/>
        <w:ind w:firstLine="480"/>
        <w:rPr>
          <w:rFonts w:cs="Times New Roman"/>
          <w:lang w:eastAsia="zh-CN"/>
        </w:rPr>
      </w:pPr>
      <w:r>
        <w:rPr>
          <w:rFonts w:cs="Times New Roman"/>
          <w:lang w:eastAsia="zh-CN"/>
        </w:rPr>
        <w:t>根据 2019年3月生态环境部办公厅发布的（环办环评〔2019〕20号）《规划环境影响跟踪评价技术指南（试行）》，本次规划环境影响跟踪评价技术流程见下图：</w:t>
      </w:r>
    </w:p>
    <w:p>
      <w:pPr>
        <w:spacing w:line="200" w:lineRule="atLeast"/>
        <w:ind w:firstLine="0" w:firstLineChars="0"/>
        <w:rPr>
          <w:rFonts w:cs="Times New Roman"/>
          <w:sz w:val="20"/>
          <w:szCs w:val="20"/>
        </w:rPr>
      </w:pPr>
      <w:r>
        <w:rPr>
          <w:rFonts w:cs="Times New Roman"/>
          <w:sz w:val="20"/>
          <w:szCs w:val="20"/>
          <w:lang w:eastAsia="zh-CN"/>
        </w:rPr>
        <w:drawing>
          <wp:inline distT="0" distB="0" distL="0" distR="0">
            <wp:extent cx="5899150" cy="6534150"/>
            <wp:effectExtent l="0" t="0" r="6350" b="0"/>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png"/>
                    <pic:cNvPicPr>
                      <a:picLocks noChangeAspect="1"/>
                    </pic:cNvPicPr>
                  </pic:nvPicPr>
                  <pic:blipFill>
                    <a:blip r:embed="rId23" cstate="print"/>
                    <a:stretch>
                      <a:fillRect/>
                    </a:stretch>
                  </pic:blipFill>
                  <pic:spPr>
                    <a:xfrm>
                      <a:off x="0" y="0"/>
                      <a:ext cx="5899178" cy="6534150"/>
                    </a:xfrm>
                    <a:prstGeom prst="rect">
                      <a:avLst/>
                    </a:prstGeom>
                  </pic:spPr>
                </pic:pic>
              </a:graphicData>
            </a:graphic>
          </wp:inline>
        </w:drawing>
      </w:r>
    </w:p>
    <w:p>
      <w:pPr>
        <w:pStyle w:val="618"/>
      </w:pPr>
      <w:r>
        <w:t>图1-</w:t>
      </w:r>
      <w:r>
        <w:fldChar w:fldCharType="begin"/>
      </w:r>
      <w:r>
        <w:instrText xml:space="preserve"> SEQ 图1- \* ARABIC </w:instrText>
      </w:r>
      <w:r>
        <w:fldChar w:fldCharType="separate"/>
      </w:r>
      <w:r>
        <w:t>1</w:t>
      </w:r>
      <w:r>
        <w:fldChar w:fldCharType="end"/>
      </w:r>
      <w:r>
        <w:t xml:space="preserve">  评价技术工作程序图</w:t>
      </w:r>
    </w:p>
    <w:p>
      <w:pPr>
        <w:ind w:firstLine="480"/>
        <w:jc w:val="center"/>
        <w:rPr>
          <w:rFonts w:cs="Times New Roman"/>
          <w:lang w:eastAsia="zh-CN"/>
        </w:rPr>
        <w:sectPr>
          <w:pgSz w:w="11910" w:h="16840"/>
          <w:pgMar w:top="1559"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8"/>
        <w:rPr>
          <w:rFonts w:ascii="Times New Roman" w:hAnsi="Times New Roman" w:cs="Times New Roman"/>
          <w:lang w:eastAsia="zh-CN"/>
        </w:rPr>
      </w:pPr>
      <w:bookmarkStart w:id="43" w:name="_TOC_250021"/>
      <w:bookmarkStart w:id="44" w:name="_Toc31789"/>
      <w:bookmarkStart w:id="45" w:name="_Toc26865"/>
      <w:r>
        <w:rPr>
          <w:rFonts w:ascii="Times New Roman" w:hAnsi="Times New Roman" w:cs="Times New Roman"/>
          <w:lang w:eastAsia="zh-CN"/>
        </w:rPr>
        <w:t>1.5 评价范围与评价因子</w:t>
      </w:r>
      <w:bookmarkEnd w:id="43"/>
      <w:bookmarkEnd w:id="44"/>
      <w:bookmarkEnd w:id="45"/>
    </w:p>
    <w:p>
      <w:pPr>
        <w:pStyle w:val="9"/>
        <w:rPr>
          <w:rFonts w:ascii="Times New Roman" w:hAnsi="Times New Roman"/>
          <w:spacing w:val="-1"/>
        </w:rPr>
      </w:pPr>
      <w:bookmarkStart w:id="46" w:name="_Toc28540"/>
      <w:r>
        <w:rPr>
          <w:rFonts w:ascii="Times New Roman" w:hAnsi="Times New Roman"/>
          <w:spacing w:val="-1"/>
        </w:rPr>
        <w:t>1.5.1 跟踪评价内容及范围</w:t>
      </w:r>
      <w:bookmarkEnd w:id="46"/>
    </w:p>
    <w:p>
      <w:pPr>
        <w:adjustRightInd w:val="0"/>
        <w:snapToGrid w:val="0"/>
        <w:ind w:firstLine="480"/>
        <w:rPr>
          <w:rFonts w:cs="Times New Roman"/>
          <w:lang w:eastAsia="zh-CN"/>
        </w:rPr>
      </w:pPr>
      <w:r>
        <w:rPr>
          <w:rFonts w:cs="Times New Roman"/>
          <w:lang w:eastAsia="zh-CN"/>
        </w:rPr>
        <w:t>根据《规划环境影响评价条例》第二十五条：规划环境影响的跟踪评价应当包括下列内容：（一）规划实施后实际产生的环境影响与环境影响评价文件预测可能产生的环境影响之间的比较分析和评估；（二）规划实施中所采取的预防或者减轻不良环境影响的对策和措施有效性的分析和评估；（三）公众对规划实施所产生的环境影响的意见；（四）跟踪评价的结论。</w:t>
      </w:r>
    </w:p>
    <w:p>
      <w:pPr>
        <w:adjustRightInd w:val="0"/>
        <w:snapToGrid w:val="0"/>
        <w:ind w:firstLine="480"/>
        <w:rPr>
          <w:rFonts w:cs="Times New Roman"/>
          <w:lang w:eastAsia="zh-CN"/>
        </w:rPr>
      </w:pPr>
      <w:r>
        <w:rPr>
          <w:rFonts w:cs="Times New Roman"/>
          <w:lang w:eastAsia="zh-CN"/>
        </w:rPr>
        <w:t>根据《规划环境影响评价技术导则总纲》（HJ130-2019）：“对于可能产生重大环境影响的规划，在编制规划环境影响评价文件时，应拟定跟踪评价方案”。根据上一轮规划环评的要求：“为验证规划和具体项目实施之后，各项环境减缓措施的有效性，应当对规划环境影响评价的主要结论和措施进行回顾跟踪评价，建议每年进行一次针对生产加工企业环境保护措施实施情况的跟踪、监测和评价，并编写回顾评价报告书。评价主要内容包括：规划实施后的实际环境影响；核查规划环境影响评价及其建议的减缓措施是否得到了有效的贯彻落实；提出为进一步提高规划的环境效益所需的改进措施；区域的开发活动是否符合</w:t>
      </w:r>
      <w:r>
        <w:rPr>
          <w:rFonts w:hint="eastAsia" w:cs="Times New Roman"/>
          <w:lang w:eastAsia="zh-CN"/>
        </w:rPr>
        <w:t>国际新兴产业园区</w:t>
      </w:r>
      <w:r>
        <w:rPr>
          <w:rFonts w:cs="Times New Roman"/>
          <w:lang w:eastAsia="zh-CN"/>
        </w:rPr>
        <w:t>实际情况，对不符合实际情况，造成严重不良环境影响的，应当分析其原因并提出治理措施；针对发生变化的活动或区域应调整相应的环境监测计划。”</w:t>
      </w:r>
    </w:p>
    <w:p>
      <w:pPr>
        <w:adjustRightInd w:val="0"/>
        <w:snapToGrid w:val="0"/>
        <w:ind w:firstLine="480"/>
        <w:rPr>
          <w:rFonts w:cs="Times New Roman"/>
          <w:spacing w:val="-1"/>
          <w:lang w:eastAsia="zh-CN"/>
        </w:rPr>
      </w:pPr>
      <w:r>
        <w:rPr>
          <w:rFonts w:cs="Times New Roman"/>
          <w:lang w:eastAsia="zh-CN"/>
        </w:rPr>
        <w:t>因此，根据《规划环境影响评价条例》，上一轮规划环评的要求及规划实施单位的委托评价文件，本次跟踪评价范围与上一轮规划环评的范围保持一致，以规划总面积</w:t>
      </w:r>
      <w:r>
        <w:rPr>
          <w:rFonts w:hint="eastAsia" w:cs="Times New Roman"/>
          <w:lang w:eastAsia="zh-CN"/>
        </w:rPr>
        <w:t>51</w:t>
      </w:r>
      <w:r>
        <w:rPr>
          <w:rFonts w:cs="Times New Roman"/>
          <w:lang w:eastAsia="zh-CN"/>
        </w:rPr>
        <w:t>平方公里为基础，兼顾周边地区。具体见表1.5-1，地理位置详见</w:t>
      </w:r>
      <w:r>
        <w:rPr>
          <w:rFonts w:hint="eastAsia" w:cs="Times New Roman"/>
          <w:lang w:eastAsia="zh-CN"/>
        </w:rPr>
        <w:t>附</w:t>
      </w:r>
      <w:r>
        <w:rPr>
          <w:rFonts w:cs="Times New Roman"/>
          <w:lang w:eastAsia="zh-CN"/>
        </w:rPr>
        <w:t>图1-</w:t>
      </w:r>
      <w:r>
        <w:rPr>
          <w:rFonts w:hint="eastAsia" w:cs="Times New Roman"/>
          <w:lang w:eastAsia="zh-CN"/>
        </w:rPr>
        <w:t>1</w:t>
      </w:r>
      <w:r>
        <w:rPr>
          <w:rFonts w:cs="Times New Roman"/>
          <w:lang w:eastAsia="zh-CN"/>
        </w:rPr>
        <w:t>，</w:t>
      </w:r>
      <w:r>
        <w:rPr>
          <w:rFonts w:hint="eastAsia" w:cs="Times New Roman"/>
          <w:lang w:eastAsia="zh-CN"/>
        </w:rPr>
        <w:t>大气</w:t>
      </w:r>
      <w:r>
        <w:rPr>
          <w:rFonts w:cs="Times New Roman"/>
          <w:lang w:eastAsia="zh-CN"/>
        </w:rPr>
        <w:t>评价范围详见</w:t>
      </w:r>
      <w:r>
        <w:rPr>
          <w:rFonts w:hint="eastAsia" w:cs="Times New Roman"/>
          <w:lang w:eastAsia="zh-CN"/>
        </w:rPr>
        <w:t>附</w:t>
      </w:r>
      <w:r>
        <w:rPr>
          <w:rFonts w:cs="Times New Roman"/>
          <w:lang w:eastAsia="zh-CN"/>
        </w:rPr>
        <w:t>图1-</w:t>
      </w:r>
      <w:r>
        <w:rPr>
          <w:rFonts w:hint="eastAsia" w:cs="Times New Roman"/>
          <w:lang w:eastAsia="zh-CN"/>
        </w:rPr>
        <w:t>2</w:t>
      </w:r>
      <w:r>
        <w:rPr>
          <w:rFonts w:cs="Times New Roman"/>
          <w:lang w:eastAsia="zh-CN"/>
        </w:rPr>
        <w:t>。</w:t>
      </w:r>
      <w:r>
        <w:rPr>
          <w:rFonts w:cs="Times New Roman"/>
          <w:lang w:eastAsia="zh-CN"/>
        </w:rPr>
        <w:br w:type="page"/>
      </w:r>
    </w:p>
    <w:p>
      <w:pPr>
        <w:pStyle w:val="618"/>
        <w:spacing w:line="240" w:lineRule="auto"/>
        <w:rPr>
          <w:sz w:val="21"/>
          <w:szCs w:val="21"/>
        </w:rPr>
      </w:pPr>
      <w:r>
        <w:rPr>
          <w:sz w:val="21"/>
          <w:szCs w:val="21"/>
        </w:rPr>
        <w:t>表1.5-1  跟踪评价范围</w:t>
      </w:r>
    </w:p>
    <w:tbl>
      <w:tblPr>
        <w:tblStyle w:val="64"/>
        <w:tblW w:w="4996" w:type="pct"/>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577"/>
        <w:gridCol w:w="1329"/>
        <w:gridCol w:w="2914"/>
        <w:gridCol w:w="2446"/>
        <w:gridCol w:w="2017"/>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027" w:type="pct"/>
            <w:gridSpan w:val="2"/>
            <w:vMerge w:val="restart"/>
            <w:vAlign w:val="center"/>
          </w:tcPr>
          <w:p>
            <w:pPr>
              <w:pStyle w:val="16"/>
              <w:spacing w:line="400" w:lineRule="exact"/>
              <w:rPr>
                <w:rFonts w:ascii="Times New Roman" w:hAnsi="Times New Roman"/>
                <w:b/>
                <w:bCs/>
                <w:sz w:val="21"/>
              </w:rPr>
            </w:pPr>
            <w:r>
              <w:rPr>
                <w:rFonts w:ascii="Times New Roman" w:hAnsi="Times New Roman"/>
                <w:b/>
                <w:bCs/>
                <w:sz w:val="21"/>
              </w:rPr>
              <w:t>类型</w:t>
            </w:r>
          </w:p>
        </w:tc>
        <w:tc>
          <w:tcPr>
            <w:tcW w:w="3972" w:type="pct"/>
            <w:gridSpan w:val="3"/>
            <w:vAlign w:val="center"/>
          </w:tcPr>
          <w:p>
            <w:pPr>
              <w:pStyle w:val="16"/>
              <w:spacing w:line="400" w:lineRule="exact"/>
              <w:rPr>
                <w:rFonts w:ascii="Times New Roman" w:hAnsi="Times New Roman"/>
                <w:b/>
                <w:bCs/>
                <w:sz w:val="21"/>
              </w:rPr>
            </w:pPr>
            <w:r>
              <w:rPr>
                <w:rFonts w:ascii="Times New Roman" w:hAnsi="Times New Roman"/>
                <w:b/>
                <w:bCs/>
                <w:sz w:val="21"/>
              </w:rPr>
              <w:t>评价范围</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027" w:type="pct"/>
            <w:gridSpan w:val="2"/>
            <w:vMerge w:val="continue"/>
            <w:vAlign w:val="center"/>
          </w:tcPr>
          <w:p>
            <w:pPr>
              <w:pStyle w:val="16"/>
              <w:spacing w:line="400" w:lineRule="exact"/>
              <w:rPr>
                <w:rFonts w:ascii="Times New Roman" w:hAnsi="Times New Roman"/>
                <w:b/>
                <w:bCs/>
                <w:sz w:val="21"/>
              </w:rPr>
            </w:pPr>
          </w:p>
        </w:tc>
        <w:tc>
          <w:tcPr>
            <w:tcW w:w="1569" w:type="pct"/>
            <w:vAlign w:val="center"/>
          </w:tcPr>
          <w:p>
            <w:pPr>
              <w:pStyle w:val="16"/>
              <w:spacing w:line="400" w:lineRule="exact"/>
              <w:rPr>
                <w:rFonts w:ascii="Times New Roman" w:hAnsi="Times New Roman"/>
                <w:b/>
                <w:bCs/>
                <w:sz w:val="21"/>
              </w:rPr>
            </w:pPr>
            <w:r>
              <w:rPr>
                <w:rFonts w:ascii="Times New Roman" w:hAnsi="Times New Roman"/>
                <w:b/>
                <w:bCs/>
                <w:sz w:val="21"/>
              </w:rPr>
              <w:t>上一轮规划环评</w:t>
            </w:r>
          </w:p>
        </w:tc>
        <w:tc>
          <w:tcPr>
            <w:tcW w:w="1317" w:type="pct"/>
            <w:vAlign w:val="center"/>
          </w:tcPr>
          <w:p>
            <w:pPr>
              <w:pStyle w:val="16"/>
              <w:spacing w:line="400" w:lineRule="exact"/>
              <w:rPr>
                <w:rFonts w:ascii="Times New Roman" w:hAnsi="Times New Roman"/>
                <w:b/>
                <w:bCs/>
                <w:sz w:val="21"/>
              </w:rPr>
            </w:pPr>
            <w:r>
              <w:rPr>
                <w:rFonts w:ascii="Times New Roman" w:hAnsi="Times New Roman"/>
                <w:b/>
                <w:bCs/>
                <w:sz w:val="21"/>
              </w:rPr>
              <w:t>跟踪评价</w:t>
            </w:r>
          </w:p>
        </w:tc>
        <w:tc>
          <w:tcPr>
            <w:tcW w:w="1086" w:type="pct"/>
            <w:vAlign w:val="center"/>
          </w:tcPr>
          <w:p>
            <w:pPr>
              <w:pStyle w:val="16"/>
              <w:spacing w:line="400" w:lineRule="exact"/>
              <w:rPr>
                <w:rFonts w:ascii="Times New Roman" w:hAnsi="Times New Roman"/>
                <w:b/>
                <w:bCs/>
                <w:sz w:val="21"/>
              </w:rPr>
            </w:pPr>
            <w:r>
              <w:rPr>
                <w:rFonts w:ascii="Times New Roman" w:hAnsi="Times New Roman"/>
                <w:b/>
                <w:bCs/>
                <w:sz w:val="21"/>
              </w:rPr>
              <w:t>备注</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027" w:type="pct"/>
            <w:gridSpan w:val="2"/>
            <w:vAlign w:val="center"/>
          </w:tcPr>
          <w:p>
            <w:pPr>
              <w:pStyle w:val="16"/>
              <w:spacing w:line="400" w:lineRule="exact"/>
              <w:rPr>
                <w:rFonts w:ascii="Times New Roman" w:hAnsi="Times New Roman"/>
                <w:sz w:val="21"/>
              </w:rPr>
            </w:pPr>
            <w:r>
              <w:rPr>
                <w:rFonts w:ascii="Times New Roman" w:hAnsi="Times New Roman"/>
                <w:sz w:val="21"/>
              </w:rPr>
              <w:t>总体评价</w:t>
            </w:r>
          </w:p>
        </w:tc>
        <w:tc>
          <w:tcPr>
            <w:tcW w:w="1569" w:type="pct"/>
            <w:vAlign w:val="center"/>
          </w:tcPr>
          <w:p>
            <w:pPr>
              <w:pStyle w:val="16"/>
              <w:spacing w:line="400" w:lineRule="exact"/>
              <w:rPr>
                <w:rFonts w:ascii="Times New Roman" w:hAnsi="Times New Roman"/>
                <w:sz w:val="21"/>
              </w:rPr>
            </w:pPr>
            <w:r>
              <w:rPr>
                <w:rFonts w:ascii="Times New Roman" w:hAnsi="Times New Roman"/>
                <w:sz w:val="21"/>
              </w:rPr>
              <w:t>规划面积</w:t>
            </w:r>
            <w:r>
              <w:rPr>
                <w:rFonts w:hint="eastAsia" w:ascii="Times New Roman" w:hAnsi="Times New Roman"/>
                <w:sz w:val="21"/>
              </w:rPr>
              <w:t>51</w:t>
            </w:r>
            <w:r>
              <w:rPr>
                <w:rFonts w:ascii="Times New Roman" w:hAnsi="Times New Roman"/>
                <w:sz w:val="21"/>
              </w:rPr>
              <w:t>平方公里</w:t>
            </w:r>
          </w:p>
        </w:tc>
        <w:tc>
          <w:tcPr>
            <w:tcW w:w="1317" w:type="pct"/>
            <w:vAlign w:val="center"/>
          </w:tcPr>
          <w:p>
            <w:pPr>
              <w:pStyle w:val="16"/>
              <w:spacing w:line="400" w:lineRule="exact"/>
              <w:rPr>
                <w:rFonts w:ascii="Times New Roman" w:hAnsi="Times New Roman"/>
                <w:sz w:val="21"/>
              </w:rPr>
            </w:pPr>
            <w:r>
              <w:rPr>
                <w:rFonts w:ascii="Times New Roman" w:hAnsi="Times New Roman"/>
                <w:sz w:val="21"/>
              </w:rPr>
              <w:t>规划面积</w:t>
            </w:r>
            <w:r>
              <w:rPr>
                <w:rFonts w:hint="eastAsia" w:ascii="Times New Roman" w:hAnsi="Times New Roman"/>
                <w:sz w:val="21"/>
              </w:rPr>
              <w:t>51</w:t>
            </w:r>
            <w:r>
              <w:rPr>
                <w:rFonts w:ascii="Times New Roman" w:hAnsi="Times New Roman"/>
                <w:sz w:val="21"/>
              </w:rPr>
              <w:t>平方公里</w:t>
            </w:r>
          </w:p>
        </w:tc>
        <w:tc>
          <w:tcPr>
            <w:tcW w:w="1086" w:type="pct"/>
            <w:vAlign w:val="center"/>
          </w:tcPr>
          <w:p>
            <w:pPr>
              <w:pStyle w:val="16"/>
              <w:spacing w:line="400" w:lineRule="exact"/>
              <w:rPr>
                <w:rFonts w:ascii="Times New Roman" w:hAnsi="Times New Roman"/>
                <w:sz w:val="21"/>
              </w:rPr>
            </w:pPr>
            <w:r>
              <w:rPr>
                <w:rFonts w:ascii="Times New Roman" w:hAnsi="Times New Roman"/>
                <w:sz w:val="21"/>
              </w:rPr>
              <w:t>同上一轮规划环评</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311" w:type="pct"/>
            <w:vMerge w:val="restart"/>
            <w:vAlign w:val="center"/>
          </w:tcPr>
          <w:p>
            <w:pPr>
              <w:pStyle w:val="16"/>
              <w:spacing w:line="400" w:lineRule="exact"/>
              <w:rPr>
                <w:rFonts w:ascii="Times New Roman" w:hAnsi="Times New Roman"/>
                <w:sz w:val="21"/>
              </w:rPr>
            </w:pPr>
            <w:r>
              <w:rPr>
                <w:rFonts w:ascii="Times New Roman" w:hAnsi="Times New Roman"/>
                <w:sz w:val="21"/>
              </w:rPr>
              <w:t>环境要素</w:t>
            </w:r>
          </w:p>
        </w:tc>
        <w:tc>
          <w:tcPr>
            <w:tcW w:w="715" w:type="pct"/>
            <w:vAlign w:val="center"/>
          </w:tcPr>
          <w:p>
            <w:pPr>
              <w:pStyle w:val="16"/>
              <w:spacing w:line="400" w:lineRule="exact"/>
              <w:rPr>
                <w:rFonts w:ascii="Times New Roman" w:hAnsi="Times New Roman"/>
                <w:sz w:val="21"/>
              </w:rPr>
            </w:pPr>
            <w:r>
              <w:rPr>
                <w:rFonts w:ascii="Times New Roman" w:hAnsi="Times New Roman"/>
                <w:sz w:val="21"/>
              </w:rPr>
              <w:t>地表水环境</w:t>
            </w:r>
          </w:p>
        </w:tc>
        <w:tc>
          <w:tcPr>
            <w:tcW w:w="1569" w:type="pct"/>
            <w:vAlign w:val="center"/>
          </w:tcPr>
          <w:p>
            <w:pPr>
              <w:pStyle w:val="16"/>
              <w:spacing w:line="400" w:lineRule="exact"/>
              <w:rPr>
                <w:rFonts w:ascii="Times New Roman" w:hAnsi="Times New Roman"/>
                <w:sz w:val="21"/>
              </w:rPr>
            </w:pPr>
            <w:r>
              <w:rPr>
                <w:sz w:val="21"/>
              </w:rPr>
              <w:t>浑河在</w:t>
            </w:r>
            <w:r>
              <w:rPr>
                <w:color w:val="FF0000"/>
                <w:sz w:val="21"/>
              </w:rPr>
              <w:t>杨官河</w:t>
            </w:r>
            <w:r>
              <w:rPr>
                <w:sz w:val="21"/>
              </w:rPr>
              <w:t>汇入口至南林子断面作为评价范围，长度约为</w:t>
            </w:r>
            <w:r>
              <w:rPr>
                <w:rFonts w:ascii="Times New Roman" w:eastAsia="Times New Roman"/>
                <w:sz w:val="21"/>
              </w:rPr>
              <w:t>69.74km</w:t>
            </w:r>
          </w:p>
        </w:tc>
        <w:tc>
          <w:tcPr>
            <w:tcW w:w="1317" w:type="pct"/>
            <w:vAlign w:val="center"/>
          </w:tcPr>
          <w:p>
            <w:pPr>
              <w:pStyle w:val="16"/>
              <w:spacing w:line="400" w:lineRule="exact"/>
              <w:rPr>
                <w:rFonts w:ascii="Times New Roman" w:hAnsi="Times New Roman"/>
                <w:sz w:val="21"/>
              </w:rPr>
            </w:pPr>
            <w:r>
              <w:rPr>
                <w:sz w:val="21"/>
              </w:rPr>
              <w:t>浑河在</w:t>
            </w:r>
            <w:r>
              <w:rPr>
                <w:color w:val="FF0000"/>
                <w:sz w:val="21"/>
              </w:rPr>
              <w:t>杨官河</w:t>
            </w:r>
            <w:r>
              <w:rPr>
                <w:sz w:val="21"/>
              </w:rPr>
              <w:t>汇入口至南林子断面作为评价范围，长度约为</w:t>
            </w:r>
            <w:r>
              <w:rPr>
                <w:rFonts w:ascii="Times New Roman" w:eastAsia="Times New Roman"/>
                <w:sz w:val="21"/>
              </w:rPr>
              <w:t>69.74km</w:t>
            </w:r>
          </w:p>
        </w:tc>
        <w:tc>
          <w:tcPr>
            <w:tcW w:w="1086" w:type="pct"/>
            <w:vAlign w:val="center"/>
          </w:tcPr>
          <w:p>
            <w:pPr>
              <w:pStyle w:val="16"/>
              <w:spacing w:line="400" w:lineRule="exact"/>
              <w:rPr>
                <w:rFonts w:ascii="Times New Roman" w:hAnsi="Times New Roman"/>
                <w:sz w:val="21"/>
              </w:rPr>
            </w:pPr>
            <w:r>
              <w:rPr>
                <w:rFonts w:ascii="Times New Roman" w:hAnsi="Times New Roman"/>
                <w:sz w:val="21"/>
              </w:rPr>
              <w:t>同上一轮规划环评</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311" w:type="pct"/>
            <w:vMerge w:val="continue"/>
            <w:vAlign w:val="center"/>
          </w:tcPr>
          <w:p>
            <w:pPr>
              <w:pStyle w:val="16"/>
              <w:spacing w:line="400" w:lineRule="exact"/>
              <w:rPr>
                <w:rFonts w:ascii="Times New Roman" w:hAnsi="Times New Roman"/>
                <w:sz w:val="21"/>
              </w:rPr>
            </w:pPr>
          </w:p>
        </w:tc>
        <w:tc>
          <w:tcPr>
            <w:tcW w:w="715" w:type="pct"/>
            <w:vAlign w:val="center"/>
          </w:tcPr>
          <w:p>
            <w:pPr>
              <w:pStyle w:val="16"/>
              <w:spacing w:line="400" w:lineRule="exact"/>
              <w:rPr>
                <w:rFonts w:ascii="Times New Roman" w:hAnsi="Times New Roman"/>
                <w:sz w:val="21"/>
              </w:rPr>
            </w:pPr>
            <w:r>
              <w:rPr>
                <w:rFonts w:ascii="Times New Roman" w:hAnsi="Times New Roman"/>
                <w:sz w:val="21"/>
              </w:rPr>
              <w:t>地下水环境</w:t>
            </w:r>
          </w:p>
        </w:tc>
        <w:tc>
          <w:tcPr>
            <w:tcW w:w="1569" w:type="pct"/>
            <w:vAlign w:val="center"/>
          </w:tcPr>
          <w:p>
            <w:pPr>
              <w:pStyle w:val="16"/>
              <w:spacing w:line="400" w:lineRule="exact"/>
              <w:rPr>
                <w:rFonts w:ascii="Times New Roman" w:hAnsi="Times New Roman"/>
                <w:sz w:val="21"/>
              </w:rPr>
            </w:pPr>
            <w:r>
              <w:rPr>
                <w:rFonts w:ascii="Times New Roman" w:hAnsi="Times New Roman"/>
                <w:sz w:val="21"/>
              </w:rPr>
              <w:t>规划区域</w:t>
            </w:r>
          </w:p>
        </w:tc>
        <w:tc>
          <w:tcPr>
            <w:tcW w:w="1317" w:type="pct"/>
            <w:vAlign w:val="center"/>
          </w:tcPr>
          <w:p>
            <w:pPr>
              <w:pStyle w:val="16"/>
              <w:spacing w:line="400" w:lineRule="exact"/>
              <w:rPr>
                <w:rFonts w:ascii="Times New Roman" w:hAnsi="Times New Roman"/>
                <w:sz w:val="21"/>
              </w:rPr>
            </w:pPr>
            <w:r>
              <w:rPr>
                <w:rFonts w:ascii="Times New Roman" w:hAnsi="Times New Roman"/>
                <w:sz w:val="21"/>
              </w:rPr>
              <w:t>规划区域所在的水文地质单元，重点是区内具有饮用功能的含水层</w:t>
            </w:r>
          </w:p>
        </w:tc>
        <w:tc>
          <w:tcPr>
            <w:tcW w:w="1086" w:type="pct"/>
            <w:vAlign w:val="center"/>
          </w:tcPr>
          <w:p>
            <w:pPr>
              <w:pStyle w:val="16"/>
              <w:spacing w:line="400" w:lineRule="exact"/>
              <w:rPr>
                <w:rFonts w:ascii="Times New Roman" w:hAnsi="Times New Roman"/>
                <w:sz w:val="21"/>
              </w:rPr>
            </w:pPr>
            <w:r>
              <w:rPr>
                <w:rFonts w:ascii="Times New Roman" w:hAnsi="Times New Roman"/>
                <w:sz w:val="21"/>
              </w:rPr>
              <w:t>同上一轮规划环评</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311" w:type="pct"/>
            <w:vMerge w:val="continue"/>
            <w:vAlign w:val="center"/>
          </w:tcPr>
          <w:p>
            <w:pPr>
              <w:pStyle w:val="16"/>
              <w:spacing w:line="400" w:lineRule="exact"/>
              <w:rPr>
                <w:rFonts w:ascii="Times New Roman" w:hAnsi="Times New Roman"/>
                <w:sz w:val="21"/>
              </w:rPr>
            </w:pPr>
          </w:p>
        </w:tc>
        <w:tc>
          <w:tcPr>
            <w:tcW w:w="715" w:type="pct"/>
            <w:vAlign w:val="center"/>
          </w:tcPr>
          <w:p>
            <w:pPr>
              <w:pStyle w:val="16"/>
              <w:spacing w:line="400" w:lineRule="exact"/>
              <w:rPr>
                <w:rFonts w:ascii="Times New Roman" w:hAnsi="Times New Roman"/>
                <w:sz w:val="21"/>
              </w:rPr>
            </w:pPr>
            <w:r>
              <w:rPr>
                <w:rFonts w:ascii="Times New Roman" w:hAnsi="Times New Roman"/>
                <w:sz w:val="21"/>
              </w:rPr>
              <w:t>环境空气</w:t>
            </w:r>
          </w:p>
        </w:tc>
        <w:tc>
          <w:tcPr>
            <w:tcW w:w="1569" w:type="pct"/>
            <w:vAlign w:val="center"/>
          </w:tcPr>
          <w:p>
            <w:pPr>
              <w:pStyle w:val="16"/>
              <w:spacing w:line="400" w:lineRule="exact"/>
              <w:rPr>
                <w:rFonts w:ascii="Times New Roman" w:hAnsi="Times New Roman"/>
                <w:sz w:val="21"/>
              </w:rPr>
            </w:pPr>
            <w:r>
              <w:rPr>
                <w:rFonts w:hint="eastAsia" w:ascii="Times New Roman" w:hAnsi="Times New Roman"/>
                <w:sz w:val="21"/>
              </w:rPr>
              <w:t>以规划区域为中心，东西、南北长20km的矩形区域</w:t>
            </w:r>
          </w:p>
        </w:tc>
        <w:tc>
          <w:tcPr>
            <w:tcW w:w="1317" w:type="pct"/>
            <w:vAlign w:val="center"/>
          </w:tcPr>
          <w:p>
            <w:pPr>
              <w:pStyle w:val="16"/>
              <w:spacing w:line="400" w:lineRule="exact"/>
              <w:rPr>
                <w:rFonts w:ascii="Times New Roman" w:hAnsi="Times New Roman"/>
                <w:sz w:val="21"/>
              </w:rPr>
            </w:pPr>
            <w:r>
              <w:rPr>
                <w:rFonts w:hint="eastAsia" w:ascii="Times New Roman" w:hAnsi="Times New Roman"/>
                <w:sz w:val="21"/>
              </w:rPr>
              <w:t>以规划区域为中心，东西、南北长20km的矩形区域</w:t>
            </w:r>
          </w:p>
        </w:tc>
        <w:tc>
          <w:tcPr>
            <w:tcW w:w="1086" w:type="pct"/>
            <w:vAlign w:val="center"/>
          </w:tcPr>
          <w:p>
            <w:pPr>
              <w:pStyle w:val="16"/>
              <w:spacing w:line="400" w:lineRule="exact"/>
              <w:rPr>
                <w:rFonts w:ascii="Times New Roman" w:hAnsi="Times New Roman"/>
                <w:sz w:val="21"/>
              </w:rPr>
            </w:pPr>
            <w:r>
              <w:rPr>
                <w:rFonts w:ascii="Times New Roman" w:hAnsi="Times New Roman"/>
                <w:sz w:val="21"/>
              </w:rPr>
              <w:t>同上一轮规划环评</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311" w:type="pct"/>
            <w:vMerge w:val="continue"/>
            <w:vAlign w:val="center"/>
          </w:tcPr>
          <w:p>
            <w:pPr>
              <w:pStyle w:val="16"/>
              <w:spacing w:line="400" w:lineRule="exact"/>
              <w:rPr>
                <w:rFonts w:ascii="Times New Roman" w:hAnsi="Times New Roman"/>
                <w:sz w:val="21"/>
              </w:rPr>
            </w:pPr>
          </w:p>
        </w:tc>
        <w:tc>
          <w:tcPr>
            <w:tcW w:w="715" w:type="pct"/>
            <w:vAlign w:val="center"/>
          </w:tcPr>
          <w:p>
            <w:pPr>
              <w:pStyle w:val="16"/>
              <w:spacing w:line="400" w:lineRule="exact"/>
              <w:rPr>
                <w:rFonts w:ascii="Times New Roman" w:hAnsi="Times New Roman"/>
                <w:sz w:val="21"/>
              </w:rPr>
            </w:pPr>
            <w:r>
              <w:rPr>
                <w:rFonts w:ascii="Times New Roman" w:hAnsi="Times New Roman"/>
                <w:sz w:val="21"/>
              </w:rPr>
              <w:t>土壤环境</w:t>
            </w:r>
          </w:p>
        </w:tc>
        <w:tc>
          <w:tcPr>
            <w:tcW w:w="1569" w:type="pct"/>
            <w:vAlign w:val="center"/>
          </w:tcPr>
          <w:p>
            <w:pPr>
              <w:pStyle w:val="16"/>
              <w:spacing w:line="400" w:lineRule="exact"/>
              <w:rPr>
                <w:rFonts w:ascii="Times New Roman" w:hAnsi="Times New Roman"/>
                <w:sz w:val="21"/>
              </w:rPr>
            </w:pPr>
            <w:r>
              <w:rPr>
                <w:rFonts w:hint="eastAsia" w:ascii="Times New Roman" w:hAnsi="Times New Roman"/>
                <w:sz w:val="21"/>
              </w:rPr>
              <w:t>规划区域周边农田</w:t>
            </w:r>
          </w:p>
        </w:tc>
        <w:tc>
          <w:tcPr>
            <w:tcW w:w="1317" w:type="pct"/>
            <w:vAlign w:val="center"/>
          </w:tcPr>
          <w:p>
            <w:pPr>
              <w:pStyle w:val="16"/>
              <w:spacing w:line="400" w:lineRule="exact"/>
              <w:rPr>
                <w:rFonts w:ascii="Times New Roman" w:hAnsi="Times New Roman"/>
                <w:sz w:val="21"/>
              </w:rPr>
            </w:pPr>
            <w:r>
              <w:rPr>
                <w:rFonts w:ascii="Times New Roman" w:hAnsi="Times New Roman"/>
                <w:sz w:val="21"/>
              </w:rPr>
              <w:t>规划区域及周边</w:t>
            </w:r>
          </w:p>
        </w:tc>
        <w:tc>
          <w:tcPr>
            <w:tcW w:w="1086"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311" w:type="pct"/>
            <w:vMerge w:val="continue"/>
            <w:vAlign w:val="center"/>
          </w:tcPr>
          <w:p>
            <w:pPr>
              <w:pStyle w:val="16"/>
              <w:spacing w:line="400" w:lineRule="exact"/>
              <w:rPr>
                <w:rFonts w:ascii="Times New Roman" w:hAnsi="Times New Roman"/>
                <w:sz w:val="21"/>
              </w:rPr>
            </w:pPr>
          </w:p>
        </w:tc>
        <w:tc>
          <w:tcPr>
            <w:tcW w:w="715" w:type="pct"/>
            <w:vAlign w:val="center"/>
          </w:tcPr>
          <w:p>
            <w:pPr>
              <w:pStyle w:val="16"/>
              <w:spacing w:line="400" w:lineRule="exact"/>
              <w:rPr>
                <w:rFonts w:ascii="Times New Roman" w:hAnsi="Times New Roman"/>
                <w:sz w:val="21"/>
              </w:rPr>
            </w:pPr>
            <w:r>
              <w:rPr>
                <w:rFonts w:ascii="Times New Roman" w:hAnsi="Times New Roman"/>
                <w:sz w:val="21"/>
              </w:rPr>
              <w:t>声环境</w:t>
            </w:r>
          </w:p>
        </w:tc>
        <w:tc>
          <w:tcPr>
            <w:tcW w:w="1569" w:type="pct"/>
            <w:vAlign w:val="center"/>
          </w:tcPr>
          <w:p>
            <w:pPr>
              <w:pStyle w:val="16"/>
              <w:spacing w:line="400" w:lineRule="exact"/>
              <w:rPr>
                <w:rFonts w:ascii="Times New Roman" w:hAnsi="Times New Roman"/>
                <w:sz w:val="21"/>
              </w:rPr>
            </w:pPr>
            <w:r>
              <w:rPr>
                <w:rFonts w:ascii="Times New Roman" w:hAnsi="Times New Roman"/>
                <w:sz w:val="21"/>
              </w:rPr>
              <w:t>规划用地范围</w:t>
            </w:r>
          </w:p>
        </w:tc>
        <w:tc>
          <w:tcPr>
            <w:tcW w:w="1317" w:type="pct"/>
            <w:vAlign w:val="center"/>
          </w:tcPr>
          <w:p>
            <w:pPr>
              <w:pStyle w:val="16"/>
              <w:spacing w:line="400" w:lineRule="exact"/>
              <w:rPr>
                <w:rFonts w:ascii="Times New Roman" w:hAnsi="Times New Roman"/>
                <w:sz w:val="21"/>
              </w:rPr>
            </w:pPr>
            <w:r>
              <w:rPr>
                <w:rFonts w:ascii="Times New Roman" w:hAnsi="Times New Roman"/>
                <w:sz w:val="21"/>
              </w:rPr>
              <w:t>规划区及周边200m以内的主要居民区</w:t>
            </w:r>
          </w:p>
        </w:tc>
        <w:tc>
          <w:tcPr>
            <w:tcW w:w="1086" w:type="pct"/>
            <w:vAlign w:val="center"/>
          </w:tcPr>
          <w:p>
            <w:pPr>
              <w:pStyle w:val="16"/>
              <w:spacing w:line="400" w:lineRule="exact"/>
              <w:rPr>
                <w:rFonts w:ascii="Times New Roman" w:hAnsi="Times New Roman"/>
                <w:sz w:val="21"/>
              </w:rPr>
            </w:pPr>
            <w:r>
              <w:rPr>
                <w:rFonts w:ascii="Times New Roman" w:hAnsi="Times New Roman"/>
                <w:sz w:val="21"/>
              </w:rPr>
              <w:t xml:space="preserve">同上一轮规划环评 </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311" w:type="pct"/>
            <w:vMerge w:val="continue"/>
            <w:vAlign w:val="center"/>
          </w:tcPr>
          <w:p>
            <w:pPr>
              <w:pStyle w:val="16"/>
              <w:spacing w:line="400" w:lineRule="exact"/>
              <w:rPr>
                <w:rFonts w:ascii="Times New Roman" w:hAnsi="Times New Roman"/>
                <w:sz w:val="21"/>
              </w:rPr>
            </w:pPr>
          </w:p>
        </w:tc>
        <w:tc>
          <w:tcPr>
            <w:tcW w:w="715" w:type="pct"/>
            <w:vAlign w:val="center"/>
          </w:tcPr>
          <w:p>
            <w:pPr>
              <w:pStyle w:val="16"/>
              <w:spacing w:line="400" w:lineRule="exact"/>
              <w:rPr>
                <w:rFonts w:ascii="Times New Roman" w:hAnsi="Times New Roman"/>
                <w:sz w:val="21"/>
              </w:rPr>
            </w:pPr>
            <w:r>
              <w:rPr>
                <w:rFonts w:ascii="Times New Roman" w:hAnsi="Times New Roman"/>
                <w:sz w:val="21"/>
              </w:rPr>
              <w:t>固体废物</w:t>
            </w:r>
          </w:p>
        </w:tc>
        <w:tc>
          <w:tcPr>
            <w:tcW w:w="1569" w:type="pct"/>
            <w:vAlign w:val="center"/>
          </w:tcPr>
          <w:p>
            <w:pPr>
              <w:pStyle w:val="16"/>
              <w:spacing w:line="400" w:lineRule="exact"/>
              <w:rPr>
                <w:rFonts w:ascii="Times New Roman" w:hAnsi="Times New Roman"/>
                <w:sz w:val="21"/>
              </w:rPr>
            </w:pPr>
            <w:r>
              <w:rPr>
                <w:rFonts w:ascii="Times New Roman" w:hAnsi="Times New Roman"/>
                <w:sz w:val="21"/>
              </w:rPr>
              <w:t>规划区域</w:t>
            </w:r>
          </w:p>
        </w:tc>
        <w:tc>
          <w:tcPr>
            <w:tcW w:w="1317" w:type="pct"/>
            <w:vAlign w:val="center"/>
          </w:tcPr>
          <w:p>
            <w:pPr>
              <w:pStyle w:val="16"/>
              <w:spacing w:line="400" w:lineRule="exact"/>
              <w:rPr>
                <w:rFonts w:ascii="Times New Roman" w:hAnsi="Times New Roman"/>
                <w:sz w:val="21"/>
              </w:rPr>
            </w:pPr>
            <w:r>
              <w:rPr>
                <w:rFonts w:ascii="Times New Roman" w:hAnsi="Times New Roman"/>
                <w:sz w:val="21"/>
              </w:rPr>
              <w:t>重点考虑工业固废的循环利用及危险固体废物的安全处置，同时考虑一般生活垃圾</w:t>
            </w:r>
          </w:p>
        </w:tc>
        <w:tc>
          <w:tcPr>
            <w:tcW w:w="1086" w:type="pct"/>
            <w:vAlign w:val="center"/>
          </w:tcPr>
          <w:p>
            <w:pPr>
              <w:pStyle w:val="16"/>
              <w:spacing w:line="400" w:lineRule="exact"/>
              <w:rPr>
                <w:rFonts w:ascii="Times New Roman" w:hAnsi="Times New Roman"/>
                <w:sz w:val="21"/>
              </w:rPr>
            </w:pPr>
            <w:r>
              <w:rPr>
                <w:rFonts w:ascii="Times New Roman" w:hAnsi="Times New Roman"/>
                <w:sz w:val="21"/>
              </w:rPr>
              <w:t>同上一轮规划环评</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311" w:type="pct"/>
            <w:vMerge w:val="continue"/>
            <w:vAlign w:val="center"/>
          </w:tcPr>
          <w:p>
            <w:pPr>
              <w:pStyle w:val="16"/>
              <w:spacing w:line="400" w:lineRule="exact"/>
              <w:rPr>
                <w:rFonts w:ascii="Times New Roman" w:hAnsi="Times New Roman"/>
                <w:sz w:val="21"/>
              </w:rPr>
            </w:pPr>
          </w:p>
        </w:tc>
        <w:tc>
          <w:tcPr>
            <w:tcW w:w="715" w:type="pct"/>
            <w:vAlign w:val="center"/>
          </w:tcPr>
          <w:p>
            <w:pPr>
              <w:pStyle w:val="16"/>
              <w:spacing w:line="400" w:lineRule="exact"/>
              <w:rPr>
                <w:rFonts w:ascii="Times New Roman" w:hAnsi="Times New Roman"/>
                <w:sz w:val="21"/>
              </w:rPr>
            </w:pPr>
            <w:r>
              <w:rPr>
                <w:rFonts w:ascii="Times New Roman" w:hAnsi="Times New Roman"/>
                <w:sz w:val="21"/>
              </w:rPr>
              <w:t>生态环境</w:t>
            </w:r>
          </w:p>
        </w:tc>
        <w:tc>
          <w:tcPr>
            <w:tcW w:w="1569" w:type="pct"/>
            <w:vAlign w:val="center"/>
          </w:tcPr>
          <w:p>
            <w:pPr>
              <w:pStyle w:val="16"/>
              <w:spacing w:line="400" w:lineRule="exact"/>
              <w:rPr>
                <w:rFonts w:ascii="Times New Roman" w:hAnsi="Times New Roman"/>
                <w:sz w:val="21"/>
              </w:rPr>
            </w:pPr>
            <w:r>
              <w:rPr>
                <w:rFonts w:ascii="Times New Roman" w:hAnsi="Times New Roman"/>
                <w:sz w:val="21"/>
              </w:rPr>
              <w:t>规划51km</w:t>
            </w:r>
            <w:r>
              <w:rPr>
                <w:rFonts w:ascii="Times New Roman" w:hAnsi="Times New Roman"/>
                <w:sz w:val="21"/>
                <w:vertAlign w:val="superscript"/>
              </w:rPr>
              <w:t>2</w:t>
            </w:r>
            <w:r>
              <w:rPr>
                <w:rFonts w:ascii="Times New Roman" w:hAnsi="Times New Roman"/>
                <w:sz w:val="21"/>
              </w:rPr>
              <w:t>的陆域面积</w:t>
            </w:r>
          </w:p>
        </w:tc>
        <w:tc>
          <w:tcPr>
            <w:tcW w:w="1317" w:type="pct"/>
            <w:vAlign w:val="center"/>
          </w:tcPr>
          <w:p>
            <w:pPr>
              <w:pStyle w:val="16"/>
              <w:spacing w:line="400" w:lineRule="exact"/>
              <w:rPr>
                <w:rFonts w:ascii="Times New Roman" w:hAnsi="Times New Roman"/>
                <w:sz w:val="21"/>
              </w:rPr>
            </w:pPr>
            <w:r>
              <w:rPr>
                <w:rFonts w:ascii="Times New Roman" w:hAnsi="Times New Roman"/>
                <w:sz w:val="21"/>
              </w:rPr>
              <w:t>规划51km</w:t>
            </w:r>
            <w:r>
              <w:rPr>
                <w:rFonts w:ascii="Times New Roman" w:hAnsi="Times New Roman"/>
                <w:sz w:val="21"/>
                <w:vertAlign w:val="superscript"/>
              </w:rPr>
              <w:t>2</w:t>
            </w:r>
            <w:r>
              <w:rPr>
                <w:rFonts w:ascii="Times New Roman" w:hAnsi="Times New Roman"/>
                <w:sz w:val="21"/>
              </w:rPr>
              <w:t>的陆域面积</w:t>
            </w:r>
          </w:p>
        </w:tc>
        <w:tc>
          <w:tcPr>
            <w:tcW w:w="1086" w:type="pct"/>
            <w:vAlign w:val="center"/>
          </w:tcPr>
          <w:p>
            <w:pPr>
              <w:pStyle w:val="16"/>
              <w:spacing w:line="400" w:lineRule="exact"/>
              <w:rPr>
                <w:rFonts w:ascii="Times New Roman" w:hAnsi="Times New Roman"/>
                <w:sz w:val="21"/>
              </w:rPr>
            </w:pPr>
            <w:r>
              <w:rPr>
                <w:rFonts w:ascii="Times New Roman" w:hAnsi="Times New Roman"/>
                <w:sz w:val="21"/>
              </w:rPr>
              <w:t>同上一轮规划环评</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311" w:type="pct"/>
            <w:vMerge w:val="continue"/>
            <w:vAlign w:val="center"/>
          </w:tcPr>
          <w:p>
            <w:pPr>
              <w:pStyle w:val="16"/>
              <w:spacing w:line="400" w:lineRule="exact"/>
              <w:rPr>
                <w:rFonts w:ascii="Times New Roman" w:hAnsi="Times New Roman"/>
                <w:sz w:val="21"/>
              </w:rPr>
            </w:pPr>
          </w:p>
        </w:tc>
        <w:tc>
          <w:tcPr>
            <w:tcW w:w="715" w:type="pct"/>
            <w:vAlign w:val="center"/>
          </w:tcPr>
          <w:p>
            <w:pPr>
              <w:pStyle w:val="16"/>
              <w:spacing w:line="400" w:lineRule="exact"/>
              <w:rPr>
                <w:rFonts w:ascii="Times New Roman" w:hAnsi="Times New Roman"/>
                <w:sz w:val="21"/>
              </w:rPr>
            </w:pPr>
            <w:r>
              <w:rPr>
                <w:rFonts w:ascii="Times New Roman" w:hAnsi="Times New Roman"/>
                <w:sz w:val="21"/>
              </w:rPr>
              <w:t>环境风险</w:t>
            </w:r>
          </w:p>
        </w:tc>
        <w:tc>
          <w:tcPr>
            <w:tcW w:w="1569" w:type="pct"/>
            <w:vAlign w:val="center"/>
          </w:tcPr>
          <w:p>
            <w:pPr>
              <w:pStyle w:val="16"/>
              <w:spacing w:line="400" w:lineRule="exact"/>
              <w:rPr>
                <w:rFonts w:ascii="Times New Roman" w:hAnsi="Times New Roman"/>
                <w:sz w:val="21"/>
              </w:rPr>
            </w:pPr>
            <w:r>
              <w:rPr>
                <w:rFonts w:ascii="Times New Roman" w:hAnsi="Times New Roman"/>
                <w:sz w:val="21"/>
              </w:rPr>
              <w:t>/</w:t>
            </w:r>
          </w:p>
        </w:tc>
        <w:tc>
          <w:tcPr>
            <w:tcW w:w="1317" w:type="pct"/>
            <w:vAlign w:val="center"/>
          </w:tcPr>
          <w:p>
            <w:pPr>
              <w:pStyle w:val="16"/>
              <w:spacing w:line="400" w:lineRule="exact"/>
              <w:rPr>
                <w:rFonts w:ascii="Times New Roman" w:hAnsi="Times New Roman"/>
                <w:sz w:val="21"/>
              </w:rPr>
            </w:pPr>
            <w:r>
              <w:rPr>
                <w:rFonts w:hint="eastAsia" w:ascii="Times New Roman" w:hAnsi="Times New Roman"/>
                <w:sz w:val="21"/>
              </w:rPr>
              <w:t>国际新兴产业园区</w:t>
            </w:r>
            <w:r>
              <w:rPr>
                <w:rFonts w:ascii="Times New Roman" w:hAnsi="Times New Roman"/>
                <w:sz w:val="21"/>
              </w:rPr>
              <w:t>和邻近地域</w:t>
            </w:r>
          </w:p>
        </w:tc>
        <w:tc>
          <w:tcPr>
            <w:tcW w:w="1086" w:type="pct"/>
            <w:vAlign w:val="center"/>
          </w:tcPr>
          <w:p>
            <w:pPr>
              <w:pStyle w:val="16"/>
              <w:spacing w:line="400" w:lineRule="exact"/>
              <w:rPr>
                <w:rFonts w:ascii="Times New Roman" w:hAnsi="Times New Roman"/>
                <w:sz w:val="21"/>
              </w:rPr>
            </w:pPr>
            <w:r>
              <w:rPr>
                <w:rFonts w:ascii="Times New Roman" w:hAnsi="Times New Roman"/>
                <w:sz w:val="21"/>
              </w:rPr>
              <w:t>/</w:t>
            </w:r>
          </w:p>
        </w:tc>
      </w:tr>
    </w:tbl>
    <w:p>
      <w:pPr>
        <w:spacing w:before="12"/>
        <w:ind w:firstLine="40"/>
        <w:rPr>
          <w:rFonts w:eastAsia="黑体" w:cs="Times New Roman"/>
          <w:b/>
          <w:bCs/>
          <w:sz w:val="2"/>
          <w:szCs w:val="2"/>
          <w:lang w:eastAsia="zh-CN"/>
        </w:rPr>
      </w:pPr>
    </w:p>
    <w:p>
      <w:pPr>
        <w:pStyle w:val="9"/>
        <w:rPr>
          <w:rFonts w:ascii="Times New Roman" w:hAnsi="Times New Roman"/>
          <w:spacing w:val="-1"/>
        </w:rPr>
      </w:pPr>
      <w:bookmarkStart w:id="47" w:name="_Toc13107"/>
      <w:r>
        <w:rPr>
          <w:rFonts w:ascii="Times New Roman" w:hAnsi="Times New Roman"/>
          <w:spacing w:val="-1"/>
        </w:rPr>
        <w:t>1.5.2 跟踪评价重点</w:t>
      </w:r>
      <w:bookmarkEnd w:id="47"/>
    </w:p>
    <w:p>
      <w:pPr>
        <w:ind w:firstLine="480"/>
        <w:rPr>
          <w:rFonts w:cs="Times New Roman"/>
          <w:lang w:eastAsia="zh-CN"/>
        </w:rPr>
      </w:pPr>
      <w:r>
        <w:rPr>
          <w:rFonts w:cs="Times New Roman"/>
          <w:lang w:eastAsia="zh-CN"/>
        </w:rPr>
        <w:t>根据</w:t>
      </w:r>
      <w:r>
        <w:rPr>
          <w:rFonts w:hint="eastAsia" w:cs="Times New Roman"/>
          <w:lang w:eastAsia="zh-CN"/>
        </w:rPr>
        <w:t>国际新兴产业园区</w:t>
      </w:r>
      <w:r>
        <w:rPr>
          <w:rFonts w:cs="Times New Roman"/>
          <w:lang w:eastAsia="zh-CN"/>
        </w:rPr>
        <w:t>发展特点，结合《</w:t>
      </w:r>
      <w:r>
        <w:rPr>
          <w:rFonts w:hint="eastAsia" w:cs="Times New Roman"/>
          <w:lang w:eastAsia="zh-CN"/>
        </w:rPr>
        <w:t>浑南国际新兴产业园区总体发展规划</w:t>
      </w:r>
      <w:r>
        <w:rPr>
          <w:rFonts w:cs="Times New Roman"/>
          <w:lang w:eastAsia="zh-CN"/>
        </w:rPr>
        <w:t>环境影响报告书的审查意见》及周边地区环境特点，分析落实执行情况；对照新的环保要求、产业政策分析是否相符；对照原环境质量现状及预测结论，结合环境质量情况，分析</w:t>
      </w:r>
      <w:r>
        <w:rPr>
          <w:rFonts w:hint="eastAsia" w:cs="Times New Roman"/>
          <w:lang w:eastAsia="zh-CN"/>
        </w:rPr>
        <w:t>国际新兴产业园区</w:t>
      </w:r>
      <w:r>
        <w:rPr>
          <w:rFonts w:cs="Times New Roman"/>
          <w:lang w:eastAsia="zh-CN"/>
        </w:rPr>
        <w:t>开发对环境的影响程度；根据存在的主要问题及制约因素，提出整改要求、今后发展建议。</w:t>
      </w:r>
    </w:p>
    <w:p>
      <w:pPr>
        <w:ind w:firstLine="480"/>
        <w:rPr>
          <w:rFonts w:cs="Times New Roman"/>
          <w:lang w:eastAsia="zh-CN"/>
        </w:rPr>
      </w:pPr>
      <w:r>
        <w:rPr>
          <w:rFonts w:cs="Times New Roman"/>
          <w:lang w:eastAsia="zh-CN"/>
        </w:rPr>
        <w:t>根据现场调查，本次踪评价重点确定为：</w:t>
      </w:r>
    </w:p>
    <w:p>
      <w:pPr>
        <w:ind w:firstLine="480"/>
        <w:rPr>
          <w:rFonts w:cs="Times New Roman"/>
          <w:lang w:eastAsia="zh-CN"/>
        </w:rPr>
      </w:pPr>
      <w:r>
        <w:rPr>
          <w:rFonts w:cs="Times New Roman"/>
          <w:lang w:eastAsia="zh-CN"/>
        </w:rPr>
        <w:t>（1）针对上一轮规划环评的规划要点、环评结论和审查意见，通过对</w:t>
      </w:r>
      <w:r>
        <w:rPr>
          <w:rFonts w:hint="eastAsia" w:cs="Times New Roman"/>
          <w:lang w:eastAsia="zh-CN"/>
        </w:rPr>
        <w:t>国际新兴产业园区</w:t>
      </w:r>
      <w:r>
        <w:rPr>
          <w:rFonts w:cs="Times New Roman"/>
          <w:lang w:eastAsia="zh-CN"/>
        </w:rPr>
        <w:t>开发强度、土地利用、功能布局、产业定位等执行情况的调查，分析实际状况和规划、环评及其审查意见的差异，找出</w:t>
      </w:r>
      <w:r>
        <w:rPr>
          <w:rFonts w:hint="eastAsia" w:cs="Times New Roman"/>
          <w:lang w:eastAsia="zh-CN"/>
        </w:rPr>
        <w:t>国际新兴产业园区</w:t>
      </w:r>
      <w:r>
        <w:rPr>
          <w:rFonts w:cs="Times New Roman"/>
          <w:lang w:eastAsia="zh-CN"/>
        </w:rPr>
        <w:t>开发建设中存在的主要问题。</w:t>
      </w:r>
    </w:p>
    <w:p>
      <w:pPr>
        <w:ind w:firstLine="480"/>
        <w:rPr>
          <w:rFonts w:cs="Times New Roman"/>
          <w:lang w:eastAsia="zh-CN"/>
        </w:rPr>
      </w:pPr>
      <w:r>
        <w:rPr>
          <w:rFonts w:cs="Times New Roman"/>
          <w:lang w:eastAsia="zh-CN"/>
        </w:rPr>
        <w:t>（2）通过对</w:t>
      </w:r>
      <w:r>
        <w:rPr>
          <w:rFonts w:hint="eastAsia" w:cs="Times New Roman"/>
          <w:lang w:eastAsia="zh-CN"/>
        </w:rPr>
        <w:t>国际新兴产业园区</w:t>
      </w:r>
      <w:r>
        <w:rPr>
          <w:rFonts w:cs="Times New Roman"/>
          <w:lang w:eastAsia="zh-CN"/>
        </w:rPr>
        <w:t>内已建、在建、拟建企业调查，</w:t>
      </w:r>
      <w:r>
        <w:rPr>
          <w:rFonts w:hint="eastAsia" w:cs="Times New Roman"/>
          <w:lang w:eastAsia="zh-CN"/>
        </w:rPr>
        <w:t>国际新兴产业园区</w:t>
      </w:r>
      <w:r>
        <w:rPr>
          <w:rFonts w:cs="Times New Roman"/>
          <w:lang w:eastAsia="zh-CN"/>
        </w:rPr>
        <w:t>内及周边地区环境质量跟踪监测，</w:t>
      </w:r>
      <w:r>
        <w:rPr>
          <w:rFonts w:hint="eastAsia" w:cs="Times New Roman"/>
          <w:lang w:eastAsia="zh-CN"/>
        </w:rPr>
        <w:t>国际新兴产业园区</w:t>
      </w:r>
      <w:r>
        <w:rPr>
          <w:rFonts w:cs="Times New Roman"/>
          <w:lang w:eastAsia="zh-CN"/>
        </w:rPr>
        <w:t>内重点污染源废气、废水、噪声、固废等污染治理设施落实情况，及的居民搬迁情况，进一步排查</w:t>
      </w:r>
      <w:r>
        <w:rPr>
          <w:rFonts w:hint="eastAsia" w:cs="Times New Roman"/>
          <w:lang w:eastAsia="zh-CN"/>
        </w:rPr>
        <w:t>国际新兴产业园区</w:t>
      </w:r>
      <w:r>
        <w:rPr>
          <w:rFonts w:cs="Times New Roman"/>
          <w:lang w:eastAsia="zh-CN"/>
        </w:rPr>
        <w:t>内生态防护带或隔离带的建设情况、卫生防护距离内</w:t>
      </w:r>
      <w:r>
        <w:rPr>
          <w:rFonts w:hint="eastAsia" w:cs="Times New Roman"/>
          <w:lang w:eastAsia="zh-CN"/>
        </w:rPr>
        <w:t>国际新兴产业园区</w:t>
      </w:r>
      <w:r>
        <w:rPr>
          <w:rFonts w:cs="Times New Roman"/>
          <w:lang w:eastAsia="zh-CN"/>
        </w:rPr>
        <w:t>内存在的主要环境问题，并针对性提出整改措施。</w:t>
      </w:r>
    </w:p>
    <w:p>
      <w:pPr>
        <w:ind w:firstLine="480"/>
        <w:rPr>
          <w:rFonts w:cs="Times New Roman"/>
          <w:lang w:eastAsia="zh-CN"/>
        </w:rPr>
      </w:pPr>
      <w:r>
        <w:rPr>
          <w:rFonts w:cs="Times New Roman"/>
          <w:lang w:eastAsia="zh-CN"/>
        </w:rPr>
        <w:t>（3）对</w:t>
      </w:r>
      <w:r>
        <w:rPr>
          <w:rFonts w:hint="eastAsia" w:cs="Times New Roman"/>
          <w:lang w:eastAsia="zh-CN"/>
        </w:rPr>
        <w:t>国际新兴产业园区</w:t>
      </w:r>
      <w:r>
        <w:rPr>
          <w:rFonts w:cs="Times New Roman"/>
          <w:lang w:eastAsia="zh-CN"/>
        </w:rPr>
        <w:t>污水处理厂、热源厂等环保基础设施建设运转情况调查，在现状存在问题分析的基础上提出优化污染防治措施的方案。</w:t>
      </w:r>
    </w:p>
    <w:p>
      <w:pPr>
        <w:ind w:firstLine="480"/>
        <w:rPr>
          <w:rFonts w:cs="Times New Roman"/>
          <w:lang w:eastAsia="zh-CN"/>
        </w:rPr>
      </w:pPr>
      <w:r>
        <w:rPr>
          <w:rFonts w:cs="Times New Roman"/>
          <w:lang w:eastAsia="zh-CN"/>
        </w:rPr>
        <w:t>（4）结合</w:t>
      </w:r>
      <w:r>
        <w:rPr>
          <w:rFonts w:hint="eastAsia" w:cs="Times New Roman"/>
          <w:lang w:eastAsia="zh-CN"/>
        </w:rPr>
        <w:t>国际新兴产业园区</w:t>
      </w:r>
      <w:r>
        <w:rPr>
          <w:rFonts w:cs="Times New Roman"/>
          <w:lang w:eastAsia="zh-CN"/>
        </w:rPr>
        <w:t>产业定位和区域环境敏感特征，分区区域风险防范措施的落实、风险应急预案制定中存在的问题，并提出优化整改方向。</w:t>
      </w:r>
    </w:p>
    <w:p>
      <w:pPr>
        <w:ind w:firstLine="480"/>
        <w:rPr>
          <w:rFonts w:cs="Times New Roman"/>
          <w:lang w:eastAsia="zh-CN"/>
        </w:rPr>
      </w:pPr>
      <w:r>
        <w:rPr>
          <w:rFonts w:cs="Times New Roman"/>
          <w:lang w:eastAsia="zh-CN"/>
        </w:rPr>
        <w:t>根据对</w:t>
      </w:r>
      <w:r>
        <w:rPr>
          <w:rFonts w:hint="eastAsia" w:cs="Times New Roman"/>
          <w:lang w:eastAsia="zh-CN"/>
        </w:rPr>
        <w:t>国际新兴产业园区</w:t>
      </w:r>
      <w:r>
        <w:rPr>
          <w:rFonts w:cs="Times New Roman"/>
          <w:lang w:eastAsia="zh-CN"/>
        </w:rPr>
        <w:t>污染源、污染因子的分析，结合本地区的环境现状，确定本项目的环境评价因子见下表：</w:t>
      </w:r>
    </w:p>
    <w:p>
      <w:pPr>
        <w:spacing w:line="240" w:lineRule="auto"/>
        <w:ind w:firstLine="0" w:firstLineChars="0"/>
        <w:jc w:val="center"/>
        <w:rPr>
          <w:rFonts w:cs="Times New Roman"/>
          <w:b/>
          <w:bCs/>
          <w:sz w:val="21"/>
          <w:szCs w:val="21"/>
          <w:lang w:eastAsia="zh-CN"/>
        </w:rPr>
      </w:pPr>
      <w:r>
        <w:rPr>
          <w:rFonts w:cs="Times New Roman"/>
          <w:b/>
          <w:bCs/>
          <w:sz w:val="21"/>
          <w:szCs w:val="21"/>
          <w:lang w:eastAsia="zh-CN"/>
        </w:rPr>
        <w:t>表1.5-2   环境质量评价及污染物总量控制因子</w:t>
      </w:r>
    </w:p>
    <w:tbl>
      <w:tblPr>
        <w:tblStyle w:val="64"/>
        <w:tblW w:w="4998" w:type="pct"/>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799"/>
        <w:gridCol w:w="860"/>
        <w:gridCol w:w="1937"/>
        <w:gridCol w:w="3520"/>
        <w:gridCol w:w="2170"/>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70" w:hRule="exact"/>
          <w:jc w:val="center"/>
        </w:trPr>
        <w:tc>
          <w:tcPr>
            <w:tcW w:w="430" w:type="pct"/>
            <w:vMerge w:val="restart"/>
            <w:vAlign w:val="center"/>
          </w:tcPr>
          <w:p>
            <w:pPr>
              <w:pStyle w:val="16"/>
              <w:spacing w:line="400" w:lineRule="exact"/>
              <w:rPr>
                <w:rFonts w:ascii="Times New Roman" w:hAnsi="Times New Roman"/>
                <w:b/>
                <w:bCs/>
                <w:sz w:val="21"/>
              </w:rPr>
            </w:pPr>
            <w:r>
              <w:rPr>
                <w:rFonts w:ascii="Times New Roman" w:hAnsi="Times New Roman"/>
                <w:b/>
                <w:bCs/>
                <w:sz w:val="21"/>
              </w:rPr>
              <w:t>类别</w:t>
            </w:r>
          </w:p>
        </w:tc>
        <w:tc>
          <w:tcPr>
            <w:tcW w:w="463" w:type="pct"/>
            <w:vMerge w:val="restart"/>
            <w:vAlign w:val="center"/>
          </w:tcPr>
          <w:p>
            <w:pPr>
              <w:pStyle w:val="16"/>
              <w:spacing w:line="400" w:lineRule="exact"/>
              <w:rPr>
                <w:rFonts w:ascii="Times New Roman" w:hAnsi="Times New Roman"/>
                <w:b/>
                <w:bCs/>
                <w:sz w:val="21"/>
              </w:rPr>
            </w:pPr>
            <w:r>
              <w:rPr>
                <w:rFonts w:ascii="Times New Roman" w:hAnsi="Times New Roman"/>
                <w:b/>
                <w:bCs/>
                <w:sz w:val="21"/>
              </w:rPr>
              <w:t>要素</w:t>
            </w:r>
          </w:p>
        </w:tc>
        <w:tc>
          <w:tcPr>
            <w:tcW w:w="4106" w:type="pct"/>
            <w:gridSpan w:val="3"/>
            <w:vAlign w:val="center"/>
          </w:tcPr>
          <w:p>
            <w:pPr>
              <w:pStyle w:val="16"/>
              <w:spacing w:line="400" w:lineRule="exact"/>
              <w:rPr>
                <w:rFonts w:ascii="Times New Roman" w:hAnsi="Times New Roman"/>
                <w:b/>
                <w:bCs/>
                <w:sz w:val="21"/>
              </w:rPr>
            </w:pPr>
            <w:r>
              <w:rPr>
                <w:rFonts w:ascii="Times New Roman" w:hAnsi="Times New Roman"/>
                <w:b/>
                <w:bCs/>
                <w:sz w:val="21"/>
              </w:rPr>
              <w:t>环境质量评价因子</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08" w:hRule="exact"/>
          <w:jc w:val="center"/>
        </w:trPr>
        <w:tc>
          <w:tcPr>
            <w:tcW w:w="430" w:type="pct"/>
            <w:vMerge w:val="continue"/>
            <w:vAlign w:val="center"/>
          </w:tcPr>
          <w:p>
            <w:pPr>
              <w:pStyle w:val="16"/>
              <w:spacing w:line="400" w:lineRule="exact"/>
              <w:rPr>
                <w:rFonts w:ascii="Times New Roman" w:hAnsi="Times New Roman"/>
                <w:b/>
                <w:bCs/>
                <w:sz w:val="21"/>
              </w:rPr>
            </w:pPr>
          </w:p>
        </w:tc>
        <w:tc>
          <w:tcPr>
            <w:tcW w:w="463" w:type="pct"/>
            <w:vMerge w:val="continue"/>
            <w:vAlign w:val="center"/>
          </w:tcPr>
          <w:p>
            <w:pPr>
              <w:pStyle w:val="16"/>
              <w:spacing w:line="400" w:lineRule="exact"/>
              <w:rPr>
                <w:rFonts w:ascii="Times New Roman" w:hAnsi="Times New Roman"/>
                <w:b/>
                <w:bCs/>
                <w:sz w:val="21"/>
              </w:rPr>
            </w:pPr>
          </w:p>
        </w:tc>
        <w:tc>
          <w:tcPr>
            <w:tcW w:w="1043" w:type="pct"/>
            <w:vAlign w:val="center"/>
          </w:tcPr>
          <w:p>
            <w:pPr>
              <w:pStyle w:val="16"/>
              <w:spacing w:line="400" w:lineRule="exact"/>
              <w:rPr>
                <w:rFonts w:ascii="Times New Roman" w:hAnsi="Times New Roman"/>
                <w:b/>
                <w:bCs/>
                <w:sz w:val="21"/>
              </w:rPr>
            </w:pPr>
            <w:r>
              <w:rPr>
                <w:rFonts w:ascii="Times New Roman" w:hAnsi="Times New Roman"/>
                <w:b/>
                <w:bCs/>
                <w:sz w:val="21"/>
              </w:rPr>
              <w:t>上一轮规划环评</w:t>
            </w:r>
          </w:p>
        </w:tc>
        <w:tc>
          <w:tcPr>
            <w:tcW w:w="1895" w:type="pct"/>
            <w:vAlign w:val="center"/>
          </w:tcPr>
          <w:p>
            <w:pPr>
              <w:pStyle w:val="16"/>
              <w:spacing w:line="400" w:lineRule="exact"/>
              <w:rPr>
                <w:rFonts w:ascii="Times New Roman" w:hAnsi="Times New Roman"/>
                <w:b/>
                <w:bCs/>
                <w:sz w:val="21"/>
              </w:rPr>
            </w:pPr>
            <w:r>
              <w:rPr>
                <w:rFonts w:ascii="Times New Roman" w:hAnsi="Times New Roman"/>
                <w:b/>
                <w:bCs/>
                <w:sz w:val="21"/>
              </w:rPr>
              <w:t>本次跟踪评价</w:t>
            </w:r>
          </w:p>
        </w:tc>
        <w:tc>
          <w:tcPr>
            <w:tcW w:w="1167" w:type="pct"/>
            <w:vAlign w:val="center"/>
          </w:tcPr>
          <w:p>
            <w:pPr>
              <w:pStyle w:val="16"/>
              <w:spacing w:line="400" w:lineRule="exact"/>
              <w:rPr>
                <w:rFonts w:ascii="Times New Roman" w:hAnsi="Times New Roman"/>
                <w:b/>
                <w:bCs/>
                <w:sz w:val="21"/>
              </w:rPr>
            </w:pPr>
            <w:r>
              <w:rPr>
                <w:rFonts w:ascii="Times New Roman" w:hAnsi="Times New Roman"/>
                <w:b/>
                <w:bCs/>
                <w:sz w:val="21"/>
              </w:rPr>
              <w:t>备注</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1245" w:hRule="exact"/>
          <w:jc w:val="center"/>
        </w:trPr>
        <w:tc>
          <w:tcPr>
            <w:tcW w:w="430" w:type="pct"/>
            <w:vMerge w:val="restart"/>
            <w:vAlign w:val="center"/>
          </w:tcPr>
          <w:p>
            <w:pPr>
              <w:pStyle w:val="16"/>
              <w:spacing w:line="400" w:lineRule="exact"/>
              <w:rPr>
                <w:rFonts w:ascii="Times New Roman" w:hAnsi="Times New Roman"/>
                <w:sz w:val="21"/>
              </w:rPr>
            </w:pPr>
            <w:r>
              <w:rPr>
                <w:rFonts w:ascii="Times New Roman" w:hAnsi="Times New Roman"/>
                <w:sz w:val="21"/>
              </w:rPr>
              <w:t>环境质量评价</w:t>
            </w:r>
          </w:p>
        </w:tc>
        <w:tc>
          <w:tcPr>
            <w:tcW w:w="463" w:type="pct"/>
            <w:vAlign w:val="center"/>
          </w:tcPr>
          <w:p>
            <w:pPr>
              <w:pStyle w:val="16"/>
              <w:spacing w:line="400" w:lineRule="exact"/>
              <w:rPr>
                <w:rFonts w:ascii="Times New Roman" w:hAnsi="Times New Roman"/>
                <w:sz w:val="21"/>
              </w:rPr>
            </w:pPr>
            <w:r>
              <w:rPr>
                <w:rFonts w:ascii="Times New Roman" w:hAnsi="Times New Roman"/>
                <w:sz w:val="21"/>
              </w:rPr>
              <w:t>大气</w:t>
            </w:r>
          </w:p>
        </w:tc>
        <w:tc>
          <w:tcPr>
            <w:tcW w:w="1043" w:type="pct"/>
            <w:vAlign w:val="center"/>
          </w:tcPr>
          <w:p>
            <w:pPr>
              <w:pStyle w:val="16"/>
              <w:spacing w:line="400" w:lineRule="exact"/>
              <w:rPr>
                <w:rFonts w:ascii="Times New Roman" w:hAnsi="Times New Roman"/>
                <w:sz w:val="21"/>
              </w:rPr>
            </w:pPr>
            <w:r>
              <w:rPr>
                <w:rFonts w:ascii="Times New Roman" w:hAnsi="Times New Roman"/>
                <w:sz w:val="21"/>
              </w:rPr>
              <w:t>PM</w:t>
            </w:r>
            <w:r>
              <w:rPr>
                <w:rFonts w:ascii="Times New Roman" w:hAnsi="Times New Roman"/>
                <w:sz w:val="21"/>
                <w:vertAlign w:val="subscript"/>
              </w:rPr>
              <w:t>10</w:t>
            </w:r>
            <w:r>
              <w:rPr>
                <w:rFonts w:ascii="Times New Roman" w:hAnsi="Times New Roman"/>
                <w:sz w:val="21"/>
              </w:rPr>
              <w:t>、SO</w:t>
            </w:r>
            <w:r>
              <w:rPr>
                <w:rFonts w:ascii="Times New Roman" w:hAnsi="Times New Roman"/>
                <w:sz w:val="21"/>
                <w:vertAlign w:val="subscript"/>
              </w:rPr>
              <w:t>2</w:t>
            </w:r>
            <w:r>
              <w:rPr>
                <w:rFonts w:ascii="Times New Roman" w:hAnsi="Times New Roman"/>
                <w:sz w:val="21"/>
              </w:rPr>
              <w:t>、NO</w:t>
            </w:r>
            <w:r>
              <w:rPr>
                <w:rFonts w:ascii="Times New Roman" w:hAnsi="Times New Roman"/>
                <w:sz w:val="21"/>
                <w:vertAlign w:val="subscript"/>
              </w:rPr>
              <w:t>2</w:t>
            </w:r>
            <w:r>
              <w:rPr>
                <w:rFonts w:ascii="Times New Roman" w:hAnsi="Times New Roman"/>
                <w:sz w:val="21"/>
              </w:rPr>
              <w:t>、</w:t>
            </w:r>
            <w:r>
              <w:rPr>
                <w:rFonts w:hint="eastAsia" w:ascii="Times New Roman" w:hAnsi="Times New Roman"/>
                <w:sz w:val="21"/>
              </w:rPr>
              <w:t>TSP</w:t>
            </w:r>
          </w:p>
        </w:tc>
        <w:tc>
          <w:tcPr>
            <w:tcW w:w="1895" w:type="pct"/>
            <w:vAlign w:val="center"/>
          </w:tcPr>
          <w:p>
            <w:pPr>
              <w:pStyle w:val="16"/>
              <w:spacing w:line="400" w:lineRule="exact"/>
              <w:rPr>
                <w:rFonts w:ascii="Times New Roman" w:hAnsi="Times New Roman"/>
                <w:sz w:val="21"/>
              </w:rPr>
            </w:pPr>
            <w:r>
              <w:rPr>
                <w:rFonts w:ascii="Times New Roman" w:hAnsi="Times New Roman"/>
                <w:sz w:val="21"/>
              </w:rPr>
              <w:t>PM</w:t>
            </w:r>
            <w:r>
              <w:rPr>
                <w:rFonts w:ascii="Times New Roman" w:hAnsi="Times New Roman"/>
                <w:sz w:val="21"/>
                <w:vertAlign w:val="subscript"/>
              </w:rPr>
              <w:t>10</w:t>
            </w:r>
            <w:r>
              <w:rPr>
                <w:rFonts w:ascii="Times New Roman" w:hAnsi="Times New Roman"/>
                <w:sz w:val="21"/>
              </w:rPr>
              <w:t>、SO</w:t>
            </w:r>
            <w:r>
              <w:rPr>
                <w:rFonts w:ascii="Times New Roman" w:hAnsi="Times New Roman"/>
                <w:sz w:val="21"/>
                <w:vertAlign w:val="subscript"/>
              </w:rPr>
              <w:t>2</w:t>
            </w:r>
            <w:r>
              <w:rPr>
                <w:rFonts w:ascii="Times New Roman" w:hAnsi="Times New Roman"/>
                <w:sz w:val="21"/>
              </w:rPr>
              <w:t>、NO</w:t>
            </w:r>
            <w:r>
              <w:rPr>
                <w:rFonts w:ascii="Times New Roman" w:hAnsi="Times New Roman"/>
                <w:sz w:val="21"/>
                <w:vertAlign w:val="subscript"/>
              </w:rPr>
              <w:t>2</w:t>
            </w:r>
            <w:r>
              <w:rPr>
                <w:rFonts w:ascii="Times New Roman" w:hAnsi="Times New Roman"/>
                <w:sz w:val="21"/>
              </w:rPr>
              <w:t>、</w:t>
            </w:r>
            <w:r>
              <w:rPr>
                <w:rFonts w:hint="eastAsia" w:ascii="Times New Roman" w:hAnsi="Times New Roman"/>
                <w:sz w:val="21"/>
                <w:highlight w:val="yellow"/>
              </w:rPr>
              <w:t>VOCs</w:t>
            </w:r>
            <w:r>
              <w:rPr>
                <w:rFonts w:ascii="Times New Roman" w:hAnsi="Times New Roman"/>
                <w:sz w:val="21"/>
                <w:highlight w:val="yellow"/>
              </w:rPr>
              <w:t>、</w:t>
            </w:r>
            <w:r>
              <w:rPr>
                <w:rFonts w:ascii="Times New Roman" w:hAnsi="Times New Roman"/>
                <w:sz w:val="21"/>
              </w:rPr>
              <w:t>TSP、PM</w:t>
            </w:r>
            <w:r>
              <w:rPr>
                <w:rFonts w:ascii="Times New Roman" w:hAnsi="Times New Roman"/>
                <w:sz w:val="21"/>
                <w:vertAlign w:val="subscript"/>
              </w:rPr>
              <w:t>2.5</w:t>
            </w:r>
          </w:p>
        </w:tc>
        <w:tc>
          <w:tcPr>
            <w:tcW w:w="1167" w:type="pct"/>
            <w:vAlign w:val="center"/>
          </w:tcPr>
          <w:p>
            <w:pPr>
              <w:pStyle w:val="16"/>
              <w:spacing w:line="400" w:lineRule="exact"/>
              <w:rPr>
                <w:rFonts w:ascii="Times New Roman" w:hAnsi="Times New Roman"/>
                <w:sz w:val="21"/>
              </w:rPr>
            </w:pPr>
            <w:r>
              <w:rPr>
                <w:rFonts w:ascii="Times New Roman" w:hAnsi="Times New Roman"/>
                <w:sz w:val="21"/>
              </w:rPr>
              <w:t>增加TSP、PM</w:t>
            </w:r>
            <w:r>
              <w:rPr>
                <w:rFonts w:ascii="Times New Roman" w:hAnsi="Times New Roman"/>
                <w:sz w:val="21"/>
                <w:vertAlign w:val="subscript"/>
              </w:rPr>
              <w:t>2.5</w:t>
            </w:r>
            <w:r>
              <w:rPr>
                <w:rFonts w:ascii="Times New Roman" w:hAnsi="Times New Roman"/>
                <w:sz w:val="21"/>
              </w:rPr>
              <w:t>、</w:t>
            </w:r>
            <w:r>
              <w:rPr>
                <w:rFonts w:hint="eastAsia" w:ascii="Times New Roman" w:hAnsi="Times New Roman"/>
                <w:sz w:val="21"/>
                <w:highlight w:val="yellow"/>
              </w:rPr>
              <w:t>VOCs</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059" w:hRule="exact"/>
          <w:jc w:val="center"/>
        </w:trPr>
        <w:tc>
          <w:tcPr>
            <w:tcW w:w="430" w:type="pct"/>
            <w:vMerge w:val="continue"/>
            <w:vAlign w:val="center"/>
          </w:tcPr>
          <w:p>
            <w:pPr>
              <w:pStyle w:val="16"/>
              <w:spacing w:line="400" w:lineRule="exact"/>
              <w:rPr>
                <w:rFonts w:ascii="Times New Roman" w:hAnsi="Times New Roman"/>
                <w:sz w:val="21"/>
              </w:rPr>
            </w:pPr>
          </w:p>
        </w:tc>
        <w:tc>
          <w:tcPr>
            <w:tcW w:w="463" w:type="pct"/>
            <w:vAlign w:val="center"/>
          </w:tcPr>
          <w:p>
            <w:pPr>
              <w:pStyle w:val="16"/>
              <w:spacing w:line="400" w:lineRule="exact"/>
              <w:rPr>
                <w:rFonts w:ascii="Times New Roman" w:hAnsi="Times New Roman"/>
                <w:sz w:val="21"/>
              </w:rPr>
            </w:pPr>
            <w:r>
              <w:rPr>
                <w:rFonts w:ascii="Times New Roman" w:hAnsi="Times New Roman"/>
                <w:sz w:val="21"/>
              </w:rPr>
              <w:t>地表水</w:t>
            </w:r>
          </w:p>
        </w:tc>
        <w:tc>
          <w:tcPr>
            <w:tcW w:w="1043" w:type="pct"/>
            <w:vAlign w:val="center"/>
          </w:tcPr>
          <w:p>
            <w:pPr>
              <w:pStyle w:val="16"/>
              <w:spacing w:line="400" w:lineRule="exact"/>
              <w:rPr>
                <w:rFonts w:ascii="Times New Roman" w:hAnsi="Times New Roman"/>
                <w:sz w:val="21"/>
              </w:rPr>
            </w:pPr>
            <w:r>
              <w:rPr>
                <w:rFonts w:ascii="Times New Roman" w:hAnsi="Times New Roman"/>
                <w:sz w:val="21"/>
              </w:rPr>
              <w:t>CODcr、氨氮、石油类、</w:t>
            </w:r>
            <w:r>
              <w:rPr>
                <w:rFonts w:hint="eastAsia" w:ascii="Times New Roman" w:hAnsi="Times New Roman"/>
                <w:sz w:val="21"/>
              </w:rPr>
              <w:t>总磷</w:t>
            </w:r>
          </w:p>
        </w:tc>
        <w:tc>
          <w:tcPr>
            <w:tcW w:w="1895" w:type="pct"/>
            <w:vAlign w:val="center"/>
          </w:tcPr>
          <w:p>
            <w:pPr>
              <w:pStyle w:val="16"/>
              <w:spacing w:line="400" w:lineRule="exact"/>
              <w:rPr>
                <w:rFonts w:ascii="Times New Roman" w:hAnsi="Times New Roman"/>
                <w:sz w:val="21"/>
              </w:rPr>
            </w:pPr>
            <w:r>
              <w:rPr>
                <w:rFonts w:ascii="Times New Roman" w:hAnsi="Times New Roman"/>
                <w:sz w:val="21"/>
              </w:rPr>
              <w:t>pH、</w:t>
            </w:r>
            <w:r>
              <w:rPr>
                <w:rFonts w:hint="eastAsia" w:ascii="Times New Roman" w:hAnsi="Times New Roman"/>
                <w:sz w:val="21"/>
              </w:rPr>
              <w:t>化学需氧量</w:t>
            </w:r>
            <w:r>
              <w:rPr>
                <w:rFonts w:ascii="Times New Roman" w:hAnsi="Times New Roman"/>
                <w:sz w:val="21"/>
              </w:rPr>
              <w:t>、</w:t>
            </w:r>
            <w:r>
              <w:rPr>
                <w:rFonts w:hint="eastAsia" w:ascii="Times New Roman" w:hAnsi="Times New Roman"/>
                <w:sz w:val="21"/>
              </w:rPr>
              <w:t>高锰酸钾指数</w:t>
            </w:r>
            <w:r>
              <w:rPr>
                <w:rFonts w:ascii="Times New Roman" w:hAnsi="Times New Roman"/>
                <w:sz w:val="21"/>
              </w:rPr>
              <w:t>、BOD</w:t>
            </w:r>
            <w:r>
              <w:rPr>
                <w:rFonts w:ascii="Times New Roman" w:hAnsi="Times New Roman"/>
                <w:sz w:val="21"/>
                <w:vertAlign w:val="subscript"/>
              </w:rPr>
              <w:t>5</w:t>
            </w:r>
            <w:r>
              <w:rPr>
                <w:rFonts w:ascii="Times New Roman" w:hAnsi="Times New Roman"/>
                <w:sz w:val="21"/>
              </w:rPr>
              <w:t>、氨氮、总氮、总磷、氟化物、挥发酚、石油类、粪大肠菌群、LAS、铜、锌、镉、六价铬、铅、氰化物、硫化物</w:t>
            </w:r>
          </w:p>
        </w:tc>
        <w:tc>
          <w:tcPr>
            <w:tcW w:w="1167" w:type="pct"/>
            <w:vAlign w:val="center"/>
          </w:tcPr>
          <w:p>
            <w:pPr>
              <w:pStyle w:val="16"/>
              <w:spacing w:line="400" w:lineRule="exact"/>
              <w:rPr>
                <w:rFonts w:ascii="Times New Roman" w:hAnsi="Times New Roman"/>
                <w:sz w:val="21"/>
              </w:rPr>
            </w:pPr>
            <w:r>
              <w:rPr>
                <w:rFonts w:ascii="Times New Roman" w:hAnsi="Times New Roman"/>
                <w:sz w:val="21"/>
              </w:rPr>
              <w:t>增加总氮、总磷、氟化物、粪大肠菌群、LAS、铜、锌、镉、六价铬、氰化物、硫化物</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1720" w:hRule="atLeast"/>
          <w:jc w:val="center"/>
        </w:trPr>
        <w:tc>
          <w:tcPr>
            <w:tcW w:w="430" w:type="pct"/>
            <w:vMerge w:val="continue"/>
            <w:vAlign w:val="center"/>
          </w:tcPr>
          <w:p>
            <w:pPr>
              <w:pStyle w:val="16"/>
              <w:spacing w:line="400" w:lineRule="exact"/>
              <w:rPr>
                <w:rFonts w:ascii="Times New Roman" w:hAnsi="Times New Roman"/>
                <w:sz w:val="21"/>
              </w:rPr>
            </w:pPr>
          </w:p>
        </w:tc>
        <w:tc>
          <w:tcPr>
            <w:tcW w:w="463" w:type="pct"/>
            <w:tcBorders>
              <w:bottom w:val="single" w:color="000000" w:sz="2" w:space="0"/>
            </w:tcBorders>
            <w:vAlign w:val="center"/>
          </w:tcPr>
          <w:p>
            <w:pPr>
              <w:pStyle w:val="16"/>
              <w:spacing w:line="400" w:lineRule="exact"/>
              <w:rPr>
                <w:rFonts w:ascii="Times New Roman" w:hAnsi="Times New Roman"/>
                <w:sz w:val="21"/>
              </w:rPr>
            </w:pPr>
            <w:r>
              <w:rPr>
                <w:rFonts w:ascii="Times New Roman" w:hAnsi="Times New Roman"/>
                <w:sz w:val="21"/>
              </w:rPr>
              <w:t>地下水</w:t>
            </w:r>
          </w:p>
        </w:tc>
        <w:tc>
          <w:tcPr>
            <w:tcW w:w="1043" w:type="pct"/>
            <w:tcBorders>
              <w:bottom w:val="single" w:color="000000" w:sz="2" w:space="0"/>
            </w:tcBorders>
            <w:vAlign w:val="center"/>
          </w:tcPr>
          <w:p>
            <w:pPr>
              <w:pStyle w:val="16"/>
              <w:spacing w:line="400" w:lineRule="exact"/>
              <w:rPr>
                <w:rFonts w:ascii="Times New Roman" w:hAnsi="Times New Roman"/>
                <w:sz w:val="21"/>
              </w:rPr>
            </w:pPr>
            <w:r>
              <w:rPr>
                <w:rFonts w:ascii="Times New Roman" w:hAnsi="Times New Roman"/>
                <w:sz w:val="21"/>
              </w:rPr>
              <w:t>pH、亚硝酸盐氮、硝酸盐氮、总硬度、</w:t>
            </w:r>
            <w:r>
              <w:rPr>
                <w:rFonts w:hint="eastAsia" w:ascii="Times New Roman" w:hAnsi="Times New Roman"/>
                <w:sz w:val="21"/>
              </w:rPr>
              <w:t>高锰酸盐指数</w:t>
            </w:r>
            <w:r>
              <w:rPr>
                <w:rFonts w:ascii="Times New Roman" w:hAnsi="Times New Roman"/>
                <w:sz w:val="21"/>
              </w:rPr>
              <w:t>、</w:t>
            </w:r>
            <w:r>
              <w:rPr>
                <w:rFonts w:hint="eastAsia" w:ascii="Times New Roman" w:hAnsi="Times New Roman"/>
                <w:sz w:val="21"/>
              </w:rPr>
              <w:t>Mn、氟化物</w:t>
            </w:r>
          </w:p>
        </w:tc>
        <w:tc>
          <w:tcPr>
            <w:tcW w:w="1895" w:type="pct"/>
            <w:vAlign w:val="center"/>
          </w:tcPr>
          <w:p>
            <w:pPr>
              <w:pStyle w:val="16"/>
              <w:spacing w:line="400" w:lineRule="exact"/>
              <w:rPr>
                <w:rFonts w:ascii="Times New Roman" w:hAnsi="Times New Roman"/>
                <w:sz w:val="21"/>
              </w:rPr>
            </w:pPr>
            <w:r>
              <w:rPr>
                <w:rFonts w:ascii="Times New Roman" w:hAnsi="Times New Roman"/>
                <w:sz w:val="21"/>
              </w:rPr>
              <w:t>pH、亚硝酸盐氮、硝酸盐氮、氨氮、总硬度、Cr</w:t>
            </w:r>
            <w:r>
              <w:rPr>
                <w:rFonts w:ascii="Times New Roman" w:hAnsi="Times New Roman"/>
                <w:sz w:val="21"/>
                <w:vertAlign w:val="superscript"/>
              </w:rPr>
              <w:t>6+</w:t>
            </w:r>
            <w:r>
              <w:rPr>
                <w:rFonts w:ascii="Times New Roman" w:hAnsi="Times New Roman"/>
                <w:sz w:val="21"/>
              </w:rPr>
              <w:t>、Cl</w:t>
            </w:r>
            <w:r>
              <w:rPr>
                <w:rFonts w:ascii="Times New Roman" w:hAnsi="Times New Roman"/>
                <w:sz w:val="21"/>
                <w:vertAlign w:val="superscript"/>
              </w:rPr>
              <w:t>-</w:t>
            </w:r>
            <w:r>
              <w:rPr>
                <w:rFonts w:ascii="Times New Roman" w:hAnsi="Times New Roman"/>
                <w:sz w:val="21"/>
              </w:rPr>
              <w:t>、F</w:t>
            </w:r>
            <w:r>
              <w:rPr>
                <w:rFonts w:ascii="Times New Roman" w:hAnsi="Times New Roman"/>
                <w:sz w:val="21"/>
                <w:vertAlign w:val="superscript"/>
              </w:rPr>
              <w:t>-</w:t>
            </w:r>
            <w:r>
              <w:rPr>
                <w:rFonts w:ascii="Times New Roman" w:hAnsi="Times New Roman"/>
                <w:sz w:val="21"/>
              </w:rPr>
              <w:t>、COD、Cd、Pb、SO</w:t>
            </w:r>
            <w:r>
              <w:rPr>
                <w:rFonts w:ascii="Times New Roman" w:hAnsi="Times New Roman"/>
                <w:sz w:val="21"/>
                <w:vertAlign w:val="subscript"/>
              </w:rPr>
              <w:t>4</w:t>
            </w:r>
            <w:r>
              <w:rPr>
                <w:rFonts w:ascii="Times New Roman" w:hAnsi="Times New Roman"/>
                <w:sz w:val="21"/>
                <w:vertAlign w:val="superscript"/>
              </w:rPr>
              <w:t>2-</w:t>
            </w:r>
            <w:r>
              <w:rPr>
                <w:rFonts w:ascii="Times New Roman" w:hAnsi="Times New Roman"/>
                <w:sz w:val="21"/>
              </w:rPr>
              <w:t>、挥发性酚类、氰化物、砷、汞、铁、锰、溶解性总固体、总大肠菌群、菌落总数</w:t>
            </w:r>
          </w:p>
        </w:tc>
        <w:tc>
          <w:tcPr>
            <w:tcW w:w="1167" w:type="pct"/>
            <w:tcBorders>
              <w:bottom w:val="single" w:color="000000" w:sz="2" w:space="0"/>
            </w:tcBorders>
            <w:vAlign w:val="center"/>
          </w:tcPr>
          <w:p>
            <w:pPr>
              <w:pStyle w:val="16"/>
              <w:spacing w:line="400" w:lineRule="exact"/>
              <w:rPr>
                <w:rFonts w:ascii="Times New Roman" w:hAnsi="Times New Roman"/>
                <w:sz w:val="21"/>
              </w:rPr>
            </w:pPr>
            <w:r>
              <w:rPr>
                <w:rFonts w:ascii="Times New Roman" w:hAnsi="Times New Roman"/>
                <w:sz w:val="21"/>
              </w:rPr>
              <w:t>增加SO</w:t>
            </w:r>
            <w:r>
              <w:rPr>
                <w:rFonts w:ascii="Times New Roman" w:hAnsi="Times New Roman"/>
                <w:sz w:val="21"/>
                <w:vertAlign w:val="subscript"/>
              </w:rPr>
              <w:t>4</w:t>
            </w:r>
            <w:r>
              <w:rPr>
                <w:rFonts w:ascii="Times New Roman" w:hAnsi="Times New Roman"/>
                <w:sz w:val="21"/>
                <w:vertAlign w:val="superscript"/>
              </w:rPr>
              <w:t>2-</w:t>
            </w:r>
            <w:r>
              <w:rPr>
                <w:rFonts w:ascii="Times New Roman" w:hAnsi="Times New Roman"/>
                <w:sz w:val="21"/>
              </w:rPr>
              <w:t>、挥发性酚类、氰化物、砷、汞、铁、锰、溶解性总固体、总大肠菌群、菌落总数</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430" w:type="pct"/>
            <w:vMerge w:val="continue"/>
            <w:vAlign w:val="center"/>
          </w:tcPr>
          <w:p>
            <w:pPr>
              <w:pStyle w:val="16"/>
              <w:spacing w:line="400" w:lineRule="exact"/>
              <w:rPr>
                <w:rFonts w:ascii="Times New Roman" w:hAnsi="Times New Roman"/>
                <w:sz w:val="21"/>
              </w:rPr>
            </w:pPr>
          </w:p>
        </w:tc>
        <w:tc>
          <w:tcPr>
            <w:tcW w:w="463" w:type="pct"/>
            <w:vAlign w:val="center"/>
          </w:tcPr>
          <w:p>
            <w:pPr>
              <w:pStyle w:val="16"/>
              <w:spacing w:line="400" w:lineRule="exact"/>
              <w:rPr>
                <w:rFonts w:ascii="Times New Roman" w:hAnsi="Times New Roman"/>
                <w:sz w:val="21"/>
              </w:rPr>
            </w:pPr>
            <w:r>
              <w:rPr>
                <w:rFonts w:ascii="Times New Roman" w:hAnsi="Times New Roman"/>
                <w:sz w:val="21"/>
              </w:rPr>
              <w:t>土壤</w:t>
            </w:r>
          </w:p>
        </w:tc>
        <w:tc>
          <w:tcPr>
            <w:tcW w:w="1043" w:type="pct"/>
            <w:vAlign w:val="center"/>
          </w:tcPr>
          <w:p>
            <w:pPr>
              <w:pStyle w:val="16"/>
              <w:spacing w:line="400" w:lineRule="exact"/>
              <w:rPr>
                <w:rFonts w:ascii="Times New Roman" w:hAnsi="Times New Roman"/>
                <w:sz w:val="21"/>
              </w:rPr>
            </w:pPr>
            <w:r>
              <w:rPr>
                <w:rFonts w:ascii="Times New Roman" w:hAnsi="Times New Roman"/>
                <w:sz w:val="21"/>
              </w:rPr>
              <w:t>pH、</w:t>
            </w:r>
            <w:r>
              <w:rPr>
                <w:sz w:val="21"/>
              </w:rPr>
              <w:t>铅</w:t>
            </w:r>
            <w:r>
              <w:rPr>
                <w:rFonts w:hint="eastAsia"/>
                <w:sz w:val="21"/>
              </w:rPr>
              <w:t>、</w:t>
            </w:r>
            <w:r>
              <w:rPr>
                <w:sz w:val="21"/>
              </w:rPr>
              <w:t>镉</w:t>
            </w:r>
            <w:r>
              <w:rPr>
                <w:rFonts w:hint="eastAsia"/>
                <w:sz w:val="21"/>
              </w:rPr>
              <w:t>、</w:t>
            </w:r>
            <w:r>
              <w:rPr>
                <w:sz w:val="21"/>
              </w:rPr>
              <w:t>锌</w:t>
            </w:r>
            <w:r>
              <w:rPr>
                <w:rFonts w:hint="eastAsia"/>
                <w:sz w:val="21"/>
              </w:rPr>
              <w:t>、</w:t>
            </w:r>
            <w:r>
              <w:rPr>
                <w:sz w:val="21"/>
              </w:rPr>
              <w:t>铜</w:t>
            </w:r>
            <w:r>
              <w:rPr>
                <w:rFonts w:hint="eastAsia"/>
                <w:sz w:val="21"/>
              </w:rPr>
              <w:t>、</w:t>
            </w:r>
            <w:r>
              <w:rPr>
                <w:sz w:val="21"/>
              </w:rPr>
              <w:t>铬</w:t>
            </w:r>
            <w:r>
              <w:rPr>
                <w:rFonts w:hint="eastAsia"/>
                <w:sz w:val="21"/>
              </w:rPr>
              <w:t>、</w:t>
            </w:r>
            <w:r>
              <w:rPr>
                <w:sz w:val="21"/>
              </w:rPr>
              <w:t>镍</w:t>
            </w:r>
            <w:r>
              <w:rPr>
                <w:rFonts w:hint="eastAsia"/>
                <w:sz w:val="21"/>
              </w:rPr>
              <w:t>、</w:t>
            </w:r>
            <w:r>
              <w:rPr>
                <w:sz w:val="21"/>
              </w:rPr>
              <w:t>汞</w:t>
            </w:r>
            <w:r>
              <w:rPr>
                <w:rFonts w:hint="eastAsia"/>
                <w:sz w:val="21"/>
              </w:rPr>
              <w:t>、</w:t>
            </w:r>
            <w:r>
              <w:rPr>
                <w:sz w:val="21"/>
              </w:rPr>
              <w:t>砷</w:t>
            </w:r>
          </w:p>
        </w:tc>
        <w:tc>
          <w:tcPr>
            <w:tcW w:w="1895" w:type="pct"/>
            <w:vAlign w:val="center"/>
          </w:tcPr>
          <w:p>
            <w:pPr>
              <w:pStyle w:val="16"/>
              <w:spacing w:line="400" w:lineRule="exact"/>
              <w:rPr>
                <w:rFonts w:ascii="Times New Roman" w:hAnsi="Times New Roman"/>
                <w:sz w:val="21"/>
              </w:rPr>
            </w:pPr>
            <w:r>
              <w:rPr>
                <w:rFonts w:ascii="Times New Roman" w:hAnsi="Times New Roman"/>
                <w:sz w:val="21"/>
              </w:rPr>
              <w:t>建设用地监测《土壤环境质量 建设用地土壤污染风险管控标准（试行）》(GB36600—2018)中建设用地土壤污染风险筛选值和管制值基本项目45项。</w:t>
            </w:r>
          </w:p>
        </w:tc>
        <w:tc>
          <w:tcPr>
            <w:tcW w:w="1167" w:type="pct"/>
            <w:vAlign w:val="center"/>
          </w:tcPr>
          <w:p>
            <w:pPr>
              <w:pStyle w:val="16"/>
              <w:spacing w:line="400" w:lineRule="exact"/>
              <w:rPr>
                <w:rFonts w:ascii="Times New Roman" w:hAnsi="Times New Roman"/>
                <w:sz w:val="21"/>
              </w:rPr>
            </w:pPr>
            <w:r>
              <w:rPr>
                <w:rFonts w:ascii="Times New Roman" w:hAnsi="Times New Roman"/>
                <w:sz w:val="21"/>
              </w:rPr>
              <w:t>增加土壤监测因子</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570" w:hRule="atLeast"/>
          <w:jc w:val="center"/>
        </w:trPr>
        <w:tc>
          <w:tcPr>
            <w:tcW w:w="430" w:type="pct"/>
            <w:vMerge w:val="continue"/>
            <w:vAlign w:val="center"/>
          </w:tcPr>
          <w:p>
            <w:pPr>
              <w:pStyle w:val="16"/>
              <w:spacing w:line="400" w:lineRule="exact"/>
              <w:rPr>
                <w:rFonts w:ascii="Times New Roman" w:hAnsi="Times New Roman"/>
                <w:sz w:val="21"/>
              </w:rPr>
            </w:pPr>
          </w:p>
        </w:tc>
        <w:tc>
          <w:tcPr>
            <w:tcW w:w="463" w:type="pct"/>
            <w:vAlign w:val="center"/>
          </w:tcPr>
          <w:p>
            <w:pPr>
              <w:pStyle w:val="16"/>
              <w:spacing w:line="400" w:lineRule="exact"/>
              <w:rPr>
                <w:rFonts w:ascii="Times New Roman" w:hAnsi="Times New Roman"/>
                <w:sz w:val="21"/>
              </w:rPr>
            </w:pPr>
            <w:r>
              <w:rPr>
                <w:rFonts w:ascii="Times New Roman" w:hAnsi="Times New Roman"/>
                <w:sz w:val="21"/>
              </w:rPr>
              <w:t>噪声</w:t>
            </w:r>
          </w:p>
        </w:tc>
        <w:tc>
          <w:tcPr>
            <w:tcW w:w="1043" w:type="pct"/>
            <w:vAlign w:val="center"/>
          </w:tcPr>
          <w:p>
            <w:pPr>
              <w:pStyle w:val="16"/>
              <w:spacing w:line="400" w:lineRule="exact"/>
              <w:rPr>
                <w:rFonts w:ascii="Times New Roman" w:hAnsi="Times New Roman"/>
                <w:sz w:val="21"/>
              </w:rPr>
            </w:pPr>
            <w:r>
              <w:rPr>
                <w:rFonts w:ascii="Times New Roman" w:hAnsi="Times New Roman"/>
                <w:sz w:val="21"/>
              </w:rPr>
              <w:t>昼间、夜间等效声级 Leq（A）</w:t>
            </w:r>
          </w:p>
        </w:tc>
        <w:tc>
          <w:tcPr>
            <w:tcW w:w="1895" w:type="pct"/>
            <w:vAlign w:val="center"/>
          </w:tcPr>
          <w:p>
            <w:pPr>
              <w:pStyle w:val="16"/>
              <w:spacing w:line="400" w:lineRule="exact"/>
              <w:rPr>
                <w:rFonts w:ascii="Times New Roman" w:hAnsi="Times New Roman"/>
                <w:sz w:val="21"/>
              </w:rPr>
            </w:pPr>
            <w:r>
              <w:rPr>
                <w:rFonts w:ascii="Times New Roman" w:hAnsi="Times New Roman"/>
                <w:sz w:val="21"/>
              </w:rPr>
              <w:t>昼间、夜间等效声级 Leq（A）</w:t>
            </w:r>
          </w:p>
        </w:tc>
        <w:tc>
          <w:tcPr>
            <w:tcW w:w="1167" w:type="pct"/>
            <w:vAlign w:val="center"/>
          </w:tcPr>
          <w:p>
            <w:pPr>
              <w:pStyle w:val="16"/>
              <w:spacing w:line="400" w:lineRule="exact"/>
              <w:rPr>
                <w:rFonts w:ascii="Times New Roman" w:hAnsi="Times New Roman"/>
                <w:sz w:val="21"/>
              </w:rPr>
            </w:pPr>
            <w:r>
              <w:rPr>
                <w:rFonts w:ascii="Times New Roman" w:hAnsi="Times New Roman"/>
                <w:sz w:val="21"/>
              </w:rPr>
              <w:t>同上一轮规划环评</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6" w:hRule="atLeast"/>
          <w:jc w:val="center"/>
        </w:trPr>
        <w:tc>
          <w:tcPr>
            <w:tcW w:w="430" w:type="pct"/>
            <w:vMerge w:val="restart"/>
            <w:vAlign w:val="center"/>
          </w:tcPr>
          <w:p>
            <w:pPr>
              <w:pStyle w:val="16"/>
              <w:spacing w:line="400" w:lineRule="exact"/>
              <w:rPr>
                <w:rFonts w:ascii="Times New Roman" w:hAnsi="Times New Roman"/>
                <w:sz w:val="21"/>
              </w:rPr>
            </w:pPr>
            <w:r>
              <w:rPr>
                <w:rFonts w:ascii="Times New Roman" w:hAnsi="Times New Roman"/>
                <w:sz w:val="21"/>
              </w:rPr>
              <w:t>总量控制因子</w:t>
            </w:r>
          </w:p>
        </w:tc>
        <w:tc>
          <w:tcPr>
            <w:tcW w:w="463" w:type="pct"/>
            <w:vAlign w:val="center"/>
          </w:tcPr>
          <w:p>
            <w:pPr>
              <w:pStyle w:val="16"/>
              <w:spacing w:line="400" w:lineRule="exact"/>
              <w:rPr>
                <w:rFonts w:ascii="Times New Roman" w:hAnsi="Times New Roman"/>
                <w:sz w:val="21"/>
              </w:rPr>
            </w:pPr>
            <w:r>
              <w:rPr>
                <w:rFonts w:ascii="Times New Roman" w:hAnsi="Times New Roman"/>
                <w:sz w:val="21"/>
              </w:rPr>
              <w:t>大气</w:t>
            </w:r>
          </w:p>
        </w:tc>
        <w:tc>
          <w:tcPr>
            <w:tcW w:w="1043" w:type="pct"/>
            <w:vAlign w:val="center"/>
          </w:tcPr>
          <w:p>
            <w:pPr>
              <w:pStyle w:val="16"/>
              <w:spacing w:line="400" w:lineRule="exact"/>
              <w:rPr>
                <w:rFonts w:ascii="Times New Roman" w:hAnsi="Times New Roman"/>
                <w:sz w:val="21"/>
              </w:rPr>
            </w:pPr>
            <w:r>
              <w:rPr>
                <w:rFonts w:ascii="Times New Roman" w:hAnsi="Times New Roman"/>
                <w:sz w:val="21"/>
              </w:rPr>
              <w:t>SO</w:t>
            </w:r>
            <w:r>
              <w:rPr>
                <w:rFonts w:ascii="Times New Roman" w:hAnsi="Times New Roman"/>
                <w:sz w:val="21"/>
                <w:vertAlign w:val="subscript"/>
              </w:rPr>
              <w:t>2</w:t>
            </w:r>
          </w:p>
        </w:tc>
        <w:tc>
          <w:tcPr>
            <w:tcW w:w="1895" w:type="pct"/>
            <w:vAlign w:val="center"/>
          </w:tcPr>
          <w:p>
            <w:pPr>
              <w:pStyle w:val="16"/>
              <w:spacing w:line="400" w:lineRule="exact"/>
              <w:rPr>
                <w:rFonts w:ascii="Times New Roman" w:hAnsi="Times New Roman"/>
                <w:sz w:val="21"/>
              </w:rPr>
            </w:pPr>
            <w:r>
              <w:rPr>
                <w:rFonts w:ascii="Times New Roman" w:hAnsi="Times New Roman"/>
                <w:sz w:val="21"/>
              </w:rPr>
              <w:t>SO</w:t>
            </w:r>
            <w:r>
              <w:rPr>
                <w:rFonts w:ascii="Times New Roman" w:hAnsi="Times New Roman"/>
                <w:sz w:val="21"/>
                <w:vertAlign w:val="subscript"/>
              </w:rPr>
              <w:t>2</w:t>
            </w:r>
            <w:r>
              <w:rPr>
                <w:rFonts w:ascii="Times New Roman" w:hAnsi="Times New Roman"/>
                <w:sz w:val="21"/>
              </w:rPr>
              <w:t>、NOx</w:t>
            </w:r>
          </w:p>
        </w:tc>
        <w:tc>
          <w:tcPr>
            <w:tcW w:w="1167" w:type="pct"/>
            <w:vAlign w:val="center"/>
          </w:tcPr>
          <w:p>
            <w:pPr>
              <w:pStyle w:val="16"/>
              <w:spacing w:line="400" w:lineRule="exact"/>
              <w:rPr>
                <w:rFonts w:ascii="Times New Roman" w:hAnsi="Times New Roman"/>
                <w:sz w:val="21"/>
              </w:rPr>
            </w:pPr>
            <w:r>
              <w:rPr>
                <w:rFonts w:hint="eastAsia" w:ascii="Times New Roman" w:hAnsi="Times New Roman"/>
                <w:sz w:val="21"/>
              </w:rPr>
              <w:t>较</w:t>
            </w:r>
            <w:r>
              <w:rPr>
                <w:rFonts w:ascii="Times New Roman" w:hAnsi="Times New Roman"/>
                <w:sz w:val="21"/>
              </w:rPr>
              <w:t>上一轮规划环评</w:t>
            </w:r>
            <w:r>
              <w:rPr>
                <w:rFonts w:hint="eastAsia" w:ascii="Times New Roman" w:hAnsi="Times New Roman"/>
                <w:sz w:val="21"/>
              </w:rPr>
              <w:t>新增</w:t>
            </w:r>
            <w:r>
              <w:rPr>
                <w:rFonts w:ascii="Times New Roman" w:hAnsi="Times New Roman"/>
                <w:sz w:val="21"/>
              </w:rPr>
              <w:t>NOx</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69" w:hRule="atLeast"/>
          <w:jc w:val="center"/>
        </w:trPr>
        <w:tc>
          <w:tcPr>
            <w:tcW w:w="430" w:type="pct"/>
            <w:vMerge w:val="continue"/>
            <w:vAlign w:val="center"/>
          </w:tcPr>
          <w:p>
            <w:pPr>
              <w:pStyle w:val="16"/>
              <w:spacing w:line="400" w:lineRule="exact"/>
              <w:rPr>
                <w:rFonts w:ascii="Times New Roman" w:hAnsi="Times New Roman"/>
                <w:sz w:val="21"/>
              </w:rPr>
            </w:pPr>
          </w:p>
        </w:tc>
        <w:tc>
          <w:tcPr>
            <w:tcW w:w="463" w:type="pct"/>
            <w:vAlign w:val="center"/>
          </w:tcPr>
          <w:p>
            <w:pPr>
              <w:pStyle w:val="16"/>
              <w:spacing w:line="400" w:lineRule="exact"/>
              <w:rPr>
                <w:rFonts w:ascii="Times New Roman" w:hAnsi="Times New Roman"/>
                <w:sz w:val="21"/>
              </w:rPr>
            </w:pPr>
            <w:r>
              <w:rPr>
                <w:rFonts w:ascii="Times New Roman" w:hAnsi="Times New Roman"/>
                <w:sz w:val="21"/>
              </w:rPr>
              <w:t>地表水</w:t>
            </w:r>
          </w:p>
        </w:tc>
        <w:tc>
          <w:tcPr>
            <w:tcW w:w="1043" w:type="pct"/>
            <w:vAlign w:val="center"/>
          </w:tcPr>
          <w:p>
            <w:pPr>
              <w:pStyle w:val="16"/>
              <w:spacing w:line="400" w:lineRule="exact"/>
              <w:rPr>
                <w:rFonts w:ascii="Times New Roman" w:hAnsi="Times New Roman"/>
                <w:sz w:val="21"/>
              </w:rPr>
            </w:pPr>
            <w:r>
              <w:rPr>
                <w:rFonts w:ascii="Times New Roman" w:hAnsi="Times New Roman"/>
                <w:sz w:val="21"/>
              </w:rPr>
              <w:t>CODcr、NH</w:t>
            </w:r>
            <w:r>
              <w:rPr>
                <w:rFonts w:ascii="Times New Roman" w:hAnsi="Times New Roman"/>
                <w:sz w:val="21"/>
                <w:vertAlign w:val="subscript"/>
              </w:rPr>
              <w:t>3</w:t>
            </w:r>
            <w:r>
              <w:rPr>
                <w:rFonts w:ascii="Times New Roman" w:hAnsi="Times New Roman"/>
                <w:sz w:val="21"/>
              </w:rPr>
              <w:t>-N</w:t>
            </w:r>
          </w:p>
        </w:tc>
        <w:tc>
          <w:tcPr>
            <w:tcW w:w="1895" w:type="pct"/>
            <w:vAlign w:val="center"/>
          </w:tcPr>
          <w:p>
            <w:pPr>
              <w:pStyle w:val="16"/>
              <w:spacing w:line="400" w:lineRule="exact"/>
              <w:rPr>
                <w:rFonts w:ascii="Times New Roman" w:hAnsi="Times New Roman"/>
                <w:sz w:val="21"/>
              </w:rPr>
            </w:pPr>
            <w:r>
              <w:rPr>
                <w:rFonts w:ascii="Times New Roman" w:hAnsi="Times New Roman"/>
                <w:sz w:val="21"/>
              </w:rPr>
              <w:t>CODcr、NH</w:t>
            </w:r>
            <w:r>
              <w:rPr>
                <w:rFonts w:ascii="Times New Roman" w:hAnsi="Times New Roman"/>
                <w:sz w:val="21"/>
                <w:vertAlign w:val="subscript"/>
              </w:rPr>
              <w:t>3</w:t>
            </w:r>
            <w:r>
              <w:rPr>
                <w:rFonts w:ascii="Times New Roman" w:hAnsi="Times New Roman"/>
                <w:sz w:val="21"/>
              </w:rPr>
              <w:t>-N</w:t>
            </w:r>
          </w:p>
        </w:tc>
        <w:tc>
          <w:tcPr>
            <w:tcW w:w="1167" w:type="pct"/>
            <w:vAlign w:val="center"/>
          </w:tcPr>
          <w:p>
            <w:pPr>
              <w:pStyle w:val="16"/>
              <w:spacing w:line="400" w:lineRule="exact"/>
              <w:rPr>
                <w:rFonts w:ascii="Times New Roman" w:hAnsi="Times New Roman"/>
                <w:sz w:val="21"/>
              </w:rPr>
            </w:pPr>
            <w:r>
              <w:rPr>
                <w:rFonts w:ascii="Times New Roman" w:hAnsi="Times New Roman"/>
                <w:sz w:val="21"/>
              </w:rPr>
              <w:t>同上一轮规划环评</w:t>
            </w:r>
          </w:p>
        </w:tc>
      </w:tr>
    </w:tbl>
    <w:p>
      <w:pPr>
        <w:spacing w:before="12"/>
        <w:ind w:firstLine="40"/>
        <w:rPr>
          <w:rFonts w:eastAsia="黑体" w:cs="Times New Roman"/>
          <w:b/>
          <w:bCs/>
          <w:sz w:val="2"/>
          <w:szCs w:val="2"/>
          <w:lang w:eastAsia="zh-CN"/>
        </w:rPr>
      </w:pPr>
    </w:p>
    <w:p>
      <w:pPr>
        <w:pStyle w:val="8"/>
        <w:rPr>
          <w:rFonts w:ascii="Times New Roman" w:hAnsi="Times New Roman" w:cs="Times New Roman"/>
          <w:lang w:eastAsia="zh-CN"/>
        </w:rPr>
      </w:pPr>
      <w:bookmarkStart w:id="48" w:name="_TOC_250020"/>
      <w:bookmarkStart w:id="49" w:name="_Toc1526"/>
      <w:bookmarkStart w:id="50" w:name="_Toc20510"/>
      <w:r>
        <w:rPr>
          <w:rFonts w:ascii="Times New Roman" w:hAnsi="Times New Roman" w:cs="Times New Roman"/>
          <w:lang w:eastAsia="zh-CN"/>
        </w:rPr>
        <w:t>1.6 环境功能区划</w:t>
      </w:r>
      <w:bookmarkEnd w:id="48"/>
      <w:bookmarkEnd w:id="49"/>
      <w:bookmarkEnd w:id="50"/>
    </w:p>
    <w:p>
      <w:pPr>
        <w:ind w:firstLine="480"/>
        <w:rPr>
          <w:rFonts w:cs="Times New Roman"/>
          <w:sz w:val="21"/>
          <w:szCs w:val="21"/>
          <w:lang w:eastAsia="zh-CN"/>
        </w:rPr>
      </w:pPr>
      <w:r>
        <w:rPr>
          <w:rFonts w:cs="Times New Roman"/>
          <w:lang w:eastAsia="zh-CN"/>
        </w:rPr>
        <w:t>规划区域环境质量标准见表1.6-1。与上一轮规划环评相比，除</w:t>
      </w:r>
      <w:r>
        <w:rPr>
          <w:rFonts w:hint="eastAsia" w:cs="Times New Roman"/>
          <w:lang w:eastAsia="zh-CN"/>
        </w:rPr>
        <w:t>土壤环境质量标准有更新</w:t>
      </w:r>
      <w:r>
        <w:rPr>
          <w:rFonts w:cs="Times New Roman"/>
          <w:lang w:eastAsia="zh-CN"/>
        </w:rPr>
        <w:t>，其余环境标准无变化。</w:t>
      </w:r>
      <w:r>
        <w:rPr>
          <w:rFonts w:hint="eastAsia" w:cs="Times New Roman"/>
          <w:lang w:eastAsia="zh-CN"/>
        </w:rPr>
        <w:t>各要素功能区划、生态红线</w:t>
      </w:r>
      <w:r>
        <w:rPr>
          <w:rFonts w:cs="Times New Roman"/>
          <w:lang w:eastAsia="zh-CN"/>
        </w:rPr>
        <w:t>详见</w:t>
      </w:r>
      <w:r>
        <w:rPr>
          <w:rFonts w:hint="eastAsia" w:cs="Times New Roman"/>
          <w:lang w:eastAsia="zh-CN"/>
        </w:rPr>
        <w:t>附</w:t>
      </w:r>
      <w:r>
        <w:rPr>
          <w:rFonts w:cs="Times New Roman"/>
          <w:lang w:eastAsia="zh-CN"/>
        </w:rPr>
        <w:t>图1-</w:t>
      </w:r>
      <w:r>
        <w:rPr>
          <w:rFonts w:hint="eastAsia" w:cs="Times New Roman"/>
          <w:lang w:eastAsia="zh-CN"/>
        </w:rPr>
        <w:t>3</w:t>
      </w:r>
      <w:r>
        <w:rPr>
          <w:rFonts w:cs="Times New Roman"/>
          <w:lang w:eastAsia="zh-CN"/>
        </w:rPr>
        <w:t>~</w:t>
      </w:r>
      <w:r>
        <w:rPr>
          <w:rFonts w:hint="eastAsia" w:cs="Times New Roman"/>
          <w:lang w:eastAsia="zh-CN"/>
        </w:rPr>
        <w:t>附</w:t>
      </w:r>
      <w:r>
        <w:rPr>
          <w:rFonts w:cs="Times New Roman"/>
          <w:lang w:eastAsia="zh-CN"/>
        </w:rPr>
        <w:t>图1-</w:t>
      </w:r>
      <w:r>
        <w:rPr>
          <w:rFonts w:hint="eastAsia" w:cs="Times New Roman"/>
          <w:lang w:eastAsia="zh-CN"/>
        </w:rPr>
        <w:t>6</w:t>
      </w:r>
      <w:r>
        <w:rPr>
          <w:rFonts w:cs="Times New Roman"/>
          <w:spacing w:val="-2"/>
          <w:lang w:eastAsia="zh-CN"/>
        </w:rPr>
        <w:t>。</w:t>
      </w:r>
    </w:p>
    <w:p>
      <w:pPr>
        <w:spacing w:line="240" w:lineRule="auto"/>
        <w:ind w:firstLine="0" w:firstLineChars="0"/>
        <w:jc w:val="center"/>
        <w:rPr>
          <w:rFonts w:cs="Times New Roman"/>
          <w:b/>
          <w:bCs/>
          <w:sz w:val="21"/>
          <w:szCs w:val="21"/>
          <w:lang w:eastAsia="zh-CN"/>
        </w:rPr>
      </w:pPr>
      <w:r>
        <w:rPr>
          <w:rFonts w:cs="Times New Roman"/>
          <w:b/>
          <w:bCs/>
          <w:sz w:val="21"/>
          <w:szCs w:val="21"/>
          <w:lang w:eastAsia="zh-CN"/>
        </w:rPr>
        <w:t>表1.6-1  环境功能区划表</w:t>
      </w:r>
    </w:p>
    <w:tbl>
      <w:tblPr>
        <w:tblStyle w:val="64"/>
        <w:tblW w:w="4996"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814"/>
        <w:gridCol w:w="2134"/>
        <w:gridCol w:w="884"/>
        <w:gridCol w:w="2420"/>
        <w:gridCol w:w="934"/>
        <w:gridCol w:w="131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3" w:type="pct"/>
            <w:vMerge w:val="restar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环境</w:t>
            </w:r>
          </w:p>
          <w:p>
            <w:pPr>
              <w:pStyle w:val="16"/>
              <w:spacing w:line="400" w:lineRule="exact"/>
              <w:rPr>
                <w:rFonts w:ascii="Times New Roman" w:hAnsi="Times New Roman"/>
                <w:b/>
                <w:bCs/>
                <w:sz w:val="21"/>
              </w:rPr>
            </w:pPr>
            <w:r>
              <w:rPr>
                <w:rFonts w:ascii="Times New Roman" w:hAnsi="Times New Roman"/>
                <w:b/>
                <w:bCs/>
                <w:sz w:val="21"/>
              </w:rPr>
              <w:t>要素</w:t>
            </w:r>
          </w:p>
        </w:tc>
        <w:tc>
          <w:tcPr>
            <w:tcW w:w="438" w:type="pct"/>
            <w:vMerge w:val="restar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区域</w:t>
            </w:r>
          </w:p>
        </w:tc>
        <w:tc>
          <w:tcPr>
            <w:tcW w:w="1625" w:type="pct"/>
            <w:gridSpan w:val="2"/>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上一轮规划环评</w:t>
            </w:r>
          </w:p>
        </w:tc>
        <w:tc>
          <w:tcPr>
            <w:tcW w:w="1806" w:type="pct"/>
            <w:gridSpan w:val="2"/>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跟踪评价</w:t>
            </w:r>
          </w:p>
        </w:tc>
        <w:tc>
          <w:tcPr>
            <w:tcW w:w="706" w:type="pct"/>
            <w:vMerge w:val="restar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trPr>
        <w:tc>
          <w:tcPr>
            <w:tcW w:w="423" w:type="pct"/>
            <w:vMerge w:val="continue"/>
            <w:tcBorders>
              <w:tl2br w:val="nil"/>
              <w:tr2bl w:val="nil"/>
            </w:tcBorders>
            <w:vAlign w:val="center"/>
          </w:tcPr>
          <w:p>
            <w:pPr>
              <w:pStyle w:val="16"/>
              <w:spacing w:line="400" w:lineRule="exact"/>
              <w:rPr>
                <w:rFonts w:ascii="Times New Roman" w:hAnsi="Times New Roman"/>
                <w:b/>
                <w:bCs/>
                <w:sz w:val="21"/>
              </w:rPr>
            </w:pPr>
          </w:p>
        </w:tc>
        <w:tc>
          <w:tcPr>
            <w:tcW w:w="438" w:type="pct"/>
            <w:vMerge w:val="continue"/>
            <w:tcBorders>
              <w:tl2br w:val="nil"/>
              <w:tr2bl w:val="nil"/>
            </w:tcBorders>
            <w:vAlign w:val="center"/>
          </w:tcPr>
          <w:p>
            <w:pPr>
              <w:pStyle w:val="16"/>
              <w:spacing w:line="400" w:lineRule="exact"/>
              <w:rPr>
                <w:rFonts w:ascii="Times New Roman" w:hAnsi="Times New Roman"/>
                <w:b/>
                <w:bCs/>
                <w:sz w:val="21"/>
              </w:rPr>
            </w:pPr>
          </w:p>
        </w:tc>
        <w:tc>
          <w:tcPr>
            <w:tcW w:w="1149"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标准</w:t>
            </w:r>
          </w:p>
        </w:tc>
        <w:tc>
          <w:tcPr>
            <w:tcW w:w="476"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类级别</w:t>
            </w:r>
          </w:p>
        </w:tc>
        <w:tc>
          <w:tcPr>
            <w:tcW w:w="1303"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标准</w:t>
            </w:r>
          </w:p>
        </w:tc>
        <w:tc>
          <w:tcPr>
            <w:tcW w:w="503"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类级别</w:t>
            </w:r>
          </w:p>
        </w:tc>
        <w:tc>
          <w:tcPr>
            <w:tcW w:w="706" w:type="pct"/>
            <w:vMerge w:val="continue"/>
            <w:tcBorders>
              <w:tl2br w:val="nil"/>
              <w:tr2bl w:val="nil"/>
            </w:tcBorders>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423" w:type="pct"/>
            <w:vMerge w:val="restar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地表水</w:t>
            </w:r>
          </w:p>
        </w:tc>
        <w:tc>
          <w:tcPr>
            <w:tcW w:w="43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杨官河</w:t>
            </w:r>
          </w:p>
        </w:tc>
        <w:tc>
          <w:tcPr>
            <w:tcW w:w="1149"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《地表水环境质量标准》（GB3838-2002）</w:t>
            </w:r>
          </w:p>
        </w:tc>
        <w:tc>
          <w:tcPr>
            <w:tcW w:w="476" w:type="pct"/>
            <w:tcBorders>
              <w:tl2br w:val="nil"/>
              <w:tr2bl w:val="nil"/>
            </w:tcBorders>
            <w:vAlign w:val="center"/>
          </w:tcPr>
          <w:p>
            <w:pPr>
              <w:pStyle w:val="16"/>
              <w:spacing w:line="400" w:lineRule="exact"/>
              <w:rPr>
                <w:rFonts w:ascii="Times New Roman" w:hAnsi="Times New Roman"/>
                <w:sz w:val="21"/>
              </w:rPr>
            </w:pPr>
            <w:r>
              <w:rPr>
                <w:sz w:val="21"/>
              </w:rPr>
              <w:t>Ⅲ</w:t>
            </w:r>
            <w:r>
              <w:rPr>
                <w:rFonts w:ascii="Times New Roman" w:hAnsi="Times New Roman"/>
                <w:sz w:val="21"/>
              </w:rPr>
              <w:t>类</w:t>
            </w:r>
          </w:p>
        </w:tc>
        <w:tc>
          <w:tcPr>
            <w:tcW w:w="13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《地表水环境质量标准》（GB3838-2002）</w:t>
            </w:r>
          </w:p>
        </w:tc>
        <w:tc>
          <w:tcPr>
            <w:tcW w:w="503" w:type="pct"/>
            <w:tcBorders>
              <w:tl2br w:val="nil"/>
              <w:tr2bl w:val="nil"/>
            </w:tcBorders>
            <w:vAlign w:val="center"/>
          </w:tcPr>
          <w:p>
            <w:pPr>
              <w:pStyle w:val="16"/>
              <w:spacing w:line="400" w:lineRule="exact"/>
              <w:rPr>
                <w:rFonts w:ascii="Times New Roman" w:hAnsi="Times New Roman"/>
                <w:sz w:val="21"/>
              </w:rPr>
            </w:pPr>
            <w:r>
              <w:rPr>
                <w:sz w:val="21"/>
              </w:rPr>
              <w:t>Ⅲ</w:t>
            </w:r>
          </w:p>
        </w:tc>
        <w:tc>
          <w:tcPr>
            <w:tcW w:w="706" w:type="pct"/>
            <w:vMerge w:val="restar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《关于同意沈阳市地面水功能区划管理意见的批复》（沈政〔1997〕30号）</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423" w:type="pct"/>
            <w:vMerge w:val="continue"/>
            <w:tcBorders>
              <w:tl2br w:val="nil"/>
              <w:tr2bl w:val="nil"/>
            </w:tcBorders>
            <w:vAlign w:val="center"/>
          </w:tcPr>
          <w:p>
            <w:pPr>
              <w:pStyle w:val="16"/>
              <w:spacing w:line="400" w:lineRule="exact"/>
            </w:pPr>
          </w:p>
        </w:tc>
        <w:tc>
          <w:tcPr>
            <w:tcW w:w="814"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沈抚灌渠</w:t>
            </w:r>
          </w:p>
        </w:tc>
        <w:tc>
          <w:tcPr>
            <w:tcW w:w="1149"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47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3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《地表水环境质量标准》（GB3838-2002）</w:t>
            </w:r>
          </w:p>
        </w:tc>
        <w:tc>
          <w:tcPr>
            <w:tcW w:w="503" w:type="pct"/>
            <w:tcBorders>
              <w:tl2br w:val="nil"/>
              <w:tr2bl w:val="nil"/>
            </w:tcBorders>
            <w:vAlign w:val="center"/>
          </w:tcPr>
          <w:p>
            <w:pPr>
              <w:spacing w:line="400" w:lineRule="exact"/>
              <w:ind w:firstLine="0" w:firstLineChars="0"/>
              <w:jc w:val="center"/>
              <w:rPr>
                <w:rFonts w:cs="Times New Roman"/>
                <w:sz w:val="21"/>
                <w:szCs w:val="21"/>
              </w:rPr>
            </w:pPr>
            <w:r>
              <w:rPr>
                <w:rFonts w:cs="Times New Roman"/>
                <w:sz w:val="21"/>
                <w:szCs w:val="21"/>
                <w:lang w:eastAsia="zh-CN"/>
              </w:rPr>
              <w:t>V</w:t>
            </w:r>
          </w:p>
        </w:tc>
        <w:tc>
          <w:tcPr>
            <w:tcW w:w="706" w:type="pct"/>
            <w:vMerge w:val="continue"/>
            <w:tcBorders>
              <w:tl2br w:val="nil"/>
              <w:tr2bl w:val="nil"/>
            </w:tcBorders>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423" w:type="pct"/>
            <w:vMerge w:val="continue"/>
            <w:tcBorders>
              <w:tl2br w:val="nil"/>
              <w:tr2bl w:val="nil"/>
            </w:tcBorders>
            <w:vAlign w:val="center"/>
          </w:tcPr>
          <w:p>
            <w:pPr>
              <w:pStyle w:val="16"/>
              <w:spacing w:line="400" w:lineRule="exact"/>
              <w:rPr>
                <w:rFonts w:ascii="Times New Roman" w:hAnsi="Times New Roman"/>
                <w:sz w:val="21"/>
              </w:rPr>
            </w:pPr>
          </w:p>
        </w:tc>
        <w:tc>
          <w:tcPr>
            <w:tcW w:w="814"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北沙河</w:t>
            </w:r>
          </w:p>
        </w:tc>
        <w:tc>
          <w:tcPr>
            <w:tcW w:w="1149"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47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3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《地表水环境质量标准》（GB3838-2002）</w:t>
            </w:r>
          </w:p>
        </w:tc>
        <w:tc>
          <w:tcPr>
            <w:tcW w:w="503" w:type="pct"/>
            <w:tcBorders>
              <w:tl2br w:val="nil"/>
              <w:tr2bl w:val="nil"/>
            </w:tcBorders>
            <w:vAlign w:val="center"/>
          </w:tcPr>
          <w:p>
            <w:pPr>
              <w:spacing w:line="400" w:lineRule="exact"/>
              <w:ind w:firstLine="0" w:firstLineChars="0"/>
              <w:jc w:val="center"/>
              <w:rPr>
                <w:rFonts w:cs="Times New Roman"/>
                <w:sz w:val="21"/>
                <w:szCs w:val="21"/>
              </w:rPr>
            </w:pPr>
            <w:r>
              <w:rPr>
                <w:rFonts w:cs="Times New Roman"/>
                <w:sz w:val="21"/>
                <w:szCs w:val="21"/>
                <w:lang w:eastAsia="zh-CN"/>
              </w:rPr>
              <w:t>V</w:t>
            </w:r>
          </w:p>
        </w:tc>
        <w:tc>
          <w:tcPr>
            <w:tcW w:w="706" w:type="pct"/>
            <w:vMerge w:val="continue"/>
            <w:tcBorders>
              <w:tl2br w:val="nil"/>
              <w:tr2bl w:val="nil"/>
            </w:tcBorders>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地下水</w:t>
            </w:r>
          </w:p>
        </w:tc>
        <w:tc>
          <w:tcPr>
            <w:tcW w:w="43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规划区范围内</w:t>
            </w:r>
          </w:p>
        </w:tc>
        <w:tc>
          <w:tcPr>
            <w:tcW w:w="1149"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《地下水质量标准》 （GB14848-93）</w:t>
            </w:r>
          </w:p>
        </w:tc>
        <w:tc>
          <w:tcPr>
            <w:tcW w:w="476"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Ⅲ类</w:t>
            </w:r>
          </w:p>
        </w:tc>
        <w:tc>
          <w:tcPr>
            <w:tcW w:w="13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《地下水质量标准》（GB14848-2017）</w:t>
            </w:r>
          </w:p>
        </w:tc>
        <w:tc>
          <w:tcPr>
            <w:tcW w:w="5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Ⅲ类</w:t>
            </w:r>
          </w:p>
        </w:tc>
        <w:tc>
          <w:tcPr>
            <w:tcW w:w="706"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标准更新</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环境空气</w:t>
            </w:r>
          </w:p>
        </w:tc>
        <w:tc>
          <w:tcPr>
            <w:tcW w:w="43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规划区及周边区域</w:t>
            </w:r>
          </w:p>
        </w:tc>
        <w:tc>
          <w:tcPr>
            <w:tcW w:w="1149"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《环境空气质量标准》（GB3095-1996）及修改单</w:t>
            </w:r>
          </w:p>
        </w:tc>
        <w:tc>
          <w:tcPr>
            <w:tcW w:w="476"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二级</w:t>
            </w:r>
          </w:p>
        </w:tc>
        <w:tc>
          <w:tcPr>
            <w:tcW w:w="13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常规污染物《环境空气质量标准》（GB3095-2012）及修改单</w:t>
            </w:r>
            <w:r>
              <w:rPr>
                <w:rFonts w:ascii="Times New Roman" w:hAnsi="Times New Roman"/>
                <w:sz w:val="21"/>
                <w:highlight w:val="yellow"/>
              </w:rPr>
              <w:t>；</w:t>
            </w:r>
            <w:r>
              <w:rPr>
                <w:rFonts w:hint="eastAsia" w:ascii="Times New Roman" w:hAnsi="Times New Roman"/>
                <w:sz w:val="21"/>
                <w:highlight w:val="yellow"/>
              </w:rPr>
              <w:t>VOCs</w:t>
            </w:r>
            <w:r>
              <w:rPr>
                <w:rFonts w:ascii="Times New Roman" w:hAnsi="Times New Roman"/>
                <w:sz w:val="21"/>
                <w:highlight w:val="yellow"/>
              </w:rPr>
              <w:t>参照执行《环境影 响评价技术导则―大气环境》（HJ2.2-2018）附录 D 表 D.1</w:t>
            </w:r>
          </w:p>
        </w:tc>
        <w:tc>
          <w:tcPr>
            <w:tcW w:w="5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二级</w:t>
            </w:r>
          </w:p>
        </w:tc>
        <w:tc>
          <w:tcPr>
            <w:tcW w:w="706"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标准更新</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土壤</w:t>
            </w:r>
          </w:p>
        </w:tc>
        <w:tc>
          <w:tcPr>
            <w:tcW w:w="43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规划区</w:t>
            </w:r>
          </w:p>
        </w:tc>
        <w:tc>
          <w:tcPr>
            <w:tcW w:w="1149"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《土壤环境质量标准》(GB15618-1995)</w:t>
            </w:r>
          </w:p>
        </w:tc>
        <w:tc>
          <w:tcPr>
            <w:tcW w:w="47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二级</w:t>
            </w:r>
          </w:p>
        </w:tc>
        <w:tc>
          <w:tcPr>
            <w:tcW w:w="13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highlight w:val="yellow"/>
              </w:rPr>
              <w:t>《土壤环境质量 建设用地土壤污染风险管控标准（试行）》（GB36600-2018）</w:t>
            </w:r>
            <w:r>
              <w:rPr>
                <w:rFonts w:hint="eastAsia" w:ascii="Times New Roman" w:hAnsi="Times New Roman"/>
                <w:sz w:val="21"/>
                <w:highlight w:val="yellow"/>
              </w:rPr>
              <w:t>（是否需要农用地）</w:t>
            </w:r>
          </w:p>
        </w:tc>
        <w:tc>
          <w:tcPr>
            <w:tcW w:w="5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第一类用地和二类用地中的筛选值</w:t>
            </w:r>
          </w:p>
        </w:tc>
        <w:tc>
          <w:tcPr>
            <w:tcW w:w="706"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标准进行了修改</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42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声</w:t>
            </w:r>
          </w:p>
        </w:tc>
        <w:tc>
          <w:tcPr>
            <w:tcW w:w="43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规划范围</w:t>
            </w:r>
          </w:p>
        </w:tc>
        <w:tc>
          <w:tcPr>
            <w:tcW w:w="1149"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《声环境质量标准》（GB3096-2008）</w:t>
            </w:r>
          </w:p>
        </w:tc>
        <w:tc>
          <w:tcPr>
            <w:tcW w:w="476"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不同功能区标准</w:t>
            </w:r>
          </w:p>
        </w:tc>
        <w:tc>
          <w:tcPr>
            <w:tcW w:w="13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《声环境质量标准》（GB 3096-2008）</w:t>
            </w:r>
          </w:p>
        </w:tc>
        <w:tc>
          <w:tcPr>
            <w:tcW w:w="503"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不同功能区标准</w:t>
            </w:r>
          </w:p>
        </w:tc>
        <w:tc>
          <w:tcPr>
            <w:tcW w:w="706"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同上一轮规划环评</w:t>
            </w:r>
          </w:p>
        </w:tc>
      </w:tr>
    </w:tbl>
    <w:p>
      <w:pPr>
        <w:ind w:firstLine="480"/>
        <w:rPr>
          <w:rFonts w:cs="Times New Roman"/>
          <w:lang w:eastAsia="zh-CN"/>
        </w:rPr>
      </w:pPr>
      <w:r>
        <w:rPr>
          <w:rFonts w:cs="Times New Roman"/>
          <w:lang w:eastAsia="zh-CN"/>
        </w:rPr>
        <w:t>与上一轮规划环评的评价标准相比，部分标准有所更新，如上一轮《地下水质量标准》（GB14848-93）被《地下水质量标准》（GB14848-2017）替代 ；《环境空气质量标准》（GB3095-1996）已被《环境空气质量标准》（GB3095-2012）及修改单替代</w:t>
      </w:r>
      <w:r>
        <w:rPr>
          <w:rFonts w:hint="eastAsia" w:cs="Times New Roman"/>
          <w:lang w:eastAsia="zh-CN"/>
        </w:rPr>
        <w:t>；</w:t>
      </w:r>
      <w:r>
        <w:rPr>
          <w:rFonts w:cs="Times New Roman"/>
          <w:lang w:eastAsia="zh-CN"/>
        </w:rPr>
        <w:t>《土壤环境质量标准》(GB15618-1995)</w:t>
      </w:r>
      <w:r>
        <w:rPr>
          <w:rFonts w:hint="eastAsia" w:cs="Times New Roman"/>
          <w:lang w:eastAsia="zh-CN"/>
        </w:rPr>
        <w:t>已被</w:t>
      </w:r>
      <w:r>
        <w:rPr>
          <w:rFonts w:cs="Times New Roman"/>
          <w:lang w:eastAsia="zh-CN"/>
        </w:rPr>
        <w:t>《土壤环境质量 建设用地土壤污染风险管控标准（试行）》（GB36600-2018）替代。具体标准如下：</w:t>
      </w:r>
    </w:p>
    <w:p>
      <w:pPr>
        <w:ind w:firstLine="480"/>
        <w:rPr>
          <w:rFonts w:cs="Times New Roman"/>
          <w:lang w:eastAsia="zh-CN"/>
        </w:rPr>
      </w:pPr>
      <w:r>
        <w:rPr>
          <w:rFonts w:cs="Times New Roman"/>
          <w:lang w:eastAsia="zh-CN"/>
        </w:rPr>
        <w:t>（1）环境空气质量标准</w:t>
      </w:r>
    </w:p>
    <w:p>
      <w:pPr>
        <w:ind w:firstLine="480"/>
        <w:rPr>
          <w:rFonts w:cs="Times New Roman"/>
          <w:lang w:eastAsia="zh-CN"/>
        </w:rPr>
      </w:pPr>
      <w:r>
        <w:rPr>
          <w:rFonts w:cs="Times New Roman"/>
          <w:lang w:eastAsia="zh-CN"/>
        </w:rPr>
        <w:t>本项目所在区域环境空气质量功能区为二类区域，环境空气执行《环境空气质量标准》（GB3095-2012）中的二级标准。各项标准值如表。</w:t>
      </w:r>
    </w:p>
    <w:p>
      <w:pPr>
        <w:pStyle w:val="16"/>
        <w:spacing w:line="240" w:lineRule="auto"/>
        <w:rPr>
          <w:rFonts w:ascii="Times New Roman" w:hAnsi="Times New Roman"/>
          <w:b/>
          <w:bCs/>
          <w:sz w:val="21"/>
        </w:rPr>
      </w:pPr>
      <w:r>
        <w:rPr>
          <w:rFonts w:ascii="Times New Roman" w:hAnsi="Times New Roman"/>
          <w:b/>
          <w:bCs/>
          <w:sz w:val="21"/>
        </w:rPr>
        <w:t>表1.6-2 环境空气质量评价标准</w:t>
      </w:r>
    </w:p>
    <w:tbl>
      <w:tblPr>
        <w:tblStyle w:val="64"/>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2142"/>
        <w:gridCol w:w="2167"/>
        <w:gridCol w:w="359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4" w:type="dxa"/>
            <w:vAlign w:val="center"/>
          </w:tcPr>
          <w:p>
            <w:pPr>
              <w:pStyle w:val="16"/>
              <w:spacing w:line="400" w:lineRule="exact"/>
              <w:rPr>
                <w:rFonts w:ascii="Times New Roman" w:hAnsi="Times New Roman"/>
                <w:b/>
                <w:bCs/>
                <w:sz w:val="21"/>
              </w:rPr>
            </w:pPr>
            <w:r>
              <w:rPr>
                <w:rFonts w:ascii="Times New Roman" w:hAnsi="Times New Roman"/>
                <w:b/>
                <w:bCs/>
                <w:sz w:val="21"/>
              </w:rPr>
              <w:t>污染物</w:t>
            </w:r>
          </w:p>
        </w:tc>
        <w:tc>
          <w:tcPr>
            <w:tcW w:w="2142" w:type="dxa"/>
            <w:vAlign w:val="center"/>
          </w:tcPr>
          <w:p>
            <w:pPr>
              <w:pStyle w:val="16"/>
              <w:spacing w:line="400" w:lineRule="exact"/>
              <w:rPr>
                <w:rFonts w:ascii="Times New Roman" w:hAnsi="Times New Roman"/>
                <w:b/>
                <w:bCs/>
                <w:sz w:val="21"/>
              </w:rPr>
            </w:pPr>
            <w:r>
              <w:rPr>
                <w:rFonts w:ascii="Times New Roman" w:hAnsi="Times New Roman"/>
                <w:b/>
                <w:bCs/>
                <w:sz w:val="21"/>
              </w:rPr>
              <w:t>取值时间</w:t>
            </w:r>
          </w:p>
        </w:tc>
        <w:tc>
          <w:tcPr>
            <w:tcW w:w="2167" w:type="dxa"/>
            <w:vAlign w:val="center"/>
          </w:tcPr>
          <w:p>
            <w:pPr>
              <w:pStyle w:val="16"/>
              <w:spacing w:line="400" w:lineRule="exact"/>
              <w:rPr>
                <w:rFonts w:ascii="Times New Roman" w:hAnsi="Times New Roman"/>
                <w:b/>
                <w:bCs/>
                <w:sz w:val="21"/>
              </w:rPr>
            </w:pPr>
            <w:r>
              <w:rPr>
                <w:rFonts w:ascii="Times New Roman" w:hAnsi="Times New Roman"/>
                <w:b/>
                <w:bCs/>
                <w:sz w:val="21"/>
              </w:rPr>
              <w:t>浓度限值（mg/m</w:t>
            </w:r>
            <w:r>
              <w:rPr>
                <w:rFonts w:ascii="Times New Roman" w:hAnsi="Times New Roman"/>
                <w:b/>
                <w:bCs/>
                <w:sz w:val="21"/>
                <w:vertAlign w:val="superscript"/>
              </w:rPr>
              <w:t>3</w:t>
            </w:r>
            <w:r>
              <w:rPr>
                <w:rFonts w:ascii="Times New Roman" w:hAnsi="Times New Roman"/>
                <w:b/>
                <w:bCs/>
                <w:sz w:val="21"/>
              </w:rPr>
              <w:t>）</w:t>
            </w:r>
          </w:p>
        </w:tc>
        <w:tc>
          <w:tcPr>
            <w:tcW w:w="3593" w:type="dxa"/>
            <w:vAlign w:val="center"/>
          </w:tcPr>
          <w:p>
            <w:pPr>
              <w:pStyle w:val="16"/>
              <w:spacing w:line="400" w:lineRule="exact"/>
              <w:rPr>
                <w:rFonts w:ascii="Times New Roman" w:hAnsi="Times New Roman"/>
                <w:b/>
                <w:bCs/>
                <w:sz w:val="21"/>
              </w:rPr>
            </w:pPr>
            <w:r>
              <w:rPr>
                <w:rFonts w:ascii="Times New Roman" w:hAnsi="Times New Roman"/>
                <w:b/>
                <w:bCs/>
                <w:sz w:val="21"/>
              </w:rPr>
              <w:t>标准来源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1334" w:type="dxa"/>
            <w:vMerge w:val="restart"/>
            <w:vAlign w:val="center"/>
          </w:tcPr>
          <w:p>
            <w:pPr>
              <w:pStyle w:val="16"/>
              <w:spacing w:line="400" w:lineRule="exact"/>
              <w:rPr>
                <w:rFonts w:ascii="Times New Roman" w:hAnsi="Times New Roman"/>
                <w:sz w:val="21"/>
              </w:rPr>
            </w:pPr>
            <w:r>
              <w:rPr>
                <w:rFonts w:ascii="Times New Roman" w:hAnsi="Times New Roman"/>
                <w:sz w:val="21"/>
              </w:rPr>
              <w:t>PM</w:t>
            </w:r>
            <w:r>
              <w:rPr>
                <w:rFonts w:ascii="Times New Roman" w:hAnsi="Times New Roman"/>
                <w:sz w:val="21"/>
                <w:vertAlign w:val="subscript"/>
              </w:rPr>
              <w:t>10</w:t>
            </w:r>
          </w:p>
        </w:tc>
        <w:tc>
          <w:tcPr>
            <w:tcW w:w="2142" w:type="dxa"/>
            <w:vAlign w:val="center"/>
          </w:tcPr>
          <w:p>
            <w:pPr>
              <w:pStyle w:val="16"/>
              <w:spacing w:line="400" w:lineRule="exact"/>
              <w:rPr>
                <w:rFonts w:ascii="Times New Roman" w:hAnsi="Times New Roman"/>
                <w:sz w:val="21"/>
              </w:rPr>
            </w:pPr>
            <w:r>
              <w:rPr>
                <w:rFonts w:ascii="Times New Roman" w:hAnsi="Times New Roman"/>
                <w:sz w:val="21"/>
              </w:rPr>
              <w:t>年平均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0.07</w:t>
            </w:r>
          </w:p>
        </w:tc>
        <w:tc>
          <w:tcPr>
            <w:tcW w:w="3593" w:type="dxa"/>
            <w:vMerge w:val="restart"/>
            <w:vAlign w:val="center"/>
          </w:tcPr>
          <w:p>
            <w:pPr>
              <w:pStyle w:val="16"/>
              <w:spacing w:line="400" w:lineRule="exact"/>
              <w:rPr>
                <w:rFonts w:ascii="Times New Roman" w:hAnsi="Times New Roman"/>
                <w:sz w:val="21"/>
              </w:rPr>
            </w:pPr>
            <w:r>
              <w:rPr>
                <w:rFonts w:ascii="Times New Roman" w:hAnsi="Times New Roman"/>
                <w:sz w:val="21"/>
              </w:rPr>
              <w:t>《环境空气质量标准》</w:t>
            </w:r>
          </w:p>
          <w:p>
            <w:pPr>
              <w:pStyle w:val="16"/>
              <w:spacing w:line="400" w:lineRule="exact"/>
              <w:rPr>
                <w:rFonts w:ascii="Times New Roman" w:hAnsi="Times New Roman"/>
                <w:sz w:val="21"/>
              </w:rPr>
            </w:pPr>
            <w:r>
              <w:rPr>
                <w:rFonts w:ascii="Times New Roman" w:hAnsi="Times New Roman"/>
                <w:sz w:val="21"/>
              </w:rPr>
              <w:t>（GB3095-2012）</w:t>
            </w:r>
            <w:r>
              <w:rPr>
                <w:rFonts w:hint="eastAsia" w:ascii="Times New Roman" w:hAnsi="Times New Roman"/>
                <w:sz w:val="21"/>
              </w:rPr>
              <w:t>及修改单</w:t>
            </w:r>
            <w:r>
              <w:rPr>
                <w:rFonts w:ascii="Times New Roman" w:hAnsi="Times New Roman"/>
                <w:sz w:val="21"/>
              </w:rPr>
              <w:t>中二级标准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334" w:type="dxa"/>
            <w:vMerge w:val="continue"/>
            <w:vAlign w:val="center"/>
          </w:tcPr>
          <w:p>
            <w:pPr>
              <w:pStyle w:val="16"/>
              <w:spacing w:line="400" w:lineRule="exact"/>
              <w:rPr>
                <w:rFonts w:ascii="Times New Roman" w:hAnsi="Times New Roman"/>
                <w:sz w:val="21"/>
              </w:rPr>
            </w:pPr>
          </w:p>
        </w:tc>
        <w:tc>
          <w:tcPr>
            <w:tcW w:w="2142" w:type="dxa"/>
            <w:vAlign w:val="center"/>
          </w:tcPr>
          <w:p>
            <w:pPr>
              <w:pStyle w:val="16"/>
              <w:spacing w:line="400" w:lineRule="exact"/>
              <w:rPr>
                <w:rFonts w:ascii="Times New Roman" w:hAnsi="Times New Roman"/>
                <w:sz w:val="21"/>
              </w:rPr>
            </w:pPr>
            <w:r>
              <w:rPr>
                <w:rFonts w:ascii="Times New Roman" w:hAnsi="Times New Roman"/>
                <w:sz w:val="21"/>
              </w:rPr>
              <w:t>24小时平均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0.15</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vAlign w:val="center"/>
          </w:tcPr>
          <w:p>
            <w:pPr>
              <w:pStyle w:val="16"/>
              <w:spacing w:line="400" w:lineRule="exact"/>
              <w:rPr>
                <w:rFonts w:ascii="Times New Roman" w:hAnsi="Times New Roman"/>
                <w:sz w:val="21"/>
              </w:rPr>
            </w:pPr>
            <w:r>
              <w:rPr>
                <w:rFonts w:ascii="Times New Roman" w:hAnsi="Times New Roman"/>
                <w:sz w:val="21"/>
              </w:rPr>
              <w:t>PM</w:t>
            </w:r>
            <w:r>
              <w:rPr>
                <w:rFonts w:ascii="Times New Roman" w:hAnsi="Times New Roman"/>
                <w:sz w:val="21"/>
                <w:vertAlign w:val="subscript"/>
              </w:rPr>
              <w:t>2.5</w:t>
            </w:r>
          </w:p>
        </w:tc>
        <w:tc>
          <w:tcPr>
            <w:tcW w:w="2142" w:type="dxa"/>
            <w:vAlign w:val="center"/>
          </w:tcPr>
          <w:p>
            <w:pPr>
              <w:pStyle w:val="16"/>
              <w:spacing w:line="400" w:lineRule="exact"/>
              <w:rPr>
                <w:rFonts w:ascii="Times New Roman" w:hAnsi="Times New Roman"/>
                <w:sz w:val="21"/>
              </w:rPr>
            </w:pPr>
            <w:r>
              <w:rPr>
                <w:rFonts w:ascii="Times New Roman" w:hAnsi="Times New Roman"/>
                <w:sz w:val="21"/>
              </w:rPr>
              <w:t>年平均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0.035</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vAlign w:val="center"/>
          </w:tcPr>
          <w:p>
            <w:pPr>
              <w:pStyle w:val="16"/>
              <w:spacing w:line="400" w:lineRule="exact"/>
              <w:rPr>
                <w:rFonts w:ascii="Times New Roman" w:hAnsi="Times New Roman"/>
                <w:sz w:val="21"/>
              </w:rPr>
            </w:pPr>
          </w:p>
        </w:tc>
        <w:tc>
          <w:tcPr>
            <w:tcW w:w="2142" w:type="dxa"/>
            <w:vAlign w:val="center"/>
          </w:tcPr>
          <w:p>
            <w:pPr>
              <w:pStyle w:val="16"/>
              <w:spacing w:line="400" w:lineRule="exact"/>
              <w:rPr>
                <w:rFonts w:ascii="Times New Roman" w:hAnsi="Times New Roman"/>
                <w:sz w:val="21"/>
              </w:rPr>
            </w:pPr>
            <w:r>
              <w:rPr>
                <w:rFonts w:ascii="Times New Roman" w:hAnsi="Times New Roman"/>
                <w:sz w:val="21"/>
              </w:rPr>
              <w:t>24小时平均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0.075</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vAlign w:val="center"/>
          </w:tcPr>
          <w:p>
            <w:pPr>
              <w:pStyle w:val="16"/>
              <w:spacing w:line="400" w:lineRule="exact"/>
              <w:rPr>
                <w:rFonts w:ascii="Times New Roman" w:hAnsi="Times New Roman"/>
                <w:sz w:val="21"/>
              </w:rPr>
            </w:pPr>
            <w:r>
              <w:rPr>
                <w:rFonts w:ascii="Times New Roman" w:hAnsi="Times New Roman"/>
                <w:sz w:val="21"/>
              </w:rPr>
              <w:t>TSP</w:t>
            </w:r>
          </w:p>
        </w:tc>
        <w:tc>
          <w:tcPr>
            <w:tcW w:w="2142" w:type="dxa"/>
            <w:vAlign w:val="center"/>
          </w:tcPr>
          <w:p>
            <w:pPr>
              <w:pStyle w:val="16"/>
              <w:spacing w:line="400" w:lineRule="exact"/>
              <w:rPr>
                <w:rFonts w:ascii="Times New Roman" w:hAnsi="Times New Roman"/>
                <w:sz w:val="21"/>
              </w:rPr>
            </w:pPr>
            <w:r>
              <w:rPr>
                <w:rFonts w:ascii="Times New Roman" w:hAnsi="Times New Roman"/>
                <w:sz w:val="21"/>
              </w:rPr>
              <w:t>年平均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0.2</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vAlign w:val="center"/>
          </w:tcPr>
          <w:p>
            <w:pPr>
              <w:pStyle w:val="16"/>
              <w:spacing w:line="400" w:lineRule="exact"/>
              <w:rPr>
                <w:rFonts w:ascii="Times New Roman" w:hAnsi="Times New Roman"/>
                <w:sz w:val="21"/>
              </w:rPr>
            </w:pPr>
          </w:p>
        </w:tc>
        <w:tc>
          <w:tcPr>
            <w:tcW w:w="2142" w:type="dxa"/>
            <w:vAlign w:val="center"/>
          </w:tcPr>
          <w:p>
            <w:pPr>
              <w:pStyle w:val="16"/>
              <w:spacing w:line="400" w:lineRule="exact"/>
              <w:rPr>
                <w:rFonts w:ascii="Times New Roman" w:hAnsi="Times New Roman"/>
                <w:sz w:val="21"/>
              </w:rPr>
            </w:pPr>
            <w:r>
              <w:rPr>
                <w:rFonts w:ascii="Times New Roman" w:hAnsi="Times New Roman"/>
                <w:sz w:val="21"/>
              </w:rPr>
              <w:t>24小时平均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0.3</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vAlign w:val="center"/>
          </w:tcPr>
          <w:p>
            <w:pPr>
              <w:pStyle w:val="16"/>
              <w:spacing w:line="400" w:lineRule="exact"/>
              <w:rPr>
                <w:rFonts w:ascii="Times New Roman" w:hAnsi="Times New Roman"/>
                <w:sz w:val="21"/>
              </w:rPr>
            </w:pPr>
            <w:r>
              <w:rPr>
                <w:rFonts w:ascii="Times New Roman" w:hAnsi="Times New Roman"/>
                <w:sz w:val="21"/>
              </w:rPr>
              <w:t>SO</w:t>
            </w:r>
            <w:r>
              <w:rPr>
                <w:rFonts w:ascii="Times New Roman" w:hAnsi="Times New Roman"/>
                <w:sz w:val="21"/>
                <w:vertAlign w:val="subscript"/>
              </w:rPr>
              <w:t>2</w:t>
            </w:r>
          </w:p>
        </w:tc>
        <w:tc>
          <w:tcPr>
            <w:tcW w:w="2142" w:type="dxa"/>
            <w:vAlign w:val="center"/>
          </w:tcPr>
          <w:p>
            <w:pPr>
              <w:pStyle w:val="16"/>
              <w:spacing w:line="400" w:lineRule="exact"/>
              <w:rPr>
                <w:rFonts w:ascii="Times New Roman" w:hAnsi="Times New Roman"/>
                <w:sz w:val="21"/>
              </w:rPr>
            </w:pPr>
            <w:r>
              <w:rPr>
                <w:rFonts w:ascii="Times New Roman" w:hAnsi="Times New Roman"/>
                <w:sz w:val="21"/>
              </w:rPr>
              <w:t>年平均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0.06</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vAlign w:val="center"/>
          </w:tcPr>
          <w:p>
            <w:pPr>
              <w:pStyle w:val="16"/>
              <w:spacing w:line="400" w:lineRule="exact"/>
              <w:rPr>
                <w:rFonts w:ascii="Times New Roman" w:hAnsi="Times New Roman"/>
                <w:sz w:val="21"/>
              </w:rPr>
            </w:pPr>
          </w:p>
        </w:tc>
        <w:tc>
          <w:tcPr>
            <w:tcW w:w="2142" w:type="dxa"/>
            <w:vAlign w:val="center"/>
          </w:tcPr>
          <w:p>
            <w:pPr>
              <w:pStyle w:val="16"/>
              <w:spacing w:line="400" w:lineRule="exact"/>
              <w:rPr>
                <w:rFonts w:ascii="Times New Roman" w:hAnsi="Times New Roman"/>
                <w:sz w:val="21"/>
              </w:rPr>
            </w:pPr>
            <w:r>
              <w:rPr>
                <w:rFonts w:ascii="Times New Roman" w:hAnsi="Times New Roman"/>
                <w:sz w:val="21"/>
              </w:rPr>
              <w:t>24小时平均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0.15</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vAlign w:val="center"/>
          </w:tcPr>
          <w:p>
            <w:pPr>
              <w:pStyle w:val="16"/>
              <w:spacing w:line="400" w:lineRule="exact"/>
              <w:rPr>
                <w:rFonts w:ascii="Times New Roman" w:hAnsi="Times New Roman"/>
                <w:sz w:val="21"/>
              </w:rPr>
            </w:pPr>
          </w:p>
        </w:tc>
        <w:tc>
          <w:tcPr>
            <w:tcW w:w="2142" w:type="dxa"/>
            <w:vAlign w:val="center"/>
          </w:tcPr>
          <w:p>
            <w:pPr>
              <w:pStyle w:val="16"/>
              <w:spacing w:line="400" w:lineRule="exact"/>
              <w:rPr>
                <w:rFonts w:ascii="Times New Roman" w:hAnsi="Times New Roman"/>
                <w:sz w:val="21"/>
              </w:rPr>
            </w:pPr>
            <w:r>
              <w:rPr>
                <w:rFonts w:ascii="Times New Roman" w:hAnsi="Times New Roman"/>
                <w:sz w:val="21"/>
              </w:rPr>
              <w:t>1小时平均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0.50</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vAlign w:val="center"/>
          </w:tcPr>
          <w:p>
            <w:pPr>
              <w:pStyle w:val="16"/>
              <w:spacing w:line="400" w:lineRule="exact"/>
              <w:rPr>
                <w:rFonts w:ascii="Times New Roman" w:hAnsi="Times New Roman"/>
                <w:sz w:val="21"/>
              </w:rPr>
            </w:pPr>
            <w:r>
              <w:rPr>
                <w:rFonts w:ascii="Times New Roman" w:hAnsi="Times New Roman"/>
                <w:sz w:val="21"/>
              </w:rPr>
              <w:t>NO</w:t>
            </w:r>
            <w:r>
              <w:rPr>
                <w:rFonts w:ascii="Times New Roman" w:hAnsi="Times New Roman"/>
                <w:sz w:val="21"/>
                <w:vertAlign w:val="subscript"/>
              </w:rPr>
              <w:t>2</w:t>
            </w:r>
          </w:p>
        </w:tc>
        <w:tc>
          <w:tcPr>
            <w:tcW w:w="2142" w:type="dxa"/>
            <w:vAlign w:val="center"/>
          </w:tcPr>
          <w:p>
            <w:pPr>
              <w:pStyle w:val="16"/>
              <w:spacing w:line="400" w:lineRule="exact"/>
              <w:rPr>
                <w:rFonts w:ascii="Times New Roman" w:hAnsi="Times New Roman"/>
                <w:sz w:val="21"/>
              </w:rPr>
            </w:pPr>
            <w:r>
              <w:rPr>
                <w:rFonts w:ascii="Times New Roman" w:hAnsi="Times New Roman"/>
                <w:sz w:val="21"/>
              </w:rPr>
              <w:t>年平均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0.04</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vAlign w:val="center"/>
          </w:tcPr>
          <w:p>
            <w:pPr>
              <w:pStyle w:val="16"/>
              <w:spacing w:line="400" w:lineRule="exact"/>
              <w:rPr>
                <w:rFonts w:ascii="Times New Roman" w:hAnsi="Times New Roman"/>
                <w:sz w:val="21"/>
              </w:rPr>
            </w:pPr>
          </w:p>
        </w:tc>
        <w:tc>
          <w:tcPr>
            <w:tcW w:w="2142" w:type="dxa"/>
            <w:vAlign w:val="center"/>
          </w:tcPr>
          <w:p>
            <w:pPr>
              <w:pStyle w:val="16"/>
              <w:spacing w:line="400" w:lineRule="exact"/>
              <w:rPr>
                <w:rFonts w:ascii="Times New Roman" w:hAnsi="Times New Roman"/>
                <w:sz w:val="21"/>
              </w:rPr>
            </w:pPr>
            <w:r>
              <w:rPr>
                <w:rFonts w:ascii="Times New Roman" w:hAnsi="Times New Roman"/>
                <w:sz w:val="21"/>
              </w:rPr>
              <w:t>24小时平均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0.08</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vAlign w:val="center"/>
          </w:tcPr>
          <w:p>
            <w:pPr>
              <w:pStyle w:val="16"/>
              <w:spacing w:line="400" w:lineRule="exact"/>
              <w:rPr>
                <w:rFonts w:ascii="Times New Roman" w:hAnsi="Times New Roman"/>
                <w:sz w:val="21"/>
              </w:rPr>
            </w:pPr>
          </w:p>
        </w:tc>
        <w:tc>
          <w:tcPr>
            <w:tcW w:w="2142" w:type="dxa"/>
            <w:vAlign w:val="center"/>
          </w:tcPr>
          <w:p>
            <w:pPr>
              <w:pStyle w:val="16"/>
              <w:spacing w:line="400" w:lineRule="exact"/>
              <w:rPr>
                <w:rFonts w:ascii="Times New Roman" w:hAnsi="Times New Roman"/>
                <w:sz w:val="21"/>
              </w:rPr>
            </w:pPr>
            <w:r>
              <w:rPr>
                <w:rFonts w:ascii="Times New Roman" w:hAnsi="Times New Roman"/>
                <w:sz w:val="21"/>
              </w:rPr>
              <w:t>1小时平均</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0.2</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334" w:type="dxa"/>
            <w:vAlign w:val="center"/>
          </w:tcPr>
          <w:p>
            <w:pPr>
              <w:pStyle w:val="16"/>
              <w:spacing w:line="400" w:lineRule="exact"/>
              <w:rPr>
                <w:rFonts w:ascii="Times New Roman" w:hAnsi="Times New Roman"/>
                <w:sz w:val="21"/>
              </w:rPr>
            </w:pPr>
            <w:r>
              <w:rPr>
                <w:rFonts w:ascii="Times New Roman" w:hAnsi="Times New Roman"/>
                <w:sz w:val="21"/>
              </w:rPr>
              <w:t>甲苯</w:t>
            </w:r>
          </w:p>
        </w:tc>
        <w:tc>
          <w:tcPr>
            <w:tcW w:w="2142" w:type="dxa"/>
            <w:vAlign w:val="center"/>
          </w:tcPr>
          <w:p>
            <w:pPr>
              <w:pStyle w:val="16"/>
              <w:spacing w:line="400" w:lineRule="exact"/>
              <w:rPr>
                <w:rFonts w:ascii="Times New Roman" w:hAnsi="Times New Roman"/>
                <w:sz w:val="21"/>
              </w:rPr>
            </w:pPr>
            <w:r>
              <w:rPr>
                <w:rFonts w:ascii="Times New Roman" w:hAnsi="Times New Roman"/>
                <w:sz w:val="21"/>
              </w:rPr>
              <w:t>一次浓度</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0.2</w:t>
            </w:r>
          </w:p>
        </w:tc>
        <w:tc>
          <w:tcPr>
            <w:tcW w:w="3593" w:type="dxa"/>
            <w:vMerge w:val="restart"/>
            <w:vAlign w:val="center"/>
          </w:tcPr>
          <w:p>
            <w:pPr>
              <w:pStyle w:val="16"/>
              <w:spacing w:line="400" w:lineRule="exact"/>
              <w:rPr>
                <w:rFonts w:ascii="Times New Roman" w:hAnsi="Times New Roman"/>
                <w:sz w:val="21"/>
              </w:rPr>
            </w:pPr>
            <w:r>
              <w:rPr>
                <w:rFonts w:ascii="Times New Roman" w:hAnsi="Times New Roman"/>
                <w:sz w:val="21"/>
              </w:rPr>
              <w:t>《环境影响评价技术导则 大气环境》（HJ2.2-2018）附录 D表 D.1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334" w:type="dxa"/>
            <w:vAlign w:val="center"/>
          </w:tcPr>
          <w:p>
            <w:pPr>
              <w:pStyle w:val="16"/>
              <w:spacing w:line="400" w:lineRule="exact"/>
              <w:rPr>
                <w:rFonts w:ascii="Times New Roman" w:hAnsi="Times New Roman"/>
                <w:sz w:val="21"/>
              </w:rPr>
            </w:pPr>
            <w:r>
              <w:rPr>
                <w:rFonts w:ascii="Times New Roman" w:hAnsi="Times New Roman"/>
                <w:sz w:val="21"/>
              </w:rPr>
              <w:t>二甲苯</w:t>
            </w:r>
          </w:p>
        </w:tc>
        <w:tc>
          <w:tcPr>
            <w:tcW w:w="2142" w:type="dxa"/>
            <w:vAlign w:val="center"/>
          </w:tcPr>
          <w:p>
            <w:pPr>
              <w:pStyle w:val="16"/>
              <w:spacing w:line="400" w:lineRule="exact"/>
              <w:rPr>
                <w:rFonts w:ascii="Times New Roman" w:hAnsi="Times New Roman"/>
                <w:sz w:val="21"/>
              </w:rPr>
            </w:pPr>
            <w:r>
              <w:rPr>
                <w:rFonts w:ascii="Times New Roman" w:hAnsi="Times New Roman"/>
                <w:sz w:val="21"/>
              </w:rPr>
              <w:t>一次浓度</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0.2</w:t>
            </w:r>
          </w:p>
        </w:tc>
        <w:tc>
          <w:tcPr>
            <w:tcW w:w="3593" w:type="dxa"/>
            <w:vMerge w:val="continue"/>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334" w:type="dxa"/>
            <w:vAlign w:val="center"/>
          </w:tcPr>
          <w:p>
            <w:pPr>
              <w:pStyle w:val="16"/>
              <w:spacing w:line="400" w:lineRule="exact"/>
              <w:rPr>
                <w:rFonts w:ascii="Times New Roman" w:hAnsi="Times New Roman"/>
                <w:sz w:val="21"/>
              </w:rPr>
            </w:pPr>
            <w:r>
              <w:rPr>
                <w:rFonts w:ascii="Times New Roman" w:hAnsi="Times New Roman"/>
                <w:sz w:val="21"/>
              </w:rPr>
              <w:t>NMHC</w:t>
            </w:r>
          </w:p>
        </w:tc>
        <w:tc>
          <w:tcPr>
            <w:tcW w:w="2142" w:type="dxa"/>
            <w:vAlign w:val="center"/>
          </w:tcPr>
          <w:p>
            <w:pPr>
              <w:pStyle w:val="16"/>
              <w:spacing w:line="400" w:lineRule="exact"/>
              <w:rPr>
                <w:rFonts w:ascii="Times New Roman" w:hAnsi="Times New Roman"/>
                <w:sz w:val="21"/>
              </w:rPr>
            </w:pPr>
            <w:r>
              <w:rPr>
                <w:rFonts w:ascii="Times New Roman" w:hAnsi="Times New Roman"/>
                <w:sz w:val="21"/>
              </w:rPr>
              <w:t>一次浓度</w:t>
            </w:r>
          </w:p>
        </w:tc>
        <w:tc>
          <w:tcPr>
            <w:tcW w:w="2167" w:type="dxa"/>
            <w:vAlign w:val="center"/>
          </w:tcPr>
          <w:p>
            <w:pPr>
              <w:pStyle w:val="16"/>
              <w:spacing w:line="400" w:lineRule="exact"/>
              <w:rPr>
                <w:rFonts w:ascii="Times New Roman" w:hAnsi="Times New Roman"/>
                <w:sz w:val="21"/>
              </w:rPr>
            </w:pPr>
            <w:r>
              <w:rPr>
                <w:rFonts w:ascii="Times New Roman" w:hAnsi="Times New Roman"/>
                <w:sz w:val="21"/>
              </w:rPr>
              <w:t>2.0</w:t>
            </w:r>
          </w:p>
        </w:tc>
        <w:tc>
          <w:tcPr>
            <w:tcW w:w="3593" w:type="dxa"/>
            <w:vAlign w:val="center"/>
          </w:tcPr>
          <w:p>
            <w:pPr>
              <w:pStyle w:val="16"/>
              <w:spacing w:line="400" w:lineRule="exact"/>
              <w:rPr>
                <w:rFonts w:ascii="Times New Roman" w:hAnsi="Times New Roman"/>
                <w:sz w:val="21"/>
              </w:rPr>
            </w:pPr>
            <w:r>
              <w:rPr>
                <w:rFonts w:ascii="Times New Roman" w:hAnsi="Times New Roman"/>
                <w:sz w:val="21"/>
              </w:rPr>
              <w:t>《大气污染物综合排放标准详解》</w:t>
            </w:r>
          </w:p>
        </w:tc>
      </w:tr>
    </w:tbl>
    <w:p>
      <w:pPr>
        <w:numPr>
          <w:ilvl w:val="0"/>
          <w:numId w:val="7"/>
        </w:numPr>
        <w:tabs>
          <w:tab w:val="left" w:pos="1390"/>
        </w:tabs>
        <w:ind w:firstLine="600" w:firstLineChars="250"/>
        <w:rPr>
          <w:rFonts w:cs="Times New Roman"/>
          <w:spacing w:val="20"/>
          <w:lang w:eastAsia="zh-CN"/>
        </w:rPr>
      </w:pPr>
      <w:r>
        <w:rPr>
          <w:rFonts w:cs="Times New Roman"/>
          <w:lang w:eastAsia="zh-CN"/>
        </w:rPr>
        <w:t>地表水环境质量标准</w:t>
      </w:r>
      <w:r>
        <w:rPr>
          <w:rFonts w:cs="Times New Roman"/>
          <w:spacing w:val="20"/>
          <w:lang w:eastAsia="zh-CN"/>
        </w:rPr>
        <w:t xml:space="preserve"> </w:t>
      </w:r>
    </w:p>
    <w:p>
      <w:pPr>
        <w:tabs>
          <w:tab w:val="left" w:pos="1390"/>
        </w:tabs>
        <w:ind w:firstLine="480"/>
        <w:rPr>
          <w:rFonts w:cs="Times New Roman"/>
          <w:sz w:val="21"/>
          <w:szCs w:val="21"/>
          <w:lang w:eastAsia="zh-CN"/>
        </w:rPr>
      </w:pPr>
      <w:r>
        <w:rPr>
          <w:rFonts w:cs="Times New Roman"/>
          <w:lang w:eastAsia="zh-CN"/>
        </w:rPr>
        <w:t>本次评价所用地表水水质标准与环评时增加了总氮、总磷、氟化物、粪大肠菌群、LAS、铜、锌、镉、六价铬、氰化物、硫化物。地表水执行国家《地表水环境质量标准》（GB3838-2002）</w:t>
      </w:r>
      <w:r>
        <w:rPr>
          <w:rFonts w:cs="Times New Roman"/>
          <w:highlight w:val="yellow"/>
          <w:lang w:eastAsia="zh-CN"/>
        </w:rPr>
        <w:t>V</w:t>
      </w:r>
      <w:r>
        <w:rPr>
          <w:rFonts w:cs="Times New Roman"/>
          <w:lang w:eastAsia="zh-CN"/>
        </w:rPr>
        <w:t>类水质标准，具体见表1.6-3。</w:t>
      </w:r>
    </w:p>
    <w:p>
      <w:pPr>
        <w:pStyle w:val="20"/>
        <w:spacing w:line="240" w:lineRule="auto"/>
        <w:ind w:firstLine="420"/>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 xml:space="preserve">表1.6-3   </w:t>
      </w:r>
      <w:r>
        <w:rPr>
          <w:rFonts w:ascii="Times New Roman" w:hAnsi="Times New Roman" w:eastAsia="宋体" w:cs="Times New Roman"/>
          <w:b/>
          <w:bCs/>
          <w:spacing w:val="-1"/>
          <w:sz w:val="21"/>
          <w:szCs w:val="21"/>
          <w:lang w:eastAsia="zh-CN"/>
        </w:rPr>
        <w:t>地表水环境质量标准限值</w:t>
      </w:r>
      <w:r>
        <w:rPr>
          <w:rFonts w:hint="eastAsia" w:ascii="Times New Roman" w:hAnsi="Times New Roman" w:eastAsia="宋体" w:cs="Times New Roman"/>
          <w:b/>
          <w:bCs/>
          <w:spacing w:val="-1"/>
          <w:sz w:val="21"/>
          <w:szCs w:val="21"/>
          <w:lang w:eastAsia="zh-CN"/>
        </w:rPr>
        <w:t xml:space="preserve"> </w:t>
      </w:r>
      <w:r>
        <w:rPr>
          <w:rFonts w:ascii="Times New Roman" w:hAnsi="Times New Roman" w:eastAsia="宋体" w:cs="Times New Roman"/>
          <w:b/>
          <w:bCs/>
          <w:spacing w:val="-1"/>
          <w:sz w:val="21"/>
          <w:szCs w:val="21"/>
          <w:lang w:eastAsia="zh-CN"/>
        </w:rPr>
        <w:t xml:space="preserve"> 单位：mg/L，pH</w:t>
      </w:r>
      <w:r>
        <w:rPr>
          <w:rFonts w:ascii="Times New Roman" w:hAnsi="Times New Roman" w:eastAsia="宋体" w:cs="Times New Roman"/>
          <w:b/>
          <w:bCs/>
          <w:spacing w:val="-7"/>
          <w:sz w:val="21"/>
          <w:szCs w:val="21"/>
          <w:lang w:eastAsia="zh-CN"/>
        </w:rPr>
        <w:t xml:space="preserve"> </w:t>
      </w:r>
      <w:r>
        <w:rPr>
          <w:rFonts w:ascii="Times New Roman" w:hAnsi="Times New Roman" w:eastAsia="宋体" w:cs="Times New Roman"/>
          <w:b/>
          <w:bCs/>
          <w:sz w:val="21"/>
          <w:szCs w:val="21"/>
          <w:lang w:eastAsia="zh-CN"/>
        </w:rPr>
        <w:t>无量纲</w:t>
      </w:r>
    </w:p>
    <w:tbl>
      <w:tblPr>
        <w:tblStyle w:val="64"/>
        <w:tblW w:w="4997" w:type="pct"/>
        <w:jc w:val="center"/>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415"/>
        <w:gridCol w:w="1373"/>
        <w:gridCol w:w="1369"/>
        <w:gridCol w:w="1377"/>
        <w:gridCol w:w="1375"/>
        <w:gridCol w:w="1375"/>
      </w:tblGrid>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300" w:type="pct"/>
            <w:vAlign w:val="center"/>
          </w:tcPr>
          <w:p>
            <w:pPr>
              <w:pStyle w:val="16"/>
              <w:spacing w:line="400" w:lineRule="exact"/>
              <w:rPr>
                <w:rFonts w:ascii="Times New Roman" w:hAnsi="Times New Roman"/>
                <w:b/>
                <w:bCs/>
                <w:sz w:val="21"/>
              </w:rPr>
            </w:pPr>
            <w:r>
              <w:rPr>
                <w:rFonts w:ascii="Times New Roman" w:hAnsi="Times New Roman"/>
                <w:b/>
                <w:bCs/>
                <w:sz w:val="21"/>
              </w:rPr>
              <w:t>项目</w:t>
            </w:r>
          </w:p>
        </w:tc>
        <w:tc>
          <w:tcPr>
            <w:tcW w:w="739" w:type="pct"/>
            <w:vAlign w:val="center"/>
          </w:tcPr>
          <w:p>
            <w:pPr>
              <w:pStyle w:val="16"/>
              <w:spacing w:line="400" w:lineRule="exact"/>
              <w:rPr>
                <w:rFonts w:ascii="Times New Roman" w:hAnsi="Times New Roman"/>
                <w:b/>
                <w:bCs/>
                <w:sz w:val="21"/>
              </w:rPr>
            </w:pPr>
            <w:r>
              <w:rPr>
                <w:rFonts w:ascii="Times New Roman" w:hAnsi="Times New Roman"/>
                <w:b/>
                <w:bCs/>
                <w:sz w:val="21"/>
              </w:rPr>
              <w:t>pH</w:t>
            </w:r>
          </w:p>
        </w:tc>
        <w:tc>
          <w:tcPr>
            <w:tcW w:w="737" w:type="pct"/>
            <w:vAlign w:val="center"/>
          </w:tcPr>
          <w:p>
            <w:pPr>
              <w:pStyle w:val="16"/>
              <w:spacing w:line="400" w:lineRule="exact"/>
              <w:rPr>
                <w:rFonts w:ascii="Times New Roman" w:hAnsi="Times New Roman"/>
                <w:b/>
                <w:bCs/>
                <w:sz w:val="21"/>
              </w:rPr>
            </w:pPr>
            <w:r>
              <w:rPr>
                <w:rFonts w:ascii="Times New Roman" w:hAnsi="Times New Roman"/>
                <w:b/>
                <w:bCs/>
                <w:sz w:val="21"/>
              </w:rPr>
              <w:t>DO</w:t>
            </w:r>
          </w:p>
        </w:tc>
        <w:tc>
          <w:tcPr>
            <w:tcW w:w="741" w:type="pct"/>
            <w:vAlign w:val="center"/>
          </w:tcPr>
          <w:p>
            <w:pPr>
              <w:pStyle w:val="16"/>
              <w:spacing w:line="400" w:lineRule="exact"/>
              <w:rPr>
                <w:rFonts w:ascii="Times New Roman" w:hAnsi="Times New Roman"/>
                <w:b/>
                <w:bCs/>
                <w:sz w:val="21"/>
              </w:rPr>
            </w:pPr>
            <w:r>
              <w:rPr>
                <w:rFonts w:ascii="Times New Roman" w:hAnsi="Times New Roman"/>
                <w:b/>
                <w:bCs/>
                <w:sz w:val="21"/>
              </w:rPr>
              <w:t>CODcr</w:t>
            </w:r>
          </w:p>
        </w:tc>
        <w:tc>
          <w:tcPr>
            <w:tcW w:w="740" w:type="pct"/>
            <w:vAlign w:val="center"/>
          </w:tcPr>
          <w:p>
            <w:pPr>
              <w:pStyle w:val="16"/>
              <w:spacing w:line="400" w:lineRule="exact"/>
              <w:rPr>
                <w:rFonts w:ascii="Times New Roman" w:hAnsi="Times New Roman"/>
                <w:b/>
                <w:bCs/>
                <w:sz w:val="21"/>
              </w:rPr>
            </w:pPr>
            <w:r>
              <w:rPr>
                <w:rFonts w:ascii="Times New Roman" w:hAnsi="Times New Roman"/>
                <w:b/>
                <w:bCs/>
                <w:sz w:val="21"/>
              </w:rPr>
              <w:t>BOD</w:t>
            </w:r>
            <w:r>
              <w:rPr>
                <w:rFonts w:ascii="Times New Roman" w:hAnsi="Times New Roman"/>
                <w:b/>
                <w:bCs/>
                <w:sz w:val="21"/>
                <w:vertAlign w:val="subscript"/>
              </w:rPr>
              <w:t>5</w:t>
            </w:r>
          </w:p>
        </w:tc>
        <w:tc>
          <w:tcPr>
            <w:tcW w:w="740" w:type="pct"/>
            <w:vAlign w:val="center"/>
          </w:tcPr>
          <w:p>
            <w:pPr>
              <w:pStyle w:val="16"/>
              <w:spacing w:line="400" w:lineRule="exact"/>
              <w:rPr>
                <w:rFonts w:ascii="Times New Roman" w:hAnsi="Times New Roman"/>
                <w:b/>
                <w:bCs/>
                <w:sz w:val="21"/>
              </w:rPr>
            </w:pPr>
            <w:r>
              <w:rPr>
                <w:rFonts w:ascii="Times New Roman" w:hAnsi="Times New Roman"/>
                <w:b/>
                <w:bCs/>
                <w:sz w:val="21"/>
              </w:rPr>
              <w:t>石油类</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300" w:type="pct"/>
            <w:vAlign w:val="center"/>
          </w:tcPr>
          <w:p>
            <w:pPr>
              <w:pStyle w:val="16"/>
              <w:spacing w:line="400" w:lineRule="exact"/>
              <w:rPr>
                <w:rFonts w:ascii="Times New Roman" w:hAnsi="Times New Roman"/>
                <w:sz w:val="21"/>
                <w:highlight w:val="yellow"/>
              </w:rPr>
            </w:pPr>
            <w:r>
              <w:rPr>
                <w:rFonts w:ascii="Times New Roman" w:hAnsi="Times New Roman"/>
                <w:sz w:val="21"/>
                <w:highlight w:val="yellow"/>
              </w:rPr>
              <w:t>V类标准限值</w:t>
            </w:r>
          </w:p>
        </w:tc>
        <w:tc>
          <w:tcPr>
            <w:tcW w:w="739" w:type="pct"/>
            <w:vAlign w:val="center"/>
          </w:tcPr>
          <w:p>
            <w:pPr>
              <w:pStyle w:val="16"/>
              <w:spacing w:line="400" w:lineRule="exact"/>
              <w:rPr>
                <w:rFonts w:ascii="Times New Roman" w:hAnsi="Times New Roman"/>
                <w:sz w:val="21"/>
              </w:rPr>
            </w:pPr>
            <w:r>
              <w:rPr>
                <w:rFonts w:ascii="Times New Roman" w:hAnsi="Times New Roman"/>
                <w:sz w:val="21"/>
              </w:rPr>
              <w:t>6～9</w:t>
            </w:r>
          </w:p>
        </w:tc>
        <w:tc>
          <w:tcPr>
            <w:tcW w:w="737" w:type="pct"/>
            <w:vAlign w:val="center"/>
          </w:tcPr>
          <w:p>
            <w:pPr>
              <w:pStyle w:val="16"/>
              <w:spacing w:line="400" w:lineRule="exact"/>
              <w:rPr>
                <w:rFonts w:ascii="Times New Roman" w:hAnsi="Times New Roman"/>
                <w:sz w:val="21"/>
              </w:rPr>
            </w:pPr>
            <w:r>
              <w:rPr>
                <w:rFonts w:ascii="Times New Roman" w:hAnsi="Times New Roman"/>
                <w:sz w:val="21"/>
              </w:rPr>
              <w:t>≥2</w:t>
            </w:r>
          </w:p>
        </w:tc>
        <w:tc>
          <w:tcPr>
            <w:tcW w:w="741" w:type="pct"/>
            <w:vAlign w:val="center"/>
          </w:tcPr>
          <w:p>
            <w:pPr>
              <w:pStyle w:val="16"/>
              <w:spacing w:line="400" w:lineRule="exact"/>
              <w:rPr>
                <w:rFonts w:ascii="Times New Roman" w:hAnsi="Times New Roman"/>
                <w:sz w:val="21"/>
              </w:rPr>
            </w:pPr>
            <w:r>
              <w:rPr>
                <w:rFonts w:ascii="Times New Roman" w:hAnsi="Times New Roman"/>
                <w:sz w:val="21"/>
              </w:rPr>
              <w:t>≤40</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≤10</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≤1.0</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300" w:type="pct"/>
            <w:vAlign w:val="center"/>
          </w:tcPr>
          <w:p>
            <w:pPr>
              <w:pStyle w:val="16"/>
              <w:spacing w:line="400" w:lineRule="exact"/>
              <w:rPr>
                <w:rFonts w:ascii="Times New Roman" w:hAnsi="Times New Roman"/>
                <w:sz w:val="21"/>
                <w:highlight w:val="yellow"/>
              </w:rPr>
            </w:pPr>
            <w:r>
              <w:rPr>
                <w:rFonts w:ascii="Times New Roman" w:hAnsi="Times New Roman"/>
                <w:sz w:val="21"/>
                <w:highlight w:val="yellow"/>
              </w:rPr>
              <w:t>项目</w:t>
            </w:r>
          </w:p>
        </w:tc>
        <w:tc>
          <w:tcPr>
            <w:tcW w:w="739" w:type="pct"/>
            <w:vAlign w:val="center"/>
          </w:tcPr>
          <w:p>
            <w:pPr>
              <w:pStyle w:val="16"/>
              <w:spacing w:line="400" w:lineRule="exact"/>
              <w:rPr>
                <w:rFonts w:ascii="Times New Roman" w:hAnsi="Times New Roman"/>
                <w:sz w:val="21"/>
              </w:rPr>
            </w:pPr>
            <w:r>
              <w:rPr>
                <w:rFonts w:ascii="Times New Roman" w:hAnsi="Times New Roman"/>
                <w:sz w:val="21"/>
              </w:rPr>
              <w:t>氨氮</w:t>
            </w:r>
          </w:p>
        </w:tc>
        <w:tc>
          <w:tcPr>
            <w:tcW w:w="737" w:type="pct"/>
            <w:vAlign w:val="center"/>
          </w:tcPr>
          <w:p>
            <w:pPr>
              <w:pStyle w:val="16"/>
              <w:spacing w:line="400" w:lineRule="exact"/>
              <w:rPr>
                <w:rFonts w:ascii="Times New Roman" w:hAnsi="Times New Roman"/>
                <w:sz w:val="21"/>
              </w:rPr>
            </w:pPr>
            <w:r>
              <w:rPr>
                <w:rFonts w:ascii="Times New Roman" w:hAnsi="Times New Roman"/>
                <w:sz w:val="21"/>
              </w:rPr>
              <w:t>铅</w:t>
            </w:r>
          </w:p>
        </w:tc>
        <w:tc>
          <w:tcPr>
            <w:tcW w:w="741" w:type="pct"/>
            <w:vAlign w:val="center"/>
          </w:tcPr>
          <w:p>
            <w:pPr>
              <w:pStyle w:val="16"/>
              <w:spacing w:line="400" w:lineRule="exact"/>
              <w:rPr>
                <w:rFonts w:ascii="Times New Roman" w:hAnsi="Times New Roman"/>
                <w:sz w:val="21"/>
              </w:rPr>
            </w:pPr>
            <w:r>
              <w:rPr>
                <w:rFonts w:ascii="Times New Roman" w:hAnsi="Times New Roman"/>
                <w:sz w:val="21"/>
              </w:rPr>
              <w:t>镉</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挥发酚</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硫化物</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300" w:type="pct"/>
            <w:vAlign w:val="center"/>
          </w:tcPr>
          <w:p>
            <w:pPr>
              <w:pStyle w:val="16"/>
              <w:spacing w:line="400" w:lineRule="exact"/>
              <w:rPr>
                <w:rFonts w:ascii="Times New Roman" w:hAnsi="Times New Roman"/>
                <w:sz w:val="21"/>
                <w:highlight w:val="yellow"/>
              </w:rPr>
            </w:pPr>
            <w:r>
              <w:rPr>
                <w:rFonts w:ascii="Times New Roman" w:hAnsi="Times New Roman"/>
                <w:sz w:val="21"/>
                <w:highlight w:val="yellow"/>
              </w:rPr>
              <w:t>V类标准限值</w:t>
            </w:r>
          </w:p>
        </w:tc>
        <w:tc>
          <w:tcPr>
            <w:tcW w:w="739" w:type="pct"/>
            <w:vAlign w:val="center"/>
          </w:tcPr>
          <w:p>
            <w:pPr>
              <w:pStyle w:val="16"/>
              <w:spacing w:line="400" w:lineRule="exact"/>
              <w:rPr>
                <w:rFonts w:ascii="Times New Roman" w:hAnsi="Times New Roman"/>
                <w:sz w:val="21"/>
              </w:rPr>
            </w:pPr>
            <w:r>
              <w:rPr>
                <w:rFonts w:ascii="Times New Roman" w:hAnsi="Times New Roman"/>
                <w:sz w:val="21"/>
              </w:rPr>
              <w:t>≤2.0</w:t>
            </w:r>
          </w:p>
        </w:tc>
        <w:tc>
          <w:tcPr>
            <w:tcW w:w="737" w:type="pct"/>
            <w:vAlign w:val="center"/>
          </w:tcPr>
          <w:p>
            <w:pPr>
              <w:pStyle w:val="16"/>
              <w:spacing w:line="400" w:lineRule="exact"/>
              <w:rPr>
                <w:rFonts w:ascii="Times New Roman" w:hAnsi="Times New Roman"/>
                <w:sz w:val="21"/>
              </w:rPr>
            </w:pPr>
            <w:r>
              <w:rPr>
                <w:rFonts w:ascii="Times New Roman" w:hAnsi="Times New Roman"/>
                <w:sz w:val="21"/>
              </w:rPr>
              <w:t>≤0.1</w:t>
            </w:r>
          </w:p>
        </w:tc>
        <w:tc>
          <w:tcPr>
            <w:tcW w:w="741" w:type="pct"/>
            <w:vAlign w:val="center"/>
          </w:tcPr>
          <w:p>
            <w:pPr>
              <w:pStyle w:val="16"/>
              <w:spacing w:line="400" w:lineRule="exact"/>
              <w:rPr>
                <w:rFonts w:ascii="Times New Roman" w:hAnsi="Times New Roman"/>
                <w:sz w:val="21"/>
              </w:rPr>
            </w:pPr>
            <w:r>
              <w:rPr>
                <w:rFonts w:ascii="Times New Roman" w:hAnsi="Times New Roman"/>
                <w:sz w:val="21"/>
              </w:rPr>
              <w:t>≤0.01</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≤0.1</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≤1.0</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300" w:type="pct"/>
            <w:vAlign w:val="center"/>
          </w:tcPr>
          <w:p>
            <w:pPr>
              <w:pStyle w:val="16"/>
              <w:spacing w:line="400" w:lineRule="exact"/>
              <w:rPr>
                <w:rFonts w:ascii="Times New Roman" w:hAnsi="Times New Roman"/>
                <w:sz w:val="21"/>
                <w:highlight w:val="yellow"/>
              </w:rPr>
            </w:pPr>
            <w:r>
              <w:rPr>
                <w:rFonts w:ascii="Times New Roman" w:hAnsi="Times New Roman"/>
                <w:sz w:val="21"/>
                <w:highlight w:val="yellow"/>
              </w:rPr>
              <w:t>项目</w:t>
            </w:r>
          </w:p>
        </w:tc>
        <w:tc>
          <w:tcPr>
            <w:tcW w:w="739" w:type="pct"/>
            <w:vAlign w:val="center"/>
          </w:tcPr>
          <w:p>
            <w:pPr>
              <w:pStyle w:val="16"/>
              <w:spacing w:line="400" w:lineRule="exact"/>
              <w:rPr>
                <w:rFonts w:ascii="Times New Roman" w:hAnsi="Times New Roman"/>
                <w:sz w:val="21"/>
              </w:rPr>
            </w:pPr>
            <w:r>
              <w:rPr>
                <w:rFonts w:ascii="Times New Roman" w:hAnsi="Times New Roman"/>
                <w:sz w:val="21"/>
              </w:rPr>
              <w:t>总氮</w:t>
            </w:r>
          </w:p>
        </w:tc>
        <w:tc>
          <w:tcPr>
            <w:tcW w:w="737" w:type="pct"/>
            <w:vAlign w:val="center"/>
          </w:tcPr>
          <w:p>
            <w:pPr>
              <w:pStyle w:val="16"/>
              <w:spacing w:line="400" w:lineRule="exact"/>
              <w:rPr>
                <w:rFonts w:ascii="Times New Roman" w:hAnsi="Times New Roman"/>
                <w:sz w:val="21"/>
              </w:rPr>
            </w:pPr>
            <w:r>
              <w:rPr>
                <w:rFonts w:ascii="Times New Roman" w:hAnsi="Times New Roman"/>
                <w:sz w:val="21"/>
              </w:rPr>
              <w:t>总磷</w:t>
            </w:r>
          </w:p>
        </w:tc>
        <w:tc>
          <w:tcPr>
            <w:tcW w:w="741" w:type="pct"/>
            <w:vAlign w:val="center"/>
          </w:tcPr>
          <w:p>
            <w:pPr>
              <w:pStyle w:val="16"/>
              <w:spacing w:line="400" w:lineRule="exact"/>
              <w:rPr>
                <w:rFonts w:ascii="Times New Roman" w:hAnsi="Times New Roman"/>
                <w:sz w:val="21"/>
              </w:rPr>
            </w:pPr>
            <w:r>
              <w:rPr>
                <w:rFonts w:ascii="Times New Roman" w:hAnsi="Times New Roman"/>
                <w:sz w:val="21"/>
              </w:rPr>
              <w:t>氟化物</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LAS</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六价铬</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300" w:type="pct"/>
            <w:vAlign w:val="center"/>
          </w:tcPr>
          <w:p>
            <w:pPr>
              <w:pStyle w:val="16"/>
              <w:spacing w:line="400" w:lineRule="exact"/>
              <w:rPr>
                <w:rFonts w:ascii="Times New Roman" w:hAnsi="Times New Roman"/>
                <w:sz w:val="21"/>
                <w:highlight w:val="yellow"/>
              </w:rPr>
            </w:pPr>
            <w:r>
              <w:rPr>
                <w:rFonts w:ascii="Times New Roman" w:hAnsi="Times New Roman"/>
                <w:sz w:val="21"/>
                <w:highlight w:val="yellow"/>
              </w:rPr>
              <w:t>V类标准限值</w:t>
            </w:r>
          </w:p>
        </w:tc>
        <w:tc>
          <w:tcPr>
            <w:tcW w:w="739" w:type="pct"/>
            <w:vAlign w:val="center"/>
          </w:tcPr>
          <w:p>
            <w:pPr>
              <w:pStyle w:val="16"/>
              <w:spacing w:line="400" w:lineRule="exact"/>
              <w:rPr>
                <w:rFonts w:ascii="Times New Roman" w:hAnsi="Times New Roman"/>
                <w:sz w:val="21"/>
              </w:rPr>
            </w:pPr>
            <w:r>
              <w:rPr>
                <w:rFonts w:ascii="Times New Roman" w:hAnsi="Times New Roman"/>
                <w:sz w:val="21"/>
              </w:rPr>
              <w:t>≤2.0</w:t>
            </w:r>
          </w:p>
        </w:tc>
        <w:tc>
          <w:tcPr>
            <w:tcW w:w="737" w:type="pct"/>
            <w:vAlign w:val="center"/>
          </w:tcPr>
          <w:p>
            <w:pPr>
              <w:pStyle w:val="16"/>
              <w:spacing w:line="400" w:lineRule="exact"/>
              <w:rPr>
                <w:rFonts w:ascii="Times New Roman" w:hAnsi="Times New Roman"/>
                <w:sz w:val="21"/>
              </w:rPr>
            </w:pPr>
            <w:r>
              <w:rPr>
                <w:rFonts w:ascii="Times New Roman" w:hAnsi="Times New Roman"/>
                <w:sz w:val="21"/>
              </w:rPr>
              <w:t>≤0.4</w:t>
            </w:r>
          </w:p>
        </w:tc>
        <w:tc>
          <w:tcPr>
            <w:tcW w:w="741" w:type="pct"/>
            <w:vAlign w:val="center"/>
          </w:tcPr>
          <w:p>
            <w:pPr>
              <w:pStyle w:val="16"/>
              <w:spacing w:line="400" w:lineRule="exact"/>
              <w:rPr>
                <w:rFonts w:ascii="Times New Roman" w:hAnsi="Times New Roman"/>
                <w:sz w:val="21"/>
              </w:rPr>
            </w:pPr>
            <w:r>
              <w:rPr>
                <w:rFonts w:ascii="Times New Roman" w:hAnsi="Times New Roman"/>
                <w:sz w:val="21"/>
              </w:rPr>
              <w:t>≤1.5</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≤0.3</w:t>
            </w:r>
          </w:p>
        </w:tc>
        <w:tc>
          <w:tcPr>
            <w:tcW w:w="740" w:type="pct"/>
            <w:vAlign w:val="center"/>
          </w:tcPr>
          <w:p>
            <w:pPr>
              <w:pStyle w:val="16"/>
              <w:spacing w:line="400" w:lineRule="exact"/>
              <w:rPr>
                <w:rFonts w:ascii="Times New Roman" w:hAnsi="Times New Roman"/>
                <w:sz w:val="21"/>
              </w:rPr>
            </w:pPr>
            <w:r>
              <w:rPr>
                <w:rFonts w:ascii="Times New Roman" w:hAnsi="Times New Roman"/>
                <w:sz w:val="21"/>
              </w:rPr>
              <w:t>≤0.1</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300" w:type="pct"/>
            <w:vAlign w:val="center"/>
          </w:tcPr>
          <w:p>
            <w:pPr>
              <w:pStyle w:val="16"/>
              <w:spacing w:line="400" w:lineRule="exact"/>
              <w:rPr>
                <w:rFonts w:ascii="Times New Roman" w:hAnsi="Times New Roman"/>
                <w:sz w:val="21"/>
                <w:highlight w:val="yellow"/>
              </w:rPr>
            </w:pPr>
            <w:r>
              <w:rPr>
                <w:rFonts w:ascii="Times New Roman" w:hAnsi="Times New Roman"/>
                <w:sz w:val="21"/>
                <w:highlight w:val="yellow"/>
              </w:rPr>
              <w:t>项目</w:t>
            </w:r>
          </w:p>
        </w:tc>
        <w:tc>
          <w:tcPr>
            <w:tcW w:w="739" w:type="pct"/>
            <w:vAlign w:val="center"/>
          </w:tcPr>
          <w:p>
            <w:pPr>
              <w:pStyle w:val="16"/>
              <w:spacing w:line="400" w:lineRule="exact"/>
              <w:rPr>
                <w:rFonts w:ascii="Times New Roman" w:hAnsi="Times New Roman"/>
                <w:sz w:val="21"/>
              </w:rPr>
            </w:pPr>
            <w:r>
              <w:rPr>
                <w:rFonts w:ascii="Times New Roman" w:hAnsi="Times New Roman"/>
                <w:sz w:val="21"/>
              </w:rPr>
              <w:t>铜</w:t>
            </w:r>
          </w:p>
        </w:tc>
        <w:tc>
          <w:tcPr>
            <w:tcW w:w="737" w:type="pct"/>
            <w:vAlign w:val="center"/>
          </w:tcPr>
          <w:p>
            <w:pPr>
              <w:pStyle w:val="16"/>
              <w:spacing w:line="400" w:lineRule="exact"/>
              <w:rPr>
                <w:rFonts w:ascii="Times New Roman" w:hAnsi="Times New Roman"/>
                <w:sz w:val="21"/>
              </w:rPr>
            </w:pPr>
            <w:r>
              <w:rPr>
                <w:rFonts w:ascii="Times New Roman" w:hAnsi="Times New Roman"/>
                <w:sz w:val="21"/>
              </w:rPr>
              <w:t>锌</w:t>
            </w:r>
          </w:p>
        </w:tc>
        <w:tc>
          <w:tcPr>
            <w:tcW w:w="741" w:type="pct"/>
            <w:vAlign w:val="center"/>
          </w:tcPr>
          <w:p>
            <w:pPr>
              <w:pStyle w:val="16"/>
              <w:spacing w:line="400" w:lineRule="exact"/>
              <w:rPr>
                <w:rFonts w:ascii="Times New Roman" w:hAnsi="Times New Roman"/>
                <w:sz w:val="21"/>
              </w:rPr>
            </w:pPr>
            <w:r>
              <w:rPr>
                <w:rFonts w:ascii="Times New Roman" w:hAnsi="Times New Roman"/>
                <w:sz w:val="21"/>
              </w:rPr>
              <w:t>氰化物</w:t>
            </w:r>
          </w:p>
        </w:tc>
        <w:tc>
          <w:tcPr>
            <w:tcW w:w="1480" w:type="pct"/>
            <w:gridSpan w:val="2"/>
            <w:vAlign w:val="center"/>
          </w:tcPr>
          <w:p>
            <w:pPr>
              <w:pStyle w:val="16"/>
              <w:spacing w:line="400" w:lineRule="exact"/>
              <w:rPr>
                <w:rFonts w:ascii="Times New Roman" w:hAnsi="Times New Roman"/>
                <w:sz w:val="21"/>
              </w:rPr>
            </w:pPr>
            <w:r>
              <w:rPr>
                <w:rFonts w:ascii="Times New Roman" w:hAnsi="Times New Roman"/>
                <w:sz w:val="21"/>
              </w:rPr>
              <w:t>粪大肠菌群（MPN/L）</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300" w:type="pct"/>
            <w:vAlign w:val="center"/>
          </w:tcPr>
          <w:p>
            <w:pPr>
              <w:pStyle w:val="16"/>
              <w:spacing w:line="400" w:lineRule="exact"/>
              <w:rPr>
                <w:rFonts w:ascii="Times New Roman" w:hAnsi="Times New Roman"/>
                <w:sz w:val="21"/>
                <w:highlight w:val="yellow"/>
              </w:rPr>
            </w:pPr>
            <w:r>
              <w:rPr>
                <w:rFonts w:ascii="Times New Roman" w:hAnsi="Times New Roman"/>
                <w:sz w:val="21"/>
                <w:highlight w:val="yellow"/>
              </w:rPr>
              <w:t>V类标准限值</w:t>
            </w:r>
          </w:p>
        </w:tc>
        <w:tc>
          <w:tcPr>
            <w:tcW w:w="739" w:type="pct"/>
            <w:vAlign w:val="center"/>
          </w:tcPr>
          <w:p>
            <w:pPr>
              <w:pStyle w:val="16"/>
              <w:spacing w:line="400" w:lineRule="exact"/>
              <w:rPr>
                <w:rFonts w:ascii="Times New Roman" w:hAnsi="Times New Roman"/>
                <w:sz w:val="21"/>
              </w:rPr>
            </w:pPr>
            <w:r>
              <w:rPr>
                <w:rFonts w:ascii="Times New Roman" w:hAnsi="Times New Roman"/>
                <w:sz w:val="21"/>
              </w:rPr>
              <w:t>≤1.0</w:t>
            </w:r>
          </w:p>
        </w:tc>
        <w:tc>
          <w:tcPr>
            <w:tcW w:w="737" w:type="pct"/>
            <w:vAlign w:val="center"/>
          </w:tcPr>
          <w:p>
            <w:pPr>
              <w:pStyle w:val="16"/>
              <w:spacing w:line="400" w:lineRule="exact"/>
              <w:rPr>
                <w:rFonts w:ascii="Times New Roman" w:hAnsi="Times New Roman"/>
                <w:sz w:val="21"/>
              </w:rPr>
            </w:pPr>
            <w:r>
              <w:rPr>
                <w:rFonts w:ascii="Times New Roman" w:hAnsi="Times New Roman"/>
                <w:sz w:val="21"/>
              </w:rPr>
              <w:t>≤2.0</w:t>
            </w:r>
          </w:p>
        </w:tc>
        <w:tc>
          <w:tcPr>
            <w:tcW w:w="741" w:type="pct"/>
            <w:vAlign w:val="center"/>
          </w:tcPr>
          <w:p>
            <w:pPr>
              <w:pStyle w:val="16"/>
              <w:spacing w:line="400" w:lineRule="exact"/>
              <w:rPr>
                <w:rFonts w:ascii="Times New Roman" w:hAnsi="Times New Roman"/>
                <w:sz w:val="21"/>
              </w:rPr>
            </w:pPr>
            <w:r>
              <w:rPr>
                <w:rFonts w:ascii="Times New Roman" w:hAnsi="Times New Roman"/>
                <w:sz w:val="21"/>
              </w:rPr>
              <w:t>≤0.2</w:t>
            </w:r>
          </w:p>
        </w:tc>
        <w:tc>
          <w:tcPr>
            <w:tcW w:w="1480" w:type="pct"/>
            <w:gridSpan w:val="2"/>
            <w:vAlign w:val="center"/>
          </w:tcPr>
          <w:p>
            <w:pPr>
              <w:pStyle w:val="16"/>
              <w:spacing w:line="400" w:lineRule="exact"/>
              <w:rPr>
                <w:rFonts w:ascii="Times New Roman" w:hAnsi="Times New Roman"/>
                <w:sz w:val="21"/>
              </w:rPr>
            </w:pPr>
            <w:r>
              <w:rPr>
                <w:rFonts w:ascii="Times New Roman" w:hAnsi="Times New Roman"/>
                <w:sz w:val="21"/>
              </w:rPr>
              <w:t>40000</w:t>
            </w:r>
          </w:p>
        </w:tc>
      </w:tr>
    </w:tbl>
    <w:p>
      <w:pPr>
        <w:numPr>
          <w:ilvl w:val="0"/>
          <w:numId w:val="7"/>
        </w:numPr>
        <w:tabs>
          <w:tab w:val="left" w:pos="1390"/>
        </w:tabs>
        <w:ind w:firstLine="600" w:firstLineChars="250"/>
        <w:rPr>
          <w:rFonts w:cs="Times New Roman"/>
          <w:lang w:eastAsia="zh-CN"/>
        </w:rPr>
      </w:pPr>
      <w:r>
        <w:rPr>
          <w:rFonts w:cs="Times New Roman"/>
          <w:lang w:eastAsia="zh-CN"/>
        </w:rPr>
        <w:t>声环境质量标准</w:t>
      </w:r>
    </w:p>
    <w:p>
      <w:pPr>
        <w:ind w:firstLine="480"/>
        <w:rPr>
          <w:rFonts w:cs="Times New Roman"/>
          <w:lang w:eastAsia="zh-CN"/>
        </w:rPr>
      </w:pPr>
      <w:r>
        <w:rPr>
          <w:rFonts w:hint="eastAsia" w:cs="Times New Roman"/>
          <w:lang w:eastAsia="zh-CN"/>
        </w:rPr>
        <w:t>国际新兴产业园区</w:t>
      </w:r>
      <w:r>
        <w:rPr>
          <w:rFonts w:cs="Times New Roman"/>
          <w:lang w:eastAsia="zh-CN"/>
        </w:rPr>
        <w:t>居住组团、教育科研组团声环境执行《声环境质量标准》（GB3096-2008）中1类标准，道路交通干线两侧一定距离内执行4a类，见表1.6-4。根据《声环境功能区划分技术规范》（GB/T15190-2014），道路交通干线（4a类区）两侧一定距离的划定原则见表1.6-5。</w:t>
      </w:r>
    </w:p>
    <w:p>
      <w:pPr>
        <w:pStyle w:val="20"/>
        <w:spacing w:line="240" w:lineRule="auto"/>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表1.6-4  环境噪声限值</w:t>
      </w:r>
      <w:r>
        <w:rPr>
          <w:rFonts w:hint="eastAsia" w:ascii="Times New Roman" w:hAnsi="Times New Roman" w:eastAsia="宋体" w:cs="Times New Roman"/>
          <w:b/>
          <w:bCs/>
          <w:sz w:val="21"/>
          <w:szCs w:val="21"/>
          <w:lang w:eastAsia="zh-CN"/>
        </w:rPr>
        <w:t xml:space="preserve"> </w:t>
      </w:r>
      <w:r>
        <w:rPr>
          <w:rFonts w:ascii="Times New Roman" w:hAnsi="Times New Roman" w:eastAsia="宋体" w:cs="Times New Roman"/>
          <w:b/>
          <w:bCs/>
          <w:sz w:val="21"/>
          <w:szCs w:val="21"/>
          <w:lang w:eastAsia="zh-CN"/>
        </w:rPr>
        <w:t xml:space="preserve"> 单位：dB(A)</w:t>
      </w:r>
    </w:p>
    <w:tbl>
      <w:tblPr>
        <w:tblStyle w:val="64"/>
        <w:tblW w:w="5000"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992"/>
        <w:gridCol w:w="790"/>
        <w:gridCol w:w="790"/>
        <w:gridCol w:w="6718"/>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534" w:type="pct"/>
            <w:vAlign w:val="center"/>
          </w:tcPr>
          <w:p>
            <w:pPr>
              <w:pStyle w:val="16"/>
              <w:spacing w:line="400" w:lineRule="exact"/>
              <w:rPr>
                <w:rFonts w:ascii="Times New Roman" w:hAnsi="Times New Roman"/>
                <w:b/>
                <w:bCs/>
                <w:sz w:val="21"/>
              </w:rPr>
            </w:pPr>
            <w:r>
              <w:rPr>
                <w:rFonts w:ascii="Times New Roman" w:hAnsi="Times New Roman"/>
                <w:b/>
                <w:bCs/>
                <w:sz w:val="21"/>
              </w:rPr>
              <w:t>类别</w:t>
            </w:r>
          </w:p>
        </w:tc>
        <w:tc>
          <w:tcPr>
            <w:tcW w:w="425" w:type="pct"/>
            <w:vAlign w:val="center"/>
          </w:tcPr>
          <w:p>
            <w:pPr>
              <w:pStyle w:val="16"/>
              <w:spacing w:line="400" w:lineRule="exact"/>
              <w:rPr>
                <w:rFonts w:ascii="Times New Roman" w:hAnsi="Times New Roman"/>
                <w:b/>
                <w:bCs/>
                <w:sz w:val="21"/>
              </w:rPr>
            </w:pPr>
            <w:r>
              <w:rPr>
                <w:rFonts w:ascii="Times New Roman" w:hAnsi="Times New Roman"/>
                <w:b/>
                <w:bCs/>
                <w:sz w:val="21"/>
              </w:rPr>
              <w:t>昼间</w:t>
            </w:r>
          </w:p>
        </w:tc>
        <w:tc>
          <w:tcPr>
            <w:tcW w:w="425" w:type="pct"/>
            <w:vAlign w:val="center"/>
          </w:tcPr>
          <w:p>
            <w:pPr>
              <w:pStyle w:val="16"/>
              <w:spacing w:line="400" w:lineRule="exact"/>
              <w:rPr>
                <w:rFonts w:ascii="Times New Roman" w:hAnsi="Times New Roman"/>
                <w:b/>
                <w:bCs/>
                <w:sz w:val="21"/>
              </w:rPr>
            </w:pPr>
            <w:r>
              <w:rPr>
                <w:rFonts w:ascii="Times New Roman" w:hAnsi="Times New Roman"/>
                <w:b/>
                <w:bCs/>
                <w:sz w:val="21"/>
              </w:rPr>
              <w:t>夜间</w:t>
            </w:r>
          </w:p>
        </w:tc>
        <w:tc>
          <w:tcPr>
            <w:tcW w:w="3615" w:type="pct"/>
            <w:vAlign w:val="center"/>
          </w:tcPr>
          <w:p>
            <w:pPr>
              <w:pStyle w:val="16"/>
              <w:spacing w:line="400" w:lineRule="exact"/>
              <w:rPr>
                <w:rFonts w:ascii="Times New Roman" w:hAnsi="Times New Roman"/>
                <w:b/>
                <w:bCs/>
                <w:sz w:val="21"/>
              </w:rPr>
            </w:pPr>
            <w:r>
              <w:rPr>
                <w:rFonts w:ascii="Times New Roman" w:hAnsi="Times New Roman"/>
                <w:b/>
                <w:bCs/>
                <w:sz w:val="21"/>
              </w:rPr>
              <w:t>适用区域</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534" w:type="pct"/>
            <w:vAlign w:val="center"/>
          </w:tcPr>
          <w:p>
            <w:pPr>
              <w:pStyle w:val="16"/>
              <w:spacing w:line="400" w:lineRule="exact"/>
              <w:rPr>
                <w:rFonts w:ascii="Times New Roman" w:hAnsi="Times New Roman"/>
                <w:sz w:val="21"/>
              </w:rPr>
            </w:pPr>
            <w:r>
              <w:rPr>
                <w:rFonts w:ascii="Times New Roman" w:hAnsi="Times New Roman"/>
                <w:sz w:val="21"/>
              </w:rPr>
              <w:t>1类</w:t>
            </w:r>
          </w:p>
        </w:tc>
        <w:tc>
          <w:tcPr>
            <w:tcW w:w="425" w:type="pct"/>
            <w:vAlign w:val="center"/>
          </w:tcPr>
          <w:p>
            <w:pPr>
              <w:pStyle w:val="16"/>
              <w:spacing w:line="400" w:lineRule="exact"/>
              <w:rPr>
                <w:rFonts w:ascii="Times New Roman" w:hAnsi="Times New Roman"/>
                <w:sz w:val="21"/>
              </w:rPr>
            </w:pPr>
            <w:r>
              <w:rPr>
                <w:rFonts w:ascii="Times New Roman" w:hAnsi="Times New Roman"/>
                <w:sz w:val="21"/>
              </w:rPr>
              <w:t>55</w:t>
            </w:r>
          </w:p>
        </w:tc>
        <w:tc>
          <w:tcPr>
            <w:tcW w:w="425" w:type="pct"/>
            <w:vAlign w:val="center"/>
          </w:tcPr>
          <w:p>
            <w:pPr>
              <w:pStyle w:val="16"/>
              <w:spacing w:line="400" w:lineRule="exact"/>
              <w:rPr>
                <w:rFonts w:ascii="Times New Roman" w:hAnsi="Times New Roman"/>
                <w:sz w:val="21"/>
              </w:rPr>
            </w:pPr>
            <w:r>
              <w:rPr>
                <w:rFonts w:ascii="Times New Roman" w:hAnsi="Times New Roman"/>
                <w:sz w:val="21"/>
              </w:rPr>
              <w:t>45</w:t>
            </w:r>
          </w:p>
        </w:tc>
        <w:tc>
          <w:tcPr>
            <w:tcW w:w="3615" w:type="pct"/>
            <w:vAlign w:val="center"/>
          </w:tcPr>
          <w:p>
            <w:pPr>
              <w:pStyle w:val="16"/>
              <w:spacing w:line="400" w:lineRule="exact"/>
              <w:rPr>
                <w:rFonts w:ascii="Times New Roman" w:hAnsi="Times New Roman"/>
                <w:sz w:val="21"/>
              </w:rPr>
            </w:pPr>
            <w:r>
              <w:rPr>
                <w:rFonts w:ascii="Times New Roman" w:hAnsi="Times New Roman"/>
                <w:sz w:val="21"/>
              </w:rPr>
              <w:t xml:space="preserve">居民区、文教区、居民集中区以及机关、事业单位集中的区域。 </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534" w:type="pct"/>
            <w:vAlign w:val="center"/>
          </w:tcPr>
          <w:p>
            <w:pPr>
              <w:pStyle w:val="16"/>
              <w:spacing w:line="400" w:lineRule="exact"/>
              <w:rPr>
                <w:rFonts w:ascii="Times New Roman" w:hAnsi="Times New Roman"/>
                <w:sz w:val="21"/>
              </w:rPr>
            </w:pPr>
            <w:r>
              <w:rPr>
                <w:rFonts w:hint="eastAsia" w:ascii="Times New Roman" w:hAnsi="Times New Roman"/>
                <w:sz w:val="21"/>
              </w:rPr>
              <w:t>2类</w:t>
            </w:r>
          </w:p>
        </w:tc>
        <w:tc>
          <w:tcPr>
            <w:tcW w:w="425" w:type="pct"/>
            <w:vAlign w:val="center"/>
          </w:tcPr>
          <w:p>
            <w:pPr>
              <w:pStyle w:val="16"/>
              <w:spacing w:line="400" w:lineRule="exact"/>
              <w:rPr>
                <w:rFonts w:ascii="Times New Roman" w:hAnsi="Times New Roman"/>
                <w:sz w:val="21"/>
              </w:rPr>
            </w:pPr>
            <w:r>
              <w:rPr>
                <w:rFonts w:hint="eastAsia" w:ascii="Times New Roman" w:hAnsi="Times New Roman"/>
                <w:sz w:val="21"/>
              </w:rPr>
              <w:t>60</w:t>
            </w:r>
          </w:p>
        </w:tc>
        <w:tc>
          <w:tcPr>
            <w:tcW w:w="425" w:type="pct"/>
            <w:vAlign w:val="center"/>
          </w:tcPr>
          <w:p>
            <w:pPr>
              <w:pStyle w:val="16"/>
              <w:spacing w:line="400" w:lineRule="exact"/>
              <w:rPr>
                <w:rFonts w:ascii="Times New Roman" w:hAnsi="Times New Roman"/>
                <w:sz w:val="21"/>
              </w:rPr>
            </w:pPr>
            <w:r>
              <w:rPr>
                <w:rFonts w:hint="eastAsia" w:ascii="Times New Roman" w:hAnsi="Times New Roman"/>
                <w:sz w:val="21"/>
              </w:rPr>
              <w:t>50</w:t>
            </w:r>
          </w:p>
        </w:tc>
        <w:tc>
          <w:tcPr>
            <w:tcW w:w="3615" w:type="pct"/>
            <w:vAlign w:val="center"/>
          </w:tcPr>
          <w:p>
            <w:pPr>
              <w:pStyle w:val="16"/>
              <w:spacing w:line="400" w:lineRule="exact"/>
              <w:rPr>
                <w:rFonts w:ascii="Times New Roman" w:hAnsi="Times New Roman"/>
                <w:sz w:val="21"/>
              </w:rPr>
            </w:pPr>
            <w:r>
              <w:rPr>
                <w:rFonts w:hint="eastAsia" w:ascii="Times New Roman" w:hAnsi="Times New Roman"/>
                <w:sz w:val="21"/>
              </w:rPr>
              <w:t>商业金融、集市贸易为主要功能，或者居住、商业、工业混杂，需要维护住宅安静的区域。</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534" w:type="pct"/>
            <w:vAlign w:val="center"/>
          </w:tcPr>
          <w:p>
            <w:pPr>
              <w:pStyle w:val="16"/>
              <w:spacing w:line="400" w:lineRule="exact"/>
              <w:rPr>
                <w:rFonts w:ascii="Times New Roman" w:hAnsi="Times New Roman"/>
                <w:sz w:val="21"/>
              </w:rPr>
            </w:pPr>
            <w:r>
              <w:rPr>
                <w:rFonts w:ascii="Times New Roman" w:hAnsi="Times New Roman"/>
                <w:sz w:val="21"/>
              </w:rPr>
              <w:t>4a类</w:t>
            </w:r>
          </w:p>
        </w:tc>
        <w:tc>
          <w:tcPr>
            <w:tcW w:w="425" w:type="pct"/>
            <w:vAlign w:val="center"/>
          </w:tcPr>
          <w:p>
            <w:pPr>
              <w:pStyle w:val="16"/>
              <w:spacing w:line="400" w:lineRule="exact"/>
              <w:rPr>
                <w:rFonts w:ascii="Times New Roman" w:hAnsi="Times New Roman"/>
                <w:sz w:val="21"/>
              </w:rPr>
            </w:pPr>
            <w:r>
              <w:rPr>
                <w:rFonts w:ascii="Times New Roman" w:hAnsi="Times New Roman"/>
                <w:sz w:val="21"/>
              </w:rPr>
              <w:t>70</w:t>
            </w:r>
          </w:p>
        </w:tc>
        <w:tc>
          <w:tcPr>
            <w:tcW w:w="425" w:type="pct"/>
            <w:vAlign w:val="center"/>
          </w:tcPr>
          <w:p>
            <w:pPr>
              <w:pStyle w:val="16"/>
              <w:spacing w:line="400" w:lineRule="exact"/>
              <w:rPr>
                <w:rFonts w:ascii="Times New Roman" w:hAnsi="Times New Roman"/>
                <w:sz w:val="21"/>
              </w:rPr>
            </w:pPr>
            <w:r>
              <w:rPr>
                <w:rFonts w:ascii="Times New Roman" w:hAnsi="Times New Roman"/>
                <w:sz w:val="21"/>
              </w:rPr>
              <w:t>55</w:t>
            </w:r>
          </w:p>
        </w:tc>
        <w:tc>
          <w:tcPr>
            <w:tcW w:w="3615" w:type="pct"/>
            <w:vAlign w:val="center"/>
          </w:tcPr>
          <w:p>
            <w:pPr>
              <w:pStyle w:val="16"/>
              <w:spacing w:line="400" w:lineRule="exact"/>
              <w:rPr>
                <w:rFonts w:ascii="Times New Roman" w:hAnsi="Times New Roman"/>
                <w:sz w:val="21"/>
              </w:rPr>
            </w:pPr>
            <w:r>
              <w:rPr>
                <w:rFonts w:ascii="Times New Roman" w:hAnsi="Times New Roman"/>
                <w:sz w:val="21"/>
              </w:rPr>
              <w:t>高速公路、一级公路、二级公路、城市快速路、城市主干路、城市次干路城市轨道交通(地面段)、内河航道两侧区域</w:t>
            </w:r>
            <w:r>
              <w:rPr>
                <w:rFonts w:hint="eastAsia" w:ascii="Times New Roman" w:hAnsi="Times New Roman"/>
                <w:sz w:val="21"/>
              </w:rPr>
              <w:t>。</w:t>
            </w:r>
          </w:p>
        </w:tc>
      </w:tr>
    </w:tbl>
    <w:p>
      <w:pPr>
        <w:pStyle w:val="20"/>
        <w:spacing w:line="240" w:lineRule="auto"/>
        <w:ind w:firstLine="420"/>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表1.6-5</w:t>
      </w:r>
      <w:r>
        <w:rPr>
          <w:rFonts w:ascii="Times New Roman" w:hAnsi="Times New Roman" w:eastAsia="宋体" w:cs="Times New Roman"/>
          <w:b/>
          <w:bCs/>
          <w:sz w:val="21"/>
          <w:szCs w:val="21"/>
          <w:lang w:eastAsia="zh-CN"/>
        </w:rPr>
        <w:tab/>
      </w:r>
      <w:r>
        <w:rPr>
          <w:rFonts w:ascii="Times New Roman" w:hAnsi="Times New Roman" w:eastAsia="宋体" w:cs="Times New Roman"/>
          <w:b/>
          <w:bCs/>
          <w:sz w:val="21"/>
          <w:szCs w:val="21"/>
          <w:lang w:eastAsia="zh-CN"/>
        </w:rPr>
        <w:t xml:space="preserve">  道路交通干线（4a</w:t>
      </w:r>
      <w:r>
        <w:rPr>
          <w:rFonts w:ascii="Times New Roman" w:hAnsi="Times New Roman" w:eastAsia="宋体" w:cs="Times New Roman"/>
          <w:b/>
          <w:bCs/>
          <w:spacing w:val="-3"/>
          <w:sz w:val="21"/>
          <w:szCs w:val="21"/>
          <w:lang w:eastAsia="zh-CN"/>
        </w:rPr>
        <w:t xml:space="preserve"> </w:t>
      </w:r>
      <w:r>
        <w:rPr>
          <w:rFonts w:ascii="Times New Roman" w:hAnsi="Times New Roman" w:eastAsia="宋体" w:cs="Times New Roman"/>
          <w:b/>
          <w:bCs/>
          <w:sz w:val="21"/>
          <w:szCs w:val="21"/>
          <w:lang w:eastAsia="zh-CN"/>
        </w:rPr>
        <w:t>类区）两侧距离值</w:t>
      </w:r>
    </w:p>
    <w:tbl>
      <w:tblPr>
        <w:tblStyle w:val="64"/>
        <w:tblW w:w="5000" w:type="pct"/>
        <w:tblInd w:w="0" w:type="dxa"/>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5303"/>
        <w:gridCol w:w="2244"/>
        <w:gridCol w:w="1743"/>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2854" w:type="pct"/>
          </w:tcPr>
          <w:p>
            <w:pPr>
              <w:pStyle w:val="16"/>
              <w:spacing w:line="400" w:lineRule="exact"/>
              <w:rPr>
                <w:rFonts w:ascii="Times New Roman" w:hAnsi="Times New Roman"/>
                <w:b/>
                <w:bCs/>
                <w:sz w:val="21"/>
              </w:rPr>
            </w:pPr>
            <w:r>
              <w:rPr>
                <w:rFonts w:ascii="Times New Roman" w:hAnsi="Times New Roman"/>
                <w:b/>
                <w:bCs/>
                <w:sz w:val="21"/>
              </w:rPr>
              <w:t>交通干线类型</w:t>
            </w:r>
          </w:p>
        </w:tc>
        <w:tc>
          <w:tcPr>
            <w:tcW w:w="1208" w:type="pct"/>
          </w:tcPr>
          <w:p>
            <w:pPr>
              <w:pStyle w:val="16"/>
              <w:spacing w:line="400" w:lineRule="exact"/>
              <w:rPr>
                <w:rFonts w:ascii="Times New Roman" w:hAnsi="Times New Roman"/>
                <w:b/>
                <w:bCs/>
                <w:sz w:val="21"/>
              </w:rPr>
            </w:pPr>
            <w:r>
              <w:rPr>
                <w:rFonts w:ascii="Times New Roman" w:hAnsi="Times New Roman"/>
                <w:b/>
                <w:bCs/>
                <w:sz w:val="21"/>
              </w:rPr>
              <w:t>划分距离（m）</w:t>
            </w:r>
          </w:p>
        </w:tc>
        <w:tc>
          <w:tcPr>
            <w:tcW w:w="938" w:type="pct"/>
          </w:tcPr>
          <w:p>
            <w:pPr>
              <w:pStyle w:val="16"/>
              <w:spacing w:line="400" w:lineRule="exact"/>
              <w:rPr>
                <w:rFonts w:ascii="Times New Roman" w:hAnsi="Times New Roman"/>
                <w:b/>
                <w:bCs/>
                <w:sz w:val="21"/>
              </w:rPr>
            </w:pPr>
            <w:r>
              <w:rPr>
                <w:rFonts w:ascii="Times New Roman" w:hAnsi="Times New Roman"/>
                <w:b/>
                <w:bCs/>
                <w:sz w:val="21"/>
              </w:rPr>
              <w:t>相邻功能区类别</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2854" w:type="pct"/>
            <w:vMerge w:val="restart"/>
            <w:vAlign w:val="center"/>
          </w:tcPr>
          <w:p>
            <w:pPr>
              <w:pStyle w:val="16"/>
              <w:spacing w:line="400" w:lineRule="exact"/>
              <w:rPr>
                <w:rFonts w:ascii="Times New Roman" w:hAnsi="Times New Roman"/>
                <w:sz w:val="21"/>
              </w:rPr>
            </w:pPr>
            <w:r>
              <w:rPr>
                <w:rFonts w:ascii="Times New Roman" w:hAnsi="Times New Roman"/>
                <w:sz w:val="21"/>
              </w:rPr>
              <w:t>高速公路、一级公路、二级公路、城市快速路、城市主 干路、城市次干路、城市轨道交通(地面段)</w:t>
            </w:r>
          </w:p>
        </w:tc>
        <w:tc>
          <w:tcPr>
            <w:tcW w:w="1208" w:type="pct"/>
          </w:tcPr>
          <w:p>
            <w:pPr>
              <w:pStyle w:val="16"/>
              <w:spacing w:line="400" w:lineRule="exact"/>
              <w:rPr>
                <w:rFonts w:ascii="Times New Roman" w:hAnsi="Times New Roman"/>
                <w:sz w:val="21"/>
              </w:rPr>
            </w:pPr>
            <w:r>
              <w:rPr>
                <w:rFonts w:ascii="Times New Roman" w:hAnsi="Times New Roman"/>
                <w:sz w:val="21"/>
              </w:rPr>
              <w:t>50±5</w:t>
            </w:r>
          </w:p>
        </w:tc>
        <w:tc>
          <w:tcPr>
            <w:tcW w:w="938" w:type="pct"/>
          </w:tcPr>
          <w:p>
            <w:pPr>
              <w:pStyle w:val="16"/>
              <w:spacing w:line="400" w:lineRule="exact"/>
              <w:rPr>
                <w:rFonts w:ascii="Times New Roman" w:hAnsi="Times New Roman"/>
                <w:sz w:val="21"/>
              </w:rPr>
            </w:pPr>
            <w:r>
              <w:rPr>
                <w:rFonts w:ascii="Times New Roman" w:hAnsi="Times New Roman"/>
                <w:sz w:val="21"/>
              </w:rPr>
              <w:t>1 类区</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2854" w:type="pct"/>
            <w:vMerge w:val="continue"/>
          </w:tcPr>
          <w:p>
            <w:pPr>
              <w:pStyle w:val="16"/>
              <w:spacing w:line="400" w:lineRule="exact"/>
              <w:rPr>
                <w:rFonts w:ascii="Times New Roman" w:hAnsi="Times New Roman"/>
                <w:sz w:val="21"/>
              </w:rPr>
            </w:pPr>
          </w:p>
        </w:tc>
        <w:tc>
          <w:tcPr>
            <w:tcW w:w="1208" w:type="pct"/>
          </w:tcPr>
          <w:p>
            <w:pPr>
              <w:pStyle w:val="16"/>
              <w:spacing w:line="400" w:lineRule="exact"/>
              <w:rPr>
                <w:rFonts w:ascii="Times New Roman" w:hAnsi="Times New Roman"/>
                <w:sz w:val="21"/>
              </w:rPr>
            </w:pPr>
            <w:r>
              <w:rPr>
                <w:rFonts w:ascii="Times New Roman" w:hAnsi="Times New Roman"/>
                <w:sz w:val="21"/>
              </w:rPr>
              <w:t>35±5</w:t>
            </w:r>
          </w:p>
        </w:tc>
        <w:tc>
          <w:tcPr>
            <w:tcW w:w="938" w:type="pct"/>
          </w:tcPr>
          <w:p>
            <w:pPr>
              <w:pStyle w:val="16"/>
              <w:spacing w:line="400" w:lineRule="exact"/>
              <w:rPr>
                <w:rFonts w:ascii="Times New Roman" w:hAnsi="Times New Roman"/>
                <w:sz w:val="21"/>
              </w:rPr>
            </w:pPr>
            <w:r>
              <w:rPr>
                <w:rFonts w:ascii="Times New Roman" w:hAnsi="Times New Roman"/>
                <w:sz w:val="21"/>
              </w:rPr>
              <w:t>2 类区</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2854" w:type="pct"/>
            <w:vMerge w:val="continue"/>
          </w:tcPr>
          <w:p>
            <w:pPr>
              <w:pStyle w:val="16"/>
              <w:spacing w:line="400" w:lineRule="exact"/>
              <w:rPr>
                <w:rFonts w:ascii="Times New Roman" w:hAnsi="Times New Roman"/>
                <w:sz w:val="21"/>
              </w:rPr>
            </w:pPr>
          </w:p>
        </w:tc>
        <w:tc>
          <w:tcPr>
            <w:tcW w:w="1208" w:type="pct"/>
          </w:tcPr>
          <w:p>
            <w:pPr>
              <w:pStyle w:val="16"/>
              <w:spacing w:line="400" w:lineRule="exact"/>
              <w:rPr>
                <w:rFonts w:ascii="Times New Roman" w:hAnsi="Times New Roman"/>
                <w:sz w:val="21"/>
              </w:rPr>
            </w:pPr>
            <w:r>
              <w:rPr>
                <w:rFonts w:ascii="Times New Roman" w:hAnsi="Times New Roman"/>
                <w:sz w:val="21"/>
              </w:rPr>
              <w:t>20±5</w:t>
            </w:r>
          </w:p>
        </w:tc>
        <w:tc>
          <w:tcPr>
            <w:tcW w:w="938" w:type="pct"/>
          </w:tcPr>
          <w:p>
            <w:pPr>
              <w:pStyle w:val="16"/>
              <w:spacing w:line="400" w:lineRule="exact"/>
              <w:rPr>
                <w:rFonts w:ascii="Times New Roman" w:hAnsi="Times New Roman"/>
                <w:sz w:val="21"/>
              </w:rPr>
            </w:pPr>
            <w:r>
              <w:rPr>
                <w:rFonts w:ascii="Times New Roman" w:hAnsi="Times New Roman"/>
                <w:sz w:val="21"/>
              </w:rPr>
              <w:t>3 类区</w:t>
            </w:r>
          </w:p>
        </w:tc>
      </w:tr>
    </w:tbl>
    <w:p>
      <w:pPr>
        <w:tabs>
          <w:tab w:val="left" w:pos="1390"/>
        </w:tabs>
        <w:ind w:firstLine="480"/>
        <w:rPr>
          <w:rFonts w:cs="Times New Roman"/>
          <w:lang w:eastAsia="zh-CN"/>
        </w:rPr>
      </w:pPr>
      <w:r>
        <w:rPr>
          <w:rFonts w:cs="Times New Roman"/>
          <w:lang w:eastAsia="zh-CN"/>
        </w:rPr>
        <w:t>（4）地下水质量标准</w:t>
      </w:r>
    </w:p>
    <w:p>
      <w:pPr>
        <w:ind w:firstLine="480"/>
        <w:rPr>
          <w:rFonts w:cs="Times New Roman"/>
          <w:lang w:eastAsia="zh-CN"/>
        </w:rPr>
      </w:pPr>
      <w:r>
        <w:rPr>
          <w:rFonts w:cs="Times New Roman"/>
          <w:lang w:eastAsia="zh-CN"/>
        </w:rPr>
        <w:t>地下水指标执行《地下水质量标准</w:t>
      </w:r>
      <w:r>
        <w:rPr>
          <w:rFonts w:cs="Times New Roman"/>
          <w:spacing w:val="-119"/>
          <w:lang w:eastAsia="zh-CN"/>
        </w:rPr>
        <w:t>》</w:t>
      </w:r>
      <w:r>
        <w:rPr>
          <w:rFonts w:cs="Times New Roman"/>
          <w:spacing w:val="1"/>
          <w:lang w:eastAsia="zh-CN"/>
        </w:rPr>
        <w:t>（</w:t>
      </w:r>
      <w:r>
        <w:rPr>
          <w:rFonts w:eastAsia="Arial" w:cs="Times New Roman"/>
          <w:spacing w:val="-1"/>
          <w:lang w:eastAsia="zh-CN"/>
        </w:rPr>
        <w:t>GB/T14848-201</w:t>
      </w:r>
      <w:r>
        <w:rPr>
          <w:rFonts w:eastAsia="Arial" w:cs="Times New Roman"/>
          <w:spacing w:val="1"/>
          <w:lang w:eastAsia="zh-CN"/>
        </w:rPr>
        <w:t>7</w:t>
      </w:r>
      <w:r>
        <w:rPr>
          <w:rFonts w:cs="Times New Roman"/>
          <w:spacing w:val="1"/>
          <w:lang w:eastAsia="zh-CN"/>
        </w:rPr>
        <w:t>）</w:t>
      </w:r>
      <w:r>
        <w:rPr>
          <w:rFonts w:cs="Times New Roman"/>
          <w:lang w:eastAsia="zh-CN"/>
        </w:rPr>
        <w:t>Ⅲ类标准。具体标准值见下表：</w:t>
      </w:r>
      <w:r>
        <w:rPr>
          <w:rFonts w:cs="Times New Roman"/>
          <w:spacing w:val="2"/>
          <w:lang w:eastAsia="zh-CN"/>
        </w:rPr>
        <w:t>Cl</w:t>
      </w:r>
      <w:r>
        <w:rPr>
          <w:rFonts w:cs="Times New Roman"/>
          <w:spacing w:val="2"/>
          <w:vertAlign w:val="superscript"/>
          <w:lang w:eastAsia="zh-CN"/>
        </w:rPr>
        <w:t>-</w:t>
      </w:r>
      <w:r>
        <w:rPr>
          <w:rFonts w:cs="Times New Roman"/>
          <w:spacing w:val="2"/>
          <w:lang w:eastAsia="zh-CN"/>
        </w:rPr>
        <w:t>、SO</w:t>
      </w:r>
      <w:r>
        <w:rPr>
          <w:rFonts w:cs="Times New Roman"/>
          <w:spacing w:val="2"/>
          <w:vertAlign w:val="subscript"/>
          <w:lang w:eastAsia="zh-CN"/>
        </w:rPr>
        <w:t>4</w:t>
      </w:r>
      <w:r>
        <w:rPr>
          <w:rFonts w:cs="Times New Roman"/>
          <w:spacing w:val="2"/>
          <w:vertAlign w:val="superscript"/>
          <w:lang w:eastAsia="zh-CN"/>
        </w:rPr>
        <w:t>2-</w:t>
      </w:r>
      <w:r>
        <w:rPr>
          <w:rFonts w:cs="Times New Roman"/>
          <w:spacing w:val="2"/>
          <w:lang w:eastAsia="zh-CN"/>
        </w:rPr>
        <w:t>、pH值、氨氮、硝酸盐、亚硝酸盐、挥发性酚类、氰化物、砷、汞、六价铬、总硬度、铅、氟化物、镉、铁、锰、溶解性总固体、高锰酸盐指数、总大肠菌群、菌落总数</w:t>
      </w:r>
      <w:r>
        <w:rPr>
          <w:rFonts w:cs="Times New Roman"/>
          <w:lang w:eastAsia="zh-CN"/>
        </w:rPr>
        <w:t>。</w:t>
      </w:r>
    </w:p>
    <w:p>
      <w:pPr>
        <w:pStyle w:val="20"/>
        <w:spacing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lang w:eastAsia="zh-CN"/>
        </w:rPr>
        <w:t>表1.6-6  地下水</w:t>
      </w:r>
      <w:r>
        <w:rPr>
          <w:rFonts w:ascii="Times New Roman" w:hAnsi="Times New Roman" w:eastAsia="宋体" w:cs="Times New Roman"/>
          <w:b/>
          <w:bCs/>
          <w:sz w:val="21"/>
          <w:szCs w:val="21"/>
        </w:rPr>
        <w:t>质量标准</w:t>
      </w:r>
    </w:p>
    <w:tbl>
      <w:tblPr>
        <w:tblStyle w:val="64"/>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3545"/>
        <w:gridCol w:w="2052"/>
        <w:gridCol w:w="265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b/>
                <w:bCs/>
                <w:sz w:val="21"/>
              </w:rPr>
            </w:pPr>
            <w:r>
              <w:rPr>
                <w:rFonts w:ascii="Times New Roman" w:hAnsi="Times New Roman"/>
                <w:b/>
                <w:bCs/>
                <w:sz w:val="21"/>
              </w:rPr>
              <w:t>序号</w:t>
            </w:r>
          </w:p>
        </w:tc>
        <w:tc>
          <w:tcPr>
            <w:tcW w:w="1907" w:type="pct"/>
            <w:vAlign w:val="center"/>
          </w:tcPr>
          <w:p>
            <w:pPr>
              <w:pStyle w:val="16"/>
              <w:spacing w:line="400" w:lineRule="exact"/>
              <w:rPr>
                <w:rFonts w:ascii="Times New Roman" w:hAnsi="Times New Roman"/>
                <w:b/>
                <w:bCs/>
                <w:sz w:val="21"/>
              </w:rPr>
            </w:pPr>
            <w:r>
              <w:rPr>
                <w:rFonts w:ascii="Times New Roman" w:hAnsi="Times New Roman"/>
                <w:b/>
                <w:bCs/>
                <w:sz w:val="21"/>
              </w:rPr>
              <w:t>项目名称</w:t>
            </w:r>
          </w:p>
        </w:tc>
        <w:tc>
          <w:tcPr>
            <w:tcW w:w="1104" w:type="pct"/>
            <w:vAlign w:val="center"/>
          </w:tcPr>
          <w:p>
            <w:pPr>
              <w:pStyle w:val="16"/>
              <w:spacing w:line="400" w:lineRule="exact"/>
              <w:rPr>
                <w:rFonts w:ascii="Times New Roman" w:hAnsi="Times New Roman"/>
                <w:b/>
                <w:bCs/>
                <w:sz w:val="21"/>
              </w:rPr>
            </w:pPr>
            <w:r>
              <w:rPr>
                <w:rFonts w:ascii="Times New Roman" w:hAnsi="Times New Roman"/>
                <w:b/>
                <w:bCs/>
                <w:sz w:val="21"/>
              </w:rPr>
              <w:t>单位</w:t>
            </w:r>
          </w:p>
        </w:tc>
        <w:tc>
          <w:tcPr>
            <w:tcW w:w="1428" w:type="pct"/>
            <w:vAlign w:val="center"/>
          </w:tcPr>
          <w:p>
            <w:pPr>
              <w:pStyle w:val="16"/>
              <w:spacing w:line="400" w:lineRule="exact"/>
              <w:rPr>
                <w:rFonts w:ascii="Times New Roman" w:hAnsi="Times New Roman"/>
                <w:b/>
                <w:bCs/>
                <w:sz w:val="21"/>
              </w:rPr>
            </w:pPr>
            <w:r>
              <w:rPr>
                <w:rFonts w:ascii="Times New Roman" w:hAnsi="Times New Roman"/>
                <w:b/>
                <w:bCs/>
                <w:sz w:val="21"/>
              </w:rPr>
              <w:t>Ⅲ类标准值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pH</w:t>
            </w:r>
          </w:p>
        </w:tc>
        <w:tc>
          <w:tcPr>
            <w:tcW w:w="1104" w:type="pct"/>
            <w:vAlign w:val="center"/>
          </w:tcPr>
          <w:p>
            <w:pPr>
              <w:pStyle w:val="16"/>
              <w:spacing w:line="400" w:lineRule="exact"/>
              <w:rPr>
                <w:rFonts w:ascii="Times New Roman" w:hAnsi="Times New Roman"/>
                <w:sz w:val="21"/>
              </w:rPr>
            </w:pPr>
            <w:r>
              <w:rPr>
                <w:rFonts w:ascii="Times New Roman" w:hAnsi="Times New Roman"/>
                <w:sz w:val="21"/>
              </w:rPr>
              <w:t>无量纲</w:t>
            </w:r>
          </w:p>
        </w:tc>
        <w:tc>
          <w:tcPr>
            <w:tcW w:w="1428" w:type="pct"/>
            <w:vAlign w:val="center"/>
          </w:tcPr>
          <w:p>
            <w:pPr>
              <w:pStyle w:val="16"/>
              <w:spacing w:line="400" w:lineRule="exact"/>
              <w:rPr>
                <w:rFonts w:ascii="Times New Roman" w:hAnsi="Times New Roman"/>
                <w:sz w:val="21"/>
              </w:rPr>
            </w:pPr>
            <w:r>
              <w:rPr>
                <w:rFonts w:ascii="Times New Roman" w:hAnsi="Times New Roman"/>
                <w:sz w:val="21"/>
              </w:rPr>
              <w:t>6.5～8.5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2</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总硬度</w:t>
            </w:r>
          </w:p>
        </w:tc>
        <w:tc>
          <w:tcPr>
            <w:tcW w:w="1104" w:type="pct"/>
            <w:vMerge w:val="restart"/>
            <w:vAlign w:val="center"/>
          </w:tcPr>
          <w:p>
            <w:pPr>
              <w:pStyle w:val="16"/>
              <w:spacing w:line="400" w:lineRule="exact"/>
              <w:rPr>
                <w:rFonts w:ascii="Times New Roman" w:hAnsi="Times New Roman"/>
                <w:sz w:val="21"/>
              </w:rPr>
            </w:pPr>
            <w:r>
              <w:rPr>
                <w:rFonts w:ascii="Times New Roman" w:hAnsi="Times New Roman"/>
                <w:sz w:val="21"/>
              </w:rPr>
              <w:t>mg/L</w:t>
            </w:r>
          </w:p>
        </w:tc>
        <w:tc>
          <w:tcPr>
            <w:tcW w:w="1428" w:type="pct"/>
            <w:vAlign w:val="center"/>
          </w:tcPr>
          <w:p>
            <w:pPr>
              <w:pStyle w:val="16"/>
              <w:spacing w:line="400" w:lineRule="exact"/>
              <w:rPr>
                <w:rFonts w:ascii="Times New Roman" w:hAnsi="Times New Roman"/>
                <w:sz w:val="21"/>
              </w:rPr>
            </w:pPr>
            <w:r>
              <w:rPr>
                <w:rFonts w:ascii="Times New Roman" w:hAnsi="Times New Roman"/>
                <w:sz w:val="21"/>
              </w:rPr>
              <w:t>450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3</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溶解性总固体</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1000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4</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硫酸盐</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250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5</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氯化物</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250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6</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铁</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7</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锰</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8</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挥发酚</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0.002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9</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高锰酸盐指数</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10</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硝酸盐</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11</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亚硝酸盐</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12</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氨氮</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13</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氟化物</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0.01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14</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氰化物</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15</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汞</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16</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砷</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0.01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17</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镉</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18</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六价铬</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19</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铅</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0.01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20</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总大肠杆菌</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59" w:type="pct"/>
            <w:vAlign w:val="center"/>
          </w:tcPr>
          <w:p>
            <w:pPr>
              <w:pStyle w:val="16"/>
              <w:spacing w:line="400" w:lineRule="exact"/>
              <w:rPr>
                <w:rFonts w:ascii="Times New Roman" w:hAnsi="Times New Roman"/>
                <w:sz w:val="21"/>
              </w:rPr>
            </w:pPr>
            <w:r>
              <w:rPr>
                <w:rFonts w:ascii="Times New Roman" w:hAnsi="Times New Roman"/>
                <w:sz w:val="21"/>
              </w:rPr>
              <w:t>21</w:t>
            </w:r>
          </w:p>
        </w:tc>
        <w:tc>
          <w:tcPr>
            <w:tcW w:w="1907" w:type="pct"/>
            <w:vAlign w:val="center"/>
          </w:tcPr>
          <w:p>
            <w:pPr>
              <w:pStyle w:val="16"/>
              <w:spacing w:line="400" w:lineRule="exact"/>
              <w:rPr>
                <w:rFonts w:ascii="Times New Roman" w:hAnsi="Times New Roman"/>
                <w:sz w:val="21"/>
              </w:rPr>
            </w:pPr>
            <w:r>
              <w:rPr>
                <w:rFonts w:ascii="Times New Roman" w:hAnsi="Times New Roman"/>
                <w:sz w:val="21"/>
              </w:rPr>
              <w:t>细菌总数</w:t>
            </w:r>
          </w:p>
        </w:tc>
        <w:tc>
          <w:tcPr>
            <w:tcW w:w="1104" w:type="pct"/>
            <w:vMerge w:val="continue"/>
            <w:vAlign w:val="center"/>
          </w:tcPr>
          <w:p>
            <w:pPr>
              <w:pStyle w:val="16"/>
              <w:spacing w:line="400" w:lineRule="exact"/>
              <w:rPr>
                <w:rFonts w:ascii="Times New Roman" w:hAnsi="Times New Roman"/>
                <w:sz w:val="21"/>
              </w:rPr>
            </w:pPr>
          </w:p>
        </w:tc>
        <w:tc>
          <w:tcPr>
            <w:tcW w:w="1428" w:type="pct"/>
            <w:vAlign w:val="center"/>
          </w:tcPr>
          <w:p>
            <w:pPr>
              <w:pStyle w:val="16"/>
              <w:spacing w:line="400" w:lineRule="exact"/>
              <w:rPr>
                <w:rFonts w:ascii="Times New Roman" w:hAnsi="Times New Roman"/>
                <w:sz w:val="21"/>
              </w:rPr>
            </w:pPr>
            <w:r>
              <w:rPr>
                <w:rFonts w:ascii="Times New Roman" w:hAnsi="Times New Roman"/>
                <w:sz w:val="21"/>
              </w:rPr>
              <w:t>100</w:t>
            </w:r>
          </w:p>
        </w:tc>
      </w:tr>
    </w:tbl>
    <w:p>
      <w:pPr>
        <w:ind w:firstLine="476"/>
        <w:rPr>
          <w:rFonts w:cs="Times New Roman"/>
          <w:lang w:eastAsia="zh-CN"/>
        </w:rPr>
      </w:pPr>
      <w:r>
        <w:rPr>
          <w:rFonts w:cs="Times New Roman"/>
          <w:spacing w:val="-1"/>
          <w:lang w:eastAsia="zh-CN"/>
        </w:rPr>
        <w:t>（5）土壤环境质量标准</w:t>
      </w:r>
      <w:r>
        <w:rPr>
          <w:rFonts w:cs="Times New Roman"/>
          <w:spacing w:val="29"/>
          <w:lang w:eastAsia="zh-CN"/>
        </w:rPr>
        <w:t xml:space="preserve"> </w:t>
      </w:r>
      <w:r>
        <w:rPr>
          <w:rFonts w:cs="Times New Roman"/>
          <w:lang w:eastAsia="zh-CN"/>
        </w:rPr>
        <w:t>规划区范围内建设用地执</w:t>
      </w:r>
      <w:r>
        <w:rPr>
          <w:rFonts w:cs="Times New Roman"/>
          <w:spacing w:val="-32"/>
          <w:lang w:eastAsia="zh-CN"/>
        </w:rPr>
        <w:t>行</w:t>
      </w:r>
      <w:r>
        <w:rPr>
          <w:rFonts w:cs="Times New Roman"/>
          <w:lang w:eastAsia="zh-CN"/>
        </w:rPr>
        <w:t>《土壤环境质量 建设用地土壤污染风险管控标</w:t>
      </w:r>
      <w:r>
        <w:rPr>
          <w:rFonts w:cs="Times New Roman"/>
          <w:spacing w:val="-32"/>
          <w:lang w:eastAsia="zh-CN"/>
        </w:rPr>
        <w:t>准</w:t>
      </w:r>
      <w:r>
        <w:rPr>
          <w:rFonts w:cs="Times New Roman"/>
          <w:lang w:eastAsia="zh-CN"/>
        </w:rPr>
        <w:t>（试行</w:t>
      </w:r>
      <w:r>
        <w:rPr>
          <w:rFonts w:cs="Times New Roman"/>
          <w:spacing w:val="-120"/>
          <w:lang w:eastAsia="zh-CN"/>
        </w:rPr>
        <w:t>）</w:t>
      </w:r>
      <w:r>
        <w:rPr>
          <w:rFonts w:cs="Times New Roman"/>
          <w:lang w:eastAsia="zh-CN"/>
        </w:rPr>
        <w:t>》</w:t>
      </w:r>
      <w:r>
        <w:rPr>
          <w:rFonts w:cs="Times New Roman"/>
          <w:spacing w:val="-1"/>
          <w:lang w:eastAsia="zh-CN"/>
        </w:rPr>
        <w:t>（</w:t>
      </w:r>
      <w:r>
        <w:rPr>
          <w:rFonts w:eastAsia="Arial" w:cs="Times New Roman"/>
          <w:spacing w:val="-1"/>
          <w:lang w:eastAsia="zh-CN"/>
        </w:rPr>
        <w:t>GB36600-2018</w:t>
      </w:r>
      <w:r>
        <w:rPr>
          <w:rFonts w:cs="Times New Roman"/>
          <w:spacing w:val="-1"/>
          <w:lang w:eastAsia="zh-CN"/>
        </w:rPr>
        <w:t>）第一类用地和</w:t>
      </w:r>
      <w:r>
        <w:rPr>
          <w:rFonts w:cs="Times New Roman"/>
          <w:lang w:eastAsia="zh-CN"/>
        </w:rPr>
        <w:t>第二类用地风险筛选值及管制值。</w:t>
      </w:r>
    </w:p>
    <w:p>
      <w:pPr>
        <w:pStyle w:val="20"/>
        <w:spacing w:line="240" w:lineRule="auto"/>
        <w:ind w:firstLine="420"/>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表1.6-7   土壤环境质量 建设用地土壤污染风险管控标准</w:t>
      </w:r>
      <w:r>
        <w:rPr>
          <w:rFonts w:ascii="Times New Roman" w:hAnsi="Times New Roman" w:eastAsia="宋体" w:cs="Times New Roman"/>
          <w:b/>
          <w:bCs/>
          <w:w w:val="95"/>
          <w:sz w:val="21"/>
          <w:szCs w:val="21"/>
          <w:lang w:eastAsia="zh-CN"/>
        </w:rPr>
        <w:tab/>
      </w:r>
      <w:r>
        <w:rPr>
          <w:rFonts w:ascii="Times New Roman" w:hAnsi="Times New Roman" w:eastAsia="宋体" w:cs="Times New Roman"/>
          <w:b/>
          <w:bCs/>
          <w:sz w:val="21"/>
          <w:szCs w:val="21"/>
          <w:lang w:eastAsia="zh-CN"/>
        </w:rPr>
        <w:t>（mg/kg）</w:t>
      </w:r>
    </w:p>
    <w:tbl>
      <w:tblPr>
        <w:tblStyle w:val="64"/>
        <w:tblW w:w="4997"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167"/>
        <w:gridCol w:w="2228"/>
        <w:gridCol w:w="1963"/>
        <w:gridCol w:w="1983"/>
        <w:gridCol w:w="1943"/>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b/>
                <w:bCs/>
                <w:sz w:val="21"/>
              </w:rPr>
            </w:pPr>
            <w:r>
              <w:rPr>
                <w:rFonts w:ascii="Times New Roman" w:hAnsi="Times New Roman"/>
                <w:b/>
                <w:bCs/>
                <w:sz w:val="21"/>
              </w:rPr>
              <w:t>序号</w:t>
            </w:r>
          </w:p>
        </w:tc>
        <w:tc>
          <w:tcPr>
            <w:tcW w:w="1223" w:type="pct"/>
            <w:vAlign w:val="center"/>
          </w:tcPr>
          <w:p>
            <w:pPr>
              <w:pStyle w:val="16"/>
              <w:spacing w:line="400" w:lineRule="exact"/>
              <w:rPr>
                <w:rFonts w:ascii="Times New Roman" w:hAnsi="Times New Roman"/>
                <w:b/>
                <w:bCs/>
                <w:sz w:val="21"/>
              </w:rPr>
            </w:pPr>
            <w:r>
              <w:rPr>
                <w:rFonts w:ascii="Times New Roman" w:hAnsi="Times New Roman"/>
                <w:b/>
                <w:bCs/>
                <w:sz w:val="21"/>
              </w:rPr>
              <w:t>项目</w:t>
            </w:r>
          </w:p>
        </w:tc>
        <w:tc>
          <w:tcPr>
            <w:tcW w:w="1080" w:type="pct"/>
            <w:vAlign w:val="center"/>
          </w:tcPr>
          <w:p>
            <w:pPr>
              <w:pStyle w:val="16"/>
              <w:spacing w:line="400" w:lineRule="exact"/>
              <w:rPr>
                <w:rFonts w:ascii="Times New Roman" w:hAnsi="Times New Roman"/>
                <w:b/>
                <w:bCs/>
                <w:sz w:val="21"/>
              </w:rPr>
            </w:pPr>
            <w:r>
              <w:rPr>
                <w:rFonts w:ascii="Times New Roman" w:hAnsi="Times New Roman"/>
                <w:b/>
                <w:bCs/>
                <w:sz w:val="21"/>
              </w:rPr>
              <w:t>第一类用地筛选值</w:t>
            </w:r>
          </w:p>
        </w:tc>
        <w:tc>
          <w:tcPr>
            <w:tcW w:w="1089" w:type="pct"/>
            <w:vAlign w:val="center"/>
          </w:tcPr>
          <w:p>
            <w:pPr>
              <w:pStyle w:val="16"/>
              <w:spacing w:line="400" w:lineRule="exact"/>
              <w:rPr>
                <w:rFonts w:ascii="Times New Roman" w:hAnsi="Times New Roman"/>
                <w:b/>
                <w:bCs/>
                <w:sz w:val="21"/>
              </w:rPr>
            </w:pPr>
            <w:r>
              <w:rPr>
                <w:rFonts w:ascii="Times New Roman" w:hAnsi="Times New Roman"/>
                <w:b/>
                <w:bCs/>
                <w:sz w:val="21"/>
              </w:rPr>
              <w:t>第二类用地筛选值</w:t>
            </w:r>
          </w:p>
        </w:tc>
        <w:tc>
          <w:tcPr>
            <w:tcW w:w="953" w:type="pct"/>
            <w:vAlign w:val="center"/>
          </w:tcPr>
          <w:p>
            <w:pPr>
              <w:pStyle w:val="16"/>
              <w:spacing w:line="400" w:lineRule="exact"/>
              <w:rPr>
                <w:rFonts w:ascii="Times New Roman" w:hAnsi="Times New Roman"/>
                <w:b/>
                <w:bCs/>
                <w:sz w:val="21"/>
              </w:rPr>
            </w:pPr>
            <w:r>
              <w:rPr>
                <w:rFonts w:ascii="Times New Roman" w:hAnsi="Times New Roman"/>
                <w:b/>
                <w:bCs/>
                <w:sz w:val="21"/>
              </w:rPr>
              <w:t>执行标准</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046" w:type="pct"/>
            <w:gridSpan w:val="4"/>
            <w:vAlign w:val="center"/>
          </w:tcPr>
          <w:p>
            <w:pPr>
              <w:pStyle w:val="16"/>
              <w:spacing w:line="400" w:lineRule="exact"/>
              <w:rPr>
                <w:rFonts w:ascii="Times New Roman" w:hAnsi="Times New Roman"/>
                <w:sz w:val="21"/>
              </w:rPr>
            </w:pPr>
            <w:r>
              <w:rPr>
                <w:rFonts w:ascii="Times New Roman" w:hAnsi="Times New Roman"/>
                <w:sz w:val="21"/>
              </w:rPr>
              <w:t>重金属和无机物</w:t>
            </w:r>
          </w:p>
        </w:tc>
        <w:tc>
          <w:tcPr>
            <w:tcW w:w="953" w:type="pct"/>
            <w:vMerge w:val="restart"/>
            <w:vAlign w:val="center"/>
          </w:tcPr>
          <w:p>
            <w:pPr>
              <w:pStyle w:val="16"/>
              <w:spacing w:line="400" w:lineRule="exact"/>
              <w:rPr>
                <w:rFonts w:ascii="Times New Roman" w:hAnsi="Times New Roman"/>
                <w:sz w:val="21"/>
              </w:rPr>
            </w:pPr>
            <w:r>
              <w:rPr>
                <w:rFonts w:ascii="Times New Roman" w:hAnsi="Times New Roman"/>
                <w:sz w:val="21"/>
              </w:rPr>
              <w:t>《土壤环境质量 建设用地土壤污染风险管控标准（试行）》</w:t>
            </w:r>
          </w:p>
          <w:p>
            <w:pPr>
              <w:pStyle w:val="16"/>
              <w:spacing w:line="400" w:lineRule="exact"/>
              <w:rPr>
                <w:rFonts w:ascii="Times New Roman" w:hAnsi="Times New Roman"/>
                <w:sz w:val="21"/>
              </w:rPr>
            </w:pPr>
            <w:r>
              <w:rPr>
                <w:rFonts w:ascii="Times New Roman" w:hAnsi="Times New Roman"/>
                <w:sz w:val="21"/>
              </w:rPr>
              <w:t>（GB36600-2018）</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20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60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镉</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20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65</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铬（六价）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3.0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5.7</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4</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铜</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2000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18000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5</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铅</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400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800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6</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汞</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8</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38</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7</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镍</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150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900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046" w:type="pct"/>
            <w:gridSpan w:val="4"/>
            <w:vAlign w:val="center"/>
          </w:tcPr>
          <w:p>
            <w:pPr>
              <w:pStyle w:val="16"/>
              <w:spacing w:line="400" w:lineRule="exact"/>
              <w:rPr>
                <w:rFonts w:ascii="Times New Roman" w:hAnsi="Times New Roman"/>
                <w:sz w:val="21"/>
              </w:rPr>
            </w:pPr>
            <w:r>
              <w:rPr>
                <w:rFonts w:ascii="Times New Roman" w:hAnsi="Times New Roman"/>
                <w:sz w:val="21"/>
              </w:rPr>
              <w:t>挥发性有机物</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8</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四氯化碳</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0.9</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2.8</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9</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氯仿</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0.3</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0.9</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10</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氯甲烷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12</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37</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11</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1,1-二氯乙烷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3</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9</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12</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1,2-二氯乙烷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0.52</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5</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13</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1,1-二氯乙烯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12</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66</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14</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顺-1,2-二氯乙烯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66</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596</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15</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反-1,2-二氯乙烯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54</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16</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二氯甲烷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94</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616</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17</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1,2-二氯丙烷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5</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18</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1,1,1,2-四氯乙烷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2.6</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19</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1,1,2,2-四氯乙烷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1.6</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6.8</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20</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四氯乙烯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11</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53</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21</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1,1,1-三氯乙烷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701</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840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22</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1,1,2-三氯乙烷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0.6</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2.8</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23</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三氯乙烯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0.7</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2.8</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24</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1,2,3-三氯丙烷</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0.05</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0.5</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25</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氯乙烯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0.12</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0.43</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26</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4</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27</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氯苯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68</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270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28</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1,2-二氯苯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560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560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29</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1,4-二氯苯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5.6</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20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30</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乙苯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7.2</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28</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31</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苯乙烯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1290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1290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32</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甲苯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1200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1200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33</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间二甲苯+对二甲苯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163</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570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34</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邻二甲苯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222</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640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046" w:type="pct"/>
            <w:gridSpan w:val="4"/>
            <w:vAlign w:val="center"/>
          </w:tcPr>
          <w:p>
            <w:pPr>
              <w:pStyle w:val="16"/>
              <w:spacing w:line="400" w:lineRule="exact"/>
              <w:rPr>
                <w:rFonts w:ascii="Times New Roman" w:hAnsi="Times New Roman"/>
                <w:sz w:val="21"/>
              </w:rPr>
            </w:pPr>
            <w:r>
              <w:rPr>
                <w:rFonts w:ascii="Times New Roman" w:hAnsi="Times New Roman"/>
                <w:sz w:val="21"/>
              </w:rPr>
              <w:t>半挥发性有机物</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35</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硝基苯</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34</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76</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36</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苯胺</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92</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260</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37</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2-氯酚</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250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2256</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38</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苯并〔a〕蒽</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5.5</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15</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39</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苯并〔a〕芘</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0.55</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1.5</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40</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苯并〔b〕荧蒽</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5.5</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15</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41</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苯并〔k〕荧蒽</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55</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151</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42</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䓛</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490</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1293</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43</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二苯并〔a,h〕蒽</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0.55</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1.5</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44</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茚并〔1,2,3-cd〕</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5.5</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15</w:t>
            </w:r>
          </w:p>
        </w:tc>
        <w:tc>
          <w:tcPr>
            <w:tcW w:w="953" w:type="pct"/>
            <w:vMerge w:val="continue"/>
            <w:vAlign w:val="center"/>
          </w:tcPr>
          <w:p>
            <w:pPr>
              <w:pStyle w:val="16"/>
              <w:spacing w:line="400" w:lineRule="exact"/>
              <w:rPr>
                <w:rFonts w:ascii="Times New Roman" w:hAnsi="Times New Roman"/>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652" w:type="pct"/>
            <w:vAlign w:val="center"/>
          </w:tcPr>
          <w:p>
            <w:pPr>
              <w:pStyle w:val="16"/>
              <w:spacing w:line="400" w:lineRule="exact"/>
              <w:rPr>
                <w:rFonts w:ascii="Times New Roman" w:hAnsi="Times New Roman"/>
                <w:sz w:val="21"/>
              </w:rPr>
            </w:pPr>
            <w:r>
              <w:rPr>
                <w:rFonts w:ascii="Times New Roman" w:hAnsi="Times New Roman"/>
                <w:sz w:val="21"/>
              </w:rPr>
              <w:t>45</w:t>
            </w:r>
          </w:p>
        </w:tc>
        <w:tc>
          <w:tcPr>
            <w:tcW w:w="1223" w:type="pct"/>
            <w:vAlign w:val="center"/>
          </w:tcPr>
          <w:p>
            <w:pPr>
              <w:pStyle w:val="16"/>
              <w:spacing w:line="400" w:lineRule="exact"/>
              <w:rPr>
                <w:rFonts w:ascii="Times New Roman" w:hAnsi="Times New Roman"/>
                <w:sz w:val="21"/>
              </w:rPr>
            </w:pPr>
            <w:r>
              <w:rPr>
                <w:rFonts w:ascii="Times New Roman" w:hAnsi="Times New Roman"/>
                <w:sz w:val="21"/>
              </w:rPr>
              <w:t>萘</w:t>
            </w:r>
          </w:p>
        </w:tc>
        <w:tc>
          <w:tcPr>
            <w:tcW w:w="1080" w:type="pct"/>
            <w:vAlign w:val="center"/>
          </w:tcPr>
          <w:p>
            <w:pPr>
              <w:pStyle w:val="16"/>
              <w:spacing w:line="400" w:lineRule="exact"/>
              <w:rPr>
                <w:rFonts w:ascii="Times New Roman" w:hAnsi="Times New Roman"/>
                <w:sz w:val="21"/>
              </w:rPr>
            </w:pPr>
            <w:r>
              <w:rPr>
                <w:rFonts w:ascii="Times New Roman" w:hAnsi="Times New Roman"/>
                <w:sz w:val="21"/>
              </w:rPr>
              <w:t>25</w:t>
            </w:r>
          </w:p>
        </w:tc>
        <w:tc>
          <w:tcPr>
            <w:tcW w:w="1089" w:type="pct"/>
            <w:vAlign w:val="center"/>
          </w:tcPr>
          <w:p>
            <w:pPr>
              <w:pStyle w:val="16"/>
              <w:spacing w:line="400" w:lineRule="exact"/>
              <w:rPr>
                <w:rFonts w:ascii="Times New Roman" w:hAnsi="Times New Roman"/>
                <w:sz w:val="21"/>
              </w:rPr>
            </w:pPr>
            <w:r>
              <w:rPr>
                <w:rFonts w:ascii="Times New Roman" w:hAnsi="Times New Roman"/>
                <w:sz w:val="21"/>
              </w:rPr>
              <w:t>70</w:t>
            </w:r>
          </w:p>
        </w:tc>
        <w:tc>
          <w:tcPr>
            <w:tcW w:w="953" w:type="pct"/>
            <w:vMerge w:val="continue"/>
            <w:vAlign w:val="center"/>
          </w:tcPr>
          <w:p>
            <w:pPr>
              <w:pStyle w:val="16"/>
              <w:spacing w:line="400" w:lineRule="exact"/>
              <w:rPr>
                <w:rFonts w:ascii="Times New Roman" w:hAnsi="Times New Roman"/>
                <w:sz w:val="21"/>
              </w:rPr>
            </w:pPr>
          </w:p>
        </w:tc>
      </w:tr>
    </w:tbl>
    <w:p>
      <w:pPr>
        <w:pStyle w:val="8"/>
        <w:rPr>
          <w:rFonts w:ascii="Times New Roman" w:hAnsi="Times New Roman" w:cs="Times New Roman"/>
          <w:lang w:eastAsia="zh-CN"/>
        </w:rPr>
      </w:pPr>
      <w:bookmarkStart w:id="51" w:name="_Toc16094"/>
      <w:bookmarkStart w:id="52" w:name="_Toc2088"/>
      <w:bookmarkStart w:id="53" w:name="_Hlk56897568"/>
      <w:r>
        <w:rPr>
          <w:rFonts w:ascii="Times New Roman" w:hAnsi="Times New Roman" w:cs="Times New Roman"/>
          <w:lang w:eastAsia="zh-CN"/>
        </w:rPr>
        <w:t>1.7 环境敏感目标</w:t>
      </w:r>
      <w:bookmarkEnd w:id="51"/>
      <w:bookmarkEnd w:id="52"/>
    </w:p>
    <w:bookmarkEnd w:id="53"/>
    <w:p>
      <w:pPr>
        <w:ind w:firstLine="480"/>
        <w:rPr>
          <w:rFonts w:cs="Times New Roman"/>
          <w:lang w:eastAsia="zh-CN"/>
        </w:rPr>
      </w:pPr>
      <w:r>
        <w:rPr>
          <w:rFonts w:cs="Times New Roman"/>
          <w:lang w:eastAsia="zh-CN"/>
        </w:rPr>
        <w:t>相比上一轮规划环评</w:t>
      </w:r>
      <w:r>
        <w:rPr>
          <w:rFonts w:cs="Times New Roman"/>
          <w:spacing w:val="-32"/>
          <w:lang w:eastAsia="zh-CN"/>
        </w:rPr>
        <w:t>，</w:t>
      </w:r>
      <w:r>
        <w:rPr>
          <w:rFonts w:cs="Times New Roman"/>
          <w:lang w:eastAsia="zh-CN"/>
        </w:rPr>
        <w:t>本次跟踪评价细化了环境保护目标调查点</w:t>
      </w:r>
      <w:r>
        <w:rPr>
          <w:rFonts w:cs="Times New Roman"/>
          <w:spacing w:val="-32"/>
          <w:lang w:eastAsia="zh-CN"/>
        </w:rPr>
        <w:t>，</w:t>
      </w:r>
      <w:r>
        <w:rPr>
          <w:rFonts w:cs="Times New Roman"/>
          <w:lang w:eastAsia="zh-CN"/>
        </w:rPr>
        <w:t>环境空气和声环境保护目标为</w:t>
      </w:r>
      <w:r>
        <w:rPr>
          <w:rFonts w:hint="eastAsia" w:cs="Times New Roman"/>
          <w:lang w:eastAsia="zh-CN"/>
        </w:rPr>
        <w:t>国际新兴产业园区</w:t>
      </w:r>
      <w:r>
        <w:rPr>
          <w:rFonts w:cs="Times New Roman"/>
          <w:lang w:eastAsia="zh-CN"/>
        </w:rPr>
        <w:t>内及周边的居住区、学校等；水环境保护目标为</w:t>
      </w:r>
      <w:r>
        <w:rPr>
          <w:rFonts w:hint="eastAsia" w:cs="Times New Roman"/>
          <w:lang w:eastAsia="zh-CN"/>
        </w:rPr>
        <w:t>杨官河</w:t>
      </w:r>
      <w:r>
        <w:rPr>
          <w:rFonts w:cs="Times New Roman"/>
          <w:lang w:eastAsia="zh-CN"/>
        </w:rPr>
        <w:t>等。</w:t>
      </w:r>
    </w:p>
    <w:p>
      <w:pPr>
        <w:pStyle w:val="20"/>
        <w:spacing w:line="240" w:lineRule="auto"/>
        <w:jc w:val="center"/>
        <w:rPr>
          <w:rFonts w:ascii="Times New Roman" w:hAnsi="Times New Roman" w:eastAsia="宋体" w:cs="Times New Roman"/>
          <w:b/>
          <w:bCs/>
          <w:sz w:val="21"/>
          <w:szCs w:val="21"/>
          <w:lang w:eastAsia="zh-CN"/>
        </w:rPr>
        <w:sectPr>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20"/>
        <w:spacing w:line="240" w:lineRule="auto"/>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表1.7-</w:t>
      </w:r>
      <w:r>
        <w:rPr>
          <w:rFonts w:ascii="Times New Roman" w:hAnsi="Times New Roman" w:eastAsia="宋体" w:cs="Times New Roman"/>
          <w:b/>
          <w:bCs/>
          <w:sz w:val="21"/>
          <w:szCs w:val="21"/>
        </w:rPr>
        <w:fldChar w:fldCharType="begin"/>
      </w:r>
      <w:r>
        <w:rPr>
          <w:rFonts w:ascii="Times New Roman" w:hAnsi="Times New Roman" w:eastAsia="宋体" w:cs="Times New Roman"/>
          <w:b/>
          <w:bCs/>
          <w:sz w:val="21"/>
          <w:szCs w:val="21"/>
          <w:lang w:eastAsia="zh-CN"/>
        </w:rPr>
        <w:instrText xml:space="preserve"> SEQ 表1- \* ARABIC </w:instrText>
      </w:r>
      <w:r>
        <w:rPr>
          <w:rFonts w:ascii="Times New Roman" w:hAnsi="Times New Roman" w:eastAsia="宋体" w:cs="Times New Roman"/>
          <w:b/>
          <w:bCs/>
          <w:sz w:val="21"/>
          <w:szCs w:val="21"/>
        </w:rPr>
        <w:fldChar w:fldCharType="separate"/>
      </w:r>
      <w:r>
        <w:rPr>
          <w:rFonts w:ascii="Times New Roman" w:hAnsi="Times New Roman" w:eastAsia="宋体" w:cs="Times New Roman"/>
          <w:b/>
          <w:bCs/>
          <w:sz w:val="21"/>
          <w:szCs w:val="21"/>
          <w:lang w:eastAsia="zh-CN"/>
        </w:rPr>
        <w:t>1</w:t>
      </w:r>
      <w:r>
        <w:rPr>
          <w:rFonts w:ascii="Times New Roman" w:hAnsi="Times New Roman" w:eastAsia="宋体" w:cs="Times New Roman"/>
          <w:b/>
          <w:bCs/>
          <w:sz w:val="21"/>
          <w:szCs w:val="21"/>
        </w:rPr>
        <w:fldChar w:fldCharType="end"/>
      </w:r>
      <w:r>
        <w:rPr>
          <w:rFonts w:ascii="Times New Roman" w:hAnsi="Times New Roman" w:eastAsia="宋体" w:cs="Times New Roman"/>
          <w:b/>
          <w:bCs/>
          <w:sz w:val="21"/>
          <w:szCs w:val="21"/>
          <w:lang w:eastAsia="zh-CN"/>
        </w:rPr>
        <w:t xml:space="preserve">  上一轮规划环评环境保护目标一览表</w:t>
      </w:r>
    </w:p>
    <w:tbl>
      <w:tblPr>
        <w:tblStyle w:val="64"/>
        <w:tblW w:w="14211"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36"/>
        <w:gridCol w:w="1728"/>
        <w:gridCol w:w="2297"/>
        <w:gridCol w:w="3000"/>
        <w:gridCol w:w="4787"/>
        <w:gridCol w:w="176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9" w:hRule="atLeast"/>
          <w:jc w:val="center"/>
        </w:trPr>
        <w:tc>
          <w:tcPr>
            <w:tcW w:w="636" w:type="dxa"/>
            <w:tcBorders>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w w:val="105"/>
                <w:sz w:val="21"/>
                <w:szCs w:val="21"/>
              </w:rPr>
              <w:t>序号</w:t>
            </w:r>
          </w:p>
        </w:tc>
        <w:tc>
          <w:tcPr>
            <w:tcW w:w="1728" w:type="dxa"/>
            <w:tcBorders>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保护类别</w:t>
            </w:r>
          </w:p>
        </w:tc>
        <w:tc>
          <w:tcPr>
            <w:tcW w:w="2297" w:type="dxa"/>
            <w:tcBorders>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保护目标名称</w:t>
            </w:r>
          </w:p>
        </w:tc>
        <w:tc>
          <w:tcPr>
            <w:tcW w:w="3000" w:type="dxa"/>
            <w:tcBorders>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具体位置或距边界距离</w:t>
            </w:r>
          </w:p>
        </w:tc>
        <w:tc>
          <w:tcPr>
            <w:tcW w:w="4787" w:type="dxa"/>
            <w:tcBorders>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保护要求</w:t>
            </w:r>
          </w:p>
        </w:tc>
        <w:tc>
          <w:tcPr>
            <w:tcW w:w="1763" w:type="dxa"/>
            <w:tcBorders>
              <w:left w:val="single" w:color="000000" w:sz="4" w:space="0"/>
              <w:bottom w:val="single" w:color="000000" w:sz="4" w:space="0"/>
              <w:right w:val="nil"/>
            </w:tcBorders>
            <w:vAlign w:val="center"/>
          </w:tcPr>
          <w:p>
            <w:pPr>
              <w:pStyle w:val="119"/>
              <w:spacing w:line="400" w:lineRule="exact"/>
              <w:ind w:firstLine="0" w:firstLineChars="0"/>
              <w:jc w:val="center"/>
              <w:rPr>
                <w:sz w:val="21"/>
                <w:szCs w:val="21"/>
              </w:rPr>
            </w:pPr>
            <w:r>
              <w:rPr>
                <w:sz w:val="21"/>
                <w:szCs w:val="21"/>
              </w:rPr>
              <w:t>备注说明</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w:t>
            </w:r>
          </w:p>
        </w:tc>
        <w:tc>
          <w:tcPr>
            <w:tcW w:w="1728" w:type="dxa"/>
            <w:vMerge w:val="restart"/>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sz w:val="21"/>
                <w:szCs w:val="21"/>
              </w:rPr>
            </w:pPr>
            <w:r>
              <w:rPr>
                <w:sz w:val="21"/>
                <w:szCs w:val="21"/>
              </w:rPr>
              <w:t>社会关注区</w:t>
            </w: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石庙子</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restart"/>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保护居民不受区域规划建设导致生活环境质量降低</w:t>
            </w:r>
          </w:p>
        </w:tc>
        <w:tc>
          <w:tcPr>
            <w:tcW w:w="1763" w:type="dxa"/>
            <w:vMerge w:val="restart"/>
            <w:tcBorders>
              <w:top w:val="single" w:color="000000" w:sz="4" w:space="0"/>
              <w:left w:val="single" w:color="000000" w:sz="4" w:space="0"/>
              <w:bottom w:val="single" w:color="000000" w:sz="4" w:space="0"/>
              <w:right w:val="nil"/>
            </w:tcBorders>
            <w:vAlign w:val="center"/>
          </w:tcPr>
          <w:p>
            <w:pPr>
              <w:pStyle w:val="119"/>
              <w:spacing w:line="400" w:lineRule="exact"/>
              <w:ind w:firstLine="0" w:firstLineChars="0"/>
              <w:jc w:val="center"/>
              <w:rPr>
                <w:sz w:val="21"/>
                <w:szCs w:val="21"/>
              </w:rPr>
            </w:pPr>
            <w:r>
              <w:rPr>
                <w:sz w:val="21"/>
                <w:szCs w:val="21"/>
              </w:rPr>
              <w:t>居住区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9"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2</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刘富村</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3</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王家湾</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4</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东岗子</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9"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5</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杨官</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6</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紫提东郡</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7</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万家屯</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9"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8</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恒大江湾</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9</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李巴彦</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10</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养竹村</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9"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11</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古城子</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12</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牛相</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13</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麦子屯</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9"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14</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水家</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15</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东亚国际城</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16</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罗官屯</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9"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17</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东湖学校</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restart"/>
            <w:tcBorders>
              <w:top w:val="single" w:color="000000" w:sz="4" w:space="0"/>
              <w:left w:val="single" w:color="000000" w:sz="4" w:space="0"/>
              <w:bottom w:val="single" w:color="000000" w:sz="4" w:space="0"/>
              <w:right w:val="nil"/>
            </w:tcBorders>
            <w:vAlign w:val="center"/>
          </w:tcPr>
          <w:p>
            <w:pPr>
              <w:pStyle w:val="119"/>
              <w:spacing w:line="400" w:lineRule="exact"/>
              <w:ind w:firstLine="0" w:firstLineChars="0"/>
              <w:jc w:val="center"/>
              <w:rPr>
                <w:sz w:val="21"/>
                <w:szCs w:val="21"/>
              </w:rPr>
            </w:pPr>
            <w:r>
              <w:rPr>
                <w:sz w:val="21"/>
                <w:szCs w:val="21"/>
              </w:rPr>
              <w:t>学校</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18</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沈阳音乐学院</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规划范围内</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19</w:t>
            </w:r>
          </w:p>
        </w:tc>
        <w:tc>
          <w:tcPr>
            <w:tcW w:w="1728"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环境空气目标</w:t>
            </w: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沈阳市东部</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规划区域</w:t>
            </w:r>
          </w:p>
        </w:tc>
        <w:tc>
          <w:tcPr>
            <w:tcW w:w="478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达到</w:t>
            </w:r>
            <w:r>
              <w:rPr>
                <w:rFonts w:eastAsia="Times New Roman"/>
                <w:sz w:val="21"/>
                <w:szCs w:val="21"/>
                <w:lang w:eastAsia="zh-CN"/>
              </w:rPr>
              <w:t>GB3095</w:t>
            </w:r>
            <w:r>
              <w:rPr>
                <w:sz w:val="21"/>
                <w:szCs w:val="21"/>
                <w:lang w:eastAsia="zh-CN"/>
              </w:rPr>
              <w:t>二级标准要求</w:t>
            </w:r>
          </w:p>
        </w:tc>
        <w:tc>
          <w:tcPr>
            <w:tcW w:w="1763" w:type="dxa"/>
            <w:tcBorders>
              <w:top w:val="single" w:color="000000" w:sz="4" w:space="0"/>
              <w:left w:val="single" w:color="000000" w:sz="4" w:space="0"/>
              <w:bottom w:val="single" w:color="000000" w:sz="4" w:space="0"/>
              <w:right w:val="nil"/>
            </w:tcBorders>
            <w:vAlign w:val="center"/>
          </w:tcPr>
          <w:p>
            <w:pPr>
              <w:pStyle w:val="119"/>
              <w:spacing w:line="400" w:lineRule="exact"/>
              <w:ind w:firstLine="0" w:firstLineChars="0"/>
              <w:jc w:val="center"/>
              <w:rPr>
                <w:sz w:val="21"/>
                <w:szCs w:val="21"/>
              </w:rPr>
            </w:pPr>
            <w:r>
              <w:rPr>
                <w:sz w:val="21"/>
                <w:szCs w:val="21"/>
              </w:rPr>
              <w:t>沈政</w:t>
            </w:r>
            <w:r>
              <w:rPr>
                <w:rFonts w:eastAsia="Times New Roman"/>
                <w:sz w:val="21"/>
                <w:szCs w:val="21"/>
              </w:rPr>
              <w:t>[2000]15</w:t>
            </w:r>
            <w:r>
              <w:rPr>
                <w:sz w:val="21"/>
                <w:szCs w:val="21"/>
              </w:rPr>
              <w:t>号</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9"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20</w:t>
            </w:r>
          </w:p>
        </w:tc>
        <w:tc>
          <w:tcPr>
            <w:tcW w:w="1728" w:type="dxa"/>
            <w:vMerge w:val="restart"/>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地表水保护目标</w:t>
            </w: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浑河</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杨官河汇入口至南林子断面</w:t>
            </w:r>
          </w:p>
        </w:tc>
        <w:tc>
          <w:tcPr>
            <w:tcW w:w="4787" w:type="dxa"/>
            <w:vMerge w:val="restart"/>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达到</w:t>
            </w:r>
            <w:r>
              <w:rPr>
                <w:rFonts w:eastAsia="Times New Roman"/>
                <w:sz w:val="21"/>
                <w:szCs w:val="21"/>
                <w:lang w:eastAsia="zh-CN"/>
              </w:rPr>
              <w:t>GB3838</w:t>
            </w:r>
            <w:r>
              <w:rPr>
                <w:sz w:val="21"/>
                <w:szCs w:val="21"/>
                <w:lang w:eastAsia="zh-CN"/>
              </w:rPr>
              <w:t>Ⅲ类水质要求</w:t>
            </w:r>
          </w:p>
        </w:tc>
        <w:tc>
          <w:tcPr>
            <w:tcW w:w="1763" w:type="dxa"/>
            <w:vMerge w:val="restart"/>
            <w:tcBorders>
              <w:top w:val="single" w:color="000000" w:sz="4" w:space="0"/>
              <w:left w:val="single" w:color="000000" w:sz="4" w:space="0"/>
              <w:bottom w:val="single" w:color="000000" w:sz="4" w:space="0"/>
              <w:right w:val="nil"/>
            </w:tcBorders>
            <w:vAlign w:val="center"/>
          </w:tcPr>
          <w:p>
            <w:pPr>
              <w:pStyle w:val="119"/>
              <w:spacing w:line="400" w:lineRule="exact"/>
              <w:ind w:firstLine="0" w:firstLineChars="0"/>
              <w:jc w:val="center"/>
              <w:rPr>
                <w:sz w:val="21"/>
                <w:szCs w:val="21"/>
              </w:rPr>
            </w:pPr>
            <w:r>
              <w:rPr>
                <w:sz w:val="21"/>
                <w:szCs w:val="21"/>
              </w:rPr>
              <w:t>沈政</w:t>
            </w:r>
            <w:r>
              <w:rPr>
                <w:rFonts w:eastAsia="Times New Roman"/>
                <w:sz w:val="21"/>
                <w:szCs w:val="21"/>
              </w:rPr>
              <w:t>[1997]30</w:t>
            </w:r>
            <w:r>
              <w:rPr>
                <w:sz w:val="21"/>
                <w:szCs w:val="21"/>
              </w:rPr>
              <w:t>号</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21</w:t>
            </w: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杨官河</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沈阳绕城高速至入浑河口</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lang w:eastAsia="zh-CN"/>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59" w:hRule="atLeast"/>
          <w:jc w:val="center"/>
        </w:trPr>
        <w:tc>
          <w:tcPr>
            <w:tcW w:w="636" w:type="dxa"/>
            <w:vMerge w:val="restart"/>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rFonts w:ascii="黑体"/>
                <w:sz w:val="21"/>
                <w:szCs w:val="21"/>
                <w:lang w:eastAsia="zh-CN"/>
              </w:rPr>
            </w:pPr>
          </w:p>
          <w:p>
            <w:pPr>
              <w:pStyle w:val="119"/>
              <w:spacing w:line="400" w:lineRule="exact"/>
              <w:ind w:firstLine="0" w:firstLineChars="0"/>
              <w:jc w:val="center"/>
              <w:rPr>
                <w:rFonts w:ascii="黑体"/>
                <w:sz w:val="21"/>
                <w:szCs w:val="21"/>
                <w:lang w:eastAsia="zh-CN"/>
              </w:rPr>
            </w:pPr>
          </w:p>
          <w:p>
            <w:pPr>
              <w:pStyle w:val="119"/>
              <w:spacing w:line="400" w:lineRule="exact"/>
              <w:ind w:firstLine="0" w:firstLineChars="0"/>
              <w:jc w:val="center"/>
              <w:rPr>
                <w:sz w:val="21"/>
                <w:szCs w:val="21"/>
              </w:rPr>
            </w:pPr>
            <w:r>
              <w:rPr>
                <w:sz w:val="21"/>
                <w:szCs w:val="21"/>
              </w:rPr>
              <w:t>22</w:t>
            </w:r>
          </w:p>
        </w:tc>
        <w:tc>
          <w:tcPr>
            <w:tcW w:w="1728" w:type="dxa"/>
            <w:vMerge w:val="restart"/>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sz w:val="21"/>
                <w:szCs w:val="21"/>
              </w:rPr>
            </w:pPr>
            <w:r>
              <w:rPr>
                <w:sz w:val="21"/>
                <w:szCs w:val="21"/>
              </w:rPr>
              <w:t>重要基础设施</w:t>
            </w: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大伙房输水管线</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规划区域内南部穿越</w:t>
            </w:r>
          </w:p>
        </w:tc>
        <w:tc>
          <w:tcPr>
            <w:tcW w:w="478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地下输水管道中心线向两侧水平方向各延伸</w:t>
            </w:r>
            <w:r>
              <w:rPr>
                <w:rFonts w:ascii="Arial" w:eastAsia="Arial"/>
                <w:sz w:val="21"/>
                <w:szCs w:val="21"/>
                <w:lang w:eastAsia="zh-CN"/>
              </w:rPr>
              <w:t>50</w:t>
            </w:r>
            <w:r>
              <w:rPr>
                <w:sz w:val="21"/>
                <w:szCs w:val="21"/>
                <w:lang w:eastAsia="zh-CN"/>
              </w:rPr>
              <w:t>米列入保护范围</w:t>
            </w:r>
          </w:p>
        </w:tc>
        <w:tc>
          <w:tcPr>
            <w:tcW w:w="1763" w:type="dxa"/>
            <w:tcBorders>
              <w:top w:val="single" w:color="000000" w:sz="4" w:space="0"/>
              <w:left w:val="single" w:color="000000" w:sz="4" w:space="0"/>
              <w:bottom w:val="single" w:color="000000" w:sz="4" w:space="0"/>
              <w:right w:val="nil"/>
            </w:tcBorders>
            <w:vAlign w:val="center"/>
          </w:tcPr>
          <w:p>
            <w:pPr>
              <w:pStyle w:val="119"/>
              <w:spacing w:line="400" w:lineRule="exact"/>
              <w:ind w:firstLine="0" w:firstLineChars="0"/>
              <w:jc w:val="center"/>
              <w:rPr>
                <w:sz w:val="21"/>
                <w:szCs w:val="21"/>
                <w:lang w:eastAsia="zh-CN"/>
              </w:rPr>
            </w:pPr>
            <w:r>
              <w:rPr>
                <w:spacing w:val="-3"/>
                <w:sz w:val="21"/>
                <w:szCs w:val="21"/>
                <w:lang w:eastAsia="zh-CN"/>
              </w:rPr>
              <w:t>辽宁省人民代表大会常务委员会</w:t>
            </w:r>
          </w:p>
          <w:p>
            <w:pPr>
              <w:pStyle w:val="119"/>
              <w:spacing w:line="400" w:lineRule="exact"/>
              <w:ind w:firstLine="0" w:firstLineChars="0"/>
              <w:jc w:val="center"/>
              <w:rPr>
                <w:sz w:val="21"/>
                <w:szCs w:val="21"/>
              </w:rPr>
            </w:pPr>
            <w:r>
              <w:rPr>
                <w:spacing w:val="-12"/>
                <w:sz w:val="21"/>
                <w:szCs w:val="21"/>
              </w:rPr>
              <w:t>公告 第</w:t>
            </w:r>
            <w:r>
              <w:rPr>
                <w:rFonts w:eastAsia="Times New Roman"/>
                <w:sz w:val="21"/>
                <w:szCs w:val="21"/>
              </w:rPr>
              <w:t>18</w:t>
            </w:r>
            <w:r>
              <w:rPr>
                <w:sz w:val="21"/>
                <w:szCs w:val="21"/>
              </w:rPr>
              <w:t>号</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 w:hRule="atLeast"/>
          <w:jc w:val="center"/>
        </w:trPr>
        <w:tc>
          <w:tcPr>
            <w:tcW w:w="636" w:type="dxa"/>
            <w:vMerge w:val="continue"/>
            <w:tcBorders>
              <w:top w:val="nil"/>
              <w:left w:val="nil"/>
              <w:bottom w:val="single" w:color="000000" w:sz="4" w:space="0"/>
              <w:right w:val="single" w:color="000000" w:sz="4" w:space="0"/>
            </w:tcBorders>
            <w:vAlign w:val="center"/>
          </w:tcPr>
          <w:p>
            <w:pPr>
              <w:spacing w:line="400" w:lineRule="exact"/>
              <w:ind w:firstLine="0" w:firstLineChars="0"/>
              <w:jc w:val="center"/>
              <w:rPr>
                <w:sz w:val="21"/>
                <w:szCs w:val="21"/>
              </w:rPr>
            </w:pP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铁大输油管线</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规划区域西北侧穿越</w:t>
            </w:r>
          </w:p>
        </w:tc>
        <w:tc>
          <w:tcPr>
            <w:tcW w:w="4787" w:type="dxa"/>
            <w:vMerge w:val="restart"/>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pacing w:val="-5"/>
                <w:sz w:val="21"/>
                <w:szCs w:val="21"/>
                <w:lang w:eastAsia="zh-CN"/>
              </w:rPr>
              <w:t>埋地管道中心线两侧各</w:t>
            </w:r>
            <w:r>
              <w:rPr>
                <w:rFonts w:eastAsia="Times New Roman"/>
                <w:sz w:val="21"/>
                <w:szCs w:val="21"/>
                <w:lang w:eastAsia="zh-CN"/>
              </w:rPr>
              <w:t>5</w:t>
            </w:r>
            <w:r>
              <w:rPr>
                <w:spacing w:val="-7"/>
                <w:sz w:val="21"/>
                <w:szCs w:val="21"/>
                <w:lang w:eastAsia="zh-CN"/>
              </w:rPr>
              <w:t>米列入保护范围；埋地石</w:t>
            </w:r>
          </w:p>
          <w:p>
            <w:pPr>
              <w:pStyle w:val="119"/>
              <w:spacing w:line="400" w:lineRule="exact"/>
              <w:ind w:firstLine="0" w:firstLineChars="0"/>
              <w:jc w:val="center"/>
              <w:rPr>
                <w:sz w:val="21"/>
                <w:szCs w:val="21"/>
                <w:lang w:eastAsia="zh-CN"/>
              </w:rPr>
            </w:pPr>
            <w:r>
              <w:rPr>
                <w:sz w:val="21"/>
                <w:szCs w:val="21"/>
                <w:lang w:eastAsia="zh-CN"/>
              </w:rPr>
              <w:t>油管道与居民住房、城镇居民点或者独立的人群密集区的安全距离为</w:t>
            </w:r>
            <w:r>
              <w:rPr>
                <w:rFonts w:eastAsia="Times New Roman"/>
                <w:sz w:val="21"/>
                <w:szCs w:val="21"/>
                <w:lang w:eastAsia="zh-CN"/>
              </w:rPr>
              <w:t>15</w:t>
            </w:r>
            <w:r>
              <w:rPr>
                <w:sz w:val="21"/>
                <w:szCs w:val="21"/>
                <w:lang w:eastAsia="zh-CN"/>
              </w:rPr>
              <w:t>米。</w:t>
            </w:r>
          </w:p>
        </w:tc>
        <w:tc>
          <w:tcPr>
            <w:tcW w:w="1763" w:type="dxa"/>
            <w:vMerge w:val="restart"/>
            <w:tcBorders>
              <w:top w:val="single" w:color="000000" w:sz="4" w:space="0"/>
              <w:left w:val="single" w:color="000000" w:sz="4" w:space="0"/>
              <w:bottom w:val="single" w:color="000000" w:sz="4" w:space="0"/>
              <w:right w:val="nil"/>
            </w:tcBorders>
            <w:vAlign w:val="center"/>
          </w:tcPr>
          <w:p>
            <w:pPr>
              <w:pStyle w:val="119"/>
              <w:spacing w:line="400" w:lineRule="exact"/>
              <w:ind w:firstLine="0" w:firstLineChars="0"/>
              <w:jc w:val="center"/>
              <w:rPr>
                <w:sz w:val="21"/>
                <w:szCs w:val="21"/>
                <w:lang w:eastAsia="zh-CN"/>
              </w:rPr>
            </w:pPr>
            <w:r>
              <w:rPr>
                <w:sz w:val="21"/>
                <w:szCs w:val="21"/>
                <w:lang w:eastAsia="zh-CN"/>
              </w:rPr>
              <w:t>辽宁省石油天然</w:t>
            </w:r>
          </w:p>
          <w:p>
            <w:pPr>
              <w:pStyle w:val="119"/>
              <w:spacing w:line="400" w:lineRule="exact"/>
              <w:ind w:firstLine="0" w:firstLineChars="0"/>
              <w:jc w:val="center"/>
              <w:rPr>
                <w:sz w:val="21"/>
                <w:szCs w:val="21"/>
                <w:lang w:eastAsia="zh-CN"/>
              </w:rPr>
            </w:pPr>
            <w:r>
              <w:rPr>
                <w:sz w:val="21"/>
                <w:szCs w:val="21"/>
                <w:lang w:eastAsia="zh-CN"/>
              </w:rPr>
              <w:t>气管道设施保护条例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0" w:hRule="atLeast"/>
          <w:jc w:val="center"/>
        </w:trPr>
        <w:tc>
          <w:tcPr>
            <w:tcW w:w="636" w:type="dxa"/>
            <w:vMerge w:val="continue"/>
            <w:tcBorders>
              <w:top w:val="nil"/>
              <w:left w:val="nil"/>
              <w:bottom w:val="single" w:color="000000" w:sz="4" w:space="0"/>
              <w:right w:val="single" w:color="000000" w:sz="4" w:space="0"/>
            </w:tcBorders>
            <w:vAlign w:val="center"/>
          </w:tcPr>
          <w:p>
            <w:pPr>
              <w:spacing w:line="400" w:lineRule="exact"/>
              <w:ind w:firstLine="0" w:firstLineChars="0"/>
              <w:jc w:val="center"/>
              <w:rPr>
                <w:sz w:val="21"/>
                <w:szCs w:val="21"/>
                <w:lang w:eastAsia="zh-CN"/>
              </w:rPr>
            </w:pPr>
          </w:p>
        </w:tc>
        <w:tc>
          <w:tcPr>
            <w:tcW w:w="1728"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lang w:eastAsia="zh-CN"/>
              </w:rPr>
            </w:pP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抚鞍输油管线</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规划区域中部自东向西南穿越</w:t>
            </w:r>
          </w:p>
        </w:tc>
        <w:tc>
          <w:tcPr>
            <w:tcW w:w="4787" w:type="dxa"/>
            <w:vMerge w:val="continue"/>
            <w:tcBorders>
              <w:top w:val="nil"/>
              <w:left w:val="single" w:color="000000" w:sz="4" w:space="0"/>
              <w:bottom w:val="single" w:color="000000" w:sz="4" w:space="0"/>
              <w:right w:val="single" w:color="000000" w:sz="4" w:space="0"/>
            </w:tcBorders>
            <w:vAlign w:val="center"/>
          </w:tcPr>
          <w:p>
            <w:pPr>
              <w:spacing w:line="400" w:lineRule="exact"/>
              <w:ind w:firstLine="0" w:firstLineChars="0"/>
              <w:jc w:val="center"/>
              <w:rPr>
                <w:sz w:val="21"/>
                <w:szCs w:val="21"/>
                <w:lang w:eastAsia="zh-CN"/>
              </w:rPr>
            </w:pPr>
          </w:p>
        </w:tc>
        <w:tc>
          <w:tcPr>
            <w:tcW w:w="1763" w:type="dxa"/>
            <w:vMerge w:val="continue"/>
            <w:tcBorders>
              <w:top w:val="nil"/>
              <w:left w:val="single" w:color="000000" w:sz="4" w:space="0"/>
              <w:bottom w:val="single" w:color="000000" w:sz="4" w:space="0"/>
              <w:right w:val="nil"/>
            </w:tcBorders>
            <w:vAlign w:val="center"/>
          </w:tcPr>
          <w:p>
            <w:pPr>
              <w:spacing w:line="400" w:lineRule="exact"/>
              <w:ind w:firstLine="0" w:firstLineChars="0"/>
              <w:jc w:val="center"/>
              <w:rPr>
                <w:sz w:val="21"/>
                <w:szCs w:val="21"/>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19"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23</w:t>
            </w:r>
          </w:p>
        </w:tc>
        <w:tc>
          <w:tcPr>
            <w:tcW w:w="1728"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噪声保护目标</w:t>
            </w: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规划区域</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规划区域内</w:t>
            </w:r>
          </w:p>
        </w:tc>
        <w:tc>
          <w:tcPr>
            <w:tcW w:w="478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达到</w:t>
            </w:r>
            <w:r>
              <w:rPr>
                <w:rFonts w:eastAsia="Times New Roman"/>
                <w:sz w:val="21"/>
                <w:szCs w:val="21"/>
                <w:lang w:eastAsia="zh-CN"/>
              </w:rPr>
              <w:t>GB3096</w:t>
            </w:r>
            <w:r>
              <w:rPr>
                <w:sz w:val="21"/>
                <w:szCs w:val="21"/>
                <w:lang w:eastAsia="zh-CN"/>
              </w:rPr>
              <w:t>相应声环境功能要求</w:t>
            </w:r>
          </w:p>
        </w:tc>
        <w:tc>
          <w:tcPr>
            <w:tcW w:w="1763" w:type="dxa"/>
            <w:tcBorders>
              <w:top w:val="single" w:color="000000" w:sz="4" w:space="0"/>
              <w:left w:val="single" w:color="000000" w:sz="4" w:space="0"/>
              <w:bottom w:val="single" w:color="000000" w:sz="4" w:space="0"/>
              <w:right w:val="nil"/>
            </w:tcBorders>
            <w:vAlign w:val="center"/>
          </w:tcPr>
          <w:p>
            <w:pPr>
              <w:pStyle w:val="119"/>
              <w:spacing w:line="400" w:lineRule="exact"/>
              <w:ind w:firstLine="0" w:firstLineChars="0"/>
              <w:jc w:val="center"/>
              <w:rPr>
                <w:sz w:val="21"/>
                <w:szCs w:val="21"/>
              </w:rPr>
            </w:pPr>
            <w:r>
              <w:rPr>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24</w:t>
            </w:r>
          </w:p>
        </w:tc>
        <w:tc>
          <w:tcPr>
            <w:tcW w:w="1728"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生态</w:t>
            </w: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东部生态功能区</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规划区域</w:t>
            </w:r>
          </w:p>
        </w:tc>
        <w:tc>
          <w:tcPr>
            <w:tcW w:w="478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保持水土，维护大气、水体的自然净化能力和土地</w:t>
            </w:r>
          </w:p>
          <w:p>
            <w:pPr>
              <w:pStyle w:val="119"/>
              <w:spacing w:line="400" w:lineRule="exact"/>
              <w:ind w:firstLine="0" w:firstLineChars="0"/>
              <w:jc w:val="center"/>
              <w:rPr>
                <w:sz w:val="21"/>
                <w:szCs w:val="21"/>
              </w:rPr>
            </w:pPr>
            <w:r>
              <w:rPr>
                <w:sz w:val="21"/>
                <w:szCs w:val="21"/>
              </w:rPr>
              <w:t>生物生产力。</w:t>
            </w:r>
          </w:p>
        </w:tc>
        <w:tc>
          <w:tcPr>
            <w:tcW w:w="1763" w:type="dxa"/>
            <w:tcBorders>
              <w:top w:val="single" w:color="000000" w:sz="4" w:space="0"/>
              <w:left w:val="single" w:color="000000" w:sz="4" w:space="0"/>
              <w:bottom w:val="single" w:color="000000" w:sz="4" w:space="0"/>
              <w:right w:val="nil"/>
            </w:tcBorders>
            <w:vAlign w:val="center"/>
          </w:tcPr>
          <w:p>
            <w:pPr>
              <w:pStyle w:val="119"/>
              <w:spacing w:line="400" w:lineRule="exact"/>
              <w:ind w:firstLine="0" w:firstLineChars="0"/>
              <w:jc w:val="center"/>
              <w:rPr>
                <w:sz w:val="21"/>
                <w:szCs w:val="21"/>
              </w:rPr>
            </w:pPr>
            <w:r>
              <w:rPr>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0" w:hRule="atLeast"/>
          <w:jc w:val="center"/>
        </w:trPr>
        <w:tc>
          <w:tcPr>
            <w:tcW w:w="636" w:type="dxa"/>
            <w:tcBorders>
              <w:top w:val="single" w:color="000000" w:sz="4" w:space="0"/>
              <w:left w:val="nil"/>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25</w:t>
            </w:r>
          </w:p>
        </w:tc>
        <w:tc>
          <w:tcPr>
            <w:tcW w:w="1728" w:type="dxa"/>
            <w:vMerge w:val="restart"/>
            <w:tcBorders>
              <w:top w:val="single" w:color="000000" w:sz="4" w:space="0"/>
              <w:left w:val="single" w:color="000000" w:sz="4" w:space="0"/>
              <w:right w:val="single" w:color="000000" w:sz="4" w:space="0"/>
            </w:tcBorders>
            <w:vAlign w:val="center"/>
          </w:tcPr>
          <w:p>
            <w:pPr>
              <w:pStyle w:val="119"/>
              <w:spacing w:line="400" w:lineRule="exact"/>
              <w:ind w:firstLine="0" w:firstLineChars="0"/>
              <w:jc w:val="center"/>
              <w:rPr>
                <w:rFonts w:ascii="黑体"/>
                <w:sz w:val="21"/>
                <w:szCs w:val="21"/>
              </w:rPr>
            </w:pPr>
          </w:p>
          <w:p>
            <w:pPr>
              <w:pStyle w:val="119"/>
              <w:spacing w:line="400" w:lineRule="exact"/>
              <w:ind w:firstLine="0" w:firstLineChars="0"/>
              <w:jc w:val="center"/>
              <w:rPr>
                <w:sz w:val="21"/>
                <w:szCs w:val="21"/>
              </w:rPr>
            </w:pPr>
            <w:r>
              <w:rPr>
                <w:sz w:val="21"/>
                <w:szCs w:val="21"/>
              </w:rPr>
              <w:t>地下水</w:t>
            </w:r>
          </w:p>
        </w:tc>
        <w:tc>
          <w:tcPr>
            <w:tcW w:w="2297"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李巴彦水源</w:t>
            </w:r>
          </w:p>
        </w:tc>
        <w:tc>
          <w:tcPr>
            <w:tcW w:w="3000" w:type="dxa"/>
            <w:tcBorders>
              <w:top w:val="single" w:color="000000" w:sz="4" w:space="0"/>
              <w:left w:val="single" w:color="000000" w:sz="4" w:space="0"/>
              <w:bottom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规划区内</w:t>
            </w:r>
          </w:p>
        </w:tc>
        <w:tc>
          <w:tcPr>
            <w:tcW w:w="4787" w:type="dxa"/>
            <w:vMerge w:val="restart"/>
            <w:tcBorders>
              <w:top w:val="single" w:color="000000" w:sz="4" w:space="0"/>
              <w:left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pacing w:val="-5"/>
                <w:sz w:val="21"/>
                <w:szCs w:val="21"/>
                <w:lang w:eastAsia="zh-CN"/>
              </w:rPr>
              <w:t>禁止在饮用水水源一级保护区内新建、改建、扩建</w:t>
            </w:r>
            <w:r>
              <w:rPr>
                <w:spacing w:val="-4"/>
                <w:sz w:val="21"/>
                <w:szCs w:val="21"/>
                <w:lang w:eastAsia="zh-CN"/>
              </w:rPr>
              <w:t>与供水设施和保护水源无关的建设项目；禁止在饮</w:t>
            </w:r>
            <w:r>
              <w:rPr>
                <w:spacing w:val="-5"/>
                <w:sz w:val="21"/>
                <w:szCs w:val="21"/>
                <w:lang w:eastAsia="zh-CN"/>
              </w:rPr>
              <w:t>用水水源二级保护区内新建、改建、扩建排放污染</w:t>
            </w:r>
          </w:p>
          <w:p>
            <w:pPr>
              <w:pStyle w:val="119"/>
              <w:spacing w:line="400" w:lineRule="exact"/>
              <w:ind w:firstLine="0" w:firstLineChars="0"/>
              <w:jc w:val="center"/>
              <w:rPr>
                <w:sz w:val="21"/>
                <w:szCs w:val="21"/>
              </w:rPr>
            </w:pPr>
            <w:r>
              <w:rPr>
                <w:sz w:val="21"/>
                <w:szCs w:val="21"/>
              </w:rPr>
              <w:t>物的建设项目。</w:t>
            </w:r>
          </w:p>
        </w:tc>
        <w:tc>
          <w:tcPr>
            <w:tcW w:w="1763" w:type="dxa"/>
            <w:vMerge w:val="restart"/>
            <w:tcBorders>
              <w:top w:val="single" w:color="000000" w:sz="4" w:space="0"/>
              <w:left w:val="single" w:color="000000" w:sz="4" w:space="0"/>
              <w:right w:val="nil"/>
            </w:tcBorders>
            <w:vAlign w:val="center"/>
          </w:tcPr>
          <w:p>
            <w:pPr>
              <w:pStyle w:val="119"/>
              <w:spacing w:line="400" w:lineRule="exact"/>
              <w:ind w:firstLine="0" w:firstLineChars="0"/>
              <w:jc w:val="center"/>
              <w:rPr>
                <w:sz w:val="21"/>
                <w:szCs w:val="21"/>
              </w:rPr>
            </w:pPr>
            <w:r>
              <w:rPr>
                <w:sz w:val="21"/>
                <w:szCs w:val="21"/>
              </w:rPr>
              <w:t>辽环发</w:t>
            </w:r>
            <w:r>
              <w:rPr>
                <w:rFonts w:eastAsia="Times New Roman"/>
                <w:sz w:val="21"/>
                <w:szCs w:val="21"/>
              </w:rPr>
              <w:t>[2010]56</w:t>
            </w:r>
            <w:r>
              <w:rPr>
                <w:sz w:val="21"/>
                <w:szCs w:val="21"/>
              </w:rPr>
              <w:t>号</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0" w:hRule="atLeast"/>
          <w:jc w:val="center"/>
        </w:trPr>
        <w:tc>
          <w:tcPr>
            <w:tcW w:w="636" w:type="dxa"/>
            <w:tcBorders>
              <w:top w:val="single" w:color="000000" w:sz="4" w:space="0"/>
              <w:left w:val="nil"/>
              <w:right w:val="single" w:color="000000" w:sz="4" w:space="0"/>
            </w:tcBorders>
            <w:vAlign w:val="center"/>
          </w:tcPr>
          <w:p>
            <w:pPr>
              <w:pStyle w:val="119"/>
              <w:spacing w:line="400" w:lineRule="exact"/>
              <w:ind w:firstLine="0" w:firstLineChars="0"/>
              <w:jc w:val="center"/>
              <w:rPr>
                <w:sz w:val="21"/>
                <w:szCs w:val="21"/>
              </w:rPr>
            </w:pPr>
            <w:r>
              <w:rPr>
                <w:sz w:val="21"/>
                <w:szCs w:val="21"/>
              </w:rPr>
              <w:t>26</w:t>
            </w:r>
          </w:p>
        </w:tc>
        <w:tc>
          <w:tcPr>
            <w:tcW w:w="1728" w:type="dxa"/>
            <w:vMerge w:val="continue"/>
            <w:tcBorders>
              <w:top w:val="nil"/>
              <w:left w:val="single" w:color="000000" w:sz="4" w:space="0"/>
              <w:right w:val="single" w:color="000000" w:sz="4" w:space="0"/>
            </w:tcBorders>
            <w:vAlign w:val="center"/>
          </w:tcPr>
          <w:p>
            <w:pPr>
              <w:spacing w:line="400" w:lineRule="exact"/>
              <w:ind w:firstLine="0" w:firstLineChars="0"/>
              <w:jc w:val="center"/>
              <w:rPr>
                <w:sz w:val="21"/>
                <w:szCs w:val="21"/>
              </w:rPr>
            </w:pPr>
          </w:p>
        </w:tc>
        <w:tc>
          <w:tcPr>
            <w:tcW w:w="2297" w:type="dxa"/>
            <w:tcBorders>
              <w:top w:val="single" w:color="000000" w:sz="4" w:space="0"/>
              <w:left w:val="single" w:color="000000" w:sz="4" w:space="0"/>
              <w:right w:val="single" w:color="000000" w:sz="4" w:space="0"/>
            </w:tcBorders>
            <w:vAlign w:val="center"/>
          </w:tcPr>
          <w:p>
            <w:pPr>
              <w:pStyle w:val="119"/>
              <w:spacing w:line="400" w:lineRule="exact"/>
              <w:ind w:firstLine="0" w:firstLineChars="0"/>
              <w:jc w:val="center"/>
              <w:rPr>
                <w:sz w:val="21"/>
                <w:szCs w:val="21"/>
                <w:lang w:eastAsia="zh-CN"/>
              </w:rPr>
            </w:pPr>
            <w:r>
              <w:rPr>
                <w:sz w:val="21"/>
                <w:szCs w:val="21"/>
                <w:lang w:eastAsia="zh-CN"/>
              </w:rPr>
              <w:t>浑南供水公司产业区水源</w:t>
            </w:r>
          </w:p>
        </w:tc>
        <w:tc>
          <w:tcPr>
            <w:tcW w:w="3000" w:type="dxa"/>
            <w:tcBorders>
              <w:top w:val="single" w:color="000000" w:sz="4" w:space="0"/>
              <w:left w:val="single" w:color="000000" w:sz="4" w:space="0"/>
              <w:right w:val="single" w:color="000000" w:sz="4" w:space="0"/>
            </w:tcBorders>
            <w:vAlign w:val="center"/>
          </w:tcPr>
          <w:p>
            <w:pPr>
              <w:pStyle w:val="119"/>
              <w:spacing w:line="400" w:lineRule="exact"/>
              <w:ind w:firstLine="0" w:firstLineChars="0"/>
              <w:jc w:val="center"/>
              <w:rPr>
                <w:sz w:val="21"/>
                <w:szCs w:val="21"/>
              </w:rPr>
            </w:pPr>
            <w:r>
              <w:rPr>
                <w:sz w:val="21"/>
                <w:szCs w:val="21"/>
              </w:rPr>
              <w:t>规划区内</w:t>
            </w:r>
          </w:p>
        </w:tc>
        <w:tc>
          <w:tcPr>
            <w:tcW w:w="4787" w:type="dxa"/>
            <w:vMerge w:val="continue"/>
            <w:tcBorders>
              <w:top w:val="nil"/>
              <w:left w:val="single" w:color="000000" w:sz="4" w:space="0"/>
              <w:right w:val="single" w:color="000000" w:sz="4" w:space="0"/>
            </w:tcBorders>
            <w:vAlign w:val="center"/>
          </w:tcPr>
          <w:p>
            <w:pPr>
              <w:spacing w:line="400" w:lineRule="exact"/>
              <w:ind w:firstLine="0" w:firstLineChars="0"/>
              <w:jc w:val="center"/>
              <w:rPr>
                <w:sz w:val="21"/>
                <w:szCs w:val="21"/>
              </w:rPr>
            </w:pPr>
          </w:p>
        </w:tc>
        <w:tc>
          <w:tcPr>
            <w:tcW w:w="1763" w:type="dxa"/>
            <w:vMerge w:val="continue"/>
            <w:tcBorders>
              <w:top w:val="nil"/>
              <w:left w:val="single" w:color="000000" w:sz="4" w:space="0"/>
              <w:right w:val="nil"/>
            </w:tcBorders>
            <w:vAlign w:val="center"/>
          </w:tcPr>
          <w:p>
            <w:pPr>
              <w:spacing w:line="400" w:lineRule="exact"/>
              <w:ind w:firstLine="0" w:firstLineChars="0"/>
              <w:jc w:val="center"/>
              <w:rPr>
                <w:sz w:val="21"/>
                <w:szCs w:val="21"/>
              </w:rPr>
            </w:pPr>
          </w:p>
        </w:tc>
      </w:tr>
    </w:tbl>
    <w:p>
      <w:pPr>
        <w:pStyle w:val="20"/>
        <w:spacing w:line="240" w:lineRule="auto"/>
        <w:ind w:firstLine="420"/>
        <w:jc w:val="center"/>
        <w:rPr>
          <w:rFonts w:ascii="Times New Roman" w:hAnsi="Times New Roman" w:eastAsia="宋体" w:cs="Times New Roman"/>
          <w:b/>
          <w:bCs/>
          <w:sz w:val="21"/>
          <w:szCs w:val="21"/>
          <w:lang w:eastAsia="zh-CN"/>
        </w:rPr>
        <w:sectPr>
          <w:pgSz w:w="16840" w:h="11910" w:orient="landscape"/>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20"/>
        <w:spacing w:line="240" w:lineRule="auto"/>
        <w:ind w:firstLine="420"/>
        <w:jc w:val="center"/>
        <w:rPr>
          <w:rFonts w:ascii="Times New Roman" w:hAnsi="Times New Roman" w:eastAsia="宋体" w:cs="Times New Roman"/>
          <w:b/>
          <w:bCs/>
          <w:spacing w:val="-2"/>
          <w:sz w:val="21"/>
          <w:szCs w:val="21"/>
          <w:lang w:eastAsia="zh-CN"/>
        </w:rPr>
      </w:pPr>
      <w:r>
        <w:rPr>
          <w:rFonts w:ascii="Times New Roman" w:hAnsi="Times New Roman" w:eastAsia="宋体" w:cs="Times New Roman"/>
          <w:b/>
          <w:bCs/>
          <w:sz w:val="21"/>
          <w:szCs w:val="21"/>
          <w:lang w:eastAsia="zh-CN"/>
        </w:rPr>
        <w:t>表1.7-2   本次跟踪评价</w:t>
      </w:r>
      <w:r>
        <w:rPr>
          <w:rFonts w:ascii="Times New Roman" w:hAnsi="Times New Roman" w:eastAsia="宋体" w:cs="Times New Roman"/>
          <w:b/>
          <w:bCs/>
          <w:spacing w:val="-2"/>
          <w:sz w:val="21"/>
          <w:szCs w:val="21"/>
          <w:lang w:eastAsia="zh-CN"/>
        </w:rPr>
        <w:t>环境保护目标一览表</w:t>
      </w:r>
    </w:p>
    <w:tbl>
      <w:tblPr>
        <w:tblStyle w:val="64"/>
        <w:tblW w:w="5052"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1"/>
        <w:gridCol w:w="978"/>
        <w:gridCol w:w="4116"/>
        <w:gridCol w:w="2181"/>
        <w:gridCol w:w="2106"/>
        <w:gridCol w:w="319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3" w:type="pct"/>
            <w:shd w:val="clear" w:color="auto" w:fill="auto"/>
            <w:noWrap/>
            <w:vAlign w:val="center"/>
          </w:tcPr>
          <w:p>
            <w:pPr>
              <w:pStyle w:val="16"/>
              <w:spacing w:line="240" w:lineRule="auto"/>
              <w:rPr>
                <w:rFonts w:ascii="Times New Roman" w:hAnsi="Times New Roman"/>
                <w:b/>
                <w:bCs/>
                <w:sz w:val="21"/>
              </w:rPr>
            </w:pPr>
            <w:r>
              <w:rPr>
                <w:rFonts w:ascii="Times New Roman" w:hAnsi="Times New Roman"/>
                <w:b/>
                <w:bCs/>
                <w:sz w:val="21"/>
              </w:rPr>
              <w:t>环境要素</w:t>
            </w:r>
          </w:p>
        </w:tc>
        <w:tc>
          <w:tcPr>
            <w:tcW w:w="340" w:type="pct"/>
            <w:shd w:val="clear" w:color="auto" w:fill="auto"/>
            <w:noWrap/>
            <w:vAlign w:val="center"/>
          </w:tcPr>
          <w:p>
            <w:pPr>
              <w:pStyle w:val="16"/>
              <w:spacing w:line="240" w:lineRule="auto"/>
              <w:rPr>
                <w:rFonts w:ascii="Times New Roman" w:hAnsi="Times New Roman"/>
                <w:b/>
                <w:bCs/>
                <w:sz w:val="21"/>
              </w:rPr>
            </w:pPr>
            <w:r>
              <w:rPr>
                <w:rFonts w:ascii="Times New Roman" w:hAnsi="Times New Roman"/>
                <w:b/>
                <w:bCs/>
                <w:sz w:val="21"/>
              </w:rPr>
              <w:t>序号</w:t>
            </w:r>
          </w:p>
        </w:tc>
        <w:tc>
          <w:tcPr>
            <w:tcW w:w="1431" w:type="pct"/>
            <w:shd w:val="clear" w:color="auto" w:fill="auto"/>
            <w:noWrap/>
            <w:vAlign w:val="center"/>
          </w:tcPr>
          <w:p>
            <w:pPr>
              <w:pStyle w:val="16"/>
              <w:spacing w:line="240" w:lineRule="auto"/>
              <w:rPr>
                <w:rFonts w:ascii="Times New Roman" w:hAnsi="Times New Roman"/>
                <w:b/>
                <w:bCs/>
                <w:sz w:val="21"/>
              </w:rPr>
            </w:pPr>
            <w:r>
              <w:rPr>
                <w:rFonts w:ascii="Times New Roman" w:hAnsi="Times New Roman"/>
                <w:b/>
                <w:bCs/>
                <w:sz w:val="21"/>
              </w:rPr>
              <w:t>保护目标</w:t>
            </w:r>
          </w:p>
        </w:tc>
        <w:tc>
          <w:tcPr>
            <w:tcW w:w="759" w:type="pct"/>
            <w:shd w:val="clear" w:color="auto" w:fill="auto"/>
            <w:noWrap/>
            <w:vAlign w:val="center"/>
          </w:tcPr>
          <w:p>
            <w:pPr>
              <w:pStyle w:val="16"/>
              <w:spacing w:line="240" w:lineRule="auto"/>
              <w:rPr>
                <w:rFonts w:ascii="Times New Roman" w:hAnsi="Times New Roman"/>
                <w:b/>
                <w:bCs/>
                <w:sz w:val="21"/>
              </w:rPr>
            </w:pPr>
            <w:r>
              <w:rPr>
                <w:rFonts w:ascii="Times New Roman" w:hAnsi="Times New Roman"/>
                <w:b/>
                <w:bCs/>
                <w:sz w:val="21"/>
              </w:rPr>
              <w:t>相对位置</w:t>
            </w:r>
          </w:p>
        </w:tc>
        <w:tc>
          <w:tcPr>
            <w:tcW w:w="733" w:type="pct"/>
            <w:shd w:val="clear" w:color="auto" w:fill="auto"/>
            <w:noWrap/>
            <w:vAlign w:val="center"/>
          </w:tcPr>
          <w:p>
            <w:pPr>
              <w:pStyle w:val="16"/>
              <w:spacing w:line="240" w:lineRule="auto"/>
              <w:rPr>
                <w:rFonts w:ascii="Times New Roman" w:hAnsi="Times New Roman"/>
                <w:b/>
                <w:bCs/>
                <w:sz w:val="21"/>
              </w:rPr>
            </w:pPr>
            <w:r>
              <w:rPr>
                <w:rFonts w:ascii="Times New Roman" w:hAnsi="Times New Roman"/>
                <w:b/>
                <w:bCs/>
                <w:sz w:val="21"/>
              </w:rPr>
              <w:t>性质</w:t>
            </w:r>
          </w:p>
        </w:tc>
        <w:tc>
          <w:tcPr>
            <w:tcW w:w="1111" w:type="pct"/>
            <w:shd w:val="clear" w:color="auto" w:fill="auto"/>
            <w:noWrap/>
            <w:vAlign w:val="center"/>
          </w:tcPr>
          <w:p>
            <w:pPr>
              <w:pStyle w:val="16"/>
              <w:spacing w:line="240" w:lineRule="auto"/>
              <w:rPr>
                <w:rFonts w:ascii="Times New Roman" w:hAnsi="Times New Roman"/>
                <w:b/>
                <w:bCs/>
                <w:sz w:val="21"/>
              </w:rPr>
            </w:pPr>
            <w:r>
              <w:rPr>
                <w:rFonts w:ascii="Times New Roman" w:hAnsi="Times New Roman"/>
                <w:b/>
                <w:bCs/>
                <w:sz w:val="21"/>
              </w:rPr>
              <w:t>保护级别</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restar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环境空气和环境风险（3km范围内）</w:t>
            </w:r>
          </w:p>
          <w:p>
            <w:pPr>
              <w:pStyle w:val="16"/>
              <w:spacing w:line="240" w:lineRule="auto"/>
              <w:rPr>
                <w:rFonts w:ascii="Times New Roman" w:hAnsi="Times New Roman"/>
                <w:sz w:val="21"/>
              </w:rPr>
            </w:pPr>
          </w:p>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金地滨江国际左岸</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restar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《环境空气质量标准》（GB3095-2012）二级标准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沈阳科汇高级中学</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东亚国际城</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4</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清华同方下侧村子</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5</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麦子屯</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6</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水家村</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7</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恒大滨江左岸</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8</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万科翡翠观澜（在建）</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9</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牛相屯村</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10</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沈阳恒大江湾</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11</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其仕盛和详</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12</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华润置地长安里</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13</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龙湖天璞</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14</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格林阳光城</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15</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文欣苑</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16</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温馨港湾</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17</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荣盛紫提东郡</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18</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荣盛锦绣官邸</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19</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养竹村</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20</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王家湾村</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21</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金地艺境</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22</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东岗子村</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23</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石庙子村</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北1km</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24</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古城子镇</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25</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浑南实验中学</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26</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沈阳建筑大学附属小学</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27</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东湖学校</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28</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浑南十二小</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29</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刘付村</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30</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东岗子</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31</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沈阳建筑大学</w:t>
            </w:r>
          </w:p>
        </w:tc>
        <w:tc>
          <w:tcPr>
            <w:tcW w:w="759"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区域外</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32</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城建万科翡翠书院</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33</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沈阳理工大学</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34</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天泰翰宇苑</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科研单位</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35</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沈阳市浑南区第五小学</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学校</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36</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金地檀溪</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37</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金地长青湾</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景区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38</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兴农村</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39</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李相村</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40</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沈阳市第六十三中学王宝小学</w:t>
            </w:r>
          </w:p>
        </w:tc>
        <w:tc>
          <w:tcPr>
            <w:tcW w:w="759" w:type="pct"/>
            <w:shd w:val="clear" w:color="auto" w:fill="auto"/>
            <w:noWrap/>
            <w:vAlign w:val="center"/>
          </w:tcPr>
          <w:p>
            <w:pPr>
              <w:pStyle w:val="16"/>
              <w:spacing w:line="240" w:lineRule="auto"/>
              <w:rPr>
                <w:rFonts w:ascii="Times New Roman" w:hAnsi="Times New Roman"/>
                <w:sz w:val="21"/>
              </w:rPr>
            </w:pP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人群聚居区</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623" w:type="pct"/>
            <w:vMerge w:val="restar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地表水</w:t>
            </w: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杨官河</w:t>
            </w:r>
          </w:p>
        </w:tc>
        <w:tc>
          <w:tcPr>
            <w:tcW w:w="759"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沈阳绕城告诉至入浑河口</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Ⅲ类</w:t>
            </w:r>
          </w:p>
        </w:tc>
        <w:tc>
          <w:tcPr>
            <w:tcW w:w="111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《地表水环境质量标准》（GB3838-2002）Ⅲ类标准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2</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沈抚灌渠</w:t>
            </w:r>
          </w:p>
        </w:tc>
        <w:tc>
          <w:tcPr>
            <w:tcW w:w="759"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古城子镇-沙布</w:t>
            </w:r>
          </w:p>
        </w:tc>
        <w:tc>
          <w:tcPr>
            <w:tcW w:w="733" w:type="pct"/>
            <w:shd w:val="clear" w:color="auto" w:fill="auto"/>
            <w:noWrap/>
            <w:vAlign w:val="center"/>
          </w:tcPr>
          <w:p>
            <w:pPr>
              <w:pStyle w:val="16"/>
              <w:spacing w:line="240" w:lineRule="auto"/>
              <w:rPr>
                <w:rFonts w:ascii="Times New Roman" w:hAnsi="Times New Roman"/>
                <w:sz w:val="21"/>
              </w:rPr>
            </w:pPr>
            <w:r>
              <w:rPr>
                <w:sz w:val="21"/>
              </w:rPr>
              <w:t>V</w:t>
            </w:r>
            <w:r>
              <w:rPr>
                <w:rFonts w:ascii="Times New Roman" w:hAnsi="Times New Roman"/>
                <w:sz w:val="21"/>
              </w:rPr>
              <w:t>类</w:t>
            </w:r>
          </w:p>
        </w:tc>
        <w:tc>
          <w:tcPr>
            <w:tcW w:w="111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《地表水环境质量标准》（GB3838-2002）Ⅴ类标准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3</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北沙河</w:t>
            </w:r>
          </w:p>
        </w:tc>
        <w:tc>
          <w:tcPr>
            <w:tcW w:w="759"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唐家台-烟台村</w:t>
            </w:r>
          </w:p>
        </w:tc>
        <w:tc>
          <w:tcPr>
            <w:tcW w:w="733" w:type="pct"/>
            <w:shd w:val="clear" w:color="auto" w:fill="auto"/>
            <w:noWrap/>
            <w:vAlign w:val="center"/>
          </w:tcPr>
          <w:p>
            <w:pPr>
              <w:pStyle w:val="16"/>
              <w:spacing w:line="240" w:lineRule="auto"/>
              <w:rPr>
                <w:rFonts w:ascii="Times New Roman" w:hAnsi="Times New Roman"/>
                <w:sz w:val="21"/>
              </w:rPr>
            </w:pPr>
            <w:r>
              <w:rPr>
                <w:sz w:val="21"/>
              </w:rPr>
              <w:t>V</w:t>
            </w:r>
            <w:r>
              <w:rPr>
                <w:rFonts w:ascii="Times New Roman" w:hAnsi="Times New Roman"/>
                <w:sz w:val="21"/>
              </w:rPr>
              <w:t>类</w:t>
            </w:r>
          </w:p>
        </w:tc>
        <w:tc>
          <w:tcPr>
            <w:tcW w:w="111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《地表水环境质量标准》（GB3838-2002）Ⅴ类标准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地下水</w:t>
            </w: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w:t>
            </w:r>
          </w:p>
        </w:tc>
        <w:tc>
          <w:tcPr>
            <w:tcW w:w="143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规划区域所在的水文地质单元，重点是区内具有饮用功能的含水层及村民的饮用井泉</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Ⅲ类</w:t>
            </w:r>
          </w:p>
        </w:tc>
        <w:tc>
          <w:tcPr>
            <w:tcW w:w="111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《地下水质量标准》（GB/T14848-2017）Ⅲ类</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土壤</w:t>
            </w: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w:t>
            </w:r>
          </w:p>
        </w:tc>
        <w:tc>
          <w:tcPr>
            <w:tcW w:w="143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规划区规划范围及其周边土壤环境</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w:t>
            </w:r>
          </w:p>
        </w:tc>
        <w:tc>
          <w:tcPr>
            <w:tcW w:w="111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《土壤环境质量 建设用地土壤污染风险管控标准（试行）》（GB36600-2018）中的筛选值，《土壤环境质量 农用地土壤污染风险管控标准（试行）》(GB15618-2018)中的筛选值。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623" w:type="pct"/>
            <w:vMerge w:val="restar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生态</w:t>
            </w: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w:t>
            </w:r>
          </w:p>
        </w:tc>
        <w:tc>
          <w:tcPr>
            <w:tcW w:w="143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水土流失</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w:t>
            </w:r>
          </w:p>
        </w:tc>
        <w:tc>
          <w:tcPr>
            <w:tcW w:w="1111" w:type="pct"/>
            <w:vMerge w:val="restar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《土壤侵蚀分级标准》（SL190-96）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623" w:type="pct"/>
            <w:vMerge w:val="continue"/>
            <w:shd w:val="clear" w:color="auto" w:fill="auto"/>
            <w:noWrap/>
            <w:vAlign w:val="center"/>
          </w:tcPr>
          <w:p>
            <w:pPr>
              <w:pStyle w:val="16"/>
              <w:spacing w:line="240" w:lineRule="auto"/>
              <w:rPr>
                <w:rFonts w:ascii="Times New Roman" w:hAnsi="Times New Roman"/>
                <w:sz w:val="21"/>
              </w:rPr>
            </w:pP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2</w:t>
            </w:r>
          </w:p>
        </w:tc>
        <w:tc>
          <w:tcPr>
            <w:tcW w:w="143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植被</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w:t>
            </w:r>
          </w:p>
        </w:tc>
        <w:tc>
          <w:tcPr>
            <w:tcW w:w="1111" w:type="pct"/>
            <w:vMerge w:val="continue"/>
            <w:shd w:val="clear" w:color="auto" w:fill="auto"/>
            <w:noWrap/>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3"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声环境</w:t>
            </w:r>
          </w:p>
        </w:tc>
        <w:tc>
          <w:tcPr>
            <w:tcW w:w="340"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1</w:t>
            </w:r>
          </w:p>
        </w:tc>
        <w:tc>
          <w:tcPr>
            <w:tcW w:w="1431" w:type="pct"/>
            <w:shd w:val="clear" w:color="auto" w:fill="auto"/>
            <w:noWrap/>
            <w:vAlign w:val="center"/>
          </w:tcPr>
          <w:p>
            <w:pPr>
              <w:pStyle w:val="16"/>
              <w:spacing w:line="240" w:lineRule="auto"/>
              <w:rPr>
                <w:rFonts w:ascii="Times New Roman" w:hAnsi="Times New Roman"/>
                <w:sz w:val="21"/>
              </w:rPr>
            </w:pPr>
            <w:r>
              <w:rPr>
                <w:rFonts w:hint="eastAsia" w:ascii="Times New Roman" w:hAnsi="Times New Roman"/>
                <w:sz w:val="21"/>
              </w:rPr>
              <w:t>规划区域</w:t>
            </w:r>
          </w:p>
        </w:tc>
        <w:tc>
          <w:tcPr>
            <w:tcW w:w="759"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区内</w:t>
            </w:r>
          </w:p>
        </w:tc>
        <w:tc>
          <w:tcPr>
            <w:tcW w:w="733" w:type="pct"/>
            <w:shd w:val="clear" w:color="auto" w:fill="auto"/>
            <w:noWrap/>
            <w:vAlign w:val="center"/>
          </w:tcPr>
          <w:p>
            <w:pPr>
              <w:pStyle w:val="16"/>
              <w:spacing w:line="240" w:lineRule="auto"/>
              <w:rPr>
                <w:rFonts w:ascii="Times New Roman" w:hAnsi="Times New Roman"/>
                <w:sz w:val="21"/>
                <w:lang w:eastAsia="en-US"/>
              </w:rPr>
            </w:pPr>
            <w:r>
              <w:rPr>
                <w:rFonts w:ascii="Times New Roman" w:hAnsi="Times New Roman"/>
                <w:sz w:val="21"/>
              </w:rPr>
              <w:t>人群聚居区</w:t>
            </w:r>
          </w:p>
        </w:tc>
        <w:tc>
          <w:tcPr>
            <w:tcW w:w="1111" w:type="pct"/>
            <w:shd w:val="clear" w:color="auto" w:fill="auto"/>
            <w:noWrap/>
            <w:vAlign w:val="center"/>
          </w:tcPr>
          <w:p>
            <w:pPr>
              <w:pStyle w:val="16"/>
              <w:spacing w:line="240" w:lineRule="auto"/>
              <w:rPr>
                <w:rFonts w:ascii="Times New Roman" w:hAnsi="Times New Roman"/>
                <w:sz w:val="21"/>
              </w:rPr>
            </w:pPr>
            <w:r>
              <w:rPr>
                <w:rFonts w:ascii="Times New Roman" w:hAnsi="Times New Roman"/>
                <w:sz w:val="21"/>
              </w:rPr>
              <w:t>《声环境质量标准》（GB3096-2008）</w:t>
            </w:r>
            <w:r>
              <w:rPr>
                <w:rFonts w:hint="eastAsia" w:ascii="Times New Roman" w:hAnsi="Times New Roman"/>
                <w:sz w:val="21"/>
              </w:rPr>
              <w:t>相应声环境质量</w:t>
            </w:r>
            <w:r>
              <w:rPr>
                <w:rFonts w:ascii="Times New Roman" w:hAnsi="Times New Roman"/>
                <w:sz w:val="21"/>
              </w:rPr>
              <w:t>标准</w:t>
            </w:r>
          </w:p>
        </w:tc>
      </w:tr>
    </w:tbl>
    <w:p>
      <w:pPr>
        <w:widowControl/>
        <w:ind w:firstLine="422"/>
        <w:jc w:val="center"/>
        <w:rPr>
          <w:rFonts w:cs="Times New Roman"/>
          <w:b/>
          <w:bCs/>
          <w:sz w:val="21"/>
          <w:szCs w:val="21"/>
          <w:lang w:eastAsia="zh-CN"/>
        </w:rPr>
      </w:pPr>
      <w:bookmarkStart w:id="54" w:name="_Toc21908"/>
      <w:bookmarkStart w:id="55" w:name="_Toc9371"/>
      <w:bookmarkStart w:id="56" w:name="_Hlk56897700"/>
    </w:p>
    <w:p>
      <w:pPr>
        <w:widowControl/>
        <w:ind w:firstLine="422"/>
        <w:jc w:val="center"/>
        <w:rPr>
          <w:rFonts w:cs="Times New Roman"/>
          <w:b/>
          <w:bCs/>
          <w:sz w:val="21"/>
          <w:szCs w:val="21"/>
          <w:lang w:eastAsia="zh-CN"/>
        </w:rPr>
      </w:pPr>
    </w:p>
    <w:p>
      <w:pPr>
        <w:widowControl/>
        <w:spacing w:line="240" w:lineRule="auto"/>
        <w:ind w:firstLine="0" w:firstLineChars="0"/>
        <w:jc w:val="center"/>
        <w:rPr>
          <w:rFonts w:cs="Times New Roman"/>
          <w:b/>
          <w:bCs/>
          <w:sz w:val="21"/>
          <w:szCs w:val="21"/>
          <w:lang w:eastAsia="zh-CN"/>
        </w:rPr>
      </w:pPr>
      <w:r>
        <w:rPr>
          <w:rFonts w:cs="Times New Roman"/>
          <w:b/>
          <w:bCs/>
          <w:sz w:val="21"/>
          <w:szCs w:val="21"/>
          <w:lang w:eastAsia="zh-CN"/>
        </w:rPr>
        <w:t>表 1.</w:t>
      </w:r>
      <w:r>
        <w:rPr>
          <w:rFonts w:hint="eastAsia" w:cs="Times New Roman"/>
          <w:b/>
          <w:bCs/>
          <w:sz w:val="21"/>
          <w:szCs w:val="21"/>
          <w:lang w:eastAsia="zh-CN"/>
        </w:rPr>
        <w:t>7</w:t>
      </w:r>
      <w:r>
        <w:rPr>
          <w:rFonts w:cs="Times New Roman"/>
          <w:b/>
          <w:bCs/>
          <w:sz w:val="21"/>
          <w:szCs w:val="21"/>
          <w:lang w:eastAsia="zh-CN"/>
        </w:rPr>
        <w:t xml:space="preserve">-3 </w:t>
      </w:r>
      <w:r>
        <w:rPr>
          <w:rFonts w:hint="eastAsia" w:cs="Times New Roman"/>
          <w:b/>
          <w:bCs/>
          <w:sz w:val="21"/>
          <w:szCs w:val="21"/>
          <w:lang w:eastAsia="zh-CN"/>
        </w:rPr>
        <w:t>饮用水源保护区情况一览表</w:t>
      </w:r>
    </w:p>
    <w:tbl>
      <w:tblPr>
        <w:tblStyle w:val="65"/>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33"/>
        <w:gridCol w:w="825"/>
        <w:gridCol w:w="737"/>
        <w:gridCol w:w="2175"/>
        <w:gridCol w:w="4700"/>
        <w:gridCol w:w="800"/>
        <w:gridCol w:w="1338"/>
        <w:gridCol w:w="131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2333" w:type="dxa"/>
            <w:vMerge w:val="restart"/>
            <w:tcBorders>
              <w:tl2br w:val="nil"/>
              <w:tr2bl w:val="nil"/>
            </w:tcBorders>
            <w:vAlign w:val="center"/>
          </w:tcPr>
          <w:p>
            <w:pPr>
              <w:pStyle w:val="8"/>
              <w:spacing w:before="0" w:after="0" w:line="400" w:lineRule="exact"/>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水源名称</w:t>
            </w:r>
          </w:p>
        </w:tc>
        <w:tc>
          <w:tcPr>
            <w:tcW w:w="825" w:type="dxa"/>
            <w:vMerge w:val="restart"/>
            <w:tcBorders>
              <w:tl2br w:val="nil"/>
              <w:tr2bl w:val="nil"/>
            </w:tcBorders>
            <w:vAlign w:val="center"/>
          </w:tcPr>
          <w:p>
            <w:pPr>
              <w:pStyle w:val="8"/>
              <w:spacing w:before="0" w:after="0" w:line="400" w:lineRule="exact"/>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水源类别</w:t>
            </w:r>
          </w:p>
        </w:tc>
        <w:tc>
          <w:tcPr>
            <w:tcW w:w="737" w:type="dxa"/>
            <w:vMerge w:val="restart"/>
            <w:tcBorders>
              <w:tl2br w:val="nil"/>
              <w:tr2bl w:val="nil"/>
            </w:tcBorders>
            <w:vAlign w:val="center"/>
          </w:tcPr>
          <w:p>
            <w:pPr>
              <w:pStyle w:val="8"/>
              <w:spacing w:before="0" w:after="0" w:line="400" w:lineRule="exact"/>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水井</w:t>
            </w:r>
          </w:p>
          <w:p>
            <w:pPr>
              <w:pStyle w:val="8"/>
              <w:spacing w:before="0" w:after="0" w:line="400" w:lineRule="exact"/>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个数</w:t>
            </w:r>
          </w:p>
        </w:tc>
        <w:tc>
          <w:tcPr>
            <w:tcW w:w="6875" w:type="dxa"/>
            <w:gridSpan w:val="2"/>
            <w:tcBorders>
              <w:tl2br w:val="nil"/>
              <w:tr2bl w:val="nil"/>
            </w:tcBorders>
            <w:vAlign w:val="center"/>
          </w:tcPr>
          <w:p>
            <w:pPr>
              <w:pStyle w:val="8"/>
              <w:spacing w:before="0" w:after="0" w:line="400" w:lineRule="exact"/>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保护区划定方案</w:t>
            </w:r>
          </w:p>
        </w:tc>
        <w:tc>
          <w:tcPr>
            <w:tcW w:w="3450" w:type="dxa"/>
            <w:gridSpan w:val="3"/>
            <w:tcBorders>
              <w:tl2br w:val="nil"/>
              <w:tr2bl w:val="nil"/>
            </w:tcBorders>
            <w:vAlign w:val="center"/>
          </w:tcPr>
          <w:p>
            <w:pPr>
              <w:pStyle w:val="8"/>
              <w:spacing w:before="0" w:after="0" w:line="400" w:lineRule="exact"/>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保护区勘定面积（km</w:t>
            </w:r>
            <w:r>
              <w:rPr>
                <w:rFonts w:hint="eastAsia" w:ascii="Times New Roman" w:hAnsi="Times New Roman" w:cs="Times New Roman"/>
                <w:sz w:val="21"/>
                <w:szCs w:val="21"/>
                <w:vertAlign w:val="superscript"/>
                <w:lang w:eastAsia="zh-CN"/>
              </w:rPr>
              <w:t>2</w:t>
            </w:r>
            <w:r>
              <w:rPr>
                <w:rFonts w:hint="eastAsia" w:ascii="Times New Roman" w:hAnsi="Times New Roman" w:cs="Times New Roman"/>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2333" w:type="dxa"/>
            <w:vMerge w:val="continue"/>
            <w:tcBorders>
              <w:tl2br w:val="nil"/>
              <w:tr2bl w:val="nil"/>
            </w:tcBorders>
            <w:vAlign w:val="center"/>
          </w:tcPr>
          <w:p>
            <w:pPr>
              <w:pStyle w:val="8"/>
              <w:spacing w:before="0" w:after="0" w:line="400" w:lineRule="exact"/>
              <w:jc w:val="center"/>
              <w:rPr>
                <w:sz w:val="21"/>
                <w:szCs w:val="21"/>
                <w:lang w:eastAsia="zh-CN"/>
              </w:rPr>
            </w:pPr>
          </w:p>
        </w:tc>
        <w:tc>
          <w:tcPr>
            <w:tcW w:w="825" w:type="dxa"/>
            <w:vMerge w:val="continue"/>
            <w:tcBorders>
              <w:tl2br w:val="nil"/>
              <w:tr2bl w:val="nil"/>
            </w:tcBorders>
            <w:vAlign w:val="center"/>
          </w:tcPr>
          <w:p>
            <w:pPr>
              <w:pStyle w:val="8"/>
              <w:spacing w:before="0" w:after="0" w:line="400" w:lineRule="exact"/>
              <w:jc w:val="center"/>
              <w:rPr>
                <w:sz w:val="21"/>
                <w:szCs w:val="21"/>
                <w:lang w:eastAsia="zh-CN"/>
              </w:rPr>
            </w:pPr>
          </w:p>
        </w:tc>
        <w:tc>
          <w:tcPr>
            <w:tcW w:w="737" w:type="dxa"/>
            <w:vMerge w:val="continue"/>
            <w:tcBorders>
              <w:tl2br w:val="nil"/>
              <w:tr2bl w:val="nil"/>
            </w:tcBorders>
            <w:vAlign w:val="center"/>
          </w:tcPr>
          <w:p>
            <w:pPr>
              <w:pStyle w:val="8"/>
              <w:spacing w:before="0" w:after="0" w:line="400" w:lineRule="exact"/>
              <w:jc w:val="center"/>
              <w:rPr>
                <w:sz w:val="21"/>
                <w:szCs w:val="21"/>
                <w:lang w:eastAsia="zh-CN"/>
              </w:rPr>
            </w:pPr>
          </w:p>
        </w:tc>
        <w:tc>
          <w:tcPr>
            <w:tcW w:w="2175" w:type="dxa"/>
            <w:tcBorders>
              <w:tl2br w:val="nil"/>
              <w:tr2bl w:val="nil"/>
            </w:tcBorders>
            <w:vAlign w:val="center"/>
          </w:tcPr>
          <w:p>
            <w:pPr>
              <w:pStyle w:val="8"/>
              <w:spacing w:before="0" w:after="0" w:line="400" w:lineRule="exact"/>
              <w:jc w:val="center"/>
              <w:rPr>
                <w:sz w:val="21"/>
                <w:szCs w:val="21"/>
                <w:lang w:eastAsia="zh-CN"/>
              </w:rPr>
            </w:pPr>
            <w:r>
              <w:rPr>
                <w:rFonts w:hint="eastAsia"/>
                <w:sz w:val="21"/>
                <w:szCs w:val="21"/>
                <w:lang w:eastAsia="zh-CN"/>
              </w:rPr>
              <w:t>一级保护区</w:t>
            </w:r>
          </w:p>
        </w:tc>
        <w:tc>
          <w:tcPr>
            <w:tcW w:w="4700" w:type="dxa"/>
            <w:tcBorders>
              <w:tl2br w:val="nil"/>
              <w:tr2bl w:val="nil"/>
            </w:tcBorders>
            <w:vAlign w:val="center"/>
          </w:tcPr>
          <w:p>
            <w:pPr>
              <w:pStyle w:val="8"/>
              <w:spacing w:before="0" w:after="0" w:line="400" w:lineRule="exact"/>
              <w:jc w:val="center"/>
              <w:rPr>
                <w:sz w:val="21"/>
                <w:szCs w:val="21"/>
                <w:lang w:eastAsia="zh-CN"/>
              </w:rPr>
            </w:pPr>
            <w:r>
              <w:rPr>
                <w:rFonts w:hint="eastAsia"/>
                <w:sz w:val="21"/>
                <w:szCs w:val="21"/>
                <w:lang w:eastAsia="zh-CN"/>
              </w:rPr>
              <w:t>二级保护区</w:t>
            </w:r>
          </w:p>
        </w:tc>
        <w:tc>
          <w:tcPr>
            <w:tcW w:w="800" w:type="dxa"/>
            <w:tcBorders>
              <w:tl2br w:val="nil"/>
              <w:tr2bl w:val="nil"/>
            </w:tcBorders>
            <w:vAlign w:val="center"/>
          </w:tcPr>
          <w:p>
            <w:pPr>
              <w:pStyle w:val="8"/>
              <w:spacing w:before="0" w:after="0" w:line="400" w:lineRule="exact"/>
              <w:jc w:val="center"/>
              <w:rPr>
                <w:sz w:val="21"/>
                <w:szCs w:val="21"/>
                <w:lang w:eastAsia="zh-CN"/>
              </w:rPr>
            </w:pPr>
            <w:r>
              <w:rPr>
                <w:rFonts w:hint="eastAsia"/>
                <w:sz w:val="21"/>
                <w:szCs w:val="21"/>
                <w:lang w:eastAsia="zh-CN"/>
              </w:rPr>
              <w:t>合计</w:t>
            </w:r>
          </w:p>
        </w:tc>
        <w:tc>
          <w:tcPr>
            <w:tcW w:w="1338" w:type="dxa"/>
            <w:tcBorders>
              <w:tl2br w:val="nil"/>
              <w:tr2bl w:val="nil"/>
            </w:tcBorders>
            <w:vAlign w:val="center"/>
          </w:tcPr>
          <w:p>
            <w:pPr>
              <w:pStyle w:val="8"/>
              <w:spacing w:before="0" w:after="0" w:line="400" w:lineRule="exact"/>
              <w:jc w:val="center"/>
              <w:rPr>
                <w:sz w:val="21"/>
                <w:szCs w:val="21"/>
              </w:rPr>
            </w:pPr>
            <w:r>
              <w:rPr>
                <w:rFonts w:hint="eastAsia"/>
                <w:sz w:val="21"/>
                <w:szCs w:val="21"/>
                <w:lang w:eastAsia="zh-CN"/>
              </w:rPr>
              <w:t>一级保护区</w:t>
            </w:r>
          </w:p>
        </w:tc>
        <w:tc>
          <w:tcPr>
            <w:tcW w:w="1312" w:type="dxa"/>
            <w:tcBorders>
              <w:tl2br w:val="nil"/>
              <w:tr2bl w:val="nil"/>
            </w:tcBorders>
            <w:vAlign w:val="center"/>
          </w:tcPr>
          <w:p>
            <w:pPr>
              <w:pStyle w:val="8"/>
              <w:spacing w:before="0" w:after="0" w:line="400" w:lineRule="exact"/>
              <w:jc w:val="center"/>
              <w:rPr>
                <w:sz w:val="21"/>
                <w:szCs w:val="21"/>
              </w:rPr>
            </w:pPr>
            <w:r>
              <w:rPr>
                <w:rFonts w:hint="eastAsia"/>
                <w:sz w:val="21"/>
                <w:szCs w:val="21"/>
                <w:lang w:eastAsia="zh-CN"/>
              </w:rPr>
              <w:t>二级保护区</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3"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浑南供水公司产业区饮用水源保护区</w:t>
            </w:r>
          </w:p>
        </w:tc>
        <w:tc>
          <w:tcPr>
            <w:tcW w:w="825"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地下水</w:t>
            </w:r>
          </w:p>
        </w:tc>
        <w:tc>
          <w:tcPr>
            <w:tcW w:w="737"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9</w:t>
            </w:r>
          </w:p>
        </w:tc>
        <w:tc>
          <w:tcPr>
            <w:tcW w:w="2175"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以取水井为圆心，半径为30m的圆形区域</w:t>
            </w:r>
          </w:p>
        </w:tc>
        <w:tc>
          <w:tcPr>
            <w:tcW w:w="4700" w:type="dxa"/>
            <w:tcBorders>
              <w:tl2br w:val="nil"/>
              <w:tr2bl w:val="nil"/>
            </w:tcBorders>
            <w:vAlign w:val="center"/>
          </w:tcPr>
          <w:p>
            <w:pPr>
              <w:pStyle w:val="8"/>
              <w:spacing w:before="0" w:after="0" w:line="400" w:lineRule="exact"/>
              <w:jc w:val="center"/>
              <w:rPr>
                <w:lang w:eastAsia="zh-CN"/>
              </w:rPr>
            </w:pPr>
            <w:r>
              <w:rPr>
                <w:rFonts w:hint="eastAsia" w:ascii="Times New Roman" w:hAnsi="Times New Roman" w:cs="Times New Roman"/>
                <w:b w:val="0"/>
                <w:bCs w:val="0"/>
                <w:sz w:val="21"/>
                <w:szCs w:val="21"/>
                <w:lang w:eastAsia="zh-CN"/>
              </w:rPr>
              <w:t>8#和9#以一级保护区外径向距离300m所围成的外包线区域；其余水源井以一级保护区外径向距离300，所围成的环形区域</w:t>
            </w:r>
          </w:p>
        </w:tc>
        <w:tc>
          <w:tcPr>
            <w:tcW w:w="800"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4.1954</w:t>
            </w:r>
          </w:p>
        </w:tc>
        <w:tc>
          <w:tcPr>
            <w:tcW w:w="1338"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0.02574</w:t>
            </w:r>
          </w:p>
        </w:tc>
        <w:tc>
          <w:tcPr>
            <w:tcW w:w="1312"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4.1700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3"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李巴彦饮用水源保护区</w:t>
            </w:r>
          </w:p>
        </w:tc>
        <w:tc>
          <w:tcPr>
            <w:tcW w:w="825"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地下水</w:t>
            </w:r>
          </w:p>
        </w:tc>
        <w:tc>
          <w:tcPr>
            <w:tcW w:w="737"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18</w:t>
            </w:r>
          </w:p>
        </w:tc>
        <w:tc>
          <w:tcPr>
            <w:tcW w:w="2175"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以取水井为圆心，半径为30m的圆形区域</w:t>
            </w:r>
          </w:p>
        </w:tc>
        <w:tc>
          <w:tcPr>
            <w:tcW w:w="4700"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17#、18#、1#、2#、3#、4#、5#、6#、14#15#；8#9#、10#、11#、12#、13#、16#以一级保护区外径向距离300m所围成的外包线区域；7#以一级保护区外径向距离300m所围成的环形区域</w:t>
            </w:r>
          </w:p>
        </w:tc>
        <w:tc>
          <w:tcPr>
            <w:tcW w:w="800"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6.2109</w:t>
            </w:r>
          </w:p>
        </w:tc>
        <w:tc>
          <w:tcPr>
            <w:tcW w:w="1338"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0.0509</w:t>
            </w:r>
          </w:p>
        </w:tc>
        <w:tc>
          <w:tcPr>
            <w:tcW w:w="1312" w:type="dxa"/>
            <w:tcBorders>
              <w:tl2br w:val="nil"/>
              <w:tr2bl w:val="nil"/>
            </w:tcBorders>
            <w:vAlign w:val="center"/>
          </w:tcPr>
          <w:p>
            <w:pPr>
              <w:pStyle w:val="8"/>
              <w:spacing w:before="0" w:after="0" w:line="400" w:lineRule="exact"/>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6.1600</w:t>
            </w:r>
          </w:p>
        </w:tc>
      </w:tr>
    </w:tbl>
    <w:p>
      <w:pPr>
        <w:pStyle w:val="8"/>
        <w:spacing w:before="0" w:after="0"/>
        <w:rPr>
          <w:rFonts w:ascii="Times New Roman" w:hAnsi="Times New Roman" w:cs="Times New Roman"/>
          <w:sz w:val="21"/>
          <w:szCs w:val="21"/>
          <w:lang w:eastAsia="zh-CN"/>
        </w:rPr>
        <w:sectPr>
          <w:pgSz w:w="16840" w:h="11910" w:orient="landscape"/>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8"/>
        <w:spacing w:before="0" w:after="0"/>
        <w:rPr>
          <w:rFonts w:ascii="Times New Roman" w:hAnsi="Times New Roman" w:cs="Times New Roman"/>
        </w:rPr>
      </w:pPr>
      <w:r>
        <w:rPr>
          <w:rFonts w:ascii="Times New Roman" w:hAnsi="Times New Roman" w:cs="Times New Roman"/>
          <w:spacing w:val="1"/>
          <w:lang w:eastAsia="zh-CN"/>
        </w:rPr>
        <w:t xml:space="preserve">1.8 </w:t>
      </w:r>
      <w:r>
        <w:rPr>
          <w:rFonts w:ascii="Times New Roman" w:hAnsi="Times New Roman" w:cs="Times New Roman"/>
        </w:rPr>
        <w:t>评价指标体系的建立</w:t>
      </w:r>
      <w:bookmarkEnd w:id="54"/>
      <w:bookmarkEnd w:id="55"/>
    </w:p>
    <w:bookmarkEnd w:id="56"/>
    <w:p>
      <w:pPr>
        <w:spacing w:after="120" w:afterLines="50"/>
        <w:ind w:firstLine="480"/>
        <w:rPr>
          <w:rFonts w:cs="Times New Roman"/>
          <w:lang w:eastAsia="zh-CN"/>
        </w:rPr>
      </w:pPr>
      <w:r>
        <w:rPr>
          <w:rFonts w:cs="Times New Roman"/>
          <w:lang w:eastAsia="zh-CN"/>
        </w:rPr>
        <w:t>原规划环评指标体系如下：</w:t>
      </w:r>
    </w:p>
    <w:p>
      <w:pPr>
        <w:pStyle w:val="185"/>
        <w:spacing w:before="0" w:after="0" w:line="240" w:lineRule="auto"/>
        <w:ind w:left="0" w:right="0" w:firstLine="0" w:firstLineChars="0"/>
        <w:rPr>
          <w:rFonts w:eastAsia="宋体" w:cs="Times New Roman"/>
          <w:b/>
          <w:bCs/>
          <w:lang w:eastAsia="zh-CN"/>
        </w:rPr>
      </w:pPr>
      <w:r>
        <w:rPr>
          <w:rFonts w:eastAsia="宋体" w:cs="Times New Roman"/>
          <w:b/>
          <w:bCs/>
          <w:lang w:eastAsia="zh-CN"/>
        </w:rPr>
        <w:t>表1.8-1  原规划环评评价指标体系</w:t>
      </w:r>
    </w:p>
    <w:tbl>
      <w:tblPr>
        <w:tblStyle w:val="64"/>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2180"/>
        <w:gridCol w:w="4552"/>
        <w:gridCol w:w="173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0" w:type="pct"/>
            <w:vMerge w:val="restart"/>
            <w:vAlign w:val="center"/>
          </w:tcPr>
          <w:p>
            <w:pPr>
              <w:pStyle w:val="16"/>
              <w:spacing w:line="240" w:lineRule="auto"/>
              <w:rPr>
                <w:rFonts w:ascii="Times New Roman" w:hAnsi="Times New Roman"/>
                <w:b/>
                <w:bCs/>
                <w:sz w:val="21"/>
              </w:rPr>
            </w:pPr>
            <w:r>
              <w:rPr>
                <w:rFonts w:ascii="Times New Roman" w:hAnsi="Times New Roman"/>
                <w:b/>
                <w:bCs/>
                <w:sz w:val="21"/>
              </w:rPr>
              <w:t>序号</w:t>
            </w:r>
          </w:p>
        </w:tc>
        <w:tc>
          <w:tcPr>
            <w:tcW w:w="1173" w:type="pct"/>
            <w:vMerge w:val="restart"/>
            <w:vAlign w:val="center"/>
          </w:tcPr>
          <w:p>
            <w:pPr>
              <w:pStyle w:val="16"/>
              <w:spacing w:line="240" w:lineRule="auto"/>
              <w:rPr>
                <w:rFonts w:ascii="Times New Roman" w:hAnsi="Times New Roman"/>
                <w:b/>
                <w:bCs/>
                <w:sz w:val="21"/>
              </w:rPr>
            </w:pPr>
            <w:r>
              <w:rPr>
                <w:rFonts w:ascii="Times New Roman" w:hAnsi="Times New Roman"/>
                <w:b/>
                <w:bCs/>
                <w:sz w:val="21"/>
              </w:rPr>
              <w:t>指标类别</w:t>
            </w:r>
          </w:p>
        </w:tc>
        <w:tc>
          <w:tcPr>
            <w:tcW w:w="2449" w:type="pct"/>
            <w:vMerge w:val="restart"/>
            <w:vAlign w:val="center"/>
          </w:tcPr>
          <w:p>
            <w:pPr>
              <w:pStyle w:val="16"/>
              <w:spacing w:line="240" w:lineRule="auto"/>
              <w:rPr>
                <w:rFonts w:ascii="Times New Roman" w:hAnsi="Times New Roman"/>
                <w:b/>
                <w:bCs/>
                <w:sz w:val="21"/>
              </w:rPr>
            </w:pPr>
            <w:r>
              <w:rPr>
                <w:rFonts w:ascii="Times New Roman" w:hAnsi="Times New Roman"/>
                <w:b/>
                <w:bCs/>
                <w:sz w:val="21"/>
              </w:rPr>
              <w:t>评价指标</w:t>
            </w:r>
          </w:p>
        </w:tc>
        <w:tc>
          <w:tcPr>
            <w:tcW w:w="935" w:type="pct"/>
            <w:vMerge w:val="restart"/>
            <w:vAlign w:val="center"/>
          </w:tcPr>
          <w:p>
            <w:pPr>
              <w:pStyle w:val="16"/>
              <w:spacing w:line="240" w:lineRule="auto"/>
              <w:rPr>
                <w:rFonts w:ascii="Times New Roman" w:hAnsi="Times New Roman"/>
                <w:b/>
                <w:bCs/>
                <w:sz w:val="21"/>
              </w:rPr>
            </w:pPr>
            <w:r>
              <w:rPr>
                <w:rFonts w:ascii="Times New Roman" w:hAnsi="Times New Roman"/>
                <w:b/>
                <w:bCs/>
                <w:sz w:val="21"/>
              </w:rPr>
              <w:t>单位</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0" w:type="pct"/>
            <w:vMerge w:val="continue"/>
            <w:vAlign w:val="center"/>
          </w:tcPr>
          <w:p>
            <w:pPr>
              <w:pStyle w:val="16"/>
              <w:spacing w:line="240" w:lineRule="auto"/>
              <w:rPr>
                <w:rFonts w:ascii="Times New Roman" w:hAnsi="Times New Roman"/>
                <w:sz w:val="21"/>
              </w:rPr>
            </w:pPr>
          </w:p>
        </w:tc>
        <w:tc>
          <w:tcPr>
            <w:tcW w:w="1173" w:type="pct"/>
            <w:vMerge w:val="continue"/>
            <w:vAlign w:val="center"/>
          </w:tcPr>
          <w:p>
            <w:pPr>
              <w:pStyle w:val="16"/>
              <w:spacing w:line="240" w:lineRule="auto"/>
              <w:rPr>
                <w:rFonts w:ascii="Times New Roman" w:hAnsi="Times New Roman"/>
                <w:sz w:val="21"/>
              </w:rPr>
            </w:pPr>
          </w:p>
        </w:tc>
        <w:tc>
          <w:tcPr>
            <w:tcW w:w="2449" w:type="pct"/>
            <w:vMerge w:val="continue"/>
            <w:vAlign w:val="center"/>
          </w:tcPr>
          <w:p>
            <w:pPr>
              <w:pStyle w:val="16"/>
              <w:spacing w:line="240" w:lineRule="auto"/>
              <w:rPr>
                <w:rFonts w:ascii="Times New Roman" w:hAnsi="Times New Roman"/>
                <w:sz w:val="21"/>
              </w:rPr>
            </w:pPr>
          </w:p>
        </w:tc>
        <w:tc>
          <w:tcPr>
            <w:tcW w:w="935" w:type="pct"/>
            <w:vMerge w:val="continue"/>
            <w:vAlign w:val="center"/>
          </w:tcPr>
          <w:p>
            <w:pPr>
              <w:pStyle w:val="16"/>
              <w:spacing w:line="240" w:lineRule="auto"/>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1</w:t>
            </w:r>
          </w:p>
        </w:tc>
        <w:tc>
          <w:tcPr>
            <w:tcW w:w="1173" w:type="pct"/>
            <w:vMerge w:val="restart"/>
            <w:vAlign w:val="center"/>
          </w:tcPr>
          <w:p>
            <w:pPr>
              <w:pStyle w:val="16"/>
              <w:spacing w:line="240" w:lineRule="auto"/>
              <w:rPr>
                <w:rFonts w:ascii="Times New Roman" w:hAnsi="Times New Roman"/>
                <w:sz w:val="21"/>
              </w:rPr>
            </w:pPr>
            <w:r>
              <w:rPr>
                <w:rFonts w:ascii="Times New Roman" w:hAnsi="Times New Roman"/>
                <w:sz w:val="21"/>
              </w:rPr>
              <w:t>产业发展水平和</w:t>
            </w:r>
          </w:p>
          <w:p>
            <w:pPr>
              <w:pStyle w:val="16"/>
              <w:spacing w:line="240" w:lineRule="auto"/>
              <w:rPr>
                <w:rFonts w:ascii="Times New Roman" w:hAnsi="Times New Roman"/>
                <w:sz w:val="21"/>
              </w:rPr>
            </w:pPr>
            <w:r>
              <w:rPr>
                <w:rFonts w:ascii="Times New Roman" w:hAnsi="Times New Roman"/>
                <w:sz w:val="21"/>
              </w:rPr>
              <w:t>经济效益指标</w:t>
            </w:r>
          </w:p>
        </w:tc>
        <w:tc>
          <w:tcPr>
            <w:tcW w:w="2449" w:type="pct"/>
            <w:vAlign w:val="center"/>
          </w:tcPr>
          <w:p>
            <w:pPr>
              <w:pStyle w:val="16"/>
              <w:spacing w:line="240" w:lineRule="auto"/>
              <w:rPr>
                <w:rFonts w:ascii="Times New Roman" w:hAnsi="Times New Roman"/>
                <w:sz w:val="21"/>
              </w:rPr>
            </w:pPr>
            <w:r>
              <w:rPr>
                <w:rFonts w:ascii="Times New Roman" w:hAnsi="Times New Roman"/>
                <w:sz w:val="21"/>
              </w:rPr>
              <w:t>工业总产值</w:t>
            </w:r>
          </w:p>
        </w:tc>
        <w:tc>
          <w:tcPr>
            <w:tcW w:w="935" w:type="pct"/>
            <w:vAlign w:val="center"/>
          </w:tcPr>
          <w:p>
            <w:pPr>
              <w:pStyle w:val="16"/>
              <w:spacing w:line="240" w:lineRule="auto"/>
              <w:rPr>
                <w:rFonts w:ascii="Times New Roman" w:hAnsi="Times New Roman"/>
                <w:sz w:val="21"/>
              </w:rPr>
            </w:pPr>
            <w:r>
              <w:rPr>
                <w:rFonts w:ascii="Times New Roman" w:hAnsi="Times New Roman"/>
                <w:sz w:val="21"/>
              </w:rPr>
              <w:t>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2</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工业经济密度</w:t>
            </w:r>
          </w:p>
        </w:tc>
        <w:tc>
          <w:tcPr>
            <w:tcW w:w="935" w:type="pct"/>
            <w:vAlign w:val="center"/>
          </w:tcPr>
          <w:p>
            <w:pPr>
              <w:pStyle w:val="16"/>
              <w:spacing w:line="240" w:lineRule="auto"/>
              <w:rPr>
                <w:rFonts w:ascii="Times New Roman" w:hAnsi="Times New Roman"/>
                <w:sz w:val="21"/>
              </w:rPr>
            </w:pPr>
            <w:r>
              <w:rPr>
                <w:rFonts w:ascii="Times New Roman" w:hAnsi="Times New Roman"/>
                <w:sz w:val="21"/>
              </w:rPr>
              <w:t>万元/hm</w:t>
            </w:r>
            <w:r>
              <w:rPr>
                <w:rFonts w:ascii="Times New Roman" w:hAnsi="Times New Roman"/>
                <w:sz w:val="21"/>
                <w:vertAlign w:val="superscript"/>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3</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单位GDP能耗</w:t>
            </w:r>
          </w:p>
        </w:tc>
        <w:tc>
          <w:tcPr>
            <w:tcW w:w="935" w:type="pct"/>
            <w:vAlign w:val="center"/>
          </w:tcPr>
          <w:p>
            <w:pPr>
              <w:pStyle w:val="16"/>
              <w:spacing w:line="240" w:lineRule="auto"/>
              <w:rPr>
                <w:rFonts w:ascii="Times New Roman" w:hAnsi="Times New Roman"/>
                <w:sz w:val="21"/>
              </w:rPr>
            </w:pPr>
            <w:r>
              <w:rPr>
                <w:rFonts w:ascii="Times New Roman" w:hAnsi="Times New Roman"/>
                <w:sz w:val="21"/>
              </w:rPr>
              <w:t>/tce/万元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4</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单位GDP水耗</w:t>
            </w:r>
          </w:p>
        </w:tc>
        <w:tc>
          <w:tcPr>
            <w:tcW w:w="935" w:type="pct"/>
            <w:vAlign w:val="center"/>
          </w:tcPr>
          <w:p>
            <w:pPr>
              <w:pStyle w:val="16"/>
              <w:spacing w:line="240" w:lineRule="auto"/>
              <w:rPr>
                <w:rFonts w:ascii="Times New Roman" w:hAnsi="Times New Roman"/>
                <w:sz w:val="21"/>
              </w:rPr>
            </w:pPr>
            <w:r>
              <w:rPr>
                <w:rFonts w:ascii="Times New Roman" w:hAnsi="Times New Roman"/>
                <w:sz w:val="21"/>
              </w:rPr>
              <w:t>t/万元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5</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规模化企业清洁生产水平</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6</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规模化企业通过ISO-14000认证比例</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7</w:t>
            </w:r>
          </w:p>
        </w:tc>
        <w:tc>
          <w:tcPr>
            <w:tcW w:w="1173" w:type="pct"/>
            <w:vMerge w:val="restart"/>
            <w:vAlign w:val="center"/>
          </w:tcPr>
          <w:p>
            <w:pPr>
              <w:pStyle w:val="16"/>
              <w:spacing w:line="240" w:lineRule="auto"/>
              <w:rPr>
                <w:rFonts w:ascii="Times New Roman" w:hAnsi="Times New Roman"/>
                <w:sz w:val="21"/>
              </w:rPr>
            </w:pPr>
            <w:r>
              <w:rPr>
                <w:rFonts w:ascii="Times New Roman" w:hAnsi="Times New Roman"/>
                <w:sz w:val="21"/>
              </w:rPr>
              <w:t>大气环境</w:t>
            </w:r>
          </w:p>
        </w:tc>
        <w:tc>
          <w:tcPr>
            <w:tcW w:w="2449" w:type="pct"/>
            <w:vAlign w:val="center"/>
          </w:tcPr>
          <w:p>
            <w:pPr>
              <w:pStyle w:val="16"/>
              <w:spacing w:line="240" w:lineRule="auto"/>
              <w:rPr>
                <w:rFonts w:ascii="Times New Roman" w:hAnsi="Times New Roman"/>
                <w:sz w:val="21"/>
              </w:rPr>
            </w:pPr>
            <w:r>
              <w:rPr>
                <w:rFonts w:ascii="Times New Roman" w:hAnsi="Times New Roman"/>
                <w:sz w:val="21"/>
              </w:rPr>
              <w:t>特征污染物达标排放率</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8</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单位GDP SO2产生量</w:t>
            </w:r>
          </w:p>
        </w:tc>
        <w:tc>
          <w:tcPr>
            <w:tcW w:w="935" w:type="pct"/>
            <w:vAlign w:val="center"/>
          </w:tcPr>
          <w:p>
            <w:pPr>
              <w:pStyle w:val="16"/>
              <w:spacing w:line="240" w:lineRule="auto"/>
              <w:rPr>
                <w:rFonts w:ascii="Times New Roman" w:hAnsi="Times New Roman"/>
                <w:sz w:val="21"/>
              </w:rPr>
            </w:pPr>
            <w:r>
              <w:rPr>
                <w:rFonts w:ascii="Times New Roman" w:hAnsi="Times New Roman"/>
                <w:sz w:val="21"/>
              </w:rPr>
              <w:t>kg/万元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9</w:t>
            </w:r>
          </w:p>
        </w:tc>
        <w:tc>
          <w:tcPr>
            <w:tcW w:w="1173" w:type="pct"/>
            <w:vMerge w:val="restart"/>
            <w:vAlign w:val="center"/>
          </w:tcPr>
          <w:p>
            <w:pPr>
              <w:pStyle w:val="16"/>
              <w:spacing w:line="240" w:lineRule="auto"/>
              <w:rPr>
                <w:rFonts w:ascii="Times New Roman" w:hAnsi="Times New Roman"/>
                <w:sz w:val="21"/>
              </w:rPr>
            </w:pPr>
            <w:r>
              <w:rPr>
                <w:rFonts w:ascii="Times New Roman" w:hAnsi="Times New Roman"/>
                <w:sz w:val="21"/>
              </w:rPr>
              <w:t>水环境</w:t>
            </w:r>
          </w:p>
        </w:tc>
        <w:tc>
          <w:tcPr>
            <w:tcW w:w="2449" w:type="pct"/>
            <w:vAlign w:val="center"/>
          </w:tcPr>
          <w:p>
            <w:pPr>
              <w:pStyle w:val="16"/>
              <w:spacing w:line="240" w:lineRule="auto"/>
              <w:rPr>
                <w:rFonts w:ascii="Times New Roman" w:hAnsi="Times New Roman"/>
                <w:sz w:val="21"/>
              </w:rPr>
            </w:pPr>
            <w:r>
              <w:rPr>
                <w:rFonts w:ascii="Times New Roman" w:hAnsi="Times New Roman"/>
                <w:sz w:val="21"/>
              </w:rPr>
              <w:t>单位GDP废水产生量</w:t>
            </w:r>
          </w:p>
        </w:tc>
        <w:tc>
          <w:tcPr>
            <w:tcW w:w="935" w:type="pct"/>
            <w:vAlign w:val="center"/>
          </w:tcPr>
          <w:p>
            <w:pPr>
              <w:pStyle w:val="16"/>
              <w:spacing w:line="240" w:lineRule="auto"/>
              <w:rPr>
                <w:rFonts w:ascii="Times New Roman" w:hAnsi="Times New Roman"/>
                <w:sz w:val="21"/>
              </w:rPr>
            </w:pPr>
            <w:r>
              <w:rPr>
                <w:rFonts w:ascii="Times New Roman" w:hAnsi="Times New Roman"/>
                <w:sz w:val="21"/>
              </w:rPr>
              <w:t>t/万元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10</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单位GDP COD产生量</w:t>
            </w:r>
          </w:p>
        </w:tc>
        <w:tc>
          <w:tcPr>
            <w:tcW w:w="935" w:type="pct"/>
            <w:vAlign w:val="center"/>
          </w:tcPr>
          <w:p>
            <w:pPr>
              <w:pStyle w:val="16"/>
              <w:spacing w:line="240" w:lineRule="auto"/>
              <w:rPr>
                <w:rFonts w:ascii="Times New Roman" w:hAnsi="Times New Roman"/>
                <w:sz w:val="21"/>
              </w:rPr>
            </w:pPr>
            <w:r>
              <w:rPr>
                <w:rFonts w:ascii="Times New Roman" w:hAnsi="Times New Roman"/>
                <w:sz w:val="21"/>
              </w:rPr>
              <w:t>kg/万元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trPr>
        <w:tc>
          <w:tcPr>
            <w:tcW w:w="440" w:type="pct"/>
            <w:vAlign w:val="center"/>
          </w:tcPr>
          <w:p>
            <w:pPr>
              <w:pStyle w:val="16"/>
              <w:spacing w:line="240" w:lineRule="auto"/>
              <w:rPr>
                <w:rFonts w:ascii="Times New Roman" w:hAnsi="Times New Roman"/>
                <w:sz w:val="21"/>
              </w:rPr>
            </w:pPr>
            <w:r>
              <w:rPr>
                <w:rFonts w:ascii="Times New Roman" w:hAnsi="Times New Roman"/>
                <w:sz w:val="21"/>
              </w:rPr>
              <w:t>11</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废水处理率与达标排放率</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12</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工业用水循环利用率</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13</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中水回用率</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14</w:t>
            </w:r>
          </w:p>
        </w:tc>
        <w:tc>
          <w:tcPr>
            <w:tcW w:w="1173" w:type="pct"/>
            <w:vAlign w:val="center"/>
          </w:tcPr>
          <w:p>
            <w:pPr>
              <w:pStyle w:val="16"/>
              <w:spacing w:line="240" w:lineRule="auto"/>
              <w:rPr>
                <w:rFonts w:ascii="Times New Roman" w:hAnsi="Times New Roman"/>
                <w:sz w:val="21"/>
              </w:rPr>
            </w:pPr>
            <w:r>
              <w:rPr>
                <w:rFonts w:ascii="Times New Roman" w:hAnsi="Times New Roman"/>
                <w:sz w:val="21"/>
              </w:rPr>
              <w:t>噪声</w:t>
            </w:r>
          </w:p>
        </w:tc>
        <w:tc>
          <w:tcPr>
            <w:tcW w:w="2449" w:type="pct"/>
            <w:vAlign w:val="center"/>
          </w:tcPr>
          <w:p>
            <w:pPr>
              <w:pStyle w:val="16"/>
              <w:spacing w:line="240" w:lineRule="auto"/>
              <w:rPr>
                <w:rFonts w:ascii="Times New Roman" w:hAnsi="Times New Roman"/>
                <w:sz w:val="21"/>
              </w:rPr>
            </w:pPr>
            <w:r>
              <w:rPr>
                <w:rFonts w:ascii="Times New Roman" w:hAnsi="Times New Roman"/>
                <w:sz w:val="21"/>
              </w:rPr>
              <w:t>噪声达标覆盖率</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15</w:t>
            </w:r>
          </w:p>
        </w:tc>
        <w:tc>
          <w:tcPr>
            <w:tcW w:w="1173" w:type="pct"/>
            <w:vMerge w:val="restart"/>
            <w:vAlign w:val="center"/>
          </w:tcPr>
          <w:p>
            <w:pPr>
              <w:pStyle w:val="16"/>
              <w:spacing w:line="240" w:lineRule="auto"/>
              <w:rPr>
                <w:rFonts w:ascii="Times New Roman" w:hAnsi="Times New Roman"/>
                <w:sz w:val="21"/>
              </w:rPr>
            </w:pPr>
            <w:r>
              <w:rPr>
                <w:rFonts w:ascii="Times New Roman" w:hAnsi="Times New Roman"/>
                <w:sz w:val="21"/>
              </w:rPr>
              <w:t>固体废物</w:t>
            </w:r>
          </w:p>
        </w:tc>
        <w:tc>
          <w:tcPr>
            <w:tcW w:w="2449" w:type="pct"/>
            <w:vAlign w:val="center"/>
          </w:tcPr>
          <w:p>
            <w:pPr>
              <w:pStyle w:val="16"/>
              <w:spacing w:line="240" w:lineRule="auto"/>
              <w:rPr>
                <w:rFonts w:ascii="Times New Roman" w:hAnsi="Times New Roman"/>
                <w:sz w:val="21"/>
              </w:rPr>
            </w:pPr>
            <w:r>
              <w:rPr>
                <w:rFonts w:ascii="Times New Roman" w:hAnsi="Times New Roman"/>
                <w:sz w:val="21"/>
              </w:rPr>
              <w:t>生活垃圾无害化率</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16</w:t>
            </w:r>
          </w:p>
        </w:tc>
        <w:tc>
          <w:tcPr>
            <w:tcW w:w="1173" w:type="pct"/>
            <w:vMerge w:val="continue"/>
            <w:vAlign w:val="center"/>
          </w:tcPr>
          <w:p>
            <w:pPr>
              <w:pStyle w:val="16"/>
              <w:spacing w:line="240" w:lineRule="auto"/>
              <w:rPr>
                <w:rFonts w:ascii="Times New Roman" w:hAnsi="Times New Roman"/>
                <w:sz w:val="21"/>
              </w:rPr>
            </w:pPr>
          </w:p>
        </w:tc>
        <w:tc>
          <w:tcPr>
            <w:tcW w:w="2449" w:type="pct"/>
            <w:vAlign w:val="center"/>
          </w:tcPr>
          <w:p>
            <w:pPr>
              <w:pStyle w:val="16"/>
              <w:spacing w:line="240" w:lineRule="auto"/>
              <w:rPr>
                <w:rFonts w:ascii="Times New Roman" w:hAnsi="Times New Roman"/>
                <w:sz w:val="21"/>
              </w:rPr>
            </w:pPr>
            <w:r>
              <w:rPr>
                <w:rFonts w:ascii="Times New Roman" w:hAnsi="Times New Roman"/>
                <w:sz w:val="21"/>
              </w:rPr>
              <w:t>工业固体废物综合利用及处置率</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pct"/>
            <w:vAlign w:val="center"/>
          </w:tcPr>
          <w:p>
            <w:pPr>
              <w:pStyle w:val="16"/>
              <w:spacing w:line="240" w:lineRule="auto"/>
              <w:rPr>
                <w:rFonts w:ascii="Times New Roman" w:hAnsi="Times New Roman"/>
                <w:sz w:val="21"/>
              </w:rPr>
            </w:pPr>
            <w:r>
              <w:rPr>
                <w:rFonts w:ascii="Times New Roman" w:hAnsi="Times New Roman"/>
                <w:sz w:val="21"/>
              </w:rPr>
              <w:t>17</w:t>
            </w:r>
          </w:p>
        </w:tc>
        <w:tc>
          <w:tcPr>
            <w:tcW w:w="1173" w:type="pct"/>
            <w:vAlign w:val="center"/>
          </w:tcPr>
          <w:p>
            <w:pPr>
              <w:pStyle w:val="16"/>
              <w:spacing w:line="240" w:lineRule="auto"/>
              <w:rPr>
                <w:rFonts w:ascii="Times New Roman" w:hAnsi="Times New Roman"/>
                <w:sz w:val="21"/>
              </w:rPr>
            </w:pPr>
            <w:r>
              <w:rPr>
                <w:rFonts w:ascii="Times New Roman" w:hAnsi="Times New Roman"/>
                <w:sz w:val="21"/>
              </w:rPr>
              <w:t>生态</w:t>
            </w:r>
          </w:p>
        </w:tc>
        <w:tc>
          <w:tcPr>
            <w:tcW w:w="2449" w:type="pct"/>
            <w:vAlign w:val="center"/>
          </w:tcPr>
          <w:p>
            <w:pPr>
              <w:pStyle w:val="16"/>
              <w:spacing w:line="240" w:lineRule="auto"/>
              <w:rPr>
                <w:rFonts w:ascii="Times New Roman" w:hAnsi="Times New Roman"/>
                <w:sz w:val="21"/>
              </w:rPr>
            </w:pPr>
            <w:r>
              <w:rPr>
                <w:rFonts w:ascii="Times New Roman" w:hAnsi="Times New Roman"/>
                <w:sz w:val="21"/>
              </w:rPr>
              <w:t>绿化率</w:t>
            </w:r>
          </w:p>
        </w:tc>
        <w:tc>
          <w:tcPr>
            <w:tcW w:w="935" w:type="pct"/>
            <w:vAlign w:val="center"/>
          </w:tcPr>
          <w:p>
            <w:pPr>
              <w:pStyle w:val="16"/>
              <w:spacing w:line="240" w:lineRule="auto"/>
              <w:rPr>
                <w:rFonts w:ascii="Times New Roman" w:hAnsi="Times New Roman"/>
                <w:sz w:val="21"/>
              </w:rPr>
            </w:pPr>
            <w:r>
              <w:rPr>
                <w:rFonts w:ascii="Times New Roman" w:hAnsi="Times New Roman"/>
                <w:sz w:val="21"/>
              </w:rPr>
              <w:t>%</w:t>
            </w:r>
          </w:p>
        </w:tc>
      </w:tr>
    </w:tbl>
    <w:p>
      <w:pPr>
        <w:ind w:firstLine="480"/>
        <w:rPr>
          <w:rFonts w:cs="Times New Roman"/>
          <w:highlight w:val="yellow"/>
          <w:lang w:eastAsia="zh-CN"/>
        </w:rPr>
      </w:pPr>
      <w:r>
        <w:rPr>
          <w:rFonts w:cs="Times New Roman"/>
          <w:highlight w:val="yellow"/>
          <w:lang w:eastAsia="zh-CN"/>
        </w:rPr>
        <w:t>由于本规划区域规划进行了调整，规划定位有一定调整，土地利用规划进行了大幅度调整，且区域内原规划重点企业五洲龙项目倒闭，难以和原规划环评经济指标进行对比分析，因此本次跟踪评价结合现状环境质量及规划实施情况对原环评的评价指标体系进行分析。</w:t>
      </w:r>
    </w:p>
    <w:p>
      <w:pPr>
        <w:ind w:firstLine="480"/>
        <w:rPr>
          <w:rFonts w:cs="Times New Roman"/>
          <w:lang w:eastAsia="zh-CN"/>
        </w:rPr>
      </w:pPr>
    </w:p>
    <w:p>
      <w:pPr>
        <w:pStyle w:val="7"/>
        <w:pageBreakBefore/>
        <w:rPr>
          <w:rFonts w:ascii="Times New Roman" w:hAnsi="Times New Roman" w:cs="Times New Roman"/>
          <w:lang w:eastAsia="zh-CN"/>
        </w:rPr>
      </w:pPr>
      <w:bookmarkStart w:id="57" w:name="_Toc18520"/>
      <w:bookmarkStart w:id="58" w:name="_Toc26363"/>
      <w:r>
        <w:rPr>
          <w:rFonts w:ascii="Times New Roman" w:hAnsi="Times New Roman" w:cs="Times New Roman"/>
          <w:lang w:eastAsia="zh-CN"/>
        </w:rPr>
        <w:t>2 规划实施及开发强度</w:t>
      </w:r>
      <w:bookmarkEnd w:id="57"/>
      <w:bookmarkEnd w:id="58"/>
      <w:r>
        <w:rPr>
          <w:rFonts w:hint="eastAsia" w:ascii="Times New Roman" w:hAnsi="Times New Roman" w:cs="Times New Roman"/>
          <w:lang w:eastAsia="zh-CN"/>
        </w:rPr>
        <w:t>对比</w:t>
      </w:r>
    </w:p>
    <w:p>
      <w:pPr>
        <w:pStyle w:val="8"/>
        <w:rPr>
          <w:rFonts w:ascii="Times New Roman" w:hAnsi="Times New Roman" w:cs="Times New Roman"/>
          <w:lang w:eastAsia="zh-CN"/>
        </w:rPr>
      </w:pPr>
      <w:bookmarkStart w:id="59" w:name="_Toc23920"/>
      <w:bookmarkStart w:id="60" w:name="_Toc9397"/>
      <w:r>
        <w:rPr>
          <w:rFonts w:ascii="Times New Roman" w:hAnsi="Times New Roman" w:cs="Times New Roman"/>
          <w:lang w:eastAsia="zh-CN"/>
        </w:rPr>
        <w:t>2.1 规划跟踪评价实施背景</w:t>
      </w:r>
      <w:bookmarkEnd w:id="59"/>
      <w:bookmarkEnd w:id="60"/>
      <w:r>
        <w:rPr>
          <w:rFonts w:ascii="Times New Roman" w:hAnsi="Times New Roman" w:cs="Times New Roman"/>
          <w:lang w:eastAsia="zh-CN"/>
        </w:rPr>
        <w:t xml:space="preserve"> </w:t>
      </w:r>
    </w:p>
    <w:p>
      <w:pPr>
        <w:ind w:firstLine="480"/>
        <w:rPr>
          <w:rFonts w:cs="Times New Roman"/>
          <w:lang w:eastAsia="zh-CN"/>
        </w:rPr>
      </w:pPr>
      <w:r>
        <w:rPr>
          <w:rFonts w:cs="Times New Roman"/>
          <w:lang w:eastAsia="zh-CN"/>
        </w:rPr>
        <w:t>根据《中华人民共和国环境影响评价法》、《规划环境影响评价条例》、《</w:t>
      </w:r>
      <w:r>
        <w:rPr>
          <w:rFonts w:hint="eastAsia" w:cs="Times New Roman"/>
          <w:lang w:eastAsia="zh-CN"/>
        </w:rPr>
        <w:t>关于进一步加强产业园区规划环境影响评价工作的意见</w:t>
      </w:r>
      <w:r>
        <w:rPr>
          <w:rFonts w:cs="Times New Roman"/>
          <w:lang w:eastAsia="zh-CN"/>
        </w:rPr>
        <w:t>》（</w:t>
      </w:r>
      <w:r>
        <w:rPr>
          <w:rFonts w:hint="eastAsia" w:cs="Times New Roman"/>
          <w:lang w:eastAsia="zh-CN"/>
        </w:rPr>
        <w:t>环环评〔</w:t>
      </w:r>
      <w:r>
        <w:rPr>
          <w:rFonts w:cs="Times New Roman"/>
          <w:lang w:eastAsia="zh-CN"/>
        </w:rPr>
        <w:t>2020〕65号）：“</w:t>
      </w:r>
      <w:r>
        <w:rPr>
          <w:rFonts w:hint="eastAsia" w:cs="Times New Roman"/>
          <w:lang w:eastAsia="zh-CN"/>
        </w:rPr>
        <w:t>对可能导致区域环境质量下降、生态功能退化，实施五年以上且未发生重大调整的规划，产业园区管理机构应及时开展环境影响跟踪评价工作，编制规划环境影响跟踪评价报告</w:t>
      </w:r>
      <w:r>
        <w:rPr>
          <w:rFonts w:cs="Times New Roman"/>
          <w:lang w:eastAsia="zh-CN"/>
        </w:rPr>
        <w:t>”。2019年3月生态环境部办公厅发布了（环办环评〔2019〕20号）《规划环境影响跟踪评价技术指南（试行）》，提出规划编制机关参考该指南及时开展规划环境影响跟踪评价工作。</w:t>
      </w:r>
    </w:p>
    <w:p>
      <w:pPr>
        <w:ind w:firstLine="480"/>
        <w:rPr>
          <w:rFonts w:cs="Times New Roman"/>
          <w:lang w:eastAsia="zh-CN"/>
        </w:rPr>
      </w:pPr>
      <w:r>
        <w:rPr>
          <w:rFonts w:hint="eastAsia" w:cs="Times New Roman"/>
          <w:lang w:eastAsia="zh-CN"/>
        </w:rPr>
        <w:t>国际新兴产业园区</w:t>
      </w:r>
      <w:r>
        <w:rPr>
          <w:rFonts w:cs="Times New Roman"/>
          <w:lang w:eastAsia="zh-CN"/>
        </w:rPr>
        <w:t>自201</w:t>
      </w:r>
      <w:r>
        <w:rPr>
          <w:rFonts w:hint="eastAsia" w:cs="Times New Roman"/>
          <w:lang w:eastAsia="zh-CN"/>
        </w:rPr>
        <w:t>5</w:t>
      </w:r>
      <w:r>
        <w:rPr>
          <w:rFonts w:cs="Times New Roman"/>
          <w:lang w:eastAsia="zh-CN"/>
        </w:rPr>
        <w:t>年取得规划环评审查意见后，历时已接近</w:t>
      </w:r>
      <w:r>
        <w:rPr>
          <w:rFonts w:hint="eastAsia" w:cs="Times New Roman"/>
          <w:lang w:eastAsia="zh-CN"/>
        </w:rPr>
        <w:t>6</w:t>
      </w:r>
      <w:r>
        <w:rPr>
          <w:rFonts w:cs="Times New Roman"/>
          <w:lang w:eastAsia="zh-CN"/>
        </w:rPr>
        <w:t>年时间，需开展规划环境影响跟踪评价工作。为此，</w:t>
      </w:r>
      <w:r>
        <w:rPr>
          <w:rFonts w:hint="eastAsia" w:cs="Times New Roman"/>
          <w:lang w:eastAsia="zh-CN"/>
        </w:rPr>
        <w:t>浑南国际新兴产业园区管理委员</w:t>
      </w:r>
      <w:r>
        <w:rPr>
          <w:rFonts w:cs="Times New Roman"/>
          <w:lang w:eastAsia="zh-CN"/>
        </w:rPr>
        <w:t>托</w:t>
      </w:r>
      <w:r>
        <w:rPr>
          <w:rFonts w:hint="eastAsia" w:cs="Times New Roman"/>
          <w:lang w:eastAsia="zh-CN"/>
        </w:rPr>
        <w:t>沈阳联鑫环保科技有限公司</w:t>
      </w:r>
      <w:r>
        <w:rPr>
          <w:rFonts w:cs="Times New Roman"/>
          <w:lang w:eastAsia="zh-CN"/>
        </w:rPr>
        <w:t>开展</w:t>
      </w:r>
      <w:r>
        <w:rPr>
          <w:rFonts w:hint="eastAsia" w:cs="Times New Roman"/>
          <w:lang w:eastAsia="zh-CN"/>
        </w:rPr>
        <w:t>浑南国际新兴产业园区总体发展规划</w:t>
      </w:r>
      <w:r>
        <w:rPr>
          <w:rFonts w:cs="Times New Roman"/>
          <w:lang w:eastAsia="zh-CN"/>
        </w:rPr>
        <w:t>环境影响跟踪评价工作。</w:t>
      </w:r>
    </w:p>
    <w:p>
      <w:pPr>
        <w:pStyle w:val="8"/>
        <w:rPr>
          <w:rFonts w:ascii="Times New Roman" w:hAnsi="Times New Roman" w:cs="Times New Roman"/>
          <w:lang w:eastAsia="zh-CN"/>
        </w:rPr>
      </w:pPr>
      <w:bookmarkStart w:id="61" w:name="_Toc24495"/>
      <w:bookmarkStart w:id="62" w:name="_Toc14568"/>
      <w:r>
        <w:rPr>
          <w:rFonts w:ascii="Times New Roman" w:hAnsi="Times New Roman" w:cs="Times New Roman"/>
          <w:lang w:eastAsia="zh-CN"/>
        </w:rPr>
        <w:t>2.2 规划概况</w:t>
      </w:r>
      <w:bookmarkEnd w:id="61"/>
      <w:bookmarkEnd w:id="62"/>
    </w:p>
    <w:p>
      <w:pPr>
        <w:pStyle w:val="9"/>
        <w:rPr>
          <w:rFonts w:ascii="Times New Roman" w:hAnsi="Times New Roman"/>
          <w:spacing w:val="-1"/>
        </w:rPr>
      </w:pPr>
      <w:bookmarkStart w:id="63" w:name="_Toc27288"/>
      <w:r>
        <w:rPr>
          <w:rFonts w:ascii="Times New Roman" w:hAnsi="Times New Roman"/>
          <w:spacing w:val="-1"/>
        </w:rPr>
        <w:t>2.</w:t>
      </w:r>
      <w:r>
        <w:rPr>
          <w:rFonts w:ascii="Times New Roman" w:hAnsi="Times New Roman" w:eastAsiaTheme="minorEastAsia"/>
          <w:spacing w:val="-1"/>
        </w:rPr>
        <w:t>2</w:t>
      </w:r>
      <w:r>
        <w:rPr>
          <w:rFonts w:ascii="Times New Roman" w:hAnsi="Times New Roman"/>
          <w:spacing w:val="-1"/>
        </w:rPr>
        <w:t>.1 规划期限及范围</w:t>
      </w:r>
      <w:bookmarkEnd w:id="63"/>
    </w:p>
    <w:p>
      <w:pPr>
        <w:ind w:firstLine="480"/>
        <w:rPr>
          <w:rFonts w:cs="Times New Roman"/>
          <w:lang w:eastAsia="zh-CN"/>
        </w:rPr>
      </w:pPr>
      <w:r>
        <w:rPr>
          <w:rFonts w:cs="Times New Roman"/>
          <w:lang w:eastAsia="zh-CN"/>
        </w:rPr>
        <w:t>规划期限为20</w:t>
      </w:r>
      <w:r>
        <w:rPr>
          <w:rFonts w:hint="eastAsia" w:cs="Times New Roman"/>
          <w:lang w:eastAsia="zh-CN"/>
        </w:rPr>
        <w:t>12</w:t>
      </w:r>
      <w:r>
        <w:rPr>
          <w:rFonts w:cs="Times New Roman"/>
          <w:lang w:eastAsia="zh-CN"/>
        </w:rPr>
        <w:t>-2030年。</w:t>
      </w:r>
    </w:p>
    <w:p>
      <w:pPr>
        <w:ind w:firstLine="456"/>
        <w:rPr>
          <w:rFonts w:cs="Times New Roman"/>
          <w:lang w:eastAsia="zh-CN"/>
        </w:rPr>
      </w:pPr>
      <w:bookmarkStart w:id="64" w:name="_Toc18272"/>
      <w:r>
        <w:rPr>
          <w:spacing w:val="-6"/>
          <w:lang w:eastAsia="zh-CN"/>
        </w:rPr>
        <w:t>浑南国际新兴产业园区位于东陵区北部，规划范围东至三环高速，南至规划全运</w:t>
      </w:r>
      <w:r>
        <w:rPr>
          <w:spacing w:val="-3"/>
          <w:lang w:eastAsia="zh-CN"/>
        </w:rPr>
        <w:t>南路，西至沈李公路，北至浑河，规划总用地面积</w:t>
      </w:r>
      <w:r>
        <w:rPr>
          <w:rFonts w:eastAsia="Times New Roman"/>
          <w:lang w:eastAsia="zh-CN"/>
        </w:rPr>
        <w:t>51km</w:t>
      </w:r>
      <w:r>
        <w:rPr>
          <w:rFonts w:eastAsia="Times New Roman"/>
          <w:vertAlign w:val="superscript"/>
          <w:lang w:eastAsia="zh-CN"/>
        </w:rPr>
        <w:t>2</w:t>
      </w:r>
      <w:r>
        <w:rPr>
          <w:rFonts w:cs="Times New Roman"/>
          <w:lang w:eastAsia="zh-CN"/>
        </w:rPr>
        <w:t>。</w:t>
      </w:r>
    </w:p>
    <w:p>
      <w:pPr>
        <w:pStyle w:val="9"/>
        <w:rPr>
          <w:rFonts w:ascii="Times New Roman" w:hAnsi="Times New Roman"/>
        </w:rPr>
      </w:pPr>
      <w:r>
        <w:rPr>
          <w:rFonts w:ascii="Times New Roman" w:hAnsi="Times New Roman"/>
          <w:spacing w:val="-1"/>
        </w:rPr>
        <w:t>2.</w:t>
      </w:r>
      <w:r>
        <w:rPr>
          <w:rFonts w:ascii="Times New Roman" w:hAnsi="Times New Roman" w:eastAsiaTheme="minorEastAsia"/>
          <w:spacing w:val="-1"/>
        </w:rPr>
        <w:t>2</w:t>
      </w:r>
      <w:r>
        <w:rPr>
          <w:rFonts w:ascii="Times New Roman" w:hAnsi="Times New Roman"/>
          <w:spacing w:val="-1"/>
        </w:rPr>
        <w:t xml:space="preserve">.2 </w:t>
      </w:r>
      <w:r>
        <w:rPr>
          <w:rFonts w:ascii="Times New Roman" w:hAnsi="Times New Roman"/>
        </w:rPr>
        <w:t>发展目标</w:t>
      </w:r>
    </w:p>
    <w:p>
      <w:pPr>
        <w:pStyle w:val="25"/>
        <w:spacing w:after="0"/>
        <w:ind w:firstLine="480"/>
        <w:rPr>
          <w:lang w:eastAsia="zh-CN"/>
        </w:rPr>
      </w:pPr>
      <w:r>
        <w:rPr>
          <w:lang w:eastAsia="zh-CN"/>
        </w:rPr>
        <w:t>创造一个健康、充满活力和独特城市环境的乐活之城；构建产业、科研、商业、居住融合的现代新兴产业园区。</w:t>
      </w:r>
    </w:p>
    <w:p>
      <w:pPr>
        <w:pStyle w:val="9"/>
        <w:rPr>
          <w:rFonts w:ascii="Times New Roman" w:hAnsi="Times New Roman"/>
          <w:spacing w:val="-1"/>
        </w:rPr>
      </w:pPr>
      <w:r>
        <w:rPr>
          <w:rFonts w:hint="eastAsia" w:ascii="Times New Roman" w:hAnsi="Times New Roman"/>
          <w:spacing w:val="-1"/>
        </w:rPr>
        <w:t>2.2.3</w:t>
      </w:r>
      <w:r>
        <w:rPr>
          <w:rFonts w:ascii="Times New Roman" w:hAnsi="Times New Roman"/>
          <w:spacing w:val="-1"/>
        </w:rPr>
        <w:t>发展定位</w:t>
      </w:r>
      <w:bookmarkEnd w:id="64"/>
    </w:p>
    <w:p>
      <w:pPr>
        <w:pStyle w:val="25"/>
        <w:spacing w:after="0"/>
        <w:ind w:firstLine="480"/>
        <w:rPr>
          <w:lang w:eastAsia="zh-CN"/>
        </w:rPr>
      </w:pPr>
      <w:r>
        <w:rPr>
          <w:lang w:eastAsia="zh-CN"/>
        </w:rPr>
        <w:t>（1）沈阳经济区层面——经济区的新兴产业基地</w:t>
      </w:r>
    </w:p>
    <w:p>
      <w:pPr>
        <w:pStyle w:val="25"/>
        <w:spacing w:after="0"/>
        <w:ind w:firstLine="480"/>
        <w:rPr>
          <w:lang w:eastAsia="zh-CN"/>
        </w:rPr>
      </w:pPr>
      <w:r>
        <w:rPr>
          <w:lang w:eastAsia="zh-CN"/>
        </w:rPr>
        <w:t>以节能环保、新能源、生物医药、电子商务、现代物流产业为主导，以先进装备制造、汽车零部件生产产业为延伸，打造沈阳经济区的生态环保、科技创新、结构优化的龙头产业基地。</w:t>
      </w:r>
    </w:p>
    <w:p>
      <w:pPr>
        <w:pStyle w:val="25"/>
        <w:spacing w:after="0"/>
        <w:ind w:firstLine="480"/>
        <w:rPr>
          <w:lang w:eastAsia="zh-CN"/>
        </w:rPr>
      </w:pPr>
      <w:r>
        <w:rPr>
          <w:lang w:eastAsia="zh-CN"/>
        </w:rPr>
        <w:t>（2）城市层面——沈阳市的新产业生产中心</w:t>
      </w:r>
    </w:p>
    <w:p>
      <w:pPr>
        <w:pStyle w:val="25"/>
        <w:spacing w:after="0"/>
        <w:ind w:firstLine="480"/>
        <w:rPr>
          <w:lang w:eastAsia="zh-CN"/>
        </w:rPr>
      </w:pPr>
      <w:r>
        <w:rPr>
          <w:lang w:eastAsia="zh-CN"/>
        </w:rPr>
        <w:t>园区发展与城市内部的智力资源(科研机构、大学等）建立有效的互动机制，为其提供新型科技产品的生产基地，打造沈阳市的新产业生产中心，实现产-学-研的联合发展。</w:t>
      </w:r>
    </w:p>
    <w:p>
      <w:pPr>
        <w:pStyle w:val="25"/>
        <w:spacing w:after="0"/>
        <w:ind w:firstLine="480"/>
        <w:rPr>
          <w:lang w:eastAsia="zh-CN"/>
        </w:rPr>
      </w:pPr>
      <w:r>
        <w:rPr>
          <w:lang w:eastAsia="zh-CN"/>
        </w:rPr>
        <w:t>（3）园区层面——功能复合的生态型新城区</w:t>
      </w:r>
    </w:p>
    <w:p>
      <w:pPr>
        <w:pStyle w:val="25"/>
        <w:spacing w:after="0"/>
        <w:ind w:firstLine="480"/>
        <w:rPr>
          <w:lang w:eastAsia="zh-CN"/>
        </w:rPr>
      </w:pPr>
      <w:r>
        <w:rPr>
          <w:lang w:eastAsia="zh-CN"/>
        </w:rPr>
        <w:t>强调功能的完备性，功能活动的多元化，打造充满活力的城市片区；利用现有自然资源营造良好的生活环境，建设田园形态的、生态友好度较高的城市片区。</w:t>
      </w:r>
    </w:p>
    <w:p>
      <w:pPr>
        <w:pStyle w:val="124"/>
        <w:tabs>
          <w:tab w:val="left" w:pos="1122"/>
        </w:tabs>
        <w:ind w:left="480" w:leftChars="200" w:firstLine="0" w:firstLineChars="0"/>
        <w:outlineLvl w:val="3"/>
        <w:rPr>
          <w:rFonts w:cs="Times New Roman"/>
          <w:b/>
          <w:bCs/>
          <w:lang w:eastAsia="zh-CN"/>
        </w:rPr>
      </w:pPr>
      <w:bookmarkStart w:id="65" w:name="_bookmark28"/>
      <w:bookmarkEnd w:id="65"/>
      <w:bookmarkStart w:id="66" w:name="2.1.3_发展战略"/>
      <w:bookmarkEnd w:id="66"/>
      <w:r>
        <w:rPr>
          <w:rFonts w:cs="Times New Roman"/>
          <w:b/>
          <w:bCs/>
          <w:lang w:eastAsia="zh-CN"/>
        </w:rPr>
        <w:t>2.2.2.1发展战略</w:t>
      </w:r>
    </w:p>
    <w:p>
      <w:pPr>
        <w:pStyle w:val="25"/>
        <w:spacing w:after="0"/>
        <w:ind w:firstLine="480"/>
        <w:rPr>
          <w:lang w:eastAsia="zh-CN"/>
        </w:rPr>
      </w:pPr>
      <w:r>
        <w:rPr>
          <w:rFonts w:hint="eastAsia"/>
          <w:lang w:eastAsia="zh-CN"/>
        </w:rPr>
        <w:t>（1）</w:t>
      </w:r>
      <w:r>
        <w:rPr>
          <w:lang w:eastAsia="zh-CN"/>
        </w:rPr>
        <w:t>区域协同</w:t>
      </w:r>
    </w:p>
    <w:p>
      <w:pPr>
        <w:pStyle w:val="25"/>
        <w:spacing w:after="0"/>
        <w:ind w:firstLine="480"/>
        <w:rPr>
          <w:lang w:eastAsia="zh-CN"/>
        </w:rPr>
      </w:pPr>
      <w:r>
        <w:rPr>
          <w:lang w:eastAsia="zh-CN"/>
        </w:rPr>
        <w:t>规划在政府层面的推动下，促进国际新兴产业园区、出口加工区、沈抚新城产业区在功能布局、交通系统、产业发展、产业政策、基础设施建设、环境保护、城市建设与管理、社会治安、政策互惠等方面的区域合作，以实现区域范围内的经济利益的最大化共赢和公共设施及信息的最有效化共享。</w:t>
      </w:r>
    </w:p>
    <w:p>
      <w:pPr>
        <w:pStyle w:val="124"/>
        <w:tabs>
          <w:tab w:val="left" w:pos="1320"/>
        </w:tabs>
        <w:ind w:firstLine="480"/>
        <w:rPr>
          <w:lang w:eastAsia="zh-CN"/>
        </w:rPr>
      </w:pPr>
      <w:r>
        <w:rPr>
          <w:rFonts w:hint="eastAsia"/>
          <w:lang w:eastAsia="zh-CN"/>
        </w:rPr>
        <w:t>（2）</w:t>
      </w:r>
      <w:r>
        <w:rPr>
          <w:lang w:eastAsia="zh-CN"/>
        </w:rPr>
        <w:t>产业集群</w:t>
      </w:r>
    </w:p>
    <w:p>
      <w:pPr>
        <w:pStyle w:val="25"/>
        <w:spacing w:after="0"/>
        <w:ind w:firstLine="480"/>
        <w:rPr>
          <w:lang w:eastAsia="zh-CN"/>
        </w:rPr>
      </w:pPr>
      <w:r>
        <w:rPr>
          <w:lang w:eastAsia="zh-CN"/>
        </w:rPr>
        <w:t>规划产业园区通过“产业集群”战略，对地方产业进行自我强化， 实现地区产业的整体发展。 根据园区的产业体系， 重点打造五大产业集群：保税加工与保税物流产业集群、高端装备产业集群、生物医药产业集群、电子商务产业集群、节能环保与新能源产业集群。</w:t>
      </w:r>
    </w:p>
    <w:p>
      <w:pPr>
        <w:pStyle w:val="124"/>
        <w:tabs>
          <w:tab w:val="left" w:pos="1320"/>
        </w:tabs>
        <w:ind w:firstLine="480"/>
        <w:rPr>
          <w:lang w:eastAsia="zh-CN"/>
        </w:rPr>
      </w:pPr>
      <w:r>
        <w:rPr>
          <w:rFonts w:hint="eastAsia"/>
          <w:lang w:eastAsia="zh-CN"/>
        </w:rPr>
        <w:t>（3）</w:t>
      </w:r>
      <w:r>
        <w:rPr>
          <w:lang w:eastAsia="zh-CN"/>
        </w:rPr>
        <w:t>多元复合</w:t>
      </w:r>
    </w:p>
    <w:p>
      <w:pPr>
        <w:pStyle w:val="25"/>
        <w:spacing w:after="0"/>
        <w:ind w:firstLine="480"/>
        <w:rPr>
          <w:lang w:eastAsia="zh-CN"/>
        </w:rPr>
      </w:pPr>
      <w:r>
        <w:rPr>
          <w:lang w:eastAsia="zh-CN"/>
        </w:rPr>
        <w:t>引入多元复合的城市公共活动功能，考虑不同人群的需求，吸引人气的高度集中， 从而为园区提供持续的活力。</w:t>
      </w:r>
    </w:p>
    <w:p>
      <w:pPr>
        <w:pStyle w:val="124"/>
        <w:tabs>
          <w:tab w:val="left" w:pos="1320"/>
        </w:tabs>
        <w:ind w:firstLine="480"/>
        <w:rPr>
          <w:lang w:eastAsia="zh-CN"/>
        </w:rPr>
      </w:pPr>
      <w:r>
        <w:rPr>
          <w:rFonts w:hint="eastAsia"/>
          <w:lang w:eastAsia="zh-CN"/>
        </w:rPr>
        <w:t>（4）</w:t>
      </w:r>
      <w:r>
        <w:rPr>
          <w:lang w:eastAsia="zh-CN"/>
        </w:rPr>
        <w:t>产</w:t>
      </w:r>
      <w:r>
        <w:rPr>
          <w:rFonts w:eastAsia="Times New Roman"/>
          <w:lang w:eastAsia="zh-CN"/>
        </w:rPr>
        <w:t>-</w:t>
      </w:r>
      <w:r>
        <w:rPr>
          <w:lang w:eastAsia="zh-CN"/>
        </w:rPr>
        <w:t>学</w:t>
      </w:r>
      <w:r>
        <w:rPr>
          <w:rFonts w:eastAsia="Times New Roman"/>
          <w:lang w:eastAsia="zh-CN"/>
        </w:rPr>
        <w:t>-</w:t>
      </w:r>
      <w:r>
        <w:rPr>
          <w:lang w:eastAsia="zh-CN"/>
        </w:rPr>
        <w:t>研互动机制</w:t>
      </w:r>
    </w:p>
    <w:p>
      <w:pPr>
        <w:pStyle w:val="25"/>
        <w:spacing w:after="0"/>
        <w:ind w:firstLine="480"/>
        <w:rPr>
          <w:lang w:eastAsia="zh-CN"/>
        </w:rPr>
      </w:pPr>
      <w:r>
        <w:rPr>
          <w:lang w:eastAsia="zh-CN"/>
        </w:rPr>
        <w:t>大学、科研院所作为知识创新体系的主体，主导着知识的生产、运用和传播；同时，园区内的企业左右着大学、科研院所及科研人员的研究方向，并提供科研经费。两者的良性互动使得大学和科研院所能够及时了解市场需求，提高了技术创新的适用性，而企业也因此获得了可靠的技术来源。</w:t>
      </w:r>
    </w:p>
    <w:p>
      <w:pPr>
        <w:pStyle w:val="124"/>
        <w:tabs>
          <w:tab w:val="left" w:pos="1320"/>
        </w:tabs>
        <w:ind w:firstLine="480"/>
        <w:rPr>
          <w:lang w:eastAsia="zh-CN"/>
        </w:rPr>
      </w:pPr>
      <w:r>
        <w:rPr>
          <w:rFonts w:hint="eastAsia"/>
          <w:lang w:eastAsia="zh-CN"/>
        </w:rPr>
        <w:t>（5）</w:t>
      </w:r>
      <w:r>
        <w:rPr>
          <w:lang w:eastAsia="zh-CN"/>
        </w:rPr>
        <w:t>塑造绿色空间</w:t>
      </w:r>
    </w:p>
    <w:p>
      <w:pPr>
        <w:pStyle w:val="25"/>
        <w:spacing w:after="0"/>
        <w:ind w:firstLine="480"/>
        <w:rPr>
          <w:lang w:eastAsia="zh-CN"/>
        </w:rPr>
      </w:pPr>
      <w:r>
        <w:rPr>
          <w:lang w:eastAsia="zh-CN"/>
        </w:rPr>
        <w:t>生态环境是产业园区吸引人才、集聚资本的重要影响因素。规划充分利用园区内的生态要素“河、田、村、山”塑造网络化的绿色空间，构筑生态化的产业园区。</w:t>
      </w:r>
    </w:p>
    <w:p>
      <w:pPr>
        <w:pStyle w:val="9"/>
        <w:rPr>
          <w:rFonts w:ascii="Times New Roman" w:hAnsi="Times New Roman"/>
          <w:spacing w:val="-1"/>
        </w:rPr>
      </w:pPr>
      <w:bookmarkStart w:id="67" w:name="2.1.4_用地布局规划"/>
      <w:bookmarkEnd w:id="67"/>
      <w:bookmarkStart w:id="68" w:name="_bookmark29"/>
      <w:bookmarkEnd w:id="68"/>
      <w:bookmarkStart w:id="69" w:name="_Toc4173"/>
      <w:r>
        <w:rPr>
          <w:rFonts w:ascii="Times New Roman" w:hAnsi="Times New Roman"/>
          <w:spacing w:val="-1"/>
        </w:rPr>
        <w:t>2.</w:t>
      </w:r>
      <w:r>
        <w:rPr>
          <w:rFonts w:ascii="Times New Roman" w:hAnsi="Times New Roman" w:eastAsiaTheme="minorEastAsia"/>
          <w:spacing w:val="-1"/>
        </w:rPr>
        <w:t>2</w:t>
      </w:r>
      <w:r>
        <w:rPr>
          <w:rFonts w:ascii="Times New Roman" w:hAnsi="Times New Roman"/>
          <w:spacing w:val="-1"/>
        </w:rPr>
        <w:t>.4 空间结构和用地布局</w:t>
      </w:r>
      <w:bookmarkEnd w:id="69"/>
    </w:p>
    <w:p>
      <w:pPr>
        <w:pStyle w:val="124"/>
        <w:tabs>
          <w:tab w:val="left" w:pos="1122"/>
        </w:tabs>
        <w:ind w:firstLine="0" w:firstLineChars="0"/>
        <w:outlineLvl w:val="3"/>
        <w:rPr>
          <w:rFonts w:cs="Times New Roman"/>
          <w:b/>
          <w:bCs/>
          <w:lang w:eastAsia="zh-CN"/>
        </w:rPr>
      </w:pPr>
      <w:bookmarkStart w:id="70" w:name="_Hlk55157240"/>
      <w:r>
        <w:rPr>
          <w:rFonts w:hint="eastAsia" w:cs="Times New Roman"/>
          <w:b/>
          <w:bCs/>
          <w:lang w:eastAsia="zh-CN"/>
        </w:rPr>
        <w:t>2.2.4.1用地布局规划</w:t>
      </w:r>
    </w:p>
    <w:p>
      <w:pPr>
        <w:pStyle w:val="124"/>
        <w:tabs>
          <w:tab w:val="left" w:pos="1120"/>
        </w:tabs>
        <w:ind w:firstLine="480"/>
        <w:rPr>
          <w:lang w:eastAsia="zh-CN"/>
        </w:rPr>
      </w:pPr>
      <w:r>
        <w:rPr>
          <w:rFonts w:hint="eastAsia"/>
          <w:lang w:eastAsia="zh-CN"/>
        </w:rPr>
        <w:t>（1）</w:t>
      </w:r>
      <w:r>
        <w:rPr>
          <w:lang w:eastAsia="zh-CN"/>
        </w:rPr>
        <w:t>园区空间结构</w:t>
      </w:r>
    </w:p>
    <w:p>
      <w:pPr>
        <w:pStyle w:val="25"/>
        <w:spacing w:after="0"/>
        <w:ind w:firstLine="480"/>
        <w:rPr>
          <w:lang w:eastAsia="zh-CN"/>
        </w:rPr>
      </w:pPr>
      <w:r>
        <w:rPr>
          <w:lang w:eastAsia="zh-CN"/>
        </w:rPr>
        <w:t>结合现状自然生态条件、交通条件、用地布局等，规划提出</w:t>
      </w:r>
      <w:r>
        <w:rPr>
          <w:rFonts w:eastAsia="Times New Roman"/>
          <w:lang w:eastAsia="zh-CN"/>
        </w:rPr>
        <w:t>“</w:t>
      </w:r>
      <w:r>
        <w:rPr>
          <w:lang w:eastAsia="zh-CN"/>
        </w:rPr>
        <w:t>一核、两轴、三带、多节点</w:t>
      </w:r>
      <w:r>
        <w:rPr>
          <w:rFonts w:eastAsia="Times New Roman"/>
          <w:lang w:eastAsia="zh-CN"/>
        </w:rPr>
        <w:t>”</w:t>
      </w:r>
      <w:r>
        <w:rPr>
          <w:lang w:eastAsia="zh-CN"/>
        </w:rPr>
        <w:t>的发展空间结构。</w:t>
      </w:r>
    </w:p>
    <w:p>
      <w:pPr>
        <w:pStyle w:val="25"/>
        <w:spacing w:after="0"/>
        <w:ind w:firstLine="480"/>
        <w:rPr>
          <w:rFonts w:eastAsia="Times New Roman"/>
          <w:lang w:eastAsia="zh-CN"/>
        </w:rPr>
      </w:pPr>
      <w:r>
        <w:rPr>
          <w:lang w:eastAsia="zh-CN"/>
        </w:rPr>
        <w:t>①</w:t>
      </w:r>
      <w:r>
        <w:rPr>
          <w:rFonts w:eastAsia="Times New Roman"/>
          <w:lang w:eastAsia="zh-CN"/>
        </w:rPr>
        <w:t>“</w:t>
      </w:r>
      <w:r>
        <w:rPr>
          <w:lang w:eastAsia="zh-CN"/>
        </w:rPr>
        <w:t>一核</w:t>
      </w:r>
      <w:r>
        <w:rPr>
          <w:rFonts w:eastAsia="Times New Roman"/>
          <w:lang w:eastAsia="zh-CN"/>
        </w:rPr>
        <w:t>”</w:t>
      </w:r>
    </w:p>
    <w:p>
      <w:pPr>
        <w:pStyle w:val="25"/>
        <w:spacing w:after="0"/>
        <w:ind w:firstLine="480"/>
        <w:rPr>
          <w:lang w:eastAsia="zh-CN"/>
        </w:rPr>
      </w:pPr>
      <w:r>
        <w:rPr>
          <w:lang w:eastAsia="zh-CN"/>
        </w:rPr>
        <w:t>城市公共服务核心：以商务办公、商业服务、商贸配套为主，兼有服务于地区居民属性的城市级公共服务核心；</w:t>
      </w:r>
    </w:p>
    <w:p>
      <w:pPr>
        <w:pStyle w:val="25"/>
        <w:spacing w:after="0"/>
        <w:ind w:firstLine="480"/>
        <w:rPr>
          <w:rFonts w:eastAsia="Times New Roman"/>
          <w:lang w:eastAsia="zh-CN"/>
        </w:rPr>
      </w:pPr>
      <w:r>
        <w:rPr>
          <w:lang w:eastAsia="zh-CN"/>
        </w:rPr>
        <w:t>②</w:t>
      </w:r>
      <w:r>
        <w:rPr>
          <w:rFonts w:eastAsia="Times New Roman"/>
          <w:lang w:eastAsia="zh-CN"/>
        </w:rPr>
        <w:t>“</w:t>
      </w:r>
      <w:r>
        <w:rPr>
          <w:lang w:eastAsia="zh-CN"/>
        </w:rPr>
        <w:t>两轴</w:t>
      </w:r>
      <w:r>
        <w:rPr>
          <w:rFonts w:eastAsia="Times New Roman"/>
          <w:lang w:eastAsia="zh-CN"/>
        </w:rPr>
        <w:t>”</w:t>
      </w:r>
    </w:p>
    <w:p>
      <w:pPr>
        <w:pStyle w:val="25"/>
        <w:spacing w:after="0"/>
        <w:ind w:firstLine="480"/>
        <w:rPr>
          <w:lang w:eastAsia="zh-CN"/>
        </w:rPr>
      </w:pPr>
      <w:r>
        <w:rPr>
          <w:lang w:eastAsia="zh-CN"/>
        </w:rPr>
        <w:t>城市功能发展主轴：沿浑南大道及其两侧区域、并突出轴线性发展带动作用的城市主要功能发展区域；</w:t>
      </w:r>
    </w:p>
    <w:p>
      <w:pPr>
        <w:pStyle w:val="25"/>
        <w:spacing w:after="0"/>
        <w:ind w:firstLine="480"/>
        <w:rPr>
          <w:lang w:eastAsia="zh-CN"/>
        </w:rPr>
      </w:pPr>
      <w:r>
        <w:rPr>
          <w:lang w:eastAsia="zh-CN"/>
        </w:rPr>
        <w:t>产业功能发展轴：沿沈抚城际铁路及其两侧区域、并突出轴线性发展带动作用的城市产业功能发展区域。</w:t>
      </w:r>
    </w:p>
    <w:p>
      <w:pPr>
        <w:pStyle w:val="25"/>
        <w:spacing w:after="0"/>
        <w:ind w:firstLine="480"/>
        <w:rPr>
          <w:rFonts w:eastAsia="Times New Roman"/>
          <w:lang w:eastAsia="zh-CN"/>
        </w:rPr>
      </w:pPr>
      <w:r>
        <w:rPr>
          <w:lang w:eastAsia="zh-CN"/>
        </w:rPr>
        <w:t>③</w:t>
      </w:r>
      <w:r>
        <w:rPr>
          <w:rFonts w:eastAsia="Times New Roman"/>
          <w:lang w:eastAsia="zh-CN"/>
        </w:rPr>
        <w:t>“</w:t>
      </w:r>
      <w:r>
        <w:rPr>
          <w:lang w:eastAsia="zh-CN"/>
        </w:rPr>
        <w:t>三带</w:t>
      </w:r>
      <w:r>
        <w:rPr>
          <w:rFonts w:eastAsia="Times New Roman"/>
          <w:lang w:eastAsia="zh-CN"/>
        </w:rPr>
        <w:t>”</w:t>
      </w:r>
    </w:p>
    <w:p>
      <w:pPr>
        <w:pStyle w:val="25"/>
        <w:spacing w:after="0"/>
        <w:ind w:firstLine="480"/>
        <w:rPr>
          <w:lang w:eastAsia="zh-CN"/>
        </w:rPr>
      </w:pPr>
      <w:r>
        <w:rPr>
          <w:lang w:eastAsia="zh-CN"/>
        </w:rPr>
        <w:t>城市生活服务带：以居住为主，商业、商务功能配套聚集为主要功能布局的生活服务带状区域；</w:t>
      </w:r>
    </w:p>
    <w:p>
      <w:pPr>
        <w:pStyle w:val="25"/>
        <w:spacing w:after="0"/>
        <w:ind w:firstLine="480"/>
        <w:rPr>
          <w:lang w:eastAsia="zh-CN"/>
        </w:rPr>
      </w:pPr>
      <w:r>
        <w:rPr>
          <w:lang w:eastAsia="zh-CN"/>
        </w:rPr>
        <w:t>中部产业发展带：以保税加工、保税物流、高端装备为主的城市产业发展带，区域产业发展龙头；</w:t>
      </w:r>
    </w:p>
    <w:p>
      <w:pPr>
        <w:pStyle w:val="25"/>
        <w:spacing w:after="0"/>
        <w:ind w:firstLine="480"/>
        <w:rPr>
          <w:lang w:eastAsia="zh-CN"/>
        </w:rPr>
      </w:pPr>
      <w:r>
        <w:rPr>
          <w:lang w:eastAsia="zh-CN"/>
        </w:rPr>
        <w:t>南部产业发展带：以生物医药、电子商务与现代物流、节能环保和新能源为主的城市产业发展带。</w:t>
      </w:r>
    </w:p>
    <w:p>
      <w:pPr>
        <w:pStyle w:val="25"/>
        <w:spacing w:after="0"/>
        <w:ind w:firstLine="480"/>
        <w:rPr>
          <w:rFonts w:eastAsia="Times New Roman"/>
          <w:lang w:eastAsia="zh-CN"/>
        </w:rPr>
      </w:pPr>
      <w:r>
        <w:rPr>
          <w:lang w:eastAsia="zh-CN"/>
        </w:rPr>
        <w:t>④</w:t>
      </w:r>
      <w:r>
        <w:rPr>
          <w:rFonts w:eastAsia="Times New Roman"/>
          <w:lang w:eastAsia="zh-CN"/>
        </w:rPr>
        <w:t>“</w:t>
      </w:r>
      <w:r>
        <w:rPr>
          <w:lang w:eastAsia="zh-CN"/>
        </w:rPr>
        <w:t>多节点</w:t>
      </w:r>
      <w:r>
        <w:rPr>
          <w:rFonts w:eastAsia="Times New Roman"/>
          <w:lang w:eastAsia="zh-CN"/>
        </w:rPr>
        <w:t>”</w:t>
      </w:r>
    </w:p>
    <w:p>
      <w:pPr>
        <w:pStyle w:val="25"/>
        <w:spacing w:after="0"/>
        <w:ind w:firstLine="480"/>
        <w:rPr>
          <w:lang w:eastAsia="zh-CN"/>
        </w:rPr>
      </w:pPr>
      <w:r>
        <w:rPr>
          <w:lang w:eastAsia="zh-CN"/>
        </w:rPr>
        <w:t>生活及产业服务节点：分散布局在生活服务带及产业发展带区域，提供商业、商务等配套公共服务。</w:t>
      </w:r>
    </w:p>
    <w:p>
      <w:pPr>
        <w:pStyle w:val="124"/>
        <w:tabs>
          <w:tab w:val="left" w:pos="1403"/>
        </w:tabs>
        <w:ind w:firstLine="480"/>
        <w:rPr>
          <w:lang w:eastAsia="zh-CN"/>
        </w:rPr>
      </w:pPr>
      <w:r>
        <w:rPr>
          <w:rFonts w:hint="eastAsia"/>
          <w:lang w:eastAsia="zh-CN"/>
        </w:rPr>
        <w:t>（2）</w:t>
      </w:r>
      <w:r>
        <w:rPr>
          <w:lang w:eastAsia="zh-CN"/>
        </w:rPr>
        <w:t>用地布局规划</w:t>
      </w:r>
    </w:p>
    <w:p>
      <w:pPr>
        <w:pStyle w:val="25"/>
        <w:spacing w:after="0"/>
        <w:ind w:firstLine="480"/>
        <w:rPr>
          <w:lang w:eastAsia="zh-CN"/>
        </w:rPr>
      </w:pPr>
      <w:r>
        <w:rPr>
          <w:lang w:eastAsia="zh-CN"/>
        </w:rPr>
        <w:t>①居住用地</w:t>
      </w:r>
    </w:p>
    <w:p>
      <w:pPr>
        <w:pStyle w:val="25"/>
        <w:spacing w:after="0"/>
        <w:ind w:firstLine="480"/>
        <w:rPr>
          <w:lang w:eastAsia="zh-CN"/>
        </w:rPr>
      </w:pPr>
      <w:r>
        <w:rPr>
          <w:lang w:eastAsia="zh-CN"/>
        </w:rPr>
        <w:t>规划居住用地共</w:t>
      </w:r>
      <w:r>
        <w:rPr>
          <w:rFonts w:eastAsia="Times New Roman"/>
          <w:lang w:eastAsia="zh-CN"/>
        </w:rPr>
        <w:t>1096.91hm</w:t>
      </w:r>
      <w:r>
        <w:rPr>
          <w:rFonts w:eastAsia="Times New Roman"/>
          <w:vertAlign w:val="superscript"/>
          <w:lang w:eastAsia="zh-CN"/>
        </w:rPr>
        <w:t>2</w:t>
      </w:r>
      <w:r>
        <w:rPr>
          <w:lang w:eastAsia="zh-CN"/>
        </w:rPr>
        <w:t>，占规划总用地的</w:t>
      </w:r>
      <w:r>
        <w:rPr>
          <w:rFonts w:eastAsia="Times New Roman"/>
          <w:lang w:eastAsia="zh-CN"/>
        </w:rPr>
        <w:t>22.25%</w:t>
      </w:r>
      <w:r>
        <w:rPr>
          <w:lang w:eastAsia="zh-CN"/>
        </w:rPr>
        <w:t>。</w:t>
      </w:r>
    </w:p>
    <w:p>
      <w:pPr>
        <w:pStyle w:val="25"/>
        <w:spacing w:after="0"/>
        <w:ind w:firstLine="480"/>
        <w:rPr>
          <w:lang w:eastAsia="zh-CN"/>
        </w:rPr>
      </w:pPr>
      <w:r>
        <w:rPr>
          <w:lang w:eastAsia="zh-CN"/>
        </w:rPr>
        <w:t>浑南国际新兴产业园区内部的居住用地包括二类居住用地以及中小学用地。规划居住用地主要位于浑河沿线、浑南大道两侧区域及沈抚灌渠两侧地区，各自相对独立成片发展。</w:t>
      </w:r>
    </w:p>
    <w:p>
      <w:pPr>
        <w:pStyle w:val="25"/>
        <w:spacing w:after="0"/>
        <w:ind w:firstLine="480"/>
        <w:rPr>
          <w:lang w:eastAsia="zh-CN"/>
        </w:rPr>
      </w:pPr>
      <w:r>
        <w:rPr>
          <w:lang w:eastAsia="zh-CN"/>
        </w:rPr>
        <w:t>规划确定本区规划人口规模约为</w:t>
      </w:r>
      <w:r>
        <w:rPr>
          <w:rFonts w:eastAsia="Times New Roman"/>
          <w:lang w:eastAsia="zh-CN"/>
        </w:rPr>
        <w:t>31.5</w:t>
      </w:r>
      <w:r>
        <w:rPr>
          <w:lang w:eastAsia="zh-CN"/>
        </w:rPr>
        <w:t>万人。</w:t>
      </w:r>
    </w:p>
    <w:p>
      <w:pPr>
        <w:pStyle w:val="25"/>
        <w:spacing w:after="0"/>
        <w:ind w:firstLine="480"/>
        <w:rPr>
          <w:lang w:eastAsia="zh-CN"/>
        </w:rPr>
      </w:pPr>
      <w:r>
        <w:rPr>
          <w:lang w:eastAsia="zh-CN"/>
        </w:rPr>
        <w:t>②公共设施用地</w:t>
      </w:r>
    </w:p>
    <w:p>
      <w:pPr>
        <w:pStyle w:val="25"/>
        <w:spacing w:after="0"/>
        <w:ind w:firstLine="480"/>
        <w:rPr>
          <w:lang w:eastAsia="zh-CN"/>
        </w:rPr>
      </w:pPr>
      <w:r>
        <w:rPr>
          <w:lang w:eastAsia="zh-CN"/>
        </w:rPr>
        <w:t>规划公共设施用地（含商住混合用地）总规模</w:t>
      </w:r>
      <w:r>
        <w:rPr>
          <w:rFonts w:eastAsia="Times New Roman"/>
          <w:lang w:eastAsia="zh-CN"/>
        </w:rPr>
        <w:t>166.52 hm</w:t>
      </w:r>
      <w:r>
        <w:rPr>
          <w:rFonts w:eastAsia="Times New Roman"/>
          <w:vertAlign w:val="superscript"/>
          <w:lang w:eastAsia="zh-CN"/>
        </w:rPr>
        <w:t>2</w:t>
      </w:r>
      <w:r>
        <w:rPr>
          <w:lang w:eastAsia="zh-CN"/>
        </w:rPr>
        <w:t>，占总用地的</w:t>
      </w:r>
      <w:r>
        <w:rPr>
          <w:rFonts w:eastAsia="Times New Roman"/>
          <w:lang w:eastAsia="zh-CN"/>
        </w:rPr>
        <w:t>3.38%</w:t>
      </w:r>
      <w:r>
        <w:rPr>
          <w:lang w:eastAsia="zh-CN"/>
        </w:rPr>
        <w:t>。规划在整个浑南国际新兴产业园区的基础上统筹考虑公共服务设施的布局，塑造</w:t>
      </w:r>
    </w:p>
    <w:p>
      <w:pPr>
        <w:pStyle w:val="25"/>
        <w:spacing w:after="0"/>
        <w:ind w:firstLine="480"/>
        <w:rPr>
          <w:lang w:eastAsia="zh-CN"/>
        </w:rPr>
      </w:pPr>
      <w:r>
        <w:rPr>
          <w:lang w:eastAsia="zh-CN"/>
        </w:rPr>
        <w:t>地区经济活动和社会生活的活力极核。规划公共服务设施形成三级系统，以满足居民生产、生活的多样需求。</w:t>
      </w:r>
    </w:p>
    <w:p>
      <w:pPr>
        <w:pStyle w:val="25"/>
        <w:spacing w:after="0"/>
        <w:ind w:firstLine="480"/>
        <w:rPr>
          <w:lang w:eastAsia="zh-CN"/>
        </w:rPr>
      </w:pPr>
      <w:r>
        <w:rPr>
          <w:lang w:eastAsia="zh-CN"/>
        </w:rPr>
        <w:t>③商住混合用地</w:t>
      </w:r>
    </w:p>
    <w:p>
      <w:pPr>
        <w:pStyle w:val="25"/>
        <w:spacing w:after="0"/>
        <w:ind w:firstLine="480"/>
        <w:rPr>
          <w:lang w:eastAsia="zh-CN"/>
        </w:rPr>
      </w:pPr>
      <w:r>
        <w:rPr>
          <w:lang w:eastAsia="zh-CN"/>
        </w:rPr>
        <w:t>规划商住混合用地共</w:t>
      </w:r>
      <w:r>
        <w:rPr>
          <w:rFonts w:eastAsia="Times New Roman"/>
          <w:lang w:eastAsia="zh-CN"/>
        </w:rPr>
        <w:t>76.43hm</w:t>
      </w:r>
      <w:r>
        <w:rPr>
          <w:rFonts w:eastAsia="Times New Roman"/>
          <w:vertAlign w:val="superscript"/>
          <w:lang w:eastAsia="zh-CN"/>
        </w:rPr>
        <w:t>2</w:t>
      </w:r>
      <w:r>
        <w:rPr>
          <w:lang w:eastAsia="zh-CN"/>
        </w:rPr>
        <w:t>，占规划总用地的</w:t>
      </w:r>
      <w:r>
        <w:rPr>
          <w:rFonts w:eastAsia="Times New Roman"/>
          <w:lang w:eastAsia="zh-CN"/>
        </w:rPr>
        <w:t>1.55%</w:t>
      </w:r>
      <w:r>
        <w:rPr>
          <w:lang w:eastAsia="zh-CN"/>
        </w:rPr>
        <w:t>。</w:t>
      </w:r>
    </w:p>
    <w:p>
      <w:pPr>
        <w:pStyle w:val="25"/>
        <w:spacing w:after="0"/>
        <w:ind w:firstLine="480"/>
        <w:rPr>
          <w:lang w:eastAsia="zh-CN"/>
        </w:rPr>
      </w:pPr>
      <w:r>
        <w:rPr>
          <w:lang w:eastAsia="zh-CN"/>
        </w:rPr>
        <w:t>④工业用地布局</w:t>
      </w:r>
    </w:p>
    <w:p>
      <w:pPr>
        <w:pStyle w:val="25"/>
        <w:spacing w:after="0"/>
        <w:ind w:firstLine="480"/>
        <w:rPr>
          <w:lang w:eastAsia="zh-CN"/>
        </w:rPr>
      </w:pPr>
      <w:r>
        <w:rPr>
          <w:lang w:eastAsia="zh-CN"/>
        </w:rPr>
        <w:t>规划工业用地</w:t>
      </w:r>
      <w:r>
        <w:rPr>
          <w:rFonts w:eastAsia="Times New Roman"/>
          <w:lang w:eastAsia="zh-CN"/>
        </w:rPr>
        <w:t>1287.66 hm</w:t>
      </w:r>
      <w:r>
        <w:rPr>
          <w:rFonts w:eastAsia="Times New Roman"/>
          <w:vertAlign w:val="superscript"/>
          <w:lang w:eastAsia="zh-CN"/>
        </w:rPr>
        <w:t>2</w:t>
      </w:r>
      <w:r>
        <w:rPr>
          <w:lang w:eastAsia="zh-CN"/>
        </w:rPr>
        <w:t>，占总用地的</w:t>
      </w:r>
      <w:r>
        <w:rPr>
          <w:rFonts w:eastAsia="Times New Roman"/>
          <w:lang w:eastAsia="zh-CN"/>
        </w:rPr>
        <w:t>26.62%</w:t>
      </w:r>
      <w:r>
        <w:rPr>
          <w:lang w:eastAsia="zh-CN"/>
        </w:rPr>
        <w:t>。</w:t>
      </w:r>
    </w:p>
    <w:p>
      <w:pPr>
        <w:pStyle w:val="25"/>
        <w:spacing w:after="0"/>
        <w:ind w:firstLine="480"/>
        <w:rPr>
          <w:lang w:eastAsia="zh-CN"/>
        </w:rPr>
      </w:pPr>
      <w:r>
        <w:rPr>
          <w:lang w:eastAsia="zh-CN"/>
        </w:rPr>
        <w:t>浑南国际新兴产业园区结合自身产业发展条件，通过产业结构优化调整，实现产业向聚集化、规模化发展：规划结合近期实施项目及起步区内已建设项目，由东向西、由北向南打造五个产业集群，分别为：高端装备产业集群、保税加工与保税物流产业集群、节能环保与新能源产业集群、电子商务与现代物流集群、生物医药产业集群。</w:t>
      </w:r>
    </w:p>
    <w:p>
      <w:pPr>
        <w:pStyle w:val="25"/>
        <w:spacing w:after="0"/>
        <w:ind w:firstLine="480"/>
        <w:rPr>
          <w:lang w:eastAsia="zh-CN"/>
        </w:rPr>
      </w:pPr>
      <w:r>
        <w:rPr>
          <w:lang w:eastAsia="zh-CN"/>
        </w:rPr>
        <w:t>⑤普通仓库用地</w:t>
      </w:r>
    </w:p>
    <w:p>
      <w:pPr>
        <w:pStyle w:val="25"/>
        <w:spacing w:after="0"/>
        <w:ind w:firstLine="480"/>
        <w:rPr>
          <w:lang w:eastAsia="zh-CN"/>
        </w:rPr>
      </w:pPr>
      <w:r>
        <w:rPr>
          <w:lang w:eastAsia="zh-CN"/>
        </w:rPr>
        <w:t>规划普通仓库用地共</w:t>
      </w:r>
      <w:r>
        <w:rPr>
          <w:rFonts w:eastAsia="Times New Roman"/>
          <w:lang w:eastAsia="zh-CN"/>
        </w:rPr>
        <w:t>192.94hm</w:t>
      </w:r>
      <w:r>
        <w:rPr>
          <w:rFonts w:eastAsia="Times New Roman"/>
          <w:vertAlign w:val="superscript"/>
          <w:lang w:eastAsia="zh-CN"/>
        </w:rPr>
        <w:t>2</w:t>
      </w:r>
      <w:r>
        <w:rPr>
          <w:lang w:eastAsia="zh-CN"/>
        </w:rPr>
        <w:t>，占规划总用地的</w:t>
      </w:r>
      <w:r>
        <w:rPr>
          <w:rFonts w:hint="eastAsia"/>
          <w:lang w:eastAsia="zh-CN"/>
        </w:rPr>
        <w:t>3</w:t>
      </w:r>
      <w:r>
        <w:rPr>
          <w:rFonts w:eastAsia="Times New Roman"/>
          <w:lang w:eastAsia="zh-CN"/>
        </w:rPr>
        <w:t>.91%</w:t>
      </w:r>
      <w:r>
        <w:rPr>
          <w:lang w:eastAsia="zh-CN"/>
        </w:rPr>
        <w:t>。</w:t>
      </w:r>
    </w:p>
    <w:p>
      <w:pPr>
        <w:pStyle w:val="25"/>
        <w:spacing w:after="0"/>
        <w:ind w:firstLine="480"/>
        <w:rPr>
          <w:lang w:eastAsia="zh-CN"/>
        </w:rPr>
      </w:pPr>
      <w:r>
        <w:rPr>
          <w:lang w:eastAsia="zh-CN"/>
        </w:rPr>
        <w:t>⑥对外交通用地</w:t>
      </w:r>
    </w:p>
    <w:p>
      <w:pPr>
        <w:pStyle w:val="25"/>
        <w:spacing w:after="0"/>
        <w:ind w:firstLine="480"/>
        <w:rPr>
          <w:lang w:eastAsia="zh-CN"/>
        </w:rPr>
      </w:pPr>
      <w:r>
        <w:rPr>
          <w:lang w:eastAsia="zh-CN"/>
        </w:rPr>
        <w:t>规划对外交通用地共</w:t>
      </w:r>
      <w:r>
        <w:rPr>
          <w:rFonts w:eastAsia="Times New Roman"/>
          <w:lang w:eastAsia="zh-CN"/>
        </w:rPr>
        <w:t>50.51hm</w:t>
      </w:r>
      <w:r>
        <w:rPr>
          <w:rFonts w:eastAsia="Times New Roman"/>
          <w:vertAlign w:val="superscript"/>
          <w:lang w:eastAsia="zh-CN"/>
        </w:rPr>
        <w:t>2</w:t>
      </w:r>
      <w:r>
        <w:rPr>
          <w:lang w:eastAsia="zh-CN"/>
        </w:rPr>
        <w:t>，占规划总用地的</w:t>
      </w:r>
      <w:r>
        <w:rPr>
          <w:rFonts w:eastAsia="Times New Roman"/>
          <w:lang w:eastAsia="zh-CN"/>
        </w:rPr>
        <w:t>1.02%</w:t>
      </w:r>
      <w:r>
        <w:rPr>
          <w:lang w:eastAsia="zh-CN"/>
        </w:rPr>
        <w:t>。</w:t>
      </w:r>
    </w:p>
    <w:p>
      <w:pPr>
        <w:pStyle w:val="25"/>
        <w:spacing w:after="0"/>
        <w:ind w:firstLine="480"/>
        <w:rPr>
          <w:lang w:eastAsia="zh-CN"/>
        </w:rPr>
      </w:pPr>
      <w:r>
        <w:rPr>
          <w:lang w:eastAsia="zh-CN"/>
        </w:rPr>
        <w:t>⑦道路广场用地</w:t>
      </w:r>
    </w:p>
    <w:p>
      <w:pPr>
        <w:pStyle w:val="25"/>
        <w:spacing w:after="0"/>
        <w:ind w:firstLine="480"/>
        <w:rPr>
          <w:lang w:eastAsia="zh-CN"/>
        </w:rPr>
      </w:pPr>
      <w:r>
        <w:rPr>
          <w:lang w:eastAsia="zh-CN"/>
        </w:rPr>
        <w:t>规划道路广场用地规模为</w:t>
      </w:r>
      <w:r>
        <w:rPr>
          <w:rFonts w:eastAsia="Times New Roman"/>
          <w:lang w:eastAsia="zh-CN"/>
        </w:rPr>
        <w:t>744.39hm</w:t>
      </w:r>
      <w:r>
        <w:rPr>
          <w:rFonts w:eastAsia="Times New Roman"/>
          <w:vertAlign w:val="superscript"/>
          <w:lang w:eastAsia="zh-CN"/>
        </w:rPr>
        <w:t>2</w:t>
      </w:r>
      <w:r>
        <w:rPr>
          <w:lang w:eastAsia="zh-CN"/>
        </w:rPr>
        <w:t>，占总用地的</w:t>
      </w:r>
      <w:r>
        <w:rPr>
          <w:rFonts w:eastAsia="Times New Roman"/>
          <w:lang w:eastAsia="zh-CN"/>
        </w:rPr>
        <w:t>15.10%</w:t>
      </w:r>
      <w:r>
        <w:rPr>
          <w:lang w:eastAsia="zh-CN"/>
        </w:rPr>
        <w:t>。</w:t>
      </w:r>
    </w:p>
    <w:p>
      <w:pPr>
        <w:pStyle w:val="25"/>
        <w:spacing w:after="0"/>
        <w:ind w:firstLine="480"/>
        <w:rPr>
          <w:lang w:eastAsia="zh-CN"/>
        </w:rPr>
      </w:pPr>
      <w:r>
        <w:rPr>
          <w:lang w:eastAsia="zh-CN"/>
        </w:rPr>
        <w:t>⑧绿地与水系</w:t>
      </w:r>
    </w:p>
    <w:p>
      <w:pPr>
        <w:pStyle w:val="25"/>
        <w:spacing w:after="0"/>
        <w:ind w:firstLine="480"/>
        <w:rPr>
          <w:lang w:eastAsia="zh-CN"/>
        </w:rPr>
      </w:pPr>
      <w:r>
        <w:rPr>
          <w:lang w:eastAsia="zh-CN"/>
        </w:rPr>
        <w:t>规划绿地与水系面积</w:t>
      </w:r>
      <w:r>
        <w:rPr>
          <w:rFonts w:eastAsia="Times New Roman"/>
          <w:lang w:eastAsia="zh-CN"/>
        </w:rPr>
        <w:t>1244.48hm</w:t>
      </w:r>
      <w:r>
        <w:rPr>
          <w:rFonts w:eastAsia="Times New Roman"/>
          <w:vertAlign w:val="superscript"/>
          <w:lang w:eastAsia="zh-CN"/>
        </w:rPr>
        <w:t>2</w:t>
      </w:r>
      <w:r>
        <w:rPr>
          <w:lang w:eastAsia="zh-CN"/>
        </w:rPr>
        <w:t>，占总用地比例</w:t>
      </w:r>
      <w:r>
        <w:rPr>
          <w:rFonts w:eastAsia="Times New Roman"/>
          <w:lang w:eastAsia="zh-CN"/>
        </w:rPr>
        <w:t>25.26%</w:t>
      </w:r>
      <w:r>
        <w:rPr>
          <w:lang w:eastAsia="zh-CN"/>
        </w:rPr>
        <w:t>。</w:t>
      </w:r>
    </w:p>
    <w:p>
      <w:pPr>
        <w:pStyle w:val="124"/>
        <w:tabs>
          <w:tab w:val="left" w:pos="1122"/>
        </w:tabs>
        <w:ind w:firstLine="0" w:firstLineChars="0"/>
        <w:outlineLvl w:val="3"/>
        <w:rPr>
          <w:rFonts w:cs="Times New Roman"/>
          <w:b/>
          <w:bCs/>
          <w:lang w:eastAsia="zh-CN"/>
        </w:rPr>
      </w:pPr>
      <w:r>
        <w:rPr>
          <w:rFonts w:hint="eastAsia" w:cs="Times New Roman"/>
          <w:b/>
          <w:bCs/>
          <w:lang w:eastAsia="zh-CN"/>
        </w:rPr>
        <w:t>2.2.4.2综合交通规划</w:t>
      </w:r>
    </w:p>
    <w:p>
      <w:pPr>
        <w:pStyle w:val="9"/>
        <w:tabs>
          <w:tab w:val="left" w:pos="1302"/>
        </w:tabs>
        <w:spacing w:before="0" w:after="0"/>
        <w:jc w:val="left"/>
        <w:rPr>
          <w:rFonts w:ascii="Times New Roman" w:hAnsi="Times New Roman"/>
          <w:bCs/>
          <w:color w:val="auto"/>
          <w:sz w:val="24"/>
          <w:szCs w:val="24"/>
        </w:rPr>
      </w:pPr>
      <w:r>
        <w:rPr>
          <w:rFonts w:hint="eastAsia" w:ascii="Times New Roman" w:hAnsi="Times New Roman"/>
          <w:bCs/>
          <w:color w:val="auto"/>
          <w:sz w:val="24"/>
          <w:szCs w:val="24"/>
        </w:rPr>
        <w:t>2.2.4.2.1轨道交通规划</w:t>
      </w:r>
    </w:p>
    <w:p>
      <w:pPr>
        <w:pStyle w:val="25"/>
        <w:spacing w:after="0"/>
        <w:ind w:firstLine="456"/>
        <w:rPr>
          <w:lang w:eastAsia="zh-CN"/>
        </w:rPr>
      </w:pPr>
      <w:r>
        <w:rPr>
          <w:spacing w:val="-6"/>
          <w:lang w:eastAsia="zh-CN"/>
        </w:rPr>
        <w:t>规划沿主要交通轴线发展轨道交通，并通过城际铁路加强与外围地区的联系，为</w:t>
      </w:r>
      <w:r>
        <w:rPr>
          <w:spacing w:val="-7"/>
          <w:lang w:eastAsia="zh-CN"/>
        </w:rPr>
        <w:t>居民出行提供便利的公交设施。依据沈阳市轨道交通线网规划方案，经过规划区共有</w:t>
      </w:r>
      <w:r>
        <w:rPr>
          <w:rFonts w:eastAsia="Times New Roman"/>
          <w:lang w:eastAsia="zh-CN"/>
        </w:rPr>
        <w:t>3</w:t>
      </w:r>
      <w:r>
        <w:rPr>
          <w:spacing w:val="-5"/>
          <w:lang w:eastAsia="zh-CN"/>
        </w:rPr>
        <w:t>条地铁线路，分别为</w:t>
      </w:r>
      <w:r>
        <w:rPr>
          <w:rFonts w:eastAsia="Times New Roman"/>
          <w:lang w:eastAsia="zh-CN"/>
        </w:rPr>
        <w:t>3</w:t>
      </w:r>
      <w:r>
        <w:rPr>
          <w:lang w:eastAsia="zh-CN"/>
        </w:rPr>
        <w:t>号线</w:t>
      </w:r>
      <w:r>
        <w:rPr>
          <w:rFonts w:hint="eastAsia"/>
          <w:lang w:eastAsia="zh-CN"/>
        </w:rPr>
        <w:t>、</w:t>
      </w:r>
      <w:r>
        <w:rPr>
          <w:rFonts w:eastAsia="Times New Roman"/>
          <w:lang w:eastAsia="zh-CN"/>
        </w:rPr>
        <w:t>5</w:t>
      </w:r>
      <w:r>
        <w:rPr>
          <w:spacing w:val="-12"/>
          <w:lang w:eastAsia="zh-CN"/>
        </w:rPr>
        <w:t>号线和</w:t>
      </w:r>
      <w:r>
        <w:rPr>
          <w:rFonts w:eastAsia="Times New Roman"/>
          <w:lang w:eastAsia="zh-CN"/>
        </w:rPr>
        <w:t>9</w:t>
      </w:r>
      <w:r>
        <w:rPr>
          <w:spacing w:val="-1"/>
          <w:lang w:eastAsia="zh-CN"/>
        </w:rPr>
        <w:t>号线。沈抚城际铁路在园区中心经过，</w:t>
      </w:r>
      <w:r>
        <w:rPr>
          <w:lang w:eastAsia="zh-CN"/>
        </w:rPr>
        <w:t>并在园区规划设站。</w:t>
      </w:r>
    </w:p>
    <w:p>
      <w:pPr>
        <w:pStyle w:val="9"/>
        <w:tabs>
          <w:tab w:val="left" w:pos="1302"/>
        </w:tabs>
        <w:spacing w:before="0" w:after="0"/>
        <w:jc w:val="left"/>
        <w:rPr>
          <w:rFonts w:ascii="Times New Roman" w:hAnsi="Times New Roman"/>
          <w:bCs/>
          <w:color w:val="auto"/>
          <w:sz w:val="24"/>
          <w:szCs w:val="24"/>
        </w:rPr>
      </w:pPr>
      <w:r>
        <w:rPr>
          <w:rFonts w:hint="eastAsia" w:ascii="Times New Roman" w:hAnsi="Times New Roman"/>
          <w:bCs/>
          <w:color w:val="auto"/>
          <w:sz w:val="24"/>
          <w:szCs w:val="24"/>
        </w:rPr>
        <w:t>2.2.4.2.2道路网规划</w:t>
      </w:r>
    </w:p>
    <w:p>
      <w:pPr>
        <w:pStyle w:val="25"/>
        <w:spacing w:after="0"/>
        <w:ind w:firstLine="456"/>
        <w:rPr>
          <w:spacing w:val="-6"/>
          <w:lang w:eastAsia="zh-CN"/>
        </w:rPr>
      </w:pPr>
      <w:r>
        <w:rPr>
          <w:spacing w:val="-6"/>
          <w:lang w:eastAsia="zh-CN"/>
        </w:rPr>
        <w:t>规划形成“五横、五纵”的道路网骨架。</w:t>
      </w:r>
    </w:p>
    <w:p>
      <w:pPr>
        <w:pStyle w:val="25"/>
        <w:spacing w:after="0"/>
        <w:ind w:firstLine="456"/>
        <w:rPr>
          <w:spacing w:val="-6"/>
          <w:lang w:eastAsia="zh-CN"/>
        </w:rPr>
      </w:pPr>
      <w:r>
        <w:rPr>
          <w:spacing w:val="-6"/>
          <w:lang w:eastAsia="zh-CN"/>
        </w:rPr>
        <w:t>五横：滨堤路、浑南大道、沈阳绕城高速、全运北路、全运南路； 五纵：长青街、文溯街、祝科街、沈祝公路、新立街。</w:t>
      </w:r>
    </w:p>
    <w:p>
      <w:pPr>
        <w:pStyle w:val="25"/>
        <w:spacing w:after="0"/>
        <w:ind w:firstLine="456"/>
        <w:rPr>
          <w:spacing w:val="-6"/>
          <w:lang w:eastAsia="zh-CN"/>
        </w:rPr>
      </w:pPr>
      <w:r>
        <w:rPr>
          <w:spacing w:val="-6"/>
          <w:lang w:eastAsia="zh-CN"/>
        </w:rPr>
        <w:t>路网向东连接沈抚新城，向西连接浑南现代商贸区及浑南新城，向南连接浑南生态观光区，向北连接沈阳市中心城区，形成四通八达的道路交通体系，内部路网形式为方格网。</w:t>
      </w:r>
    </w:p>
    <w:p>
      <w:pPr>
        <w:pStyle w:val="25"/>
        <w:ind w:firstLine="480"/>
        <w:rPr>
          <w:lang w:eastAsia="zh-CN"/>
        </w:rPr>
      </w:pPr>
      <w:r>
        <w:rPr>
          <w:lang w:eastAsia="zh-CN"/>
        </w:rPr>
        <w:t xml:space="preserve">交通规划见附图 </w:t>
      </w:r>
      <w:r>
        <w:rPr>
          <w:rFonts w:eastAsia="Times New Roman"/>
          <w:lang w:eastAsia="zh-CN"/>
        </w:rPr>
        <w:t>2-3</w:t>
      </w:r>
      <w:r>
        <w:rPr>
          <w:lang w:eastAsia="zh-CN"/>
        </w:rPr>
        <w:t>。</w:t>
      </w:r>
    </w:p>
    <w:p>
      <w:pPr>
        <w:pStyle w:val="124"/>
        <w:tabs>
          <w:tab w:val="left" w:pos="1122"/>
        </w:tabs>
        <w:ind w:firstLine="0" w:firstLineChars="0"/>
        <w:outlineLvl w:val="3"/>
        <w:rPr>
          <w:rFonts w:cs="Times New Roman"/>
          <w:b/>
          <w:bCs/>
          <w:lang w:eastAsia="zh-CN"/>
        </w:rPr>
      </w:pPr>
      <w:bookmarkStart w:id="71" w:name="_bookmark31"/>
      <w:bookmarkEnd w:id="71"/>
      <w:bookmarkStart w:id="72" w:name="2.1.6_绿化水系规划"/>
      <w:bookmarkEnd w:id="72"/>
      <w:r>
        <w:rPr>
          <w:rFonts w:hint="eastAsia" w:cs="Times New Roman"/>
          <w:b/>
          <w:bCs/>
          <w:lang w:eastAsia="zh-CN"/>
        </w:rPr>
        <w:t>2.2.4.3绿化水系规划</w:t>
      </w:r>
    </w:p>
    <w:p>
      <w:pPr>
        <w:pStyle w:val="25"/>
        <w:spacing w:after="0"/>
        <w:ind w:firstLine="480"/>
        <w:rPr>
          <w:lang w:eastAsia="zh-CN"/>
        </w:rPr>
      </w:pPr>
      <w:r>
        <w:rPr>
          <w:lang w:eastAsia="zh-CN"/>
        </w:rPr>
        <w:t>规划绿化水系形成三条生活绿化廊道，四条交通绿化廊道。</w:t>
      </w:r>
    </w:p>
    <w:p>
      <w:pPr>
        <w:pStyle w:val="25"/>
        <w:spacing w:after="0"/>
        <w:ind w:firstLine="440"/>
        <w:rPr>
          <w:lang w:eastAsia="zh-CN"/>
        </w:rPr>
      </w:pPr>
      <w:r>
        <w:rPr>
          <w:spacing w:val="-10"/>
          <w:lang w:eastAsia="zh-CN"/>
        </w:rPr>
        <w:t>生活绿化廊道：依托浑河、张官河、苏抚灌渠现状河流全力打造贯穿整个浑南国</w:t>
      </w:r>
      <w:r>
        <w:rPr>
          <w:spacing w:val="-11"/>
          <w:lang w:eastAsia="zh-CN"/>
        </w:rPr>
        <w:t>际新兴产业园区内部的生态廊道，是地区的滨水景观带、人文休闲带、经济产业带。</w:t>
      </w:r>
    </w:p>
    <w:p>
      <w:pPr>
        <w:pStyle w:val="25"/>
        <w:spacing w:after="0"/>
        <w:ind w:firstLine="416"/>
        <w:rPr>
          <w:lang w:eastAsia="zh-CN"/>
        </w:rPr>
      </w:pPr>
      <w:r>
        <w:rPr>
          <w:spacing w:val="-16"/>
          <w:lang w:eastAsia="zh-CN"/>
        </w:rPr>
        <w:t xml:space="preserve">交通绿化廊道：利用沈阳绕城高速、浑南大道、祝科街、新立街两侧的防护绿地， </w:t>
      </w:r>
      <w:r>
        <w:rPr>
          <w:lang w:eastAsia="zh-CN"/>
        </w:rPr>
        <w:t>在园区内部形成宽阔的绿廊，提升园区的绿化环境和景观品质。</w:t>
      </w:r>
    </w:p>
    <w:p>
      <w:pPr>
        <w:pStyle w:val="25"/>
        <w:spacing w:after="0"/>
        <w:ind w:firstLine="480"/>
        <w:rPr>
          <w:lang w:eastAsia="zh-CN"/>
        </w:rPr>
      </w:pPr>
      <w:r>
        <w:rPr>
          <w:lang w:eastAsia="zh-CN"/>
        </w:rPr>
        <w:t>绿化水系规划见图</w:t>
      </w:r>
      <w:r>
        <w:rPr>
          <w:rFonts w:eastAsia="Times New Roman"/>
          <w:lang w:eastAsia="zh-CN"/>
        </w:rPr>
        <w:t>2-4</w:t>
      </w:r>
      <w:r>
        <w:rPr>
          <w:lang w:eastAsia="zh-CN"/>
        </w:rPr>
        <w:t>。</w:t>
      </w:r>
    </w:p>
    <w:p>
      <w:pPr>
        <w:pStyle w:val="124"/>
        <w:tabs>
          <w:tab w:val="left" w:pos="1122"/>
        </w:tabs>
        <w:ind w:firstLine="0" w:firstLineChars="0"/>
        <w:outlineLvl w:val="3"/>
        <w:rPr>
          <w:rFonts w:cs="Times New Roman"/>
          <w:b/>
          <w:bCs/>
          <w:lang w:eastAsia="zh-CN"/>
        </w:rPr>
      </w:pPr>
      <w:bookmarkStart w:id="73" w:name="_bookmark32"/>
      <w:bookmarkEnd w:id="73"/>
      <w:bookmarkStart w:id="74" w:name="2.1.7_景观风貌规划"/>
      <w:bookmarkEnd w:id="74"/>
      <w:r>
        <w:rPr>
          <w:rFonts w:hint="eastAsia" w:cs="Times New Roman"/>
          <w:b/>
          <w:bCs/>
          <w:lang w:eastAsia="zh-CN"/>
        </w:rPr>
        <w:t>2.2.4.4景观风貌规划</w:t>
      </w:r>
    </w:p>
    <w:p>
      <w:pPr>
        <w:pStyle w:val="25"/>
        <w:spacing w:after="0"/>
        <w:ind w:firstLine="480"/>
        <w:rPr>
          <w:lang w:eastAsia="zh-CN"/>
        </w:rPr>
      </w:pPr>
      <w:r>
        <w:rPr>
          <w:lang w:eastAsia="zh-CN"/>
        </w:rPr>
        <w:t>（</w:t>
      </w:r>
      <w:r>
        <w:rPr>
          <w:rFonts w:eastAsia="Times New Roman"/>
          <w:lang w:eastAsia="zh-CN"/>
        </w:rPr>
        <w:t>1</w:t>
      </w:r>
      <w:r>
        <w:rPr>
          <w:lang w:eastAsia="zh-CN"/>
        </w:rPr>
        <w:t>）风貌控制规划</w:t>
      </w:r>
    </w:p>
    <w:p>
      <w:pPr>
        <w:pStyle w:val="25"/>
        <w:spacing w:after="0"/>
        <w:ind w:firstLine="416"/>
        <w:rPr>
          <w:lang w:eastAsia="zh-CN"/>
        </w:rPr>
      </w:pPr>
      <w:r>
        <w:rPr>
          <w:spacing w:val="-16"/>
          <w:lang w:eastAsia="zh-CN"/>
        </w:rPr>
        <w:t xml:space="preserve">核心风貌区：浑南国际新兴产业园区中心及组团中心。也是高强度集中建设区域， </w:t>
      </w:r>
      <w:r>
        <w:rPr>
          <w:lang w:eastAsia="zh-CN"/>
        </w:rPr>
        <w:t>体现时代建设的新理念、新技术、新材料、高标准，肩负地区标志性建设的任务。</w:t>
      </w:r>
      <w:r>
        <w:rPr>
          <w:spacing w:val="-8"/>
          <w:lang w:eastAsia="zh-CN"/>
        </w:rPr>
        <w:t>现代工业风貌区：彻底改变传统工业区域污染、脏乱、破败、无秩序的形象，以苏州工业园区为榜样，通过多层次工业区详细规划和建设管理制度的建立，建设二十</w:t>
      </w:r>
      <w:r>
        <w:rPr>
          <w:lang w:eastAsia="zh-CN"/>
        </w:rPr>
        <w:t>一世纪的新型工业形象。</w:t>
      </w:r>
    </w:p>
    <w:p>
      <w:pPr>
        <w:pStyle w:val="25"/>
        <w:spacing w:after="0"/>
        <w:ind w:firstLine="480"/>
        <w:rPr>
          <w:lang w:eastAsia="zh-CN"/>
        </w:rPr>
      </w:pPr>
      <w:r>
        <w:rPr>
          <w:lang w:eastAsia="zh-CN"/>
        </w:rPr>
        <w:t>综合风貌区：集中体现城市建设的秩序、整洁、规划与管理。</w:t>
      </w:r>
    </w:p>
    <w:p>
      <w:pPr>
        <w:pStyle w:val="25"/>
        <w:spacing w:after="0"/>
        <w:ind w:firstLine="480"/>
        <w:rPr>
          <w:lang w:eastAsia="zh-CN"/>
        </w:rPr>
      </w:pPr>
      <w:r>
        <w:rPr>
          <w:lang w:eastAsia="zh-CN"/>
        </w:rPr>
        <w:t>（</w:t>
      </w:r>
      <w:r>
        <w:rPr>
          <w:rFonts w:eastAsia="Times New Roman"/>
          <w:lang w:eastAsia="zh-CN"/>
        </w:rPr>
        <w:t>2</w:t>
      </w:r>
      <w:r>
        <w:rPr>
          <w:lang w:eastAsia="zh-CN"/>
        </w:rPr>
        <w:t>）重要景观廊道控制规划</w:t>
      </w:r>
    </w:p>
    <w:p>
      <w:pPr>
        <w:pStyle w:val="25"/>
        <w:spacing w:after="0"/>
        <w:ind w:firstLine="440"/>
        <w:rPr>
          <w:lang w:eastAsia="zh-CN"/>
        </w:rPr>
      </w:pPr>
      <w:r>
        <w:rPr>
          <w:spacing w:val="-10"/>
          <w:lang w:eastAsia="zh-CN"/>
        </w:rPr>
        <w:t>沿高速公路、快速路和主要城市干道规划形成重要景观廊道体系。开敞的线性空间，在景观渗透的同时可使城市景观深远、层次丰富，在此人们可以全面深入认识城</w:t>
      </w:r>
      <w:r>
        <w:rPr>
          <w:lang w:eastAsia="zh-CN"/>
        </w:rPr>
        <w:t>市或所在区域的特征。</w:t>
      </w:r>
    </w:p>
    <w:p>
      <w:pPr>
        <w:pStyle w:val="124"/>
        <w:tabs>
          <w:tab w:val="left" w:pos="1122"/>
        </w:tabs>
        <w:ind w:firstLine="0" w:firstLineChars="0"/>
        <w:outlineLvl w:val="3"/>
        <w:rPr>
          <w:rFonts w:cs="Times New Roman"/>
          <w:b/>
          <w:bCs/>
          <w:lang w:eastAsia="zh-CN"/>
        </w:rPr>
      </w:pPr>
      <w:bookmarkStart w:id="75" w:name="2.1.8_环境保护规划"/>
      <w:bookmarkEnd w:id="75"/>
      <w:r>
        <w:rPr>
          <w:rFonts w:hint="eastAsia" w:cs="Times New Roman"/>
          <w:b/>
          <w:bCs/>
          <w:lang w:eastAsia="zh-CN"/>
        </w:rPr>
        <w:t>2.2.4.5环境保护规划</w:t>
      </w:r>
    </w:p>
    <w:p>
      <w:pPr>
        <w:pStyle w:val="124"/>
        <w:tabs>
          <w:tab w:val="left" w:pos="1320"/>
        </w:tabs>
        <w:ind w:firstLine="480"/>
        <w:rPr>
          <w:lang w:eastAsia="zh-CN"/>
        </w:rPr>
      </w:pPr>
      <w:r>
        <w:rPr>
          <w:rFonts w:hint="eastAsia"/>
          <w:lang w:eastAsia="zh-CN"/>
        </w:rPr>
        <w:t>（1）</w:t>
      </w:r>
      <w:r>
        <w:rPr>
          <w:lang w:eastAsia="zh-CN"/>
        </w:rPr>
        <w:t>大气环境保护规划</w:t>
      </w:r>
    </w:p>
    <w:p>
      <w:pPr>
        <w:pStyle w:val="25"/>
        <w:spacing w:after="0"/>
        <w:ind w:firstLine="452"/>
        <w:rPr>
          <w:lang w:eastAsia="zh-CN"/>
        </w:rPr>
      </w:pPr>
      <w:r>
        <w:rPr>
          <w:spacing w:val="-7"/>
          <w:lang w:eastAsia="zh-CN"/>
        </w:rPr>
        <w:t xml:space="preserve">建设集中锅炉房，减少中小烟源，改善空气环境质量和感观环境。拆除集中供热区域内所有分散锅炉房，集中供热率达到 </w:t>
      </w:r>
      <w:r>
        <w:rPr>
          <w:rFonts w:eastAsia="Times New Roman"/>
          <w:spacing w:val="-7"/>
          <w:lang w:eastAsia="zh-CN"/>
        </w:rPr>
        <w:t>80%</w:t>
      </w:r>
      <w:r>
        <w:rPr>
          <w:spacing w:val="-7"/>
          <w:lang w:eastAsia="zh-CN"/>
        </w:rPr>
        <w:t>；优化能源结构</w:t>
      </w:r>
      <w:r>
        <w:rPr>
          <w:rFonts w:eastAsia="Times New Roman"/>
          <w:spacing w:val="-7"/>
          <w:lang w:eastAsia="zh-CN"/>
        </w:rPr>
        <w:t>,</w:t>
      </w:r>
      <w:r>
        <w:rPr>
          <w:spacing w:val="-7"/>
          <w:lang w:eastAsia="zh-CN"/>
        </w:rPr>
        <w:t xml:space="preserve">实施清洁能源替代， </w:t>
      </w:r>
      <w:r>
        <w:rPr>
          <w:spacing w:val="-18"/>
          <w:lang w:eastAsia="zh-CN"/>
        </w:rPr>
        <w:t xml:space="preserve">扩大燃气能力，推广电能、风能、太阳能，减少污染源；扩大高污染燃料禁燃区面积； </w:t>
      </w:r>
      <w:r>
        <w:rPr>
          <w:spacing w:val="-6"/>
          <w:lang w:eastAsia="zh-CN"/>
        </w:rPr>
        <w:t>控制机动车尾气，出租车和公交车要实行双燃料；强化监督管理，控制扬尘污染，增加环境空气质量优良天数。</w:t>
      </w:r>
    </w:p>
    <w:p>
      <w:pPr>
        <w:pStyle w:val="124"/>
        <w:tabs>
          <w:tab w:val="left" w:pos="1320"/>
        </w:tabs>
        <w:ind w:firstLine="480"/>
        <w:rPr>
          <w:lang w:eastAsia="zh-CN"/>
        </w:rPr>
      </w:pPr>
      <w:r>
        <w:rPr>
          <w:rFonts w:hint="eastAsia"/>
          <w:lang w:eastAsia="zh-CN"/>
        </w:rPr>
        <w:t>（2）</w:t>
      </w:r>
      <w:r>
        <w:rPr>
          <w:lang w:eastAsia="zh-CN"/>
        </w:rPr>
        <w:t>水环境保护规划</w:t>
      </w:r>
    </w:p>
    <w:p>
      <w:pPr>
        <w:pStyle w:val="25"/>
        <w:spacing w:after="0"/>
        <w:ind w:firstLine="480"/>
        <w:rPr>
          <w:lang w:eastAsia="zh-CN"/>
        </w:rPr>
      </w:pPr>
      <w:r>
        <w:rPr>
          <w:lang w:eastAsia="zh-CN"/>
        </w:rPr>
        <w:t>对影响水系环境质量的工业、农业和生活污染源的分布、污染物种类、数量、排放去向、排放方式、排放强度等进行分析，针对主要污染物的控制，制定相应措施， 对可能造成水环境（包括地表水和地下水）污染的各种污染源提出分流域、分阶段综合整治工程措施。</w:t>
      </w:r>
    </w:p>
    <w:p>
      <w:pPr>
        <w:pStyle w:val="124"/>
        <w:tabs>
          <w:tab w:val="left" w:pos="1320"/>
        </w:tabs>
        <w:ind w:firstLine="480"/>
        <w:rPr>
          <w:lang w:eastAsia="zh-CN"/>
        </w:rPr>
      </w:pPr>
      <w:r>
        <w:rPr>
          <w:rFonts w:hint="eastAsia"/>
          <w:lang w:eastAsia="zh-CN"/>
        </w:rPr>
        <w:t>（3）</w:t>
      </w:r>
      <w:r>
        <w:rPr>
          <w:lang w:eastAsia="zh-CN"/>
        </w:rPr>
        <w:t>噪声污染控制</w:t>
      </w:r>
    </w:p>
    <w:p>
      <w:pPr>
        <w:pStyle w:val="25"/>
        <w:spacing w:after="0"/>
        <w:ind w:firstLine="416"/>
        <w:rPr>
          <w:lang w:eastAsia="zh-CN"/>
        </w:rPr>
      </w:pPr>
      <w:r>
        <w:rPr>
          <w:spacing w:val="-16"/>
          <w:lang w:eastAsia="zh-CN"/>
        </w:rPr>
        <w:t>规划将结合道路规划，通过加强交通管理，建设林木隔声带，控制交通噪声污染。</w:t>
      </w:r>
      <w:r>
        <w:rPr>
          <w:lang w:eastAsia="zh-CN"/>
        </w:rPr>
        <w:t>重点加强对工业、商业、娱乐场所的环境管理，控制工业和社会噪声，保护居民区、</w:t>
      </w:r>
      <w:r>
        <w:rPr>
          <w:spacing w:val="-11"/>
          <w:lang w:eastAsia="zh-CN"/>
        </w:rPr>
        <w:t>学校、医院等。最终主要从交通噪声污染控制；工业噪声污染控制等方面给出沈阳市噪声污染防治的规划措施。</w:t>
      </w:r>
    </w:p>
    <w:p>
      <w:pPr>
        <w:pStyle w:val="124"/>
        <w:tabs>
          <w:tab w:val="left" w:pos="1320"/>
        </w:tabs>
        <w:ind w:firstLine="480"/>
        <w:rPr>
          <w:lang w:eastAsia="zh-CN"/>
        </w:rPr>
      </w:pPr>
      <w:r>
        <w:rPr>
          <w:rFonts w:hint="eastAsia"/>
          <w:lang w:eastAsia="zh-CN"/>
        </w:rPr>
        <w:t>（4）</w:t>
      </w:r>
      <w:r>
        <w:rPr>
          <w:lang w:eastAsia="zh-CN"/>
        </w:rPr>
        <w:t>固废污染控制</w:t>
      </w:r>
    </w:p>
    <w:p>
      <w:pPr>
        <w:pStyle w:val="25"/>
        <w:spacing w:after="0"/>
        <w:ind w:firstLine="456"/>
        <w:rPr>
          <w:lang w:eastAsia="zh-CN"/>
        </w:rPr>
      </w:pPr>
      <w:r>
        <w:rPr>
          <w:spacing w:val="-6"/>
          <w:lang w:eastAsia="zh-CN"/>
        </w:rPr>
        <w:t>本规划将通过清洁生产、提高原料利用效率，引导减少固体废物产生；建立固体</w:t>
      </w:r>
      <w:r>
        <w:rPr>
          <w:spacing w:val="-17"/>
          <w:lang w:eastAsia="zh-CN"/>
        </w:rPr>
        <w:t xml:space="preserve">废物综合利用开发系统，提高固体废物的综合利用率，使固体废物综合利用良性发展； </w:t>
      </w:r>
      <w:r>
        <w:rPr>
          <w:spacing w:val="-5"/>
          <w:lang w:eastAsia="zh-CN"/>
        </w:rPr>
        <w:t>开展对历年贮存工业固体废物的利用和安全处置，进一步提高固体废物的资源化、无</w:t>
      </w:r>
      <w:r>
        <w:rPr>
          <w:spacing w:val="-10"/>
          <w:lang w:eastAsia="zh-CN"/>
        </w:rPr>
        <w:t>害化水平；通过全过程控制管理，实现固体废物产业化有序发展；避免、减少因固体</w:t>
      </w:r>
      <w:r>
        <w:rPr>
          <w:spacing w:val="-11"/>
          <w:lang w:eastAsia="zh-CN"/>
        </w:rPr>
        <w:t>废物排放、利用、处置不善等而造成的环境污染以及对区域生态系统的破坏，建立起</w:t>
      </w:r>
      <w:r>
        <w:rPr>
          <w:lang w:eastAsia="zh-CN"/>
        </w:rPr>
        <w:t>与浑南国际新兴产业园区经济社会发展相协调的固体废物处理处置体系</w:t>
      </w:r>
      <w:r>
        <w:rPr>
          <w:rFonts w:hint="eastAsia"/>
          <w:lang w:eastAsia="zh-CN"/>
        </w:rPr>
        <w:t>。</w:t>
      </w:r>
    </w:p>
    <w:p>
      <w:pPr>
        <w:pStyle w:val="25"/>
        <w:spacing w:after="0"/>
        <w:ind w:firstLine="480"/>
        <w:rPr>
          <w:rFonts w:cs="Times New Roman"/>
          <w:lang w:eastAsia="zh-CN"/>
        </w:rPr>
      </w:pPr>
      <w:r>
        <w:rPr>
          <w:rFonts w:hint="eastAsia" w:cs="Times New Roman"/>
          <w:lang w:eastAsia="zh-CN"/>
        </w:rPr>
        <w:t>区域空间结构及产业布局见附图2-1、附图2-2</w:t>
      </w:r>
      <w:r>
        <w:rPr>
          <w:rFonts w:cs="Times New Roman"/>
          <w:lang w:eastAsia="zh-CN"/>
        </w:rPr>
        <w:t>。</w:t>
      </w:r>
    </w:p>
    <w:bookmarkEnd w:id="70"/>
    <w:p>
      <w:pPr>
        <w:pStyle w:val="9"/>
        <w:rPr>
          <w:rFonts w:ascii="Times New Roman" w:hAnsi="Times New Roman"/>
          <w:spacing w:val="-1"/>
        </w:rPr>
      </w:pPr>
      <w:bookmarkStart w:id="76" w:name="_Toc23045"/>
      <w:bookmarkStart w:id="77" w:name="_Hlk56902440"/>
      <w:bookmarkStart w:id="78" w:name="_Hlk56869989"/>
      <w:r>
        <w:rPr>
          <w:rFonts w:ascii="Times New Roman" w:hAnsi="Times New Roman"/>
          <w:spacing w:val="-1"/>
        </w:rPr>
        <w:t>2.</w:t>
      </w:r>
      <w:r>
        <w:rPr>
          <w:rFonts w:ascii="Times New Roman" w:hAnsi="Times New Roman" w:eastAsiaTheme="minorEastAsia"/>
          <w:spacing w:val="-1"/>
        </w:rPr>
        <w:t>2</w:t>
      </w:r>
      <w:r>
        <w:rPr>
          <w:rFonts w:ascii="Times New Roman" w:hAnsi="Times New Roman"/>
          <w:spacing w:val="-1"/>
        </w:rPr>
        <w:t>.5市政基础设施规划</w:t>
      </w:r>
      <w:bookmarkEnd w:id="76"/>
    </w:p>
    <w:bookmarkEnd w:id="77"/>
    <w:p>
      <w:pPr>
        <w:pStyle w:val="9"/>
        <w:tabs>
          <w:tab w:val="left" w:pos="1302"/>
        </w:tabs>
        <w:spacing w:before="0" w:after="0"/>
        <w:jc w:val="left"/>
        <w:rPr>
          <w:rFonts w:ascii="Times New Roman" w:hAnsi="Times New Roman"/>
        </w:rPr>
      </w:pPr>
      <w:r>
        <w:rPr>
          <w:rFonts w:ascii="Times New Roman" w:hAnsi="Times New Roman"/>
        </w:rPr>
        <w:t>2.2.5.1给水规划</w:t>
      </w:r>
    </w:p>
    <w:p>
      <w:pPr>
        <w:pStyle w:val="25"/>
        <w:spacing w:after="0"/>
        <w:ind w:firstLine="480"/>
        <w:rPr>
          <w:rFonts w:cs="Times New Roman"/>
          <w:lang w:eastAsia="zh-CN"/>
        </w:rPr>
      </w:pPr>
      <w:r>
        <w:rPr>
          <w:rFonts w:cs="Times New Roman"/>
          <w:lang w:eastAsia="zh-CN"/>
        </w:rPr>
        <w:t>依据“沈阳市给水总体规划方案”及“水资源开发与利用第十一个五年计划”，确定规划区三环以南地区由古城子规划配水厂提供；三环以北地区由浑南新区规划</w:t>
      </w:r>
      <w:r>
        <w:rPr>
          <w:rFonts w:eastAsia="Arial" w:cs="Times New Roman"/>
          <w:lang w:eastAsia="zh-CN"/>
        </w:rPr>
        <w:t>3</w:t>
      </w:r>
      <w:r>
        <w:rPr>
          <w:rFonts w:cs="Times New Roman"/>
          <w:lang w:eastAsia="zh-CN"/>
        </w:rPr>
        <w:t>号配水厂提供。</w:t>
      </w:r>
    </w:p>
    <w:p>
      <w:pPr>
        <w:pStyle w:val="25"/>
        <w:spacing w:after="0"/>
        <w:ind w:firstLine="480"/>
        <w:rPr>
          <w:rFonts w:cs="Times New Roman"/>
          <w:lang w:eastAsia="zh-CN"/>
        </w:rPr>
      </w:pPr>
      <w:r>
        <w:rPr>
          <w:rFonts w:cs="Times New Roman"/>
          <w:lang w:eastAsia="zh-CN"/>
        </w:rPr>
        <w:t>规划区总需水量为</w:t>
      </w:r>
      <w:r>
        <w:rPr>
          <w:rFonts w:eastAsia="Times New Roman" w:cs="Times New Roman"/>
          <w:lang w:eastAsia="zh-CN"/>
        </w:rPr>
        <w:t>16</w:t>
      </w:r>
      <w:r>
        <w:rPr>
          <w:rFonts w:cs="Times New Roman"/>
          <w:lang w:eastAsia="zh-CN"/>
        </w:rPr>
        <w:t>×</w:t>
      </w:r>
      <w:r>
        <w:rPr>
          <w:rFonts w:eastAsia="Times New Roman" w:cs="Times New Roman"/>
          <w:lang w:eastAsia="zh-CN"/>
        </w:rPr>
        <w:t>10</w:t>
      </w:r>
      <w:r>
        <w:rPr>
          <w:rFonts w:eastAsia="Times New Roman" w:cs="Times New Roman"/>
          <w:vertAlign w:val="superscript"/>
          <w:lang w:eastAsia="zh-CN"/>
        </w:rPr>
        <w:t>4</w:t>
      </w:r>
      <w:r>
        <w:rPr>
          <w:rFonts w:eastAsia="Times New Roman" w:cs="Times New Roman"/>
          <w:lang w:eastAsia="zh-CN"/>
        </w:rPr>
        <w:t>m</w:t>
      </w:r>
      <w:r>
        <w:rPr>
          <w:rFonts w:eastAsia="Times New Roman" w:cs="Times New Roman"/>
          <w:vertAlign w:val="superscript"/>
          <w:lang w:eastAsia="zh-CN"/>
        </w:rPr>
        <w:t>3</w:t>
      </w:r>
      <w:r>
        <w:rPr>
          <w:rFonts w:eastAsia="Times New Roman" w:cs="Times New Roman"/>
          <w:lang w:eastAsia="zh-CN"/>
        </w:rPr>
        <w:t>/d</w:t>
      </w:r>
      <w:r>
        <w:rPr>
          <w:rFonts w:cs="Times New Roman"/>
          <w:lang w:eastAsia="zh-CN"/>
        </w:rPr>
        <w:t>。</w:t>
      </w:r>
    </w:p>
    <w:p>
      <w:pPr>
        <w:pStyle w:val="25"/>
        <w:spacing w:after="0"/>
        <w:ind w:firstLine="472"/>
        <w:rPr>
          <w:rFonts w:cs="Times New Roman"/>
          <w:lang w:eastAsia="zh-CN"/>
        </w:rPr>
      </w:pPr>
      <w:r>
        <w:rPr>
          <w:rFonts w:cs="Times New Roman"/>
          <w:spacing w:val="-2"/>
          <w:lang w:eastAsia="zh-CN"/>
        </w:rPr>
        <w:t>古城子规划配水厂规划供水能力为</w:t>
      </w:r>
      <w:r>
        <w:rPr>
          <w:rFonts w:eastAsia="Arial" w:cs="Times New Roman"/>
          <w:lang w:eastAsia="zh-CN"/>
        </w:rPr>
        <w:t>11</w:t>
      </w:r>
      <w:r>
        <w:rPr>
          <w:rFonts w:cs="Times New Roman"/>
          <w:spacing w:val="-13"/>
          <w:lang w:eastAsia="zh-CN"/>
        </w:rPr>
        <w:t xml:space="preserve">万 </w:t>
      </w:r>
      <w:r>
        <w:rPr>
          <w:rFonts w:eastAsia="Arial" w:cs="Times New Roman"/>
          <w:lang w:eastAsia="zh-CN"/>
        </w:rPr>
        <w:t>m</w:t>
      </w:r>
      <w:r>
        <w:rPr>
          <w:rFonts w:cs="Times New Roman"/>
          <w:lang w:eastAsia="zh-CN"/>
        </w:rPr>
        <w:t>³</w:t>
      </w:r>
      <w:r>
        <w:rPr>
          <w:rFonts w:eastAsia="Arial" w:cs="Times New Roman"/>
          <w:lang w:eastAsia="zh-CN"/>
        </w:rPr>
        <w:t>/d</w:t>
      </w:r>
      <w:r>
        <w:rPr>
          <w:rFonts w:cs="Times New Roman"/>
          <w:lang w:eastAsia="zh-CN"/>
        </w:rPr>
        <w:t>，水源引自东水西调工程大伙房水库东水厂，规划配水厂供水能力可以满足规划区用水要求。</w:t>
      </w:r>
    </w:p>
    <w:p>
      <w:pPr>
        <w:pStyle w:val="25"/>
        <w:spacing w:after="0"/>
        <w:ind w:firstLine="480"/>
        <w:rPr>
          <w:rFonts w:cs="Times New Roman"/>
          <w:lang w:eastAsia="zh-CN"/>
        </w:rPr>
      </w:pPr>
      <w:r>
        <w:rPr>
          <w:rFonts w:cs="Times New Roman"/>
          <w:lang w:eastAsia="zh-CN"/>
        </w:rPr>
        <w:t>市政基础设施规划见附图2-5。</w:t>
      </w:r>
    </w:p>
    <w:p>
      <w:pPr>
        <w:pStyle w:val="9"/>
        <w:tabs>
          <w:tab w:val="left" w:pos="1302"/>
        </w:tabs>
        <w:spacing w:before="0" w:after="0"/>
        <w:jc w:val="left"/>
        <w:rPr>
          <w:rFonts w:ascii="Times New Roman" w:hAnsi="Times New Roman"/>
        </w:rPr>
      </w:pPr>
      <w:r>
        <w:rPr>
          <w:rFonts w:hint="eastAsia" w:ascii="Times New Roman" w:hAnsi="Times New Roman"/>
        </w:rPr>
        <w:t>2.2.5.2</w:t>
      </w:r>
      <w:r>
        <w:rPr>
          <w:rFonts w:ascii="Times New Roman" w:hAnsi="Times New Roman"/>
        </w:rPr>
        <w:t>排水规划</w:t>
      </w:r>
    </w:p>
    <w:p>
      <w:pPr>
        <w:pStyle w:val="25"/>
        <w:spacing w:after="0"/>
        <w:ind w:firstLine="460"/>
        <w:rPr>
          <w:rFonts w:cs="Times New Roman"/>
          <w:lang w:eastAsia="zh-CN"/>
        </w:rPr>
      </w:pPr>
      <w:r>
        <w:rPr>
          <w:rFonts w:cs="Times New Roman"/>
          <w:spacing w:val="-5"/>
          <w:lang w:eastAsia="zh-CN"/>
        </w:rPr>
        <w:t>规划污水量采用预测的给水量</w:t>
      </w:r>
      <w:r>
        <w:rPr>
          <w:rFonts w:eastAsia="Arial" w:cs="Times New Roman"/>
          <w:lang w:eastAsia="zh-CN"/>
        </w:rPr>
        <w:t>90%</w:t>
      </w:r>
      <w:r>
        <w:rPr>
          <w:rFonts w:cs="Times New Roman"/>
          <w:spacing w:val="-14"/>
          <w:lang w:eastAsia="zh-CN"/>
        </w:rPr>
        <w:t>计算，日用水量为</w:t>
      </w:r>
      <w:r>
        <w:rPr>
          <w:rFonts w:eastAsia="Arial" w:cs="Times New Roman"/>
          <w:lang w:eastAsia="zh-CN"/>
        </w:rPr>
        <w:t>16.0</w:t>
      </w:r>
      <w:r>
        <w:rPr>
          <w:rFonts w:cs="Times New Roman"/>
          <w:spacing w:val="-31"/>
          <w:lang w:eastAsia="zh-CN"/>
        </w:rPr>
        <w:t xml:space="preserve">万 </w:t>
      </w:r>
      <w:r>
        <w:rPr>
          <w:rFonts w:cs="Times New Roman"/>
          <w:spacing w:val="-11"/>
          <w:lang w:eastAsia="zh-CN"/>
        </w:rPr>
        <w:t>m³</w:t>
      </w:r>
      <w:r>
        <w:rPr>
          <w:rFonts w:eastAsia="Arial" w:cs="Times New Roman"/>
          <w:spacing w:val="-11"/>
          <w:lang w:eastAsia="zh-CN"/>
        </w:rPr>
        <w:t>/d</w:t>
      </w:r>
      <w:r>
        <w:rPr>
          <w:rFonts w:cs="Times New Roman"/>
          <w:spacing w:val="-3"/>
          <w:lang w:eastAsia="zh-CN"/>
        </w:rPr>
        <w:t>，日变化系数</w:t>
      </w:r>
      <w:r>
        <w:rPr>
          <w:rFonts w:cs="Times New Roman"/>
          <w:spacing w:val="-32"/>
          <w:lang w:eastAsia="zh-CN"/>
        </w:rPr>
        <w:t xml:space="preserve">为 </w:t>
      </w:r>
      <w:r>
        <w:rPr>
          <w:rFonts w:eastAsia="Arial" w:cs="Times New Roman"/>
          <w:lang w:eastAsia="zh-CN"/>
        </w:rPr>
        <w:t>1.3</w:t>
      </w:r>
      <w:r>
        <w:rPr>
          <w:rFonts w:cs="Times New Roman"/>
          <w:spacing w:val="-7"/>
          <w:lang w:eastAsia="zh-CN"/>
        </w:rPr>
        <w:t>，规划总污水量为</w:t>
      </w:r>
      <w:r>
        <w:rPr>
          <w:rFonts w:eastAsia="Arial" w:cs="Times New Roman"/>
          <w:lang w:eastAsia="zh-CN"/>
        </w:rPr>
        <w:t>14.5</w:t>
      </w:r>
      <w:r>
        <w:rPr>
          <w:rFonts w:cs="Times New Roman"/>
          <w:spacing w:val="-30"/>
          <w:lang w:eastAsia="zh-CN"/>
        </w:rPr>
        <w:t xml:space="preserve">万 </w:t>
      </w:r>
      <w:r>
        <w:rPr>
          <w:rFonts w:cs="Times New Roman"/>
          <w:lang w:eastAsia="zh-CN"/>
        </w:rPr>
        <w:t>m³</w:t>
      </w:r>
      <w:r>
        <w:rPr>
          <w:rFonts w:eastAsia="Arial" w:cs="Times New Roman"/>
          <w:lang w:eastAsia="zh-CN"/>
        </w:rPr>
        <w:t>/d</w:t>
      </w:r>
      <w:r>
        <w:rPr>
          <w:rFonts w:cs="Times New Roman"/>
          <w:lang w:eastAsia="zh-CN"/>
        </w:rPr>
        <w:t>。</w:t>
      </w:r>
    </w:p>
    <w:p>
      <w:pPr>
        <w:pStyle w:val="25"/>
        <w:spacing w:after="0"/>
        <w:ind w:firstLine="480"/>
        <w:rPr>
          <w:rFonts w:cs="Times New Roman"/>
          <w:lang w:eastAsia="zh-CN"/>
        </w:rPr>
      </w:pPr>
      <w:r>
        <w:rPr>
          <w:rFonts w:cs="Times New Roman"/>
          <w:lang w:eastAsia="zh-CN"/>
        </w:rPr>
        <w:t>规划区现状地势东高，西低，根据沈阳市排水规划，另外考虑规划区现状情况， 确定规划区排水体制为分流制。</w:t>
      </w:r>
    </w:p>
    <w:p>
      <w:pPr>
        <w:pStyle w:val="25"/>
        <w:spacing w:after="0"/>
        <w:ind w:firstLine="448"/>
        <w:rPr>
          <w:rFonts w:cs="Times New Roman"/>
          <w:lang w:eastAsia="zh-CN"/>
        </w:rPr>
      </w:pPr>
      <w:r>
        <w:rPr>
          <w:rFonts w:cs="Times New Roman"/>
          <w:spacing w:val="-8"/>
          <w:lang w:eastAsia="zh-CN"/>
        </w:rPr>
        <w:t>根据沈阳市排水规划，该地区污水近期排入规划桑林子污水处理厂处理，远期排</w:t>
      </w:r>
      <w:r>
        <w:rPr>
          <w:rFonts w:cs="Times New Roman"/>
          <w:lang w:eastAsia="zh-CN"/>
        </w:rPr>
        <w:t>入规划南部污水处理厂处理。</w:t>
      </w:r>
    </w:p>
    <w:p>
      <w:pPr>
        <w:pStyle w:val="25"/>
        <w:spacing w:after="0"/>
        <w:ind w:firstLine="480"/>
        <w:rPr>
          <w:rFonts w:cs="Times New Roman"/>
          <w:lang w:eastAsia="zh-CN"/>
        </w:rPr>
      </w:pPr>
      <w:r>
        <w:rPr>
          <w:rFonts w:cs="Times New Roman"/>
          <w:lang w:eastAsia="zh-CN"/>
        </w:rPr>
        <w:t>该地区雨水经管道收集，经泵站提升后排入张官河、杨官河。</w:t>
      </w:r>
    </w:p>
    <w:p>
      <w:pPr>
        <w:pStyle w:val="25"/>
        <w:spacing w:after="0"/>
        <w:ind w:firstLine="448"/>
        <w:rPr>
          <w:rFonts w:cs="Times New Roman"/>
          <w:lang w:eastAsia="zh-CN"/>
        </w:rPr>
      </w:pPr>
      <w:r>
        <w:rPr>
          <w:rFonts w:cs="Times New Roman"/>
          <w:spacing w:val="-8"/>
          <w:lang w:eastAsia="zh-CN"/>
        </w:rPr>
        <w:t>根据国内各城市的经验与教训，中水设施建设需要相应的法规政策和合理的自来</w:t>
      </w:r>
      <w:r>
        <w:rPr>
          <w:rFonts w:cs="Times New Roman"/>
          <w:spacing w:val="-11"/>
          <w:lang w:eastAsia="zh-CN"/>
        </w:rPr>
        <w:t>水价格，中水还必须有稳定的用户，作为北方城市，中水可以用于夏季浇灌绿地、冲</w:t>
      </w:r>
      <w:r>
        <w:rPr>
          <w:rFonts w:cs="Times New Roman"/>
          <w:spacing w:val="-8"/>
          <w:lang w:eastAsia="zh-CN"/>
        </w:rPr>
        <w:t>洗马路、洗车等，规划对建筑面积</w:t>
      </w:r>
      <w:r>
        <w:rPr>
          <w:rFonts w:eastAsia="Times New Roman" w:cs="Times New Roman"/>
          <w:lang w:eastAsia="zh-CN"/>
        </w:rPr>
        <w:t>10×10</w:t>
      </w:r>
      <w:r>
        <w:rPr>
          <w:rFonts w:eastAsia="Times New Roman" w:cs="Times New Roman"/>
          <w:vertAlign w:val="superscript"/>
          <w:lang w:eastAsia="zh-CN"/>
        </w:rPr>
        <w:t>4</w:t>
      </w:r>
      <w:r>
        <w:rPr>
          <w:rFonts w:eastAsia="Times New Roman" w:cs="Times New Roman"/>
          <w:lang w:eastAsia="zh-CN"/>
        </w:rPr>
        <w:t>m</w:t>
      </w:r>
      <w:r>
        <w:rPr>
          <w:rFonts w:eastAsia="Times New Roman" w:cs="Times New Roman"/>
          <w:vertAlign w:val="superscript"/>
          <w:lang w:eastAsia="zh-CN"/>
        </w:rPr>
        <w:t>2</w:t>
      </w:r>
      <w:r>
        <w:rPr>
          <w:rFonts w:cs="Times New Roman"/>
          <w:lang w:eastAsia="zh-CN"/>
        </w:rPr>
        <w:t>或可回收水量大于</w:t>
      </w:r>
      <w:r>
        <w:rPr>
          <w:rFonts w:eastAsia="Times New Roman" w:cs="Times New Roman"/>
          <w:lang w:eastAsia="zh-CN"/>
        </w:rPr>
        <w:t>300 t/d</w:t>
      </w:r>
      <w:r>
        <w:rPr>
          <w:rFonts w:cs="Times New Roman"/>
          <w:lang w:eastAsia="zh-CN"/>
        </w:rPr>
        <w:t>的居住区或集中建筑建设中水设施。</w:t>
      </w:r>
    </w:p>
    <w:p>
      <w:pPr>
        <w:pStyle w:val="9"/>
        <w:tabs>
          <w:tab w:val="left" w:pos="1302"/>
        </w:tabs>
        <w:spacing w:before="0" w:after="0"/>
        <w:jc w:val="left"/>
      </w:pPr>
      <w:r>
        <w:rPr>
          <w:rFonts w:hint="eastAsia" w:ascii="Times New Roman" w:hAnsi="Times New Roman"/>
        </w:rPr>
        <w:t>2.2.5.3</w:t>
      </w:r>
      <w:r>
        <w:t>电力规划</w:t>
      </w:r>
    </w:p>
    <w:p>
      <w:pPr>
        <w:pStyle w:val="25"/>
        <w:spacing w:after="0"/>
        <w:ind w:firstLine="468"/>
        <w:rPr>
          <w:lang w:eastAsia="zh-CN"/>
        </w:rPr>
      </w:pPr>
      <w:r>
        <w:rPr>
          <w:spacing w:val="-3"/>
          <w:lang w:eastAsia="zh-CN"/>
        </w:rPr>
        <w:t>根据负荷预测，并结合当地电力部门的电网规划，规划</w:t>
      </w:r>
      <w:r>
        <w:rPr>
          <w:rFonts w:eastAsia="Times New Roman"/>
          <w:lang w:eastAsia="zh-CN"/>
        </w:rPr>
        <w:t>220kV</w:t>
      </w:r>
      <w:r>
        <w:rPr>
          <w:spacing w:val="-2"/>
          <w:lang w:eastAsia="zh-CN"/>
        </w:rPr>
        <w:t>养竹变电所一座，</w:t>
      </w:r>
      <w:r>
        <w:rPr>
          <w:lang w:eastAsia="zh-CN"/>
        </w:rPr>
        <w:t>容量为</w:t>
      </w:r>
      <w:r>
        <w:rPr>
          <w:rFonts w:eastAsia="Times New Roman"/>
          <w:lang w:eastAsia="zh-CN"/>
        </w:rPr>
        <w:t>240MVA×2</w:t>
      </w:r>
      <w:r>
        <w:rPr>
          <w:lang w:eastAsia="zh-CN"/>
        </w:rPr>
        <w:t>，占地</w:t>
      </w:r>
      <w:r>
        <w:rPr>
          <w:rFonts w:eastAsia="Times New Roman"/>
          <w:lang w:eastAsia="zh-CN"/>
        </w:rPr>
        <w:t>1.0hm</w:t>
      </w:r>
      <w:r>
        <w:rPr>
          <w:rFonts w:eastAsia="Times New Roman"/>
          <w:vertAlign w:val="superscript"/>
          <w:lang w:eastAsia="zh-CN"/>
        </w:rPr>
        <w:t>2</w:t>
      </w:r>
      <w:r>
        <w:rPr>
          <w:lang w:eastAsia="zh-CN"/>
        </w:rPr>
        <w:t>。</w:t>
      </w:r>
    </w:p>
    <w:p>
      <w:pPr>
        <w:pStyle w:val="25"/>
        <w:spacing w:after="0"/>
        <w:ind w:firstLine="440"/>
        <w:rPr>
          <w:lang w:eastAsia="zh-CN"/>
        </w:rPr>
      </w:pPr>
      <w:r>
        <w:rPr>
          <w:spacing w:val="-10"/>
          <w:lang w:eastAsia="zh-CN"/>
        </w:rPr>
        <w:t>规划区规划</w:t>
      </w:r>
      <w:r>
        <w:rPr>
          <w:rFonts w:eastAsia="Times New Roman"/>
          <w:lang w:eastAsia="zh-CN"/>
        </w:rPr>
        <w:t>66kV</w:t>
      </w:r>
      <w:r>
        <w:rPr>
          <w:spacing w:val="-15"/>
          <w:lang w:eastAsia="zh-CN"/>
        </w:rPr>
        <w:t>变电所</w:t>
      </w:r>
      <w:r>
        <w:rPr>
          <w:rFonts w:eastAsia="Times New Roman"/>
          <w:lang w:eastAsia="zh-CN"/>
        </w:rPr>
        <w:t>8</w:t>
      </w:r>
      <w:r>
        <w:rPr>
          <w:spacing w:val="-19"/>
          <w:lang w:eastAsia="zh-CN"/>
        </w:rPr>
        <w:t xml:space="preserve">座。规划 </w:t>
      </w:r>
      <w:r>
        <w:rPr>
          <w:rFonts w:eastAsia="Times New Roman"/>
          <w:lang w:eastAsia="zh-CN"/>
        </w:rPr>
        <w:t>66kV</w:t>
      </w:r>
      <w:r>
        <w:rPr>
          <w:spacing w:val="-8"/>
          <w:lang w:eastAsia="zh-CN"/>
        </w:rPr>
        <w:t>变电所容量均为</w:t>
      </w:r>
      <w:r>
        <w:rPr>
          <w:rFonts w:eastAsia="Times New Roman"/>
          <w:spacing w:val="-5"/>
          <w:lang w:eastAsia="zh-CN"/>
        </w:rPr>
        <w:t>50MVA×3</w:t>
      </w:r>
      <w:r>
        <w:rPr>
          <w:spacing w:val="-2"/>
          <w:lang w:eastAsia="zh-CN"/>
        </w:rPr>
        <w:t>，占地均</w:t>
      </w:r>
      <w:r>
        <w:rPr>
          <w:lang w:eastAsia="zh-CN"/>
        </w:rPr>
        <w:t>为</w:t>
      </w:r>
      <w:r>
        <w:rPr>
          <w:rFonts w:eastAsia="Times New Roman"/>
          <w:lang w:eastAsia="zh-CN"/>
        </w:rPr>
        <w:t>0.24hm</w:t>
      </w:r>
      <w:r>
        <w:rPr>
          <w:rFonts w:eastAsia="Times New Roman"/>
          <w:vertAlign w:val="superscript"/>
          <w:lang w:eastAsia="zh-CN"/>
        </w:rPr>
        <w:t>2</w:t>
      </w:r>
      <w:r>
        <w:rPr>
          <w:lang w:eastAsia="zh-CN"/>
        </w:rPr>
        <w:t>。</w:t>
      </w:r>
    </w:p>
    <w:p>
      <w:pPr>
        <w:pStyle w:val="9"/>
        <w:tabs>
          <w:tab w:val="left" w:pos="1302"/>
        </w:tabs>
        <w:spacing w:before="0" w:after="0"/>
        <w:jc w:val="left"/>
        <w:rPr>
          <w:rFonts w:ascii="Times New Roman" w:hAnsi="Times New Roman"/>
        </w:rPr>
      </w:pPr>
      <w:r>
        <w:rPr>
          <w:rFonts w:hint="eastAsia" w:ascii="Times New Roman" w:hAnsi="Times New Roman"/>
        </w:rPr>
        <w:t>2.2.5.4供热规划</w:t>
      </w:r>
    </w:p>
    <w:p>
      <w:pPr>
        <w:pStyle w:val="25"/>
        <w:spacing w:after="0"/>
        <w:ind w:firstLine="440"/>
        <w:rPr>
          <w:lang w:eastAsia="zh-CN"/>
        </w:rPr>
      </w:pPr>
      <w:r>
        <w:rPr>
          <w:spacing w:val="-10"/>
          <w:lang w:eastAsia="zh-CN"/>
        </w:rPr>
        <w:t>根据《城市热力网设计规范》，建筑物规划采暖热指标如下：居住用地</w:t>
      </w:r>
      <w:r>
        <w:rPr>
          <w:rFonts w:eastAsia="Times New Roman"/>
          <w:lang w:eastAsia="zh-CN"/>
        </w:rPr>
        <w:t>,45w/</w:t>
      </w:r>
      <w:r>
        <w:rPr>
          <w:spacing w:val="-8"/>
          <w:lang w:eastAsia="zh-CN"/>
        </w:rPr>
        <w:t xml:space="preserve">㎡， </w:t>
      </w:r>
      <w:r>
        <w:rPr>
          <w:lang w:eastAsia="zh-CN"/>
        </w:rPr>
        <w:t>商混用地</w:t>
      </w:r>
      <w:r>
        <w:rPr>
          <w:rFonts w:eastAsia="Times New Roman"/>
          <w:lang w:eastAsia="zh-CN"/>
        </w:rPr>
        <w:t>58 w/</w:t>
      </w:r>
      <w:r>
        <w:rPr>
          <w:lang w:eastAsia="zh-CN"/>
        </w:rPr>
        <w:t>㎡，公建用地</w:t>
      </w:r>
      <w:r>
        <w:rPr>
          <w:rFonts w:eastAsia="Times New Roman"/>
          <w:lang w:eastAsia="zh-CN"/>
        </w:rPr>
        <w:t>58w/</w:t>
      </w:r>
      <w:r>
        <w:rPr>
          <w:lang w:eastAsia="zh-CN"/>
        </w:rPr>
        <w:t>㎡，市政基础设施</w:t>
      </w:r>
      <w:r>
        <w:rPr>
          <w:rFonts w:eastAsia="Times New Roman"/>
          <w:lang w:eastAsia="zh-CN"/>
        </w:rPr>
        <w:t>58w/</w:t>
      </w:r>
      <w:r>
        <w:rPr>
          <w:lang w:eastAsia="zh-CN"/>
        </w:rPr>
        <w:t>㎡，工业用地</w:t>
      </w:r>
      <w:r>
        <w:rPr>
          <w:rFonts w:eastAsia="Times New Roman"/>
          <w:lang w:eastAsia="zh-CN"/>
        </w:rPr>
        <w:t>70 w/</w:t>
      </w:r>
      <w:r>
        <w:rPr>
          <w:lang w:eastAsia="zh-CN"/>
        </w:rPr>
        <w:t>㎡。根据</w:t>
      </w:r>
      <w:r>
        <w:rPr>
          <w:spacing w:val="27"/>
          <w:lang w:eastAsia="zh-CN"/>
        </w:rPr>
        <w:t>建设用地、容积率及建筑物规划采暖热指标预测本地区三环以北供热负荷为</w:t>
      </w:r>
      <w:r>
        <w:rPr>
          <w:rFonts w:eastAsia="Times New Roman"/>
          <w:lang w:eastAsia="zh-CN"/>
        </w:rPr>
        <w:t>1157MW</w:t>
      </w:r>
      <w:r>
        <w:rPr>
          <w:lang w:eastAsia="zh-CN"/>
        </w:rPr>
        <w:t>。三环以南供热负荷为</w:t>
      </w:r>
      <w:r>
        <w:rPr>
          <w:rFonts w:eastAsia="Times New Roman"/>
          <w:lang w:eastAsia="zh-CN"/>
        </w:rPr>
        <w:t>400MW</w:t>
      </w:r>
      <w:r>
        <w:rPr>
          <w:lang w:eastAsia="zh-CN"/>
        </w:rPr>
        <w:t>。</w:t>
      </w:r>
    </w:p>
    <w:p>
      <w:pPr>
        <w:pStyle w:val="25"/>
        <w:spacing w:after="0"/>
        <w:ind w:firstLine="480"/>
        <w:rPr>
          <w:lang w:eastAsia="zh-CN"/>
        </w:rPr>
      </w:pPr>
      <w:r>
        <w:rPr>
          <w:lang w:eastAsia="zh-CN"/>
        </w:rPr>
        <w:t>规划区的供热主要由本地区规划热源厂</w:t>
      </w:r>
      <w:r>
        <w:rPr>
          <w:rFonts w:eastAsia="Times New Roman"/>
          <w:lang w:eastAsia="zh-CN"/>
        </w:rPr>
        <w:t>2</w:t>
      </w:r>
      <w:r>
        <w:rPr>
          <w:lang w:eastAsia="zh-CN"/>
        </w:rPr>
        <w:t>座，其中三环以北</w:t>
      </w:r>
      <w:r>
        <w:rPr>
          <w:rFonts w:eastAsia="Times New Roman"/>
          <w:lang w:eastAsia="zh-CN"/>
        </w:rPr>
        <w:t>1</w:t>
      </w:r>
      <w:r>
        <w:rPr>
          <w:lang w:eastAsia="zh-CN"/>
        </w:rPr>
        <w:t>座总容量</w:t>
      </w:r>
      <w:r>
        <w:rPr>
          <w:rFonts w:eastAsia="Times New Roman"/>
          <w:lang w:eastAsia="zh-CN"/>
        </w:rPr>
        <w:t>1176MW</w:t>
      </w:r>
      <w:r>
        <w:rPr>
          <w:lang w:eastAsia="zh-CN"/>
        </w:rPr>
        <w:t>，占地</w:t>
      </w:r>
      <w:r>
        <w:rPr>
          <w:rFonts w:eastAsia="Times New Roman"/>
          <w:lang w:eastAsia="zh-CN"/>
        </w:rPr>
        <w:t>7.0 hm</w:t>
      </w:r>
      <w:r>
        <w:rPr>
          <w:rFonts w:eastAsia="Times New Roman"/>
          <w:vertAlign w:val="superscript"/>
          <w:lang w:eastAsia="zh-CN"/>
        </w:rPr>
        <w:t>2</w:t>
      </w:r>
      <w:r>
        <w:rPr>
          <w:lang w:eastAsia="zh-CN"/>
        </w:rPr>
        <w:t>，三环以南</w:t>
      </w:r>
      <w:r>
        <w:rPr>
          <w:rFonts w:eastAsia="Times New Roman"/>
          <w:lang w:eastAsia="zh-CN"/>
        </w:rPr>
        <w:t>1</w:t>
      </w:r>
      <w:r>
        <w:rPr>
          <w:lang w:eastAsia="zh-CN"/>
        </w:rPr>
        <w:t>座总容量</w:t>
      </w:r>
      <w:r>
        <w:rPr>
          <w:rFonts w:eastAsia="Times New Roman"/>
          <w:lang w:eastAsia="zh-CN"/>
        </w:rPr>
        <w:t>700MW</w:t>
      </w:r>
      <w:r>
        <w:rPr>
          <w:lang w:eastAsia="zh-CN"/>
        </w:rPr>
        <w:t>，占地</w:t>
      </w:r>
      <w:r>
        <w:rPr>
          <w:rFonts w:eastAsia="Times New Roman"/>
          <w:lang w:eastAsia="zh-CN"/>
        </w:rPr>
        <w:t>5.0 hm</w:t>
      </w:r>
      <w:r>
        <w:rPr>
          <w:rFonts w:eastAsia="Times New Roman"/>
          <w:vertAlign w:val="superscript"/>
          <w:lang w:eastAsia="zh-CN"/>
        </w:rPr>
        <w:t>2</w:t>
      </w:r>
      <w:r>
        <w:rPr>
          <w:lang w:eastAsia="zh-CN"/>
        </w:rPr>
        <w:t>。</w:t>
      </w:r>
    </w:p>
    <w:p>
      <w:pPr>
        <w:pStyle w:val="9"/>
        <w:tabs>
          <w:tab w:val="left" w:pos="1302"/>
        </w:tabs>
        <w:spacing w:before="0" w:after="0"/>
        <w:jc w:val="left"/>
        <w:rPr>
          <w:rFonts w:ascii="Times New Roman" w:hAnsi="Times New Roman"/>
        </w:rPr>
      </w:pPr>
      <w:r>
        <w:rPr>
          <w:rFonts w:hint="eastAsia" w:ascii="Times New Roman" w:hAnsi="Times New Roman"/>
        </w:rPr>
        <w:t>2.2.5.5燃气工程规划</w:t>
      </w:r>
    </w:p>
    <w:p>
      <w:pPr>
        <w:pStyle w:val="25"/>
        <w:spacing w:after="0"/>
        <w:ind w:firstLine="476"/>
        <w:rPr>
          <w:rFonts w:cs="Times New Roman"/>
          <w:lang w:eastAsia="zh-CN"/>
        </w:rPr>
      </w:pPr>
      <w:r>
        <w:rPr>
          <w:rFonts w:cs="Times New Roman"/>
          <w:spacing w:val="-1"/>
          <w:lang w:eastAsia="zh-CN"/>
        </w:rPr>
        <w:t>规划区气源引自规划区内规划高中压调压站，规划</w:t>
      </w:r>
      <w:r>
        <w:rPr>
          <w:rFonts w:eastAsia="Arial" w:cs="Times New Roman"/>
          <w:lang w:eastAsia="zh-CN"/>
        </w:rPr>
        <w:t>2</w:t>
      </w:r>
      <w:r>
        <w:rPr>
          <w:rFonts w:cs="Times New Roman"/>
          <w:lang w:eastAsia="zh-CN"/>
        </w:rPr>
        <w:t>座高中压调压站。该地区</w:t>
      </w:r>
      <w:r>
        <w:rPr>
          <w:rFonts w:cs="Times New Roman"/>
          <w:spacing w:val="-8"/>
          <w:lang w:eastAsia="zh-CN"/>
        </w:rPr>
        <w:t>燃气管网采用中压输气、用户调压两级压力级制。主要道路中压燃气管道采用环形供</w:t>
      </w:r>
      <w:r>
        <w:rPr>
          <w:rFonts w:cs="Times New Roman"/>
          <w:lang w:eastAsia="zh-CN"/>
        </w:rPr>
        <w:t>气系统。中低压调压站根据地块开发建设确定。</w:t>
      </w:r>
    </w:p>
    <w:p>
      <w:pPr>
        <w:pStyle w:val="9"/>
        <w:tabs>
          <w:tab w:val="left" w:pos="1019"/>
        </w:tabs>
        <w:spacing w:before="0" w:after="0"/>
        <w:jc w:val="left"/>
      </w:pPr>
      <w:r>
        <w:rPr>
          <w:rFonts w:hint="eastAsia" w:ascii="Times New Roman" w:hAnsi="Times New Roman"/>
        </w:rPr>
        <w:t>2.2.5.6</w:t>
      </w:r>
      <w:r>
        <w:t>环卫规划</w:t>
      </w:r>
    </w:p>
    <w:p>
      <w:pPr>
        <w:pStyle w:val="25"/>
        <w:spacing w:after="0"/>
        <w:ind w:firstLine="356"/>
        <w:rPr>
          <w:lang w:eastAsia="zh-CN"/>
        </w:rPr>
      </w:pPr>
      <w:r>
        <w:rPr>
          <w:spacing w:val="-31"/>
          <w:lang w:eastAsia="zh-CN"/>
        </w:rPr>
        <w:t xml:space="preserve">每 </w:t>
      </w:r>
      <w:r>
        <w:rPr>
          <w:rFonts w:eastAsia="Times New Roman"/>
          <w:lang w:eastAsia="zh-CN"/>
        </w:rPr>
        <w:t>0.7</w:t>
      </w:r>
      <w:r>
        <w:rPr>
          <w:spacing w:val="-31"/>
          <w:lang w:eastAsia="zh-CN"/>
        </w:rPr>
        <w:t xml:space="preserve">至 </w:t>
      </w:r>
      <w:r>
        <w:rPr>
          <w:rFonts w:eastAsia="Times New Roman"/>
          <w:lang w:eastAsia="zh-CN"/>
        </w:rPr>
        <w:t>1.2 km</w:t>
      </w:r>
      <w:r>
        <w:rPr>
          <w:rFonts w:eastAsia="Times New Roman"/>
          <w:vertAlign w:val="superscript"/>
          <w:lang w:eastAsia="zh-CN"/>
        </w:rPr>
        <w:t>2</w:t>
      </w:r>
      <w:r>
        <w:rPr>
          <w:spacing w:val="-8"/>
          <w:lang w:eastAsia="zh-CN"/>
        </w:rPr>
        <w:t>设置一小型垃圾收集点。垃圾收集方式采用袋装、垃圾屋收集，</w:t>
      </w:r>
      <w:r>
        <w:rPr>
          <w:spacing w:val="-13"/>
          <w:lang w:eastAsia="zh-CN"/>
        </w:rPr>
        <w:t>沿路垃圾箱按商业大街</w:t>
      </w:r>
      <w:r>
        <w:rPr>
          <w:rFonts w:eastAsia="Times New Roman"/>
          <w:lang w:eastAsia="zh-CN"/>
        </w:rPr>
        <w:t>30m</w:t>
      </w:r>
      <w:r>
        <w:rPr>
          <w:spacing w:val="-10"/>
          <w:lang w:eastAsia="zh-CN"/>
        </w:rPr>
        <w:t>，交通干道</w:t>
      </w:r>
      <w:r>
        <w:rPr>
          <w:rFonts w:eastAsia="Times New Roman"/>
          <w:lang w:eastAsia="zh-CN"/>
        </w:rPr>
        <w:t>60m</w:t>
      </w:r>
      <w:r>
        <w:rPr>
          <w:spacing w:val="-10"/>
          <w:lang w:eastAsia="zh-CN"/>
        </w:rPr>
        <w:t>，一般道路</w:t>
      </w:r>
      <w:r>
        <w:rPr>
          <w:rFonts w:eastAsia="Times New Roman"/>
          <w:lang w:eastAsia="zh-CN"/>
        </w:rPr>
        <w:t>90m</w:t>
      </w:r>
      <w:r>
        <w:rPr>
          <w:lang w:eastAsia="zh-CN"/>
        </w:rPr>
        <w:t>间隔设置。</w:t>
      </w:r>
    </w:p>
    <w:p>
      <w:pPr>
        <w:ind w:firstLine="460"/>
        <w:rPr>
          <w:rFonts w:cs="Times New Roman"/>
          <w:lang w:eastAsia="zh-CN"/>
        </w:rPr>
      </w:pPr>
      <w:r>
        <w:rPr>
          <w:spacing w:val="-5"/>
          <w:lang w:eastAsia="zh-CN"/>
        </w:rPr>
        <w:t>规划区内生活垃圾经收集后送至老虎冲生活垃圾填埋场，工业垃圾送至虎石台工</w:t>
      </w:r>
      <w:r>
        <w:rPr>
          <w:lang w:eastAsia="zh-CN"/>
        </w:rPr>
        <w:t>业垃圾填埋场</w:t>
      </w:r>
      <w:r>
        <w:rPr>
          <w:rFonts w:cs="Times New Roman"/>
          <w:lang w:eastAsia="zh-CN"/>
        </w:rPr>
        <w:t>。</w:t>
      </w:r>
    </w:p>
    <w:bookmarkEnd w:id="78"/>
    <w:p>
      <w:pPr>
        <w:pStyle w:val="8"/>
        <w:rPr>
          <w:rFonts w:ascii="Times New Roman" w:hAnsi="Times New Roman" w:cs="Times New Roman" w:eastAsiaTheme="minorEastAsia"/>
          <w:b w:val="0"/>
          <w:bCs w:val="0"/>
          <w:lang w:eastAsia="zh-CN"/>
        </w:rPr>
      </w:pPr>
      <w:bookmarkStart w:id="79" w:name="_Toc20867"/>
      <w:bookmarkStart w:id="80" w:name="_Toc3344"/>
      <w:r>
        <w:rPr>
          <w:rFonts w:ascii="Times New Roman" w:hAnsi="Times New Roman" w:cs="Times New Roman" w:eastAsiaTheme="minorEastAsia"/>
          <w:lang w:eastAsia="zh-CN"/>
        </w:rPr>
        <w:t xml:space="preserve">2.3 </w:t>
      </w:r>
      <w:r>
        <w:rPr>
          <w:rFonts w:ascii="Times New Roman" w:hAnsi="Times New Roman" w:cs="Times New Roman" w:eastAsiaTheme="minorEastAsia"/>
          <w:spacing w:val="1"/>
          <w:lang w:eastAsia="zh-CN"/>
        </w:rPr>
        <w:t>规划实施情况</w:t>
      </w:r>
      <w:bookmarkEnd w:id="79"/>
      <w:bookmarkEnd w:id="80"/>
      <w:r>
        <w:rPr>
          <w:rFonts w:hint="eastAsia" w:ascii="Times New Roman" w:hAnsi="Times New Roman" w:cs="Times New Roman" w:eastAsiaTheme="minorEastAsia"/>
          <w:spacing w:val="1"/>
          <w:lang w:eastAsia="zh-CN"/>
        </w:rPr>
        <w:t>分析</w:t>
      </w:r>
    </w:p>
    <w:p>
      <w:pPr>
        <w:pStyle w:val="9"/>
        <w:rPr>
          <w:rFonts w:ascii="Times New Roman" w:hAnsi="Times New Roman"/>
          <w:spacing w:val="-1"/>
        </w:rPr>
      </w:pPr>
      <w:bookmarkStart w:id="81" w:name="_Toc4620"/>
      <w:r>
        <w:rPr>
          <w:rFonts w:ascii="Times New Roman" w:hAnsi="Times New Roman"/>
          <w:spacing w:val="-1"/>
        </w:rPr>
        <w:t>2.</w:t>
      </w:r>
      <w:r>
        <w:rPr>
          <w:rFonts w:ascii="Times New Roman" w:hAnsi="Times New Roman" w:eastAsiaTheme="minorEastAsia"/>
          <w:spacing w:val="-1"/>
        </w:rPr>
        <w:t>3</w:t>
      </w:r>
      <w:r>
        <w:rPr>
          <w:rFonts w:ascii="Times New Roman" w:hAnsi="Times New Roman"/>
          <w:spacing w:val="-1"/>
        </w:rPr>
        <w:t>.1 规划调整情况</w:t>
      </w:r>
      <w:bookmarkEnd w:id="81"/>
    </w:p>
    <w:p>
      <w:pPr>
        <w:ind w:firstLine="480"/>
        <w:rPr>
          <w:rFonts w:cs="Times New Roman"/>
          <w:lang w:eastAsia="zh-CN"/>
        </w:rPr>
      </w:pPr>
      <w:r>
        <w:rPr>
          <w:rFonts w:cs="Times New Roman"/>
          <w:lang w:eastAsia="zh-CN"/>
        </w:rPr>
        <w:t>20</w:t>
      </w:r>
      <w:r>
        <w:rPr>
          <w:rFonts w:hint="eastAsia" w:cs="Times New Roman"/>
          <w:lang w:eastAsia="zh-CN"/>
        </w:rPr>
        <w:t>21</w:t>
      </w:r>
      <w:r>
        <w:rPr>
          <w:rFonts w:cs="Times New Roman"/>
          <w:lang w:eastAsia="zh-CN"/>
        </w:rPr>
        <w:t>年，《</w:t>
      </w:r>
      <w:r>
        <w:rPr>
          <w:rFonts w:hint="eastAsia" w:cs="Times New Roman"/>
          <w:lang w:eastAsia="zh-CN"/>
        </w:rPr>
        <w:t>沈阳市中心城区</w:t>
      </w:r>
      <w:r>
        <w:rPr>
          <w:rFonts w:cs="Times New Roman"/>
          <w:lang w:eastAsia="zh-CN"/>
        </w:rPr>
        <w:t>控制详细规划》编制完成，</w:t>
      </w:r>
      <w:r>
        <w:rPr>
          <w:rFonts w:hint="eastAsia" w:cs="Times New Roman"/>
          <w:lang w:eastAsia="zh-CN"/>
        </w:rPr>
        <w:t>规划区域</w:t>
      </w:r>
      <w:r>
        <w:rPr>
          <w:rFonts w:cs="Times New Roman"/>
          <w:lang w:eastAsia="zh-CN"/>
        </w:rPr>
        <w:t>包含</w:t>
      </w:r>
      <w:r>
        <w:rPr>
          <w:rFonts w:hint="eastAsia" w:cs="Times New Roman"/>
          <w:lang w:eastAsia="zh-CN"/>
        </w:rPr>
        <w:t>李巴彦单元、石庙子单元、王家湾单元、麦子屯单元、杨官单元五个</w:t>
      </w:r>
      <w:r>
        <w:rPr>
          <w:rFonts w:cs="Times New Roman"/>
          <w:lang w:eastAsia="zh-CN"/>
        </w:rPr>
        <w:t>控详单元</w:t>
      </w:r>
      <w:r>
        <w:rPr>
          <w:rFonts w:hint="eastAsia" w:cs="Times New Roman"/>
          <w:lang w:eastAsia="zh-CN"/>
        </w:rPr>
        <w:t>及耕地</w:t>
      </w:r>
      <w:r>
        <w:rPr>
          <w:rFonts w:cs="Times New Roman"/>
          <w:lang w:eastAsia="zh-CN"/>
        </w:rPr>
        <w:t>。《</w:t>
      </w:r>
      <w:r>
        <w:rPr>
          <w:rFonts w:hint="eastAsia" w:cs="Times New Roman"/>
          <w:lang w:eastAsia="zh-CN"/>
        </w:rPr>
        <w:t>沈阳市中心城区</w:t>
      </w:r>
      <w:r>
        <w:rPr>
          <w:rFonts w:cs="Times New Roman"/>
          <w:lang w:eastAsia="zh-CN"/>
        </w:rPr>
        <w:t>控制详细规划》中，涉及本规划区域的规划定位与本规划原有规划定位</w:t>
      </w:r>
      <w:r>
        <w:rPr>
          <w:rFonts w:hint="eastAsia" w:cs="Times New Roman"/>
          <w:lang w:eastAsia="zh-CN"/>
        </w:rPr>
        <w:t>一致</w:t>
      </w:r>
      <w:r>
        <w:rPr>
          <w:rFonts w:cs="Times New Roman"/>
          <w:lang w:eastAsia="zh-CN"/>
        </w:rPr>
        <w:t>。</w:t>
      </w:r>
    </w:p>
    <w:p>
      <w:pPr>
        <w:ind w:firstLine="480"/>
        <w:rPr>
          <w:rFonts w:cs="Times New Roman"/>
          <w:lang w:eastAsia="zh-CN"/>
        </w:rPr>
      </w:pPr>
      <w:r>
        <w:rPr>
          <w:rFonts w:hint="eastAsia" w:cs="Times New Roman"/>
          <w:lang w:eastAsia="zh-CN"/>
        </w:rPr>
        <w:t>国际新兴产业园区</w:t>
      </w:r>
      <w:r>
        <w:rPr>
          <w:rFonts w:cs="Times New Roman"/>
          <w:lang w:eastAsia="zh-CN"/>
        </w:rPr>
        <w:t>现状与原有规划内容对比分析情况详见表2.3-1。</w:t>
      </w:r>
      <w:r>
        <w:rPr>
          <w:rFonts w:hint="eastAsia" w:cs="Times New Roman"/>
          <w:lang w:eastAsia="zh-CN"/>
        </w:rPr>
        <w:t>土地利用规划图见附图2-3，土地利用现状图</w:t>
      </w:r>
      <w:r>
        <w:rPr>
          <w:rFonts w:cs="Times New Roman"/>
          <w:lang w:eastAsia="zh-CN"/>
        </w:rPr>
        <w:t>详见</w:t>
      </w:r>
      <w:r>
        <w:rPr>
          <w:rFonts w:hint="eastAsia" w:cs="Times New Roman"/>
          <w:lang w:eastAsia="zh-CN"/>
        </w:rPr>
        <w:t>附</w:t>
      </w:r>
      <w:r>
        <w:rPr>
          <w:rFonts w:cs="Times New Roman"/>
          <w:lang w:eastAsia="zh-CN"/>
        </w:rPr>
        <w:t>图2-</w:t>
      </w:r>
      <w:r>
        <w:rPr>
          <w:rFonts w:hint="eastAsia" w:cs="Times New Roman"/>
          <w:lang w:eastAsia="zh-CN"/>
        </w:rPr>
        <w:t>4</w:t>
      </w:r>
      <w:r>
        <w:rPr>
          <w:rFonts w:cs="Times New Roman"/>
          <w:lang w:eastAsia="zh-CN"/>
        </w:rPr>
        <w:t>，</w:t>
      </w:r>
      <w:r>
        <w:rPr>
          <w:rFonts w:hint="eastAsia" w:cs="Times New Roman"/>
          <w:lang w:eastAsia="zh-CN"/>
        </w:rPr>
        <w:t>国际新兴产业园区现状土地利用规划</w:t>
      </w:r>
      <w:r>
        <w:rPr>
          <w:rFonts w:cs="Times New Roman"/>
          <w:lang w:eastAsia="zh-CN"/>
        </w:rPr>
        <w:t>详见</w:t>
      </w:r>
      <w:r>
        <w:rPr>
          <w:rFonts w:hint="eastAsia" w:cs="Times New Roman"/>
          <w:lang w:eastAsia="zh-CN"/>
        </w:rPr>
        <w:t>附</w:t>
      </w:r>
      <w:r>
        <w:rPr>
          <w:rFonts w:cs="Times New Roman"/>
          <w:lang w:eastAsia="zh-CN"/>
        </w:rPr>
        <w:t>图2-</w:t>
      </w:r>
      <w:r>
        <w:rPr>
          <w:rFonts w:hint="eastAsia" w:cs="Times New Roman"/>
          <w:lang w:eastAsia="zh-CN"/>
        </w:rPr>
        <w:t>5</w:t>
      </w:r>
      <w:r>
        <w:rPr>
          <w:rFonts w:cs="Times New Roman"/>
          <w:lang w:eastAsia="zh-CN"/>
        </w:rPr>
        <w:t>。</w:t>
      </w:r>
    </w:p>
    <w:p>
      <w:pPr>
        <w:ind w:firstLine="480"/>
        <w:rPr>
          <w:rFonts w:cs="Times New Roman"/>
          <w:lang w:eastAsia="zh-CN"/>
        </w:rPr>
      </w:pPr>
      <w:bookmarkStart w:id="82" w:name="_Hlk56904567"/>
      <w:r>
        <w:rPr>
          <w:rFonts w:cs="Times New Roman"/>
          <w:lang w:eastAsia="zh-CN"/>
        </w:rPr>
        <w:t>区域现状与原规划内容对比分析见表2.3-1，与现行规划对比分析见表2.3-2。</w:t>
      </w:r>
    </w:p>
    <w:p>
      <w:pPr>
        <w:pStyle w:val="20"/>
        <w:spacing w:line="240" w:lineRule="auto"/>
        <w:jc w:val="center"/>
        <w:rPr>
          <w:rFonts w:ascii="Times New Roman" w:hAnsi="Times New Roman" w:eastAsia="宋体" w:cs="Times New Roman"/>
          <w:b/>
          <w:bCs/>
          <w:sz w:val="21"/>
          <w:lang w:eastAsia="zh-CN"/>
        </w:rPr>
      </w:pPr>
      <w:r>
        <w:rPr>
          <w:rFonts w:ascii="Times New Roman" w:hAnsi="Times New Roman" w:eastAsia="宋体" w:cs="Times New Roman"/>
          <w:b/>
          <w:bCs/>
          <w:sz w:val="21"/>
          <w:lang w:eastAsia="zh-CN"/>
        </w:rPr>
        <w:t>表2.3-1  区域现状与原有规划内容对比分析</w:t>
      </w:r>
    </w:p>
    <w:bookmarkEnd w:id="82"/>
    <w:tbl>
      <w:tblPr>
        <w:tblStyle w:val="64"/>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9"/>
        <w:gridCol w:w="1811"/>
        <w:gridCol w:w="927"/>
        <w:gridCol w:w="4432"/>
        <w:gridCol w:w="94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pPr>
              <w:pStyle w:val="16"/>
              <w:spacing w:line="400" w:lineRule="exact"/>
              <w:rPr>
                <w:rFonts w:ascii="Times New Roman" w:hAnsi="Times New Roman"/>
                <w:b/>
                <w:bCs/>
                <w:sz w:val="21"/>
              </w:rPr>
            </w:pPr>
            <w:r>
              <w:rPr>
                <w:rFonts w:ascii="Times New Roman" w:hAnsi="Times New Roman"/>
                <w:b/>
                <w:bCs/>
                <w:sz w:val="21"/>
              </w:rPr>
              <w:t>分类</w:t>
            </w:r>
          </w:p>
        </w:tc>
        <w:tc>
          <w:tcPr>
            <w:tcW w:w="975" w:type="pct"/>
            <w:vAlign w:val="center"/>
          </w:tcPr>
          <w:p>
            <w:pPr>
              <w:pStyle w:val="16"/>
              <w:spacing w:line="400" w:lineRule="exact"/>
              <w:rPr>
                <w:rFonts w:ascii="Times New Roman" w:hAnsi="Times New Roman"/>
                <w:b/>
                <w:bCs/>
                <w:sz w:val="21"/>
              </w:rPr>
            </w:pPr>
            <w:r>
              <w:rPr>
                <w:rFonts w:ascii="Times New Roman" w:hAnsi="Times New Roman"/>
                <w:b/>
                <w:bCs/>
                <w:sz w:val="21"/>
              </w:rPr>
              <w:t>规划情况</w:t>
            </w:r>
          </w:p>
        </w:tc>
        <w:tc>
          <w:tcPr>
            <w:tcW w:w="2885" w:type="pct"/>
            <w:gridSpan w:val="2"/>
            <w:vAlign w:val="center"/>
          </w:tcPr>
          <w:p>
            <w:pPr>
              <w:pStyle w:val="16"/>
              <w:spacing w:line="400" w:lineRule="exact"/>
              <w:rPr>
                <w:rFonts w:ascii="Times New Roman" w:hAnsi="Times New Roman"/>
                <w:b/>
                <w:bCs/>
                <w:sz w:val="21"/>
              </w:rPr>
            </w:pPr>
            <w:r>
              <w:rPr>
                <w:rFonts w:hint="eastAsia" w:ascii="Times New Roman" w:hAnsi="Times New Roman"/>
                <w:b/>
                <w:bCs/>
                <w:sz w:val="21"/>
              </w:rPr>
              <w:t>国际新兴产业园区</w:t>
            </w:r>
            <w:r>
              <w:rPr>
                <w:rFonts w:ascii="Times New Roman" w:hAnsi="Times New Roman"/>
                <w:b/>
                <w:bCs/>
                <w:sz w:val="21"/>
              </w:rPr>
              <w:t>现状</w:t>
            </w:r>
          </w:p>
        </w:tc>
        <w:tc>
          <w:tcPr>
            <w:tcW w:w="508" w:type="pct"/>
            <w:vAlign w:val="center"/>
          </w:tcPr>
          <w:p>
            <w:pPr>
              <w:pStyle w:val="16"/>
              <w:spacing w:line="400" w:lineRule="exact"/>
              <w:rPr>
                <w:rFonts w:ascii="Times New Roman" w:hAnsi="Times New Roman"/>
                <w:b/>
                <w:bCs/>
                <w:sz w:val="21"/>
              </w:rPr>
            </w:pPr>
            <w:r>
              <w:rPr>
                <w:rFonts w:ascii="Times New Roman" w:hAnsi="Times New Roman"/>
                <w:b/>
                <w:bCs/>
                <w:sz w:val="21"/>
              </w:rPr>
              <w:t>对比分析结果</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pPr>
              <w:pStyle w:val="16"/>
              <w:spacing w:line="400" w:lineRule="exact"/>
              <w:rPr>
                <w:rFonts w:ascii="Times New Roman" w:hAnsi="Times New Roman"/>
                <w:sz w:val="21"/>
              </w:rPr>
            </w:pPr>
            <w:r>
              <w:rPr>
                <w:rFonts w:ascii="Times New Roman" w:hAnsi="Times New Roman"/>
                <w:sz w:val="21"/>
              </w:rPr>
              <w:t>开发范围</w:t>
            </w:r>
          </w:p>
        </w:tc>
        <w:tc>
          <w:tcPr>
            <w:tcW w:w="975" w:type="pct"/>
            <w:vAlign w:val="center"/>
          </w:tcPr>
          <w:p>
            <w:pPr>
              <w:pStyle w:val="119"/>
              <w:spacing w:line="400" w:lineRule="exact"/>
              <w:ind w:firstLine="0" w:firstLineChars="0"/>
              <w:rPr>
                <w:sz w:val="21"/>
                <w:szCs w:val="21"/>
                <w:lang w:eastAsia="zh-CN"/>
              </w:rPr>
            </w:pPr>
            <w:r>
              <w:rPr>
                <w:sz w:val="21"/>
                <w:szCs w:val="21"/>
                <w:lang w:eastAsia="zh-CN"/>
              </w:rPr>
              <w:t>浑南国际新兴产业园区位于东陵区北部，规划范围东至三环高速，南至规划全运南路，西至沈李公路，北至浑河，规划总用地面积</w:t>
            </w:r>
            <w:r>
              <w:rPr>
                <w:rFonts w:eastAsia="Times New Roman"/>
                <w:sz w:val="21"/>
                <w:szCs w:val="21"/>
                <w:lang w:eastAsia="zh-CN"/>
              </w:rPr>
              <w:t>51km</w:t>
            </w:r>
            <w:r>
              <w:rPr>
                <w:rFonts w:eastAsia="Times New Roman"/>
                <w:sz w:val="21"/>
                <w:szCs w:val="21"/>
                <w:vertAlign w:val="superscript"/>
                <w:lang w:eastAsia="zh-CN"/>
              </w:rPr>
              <w:t>2</w:t>
            </w:r>
            <w:r>
              <w:rPr>
                <w:sz w:val="21"/>
                <w:szCs w:val="21"/>
                <w:lang w:eastAsia="zh-CN"/>
              </w:rPr>
              <w:t>。</w:t>
            </w:r>
          </w:p>
        </w:tc>
        <w:tc>
          <w:tcPr>
            <w:tcW w:w="2885" w:type="pct"/>
            <w:gridSpan w:val="2"/>
            <w:vAlign w:val="center"/>
          </w:tcPr>
          <w:p>
            <w:pPr>
              <w:pStyle w:val="119"/>
              <w:spacing w:line="400" w:lineRule="exact"/>
              <w:ind w:firstLine="0" w:firstLineChars="0"/>
              <w:jc w:val="center"/>
              <w:rPr>
                <w:sz w:val="21"/>
                <w:szCs w:val="21"/>
                <w:lang w:eastAsia="zh-CN"/>
              </w:rPr>
            </w:pPr>
            <w:r>
              <w:rPr>
                <w:sz w:val="21"/>
                <w:szCs w:val="21"/>
                <w:lang w:eastAsia="zh-CN"/>
              </w:rPr>
              <w:t>浑南国际新兴产业园区位于东陵区北部，规划范围东至三环高速，南至规划全运南路，西至沈李公路，北至浑河，规划总用地面积</w:t>
            </w:r>
            <w:r>
              <w:rPr>
                <w:rFonts w:eastAsia="Times New Roman"/>
                <w:sz w:val="21"/>
                <w:szCs w:val="21"/>
                <w:lang w:eastAsia="zh-CN"/>
              </w:rPr>
              <w:t>51km</w:t>
            </w:r>
            <w:r>
              <w:rPr>
                <w:rFonts w:eastAsia="Times New Roman"/>
                <w:sz w:val="21"/>
                <w:szCs w:val="21"/>
                <w:vertAlign w:val="superscript"/>
                <w:lang w:eastAsia="zh-CN"/>
              </w:rPr>
              <w:t>2</w:t>
            </w:r>
            <w:r>
              <w:rPr>
                <w:sz w:val="21"/>
                <w:szCs w:val="21"/>
                <w:lang w:eastAsia="zh-CN"/>
              </w:rPr>
              <w:t>。</w:t>
            </w:r>
          </w:p>
        </w:tc>
        <w:tc>
          <w:tcPr>
            <w:tcW w:w="508" w:type="pct"/>
            <w:vAlign w:val="center"/>
          </w:tcPr>
          <w:p>
            <w:pPr>
              <w:pStyle w:val="16"/>
              <w:spacing w:line="400" w:lineRule="exact"/>
              <w:rPr>
                <w:rFonts w:ascii="Times New Roman" w:hAnsi="Times New Roman"/>
                <w:sz w:val="21"/>
              </w:rPr>
            </w:pPr>
            <w:r>
              <w:rPr>
                <w:rFonts w:ascii="Times New Roman" w:hAnsi="Times New Roman"/>
                <w:sz w:val="21"/>
              </w:rPr>
              <w:t>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630" w:type="pct"/>
            <w:vMerge w:val="restart"/>
            <w:vAlign w:val="center"/>
          </w:tcPr>
          <w:p>
            <w:pPr>
              <w:pStyle w:val="16"/>
              <w:spacing w:line="400" w:lineRule="exact"/>
              <w:rPr>
                <w:rFonts w:ascii="Times New Roman" w:hAnsi="Times New Roman"/>
                <w:sz w:val="21"/>
              </w:rPr>
            </w:pPr>
            <w:r>
              <w:rPr>
                <w:rFonts w:ascii="Times New Roman" w:hAnsi="Times New Roman"/>
                <w:sz w:val="21"/>
              </w:rPr>
              <w:t>规划定位</w:t>
            </w:r>
          </w:p>
        </w:tc>
        <w:tc>
          <w:tcPr>
            <w:tcW w:w="975" w:type="pct"/>
            <w:vMerge w:val="restart"/>
            <w:vAlign w:val="center"/>
          </w:tcPr>
          <w:p>
            <w:pPr>
              <w:pStyle w:val="16"/>
              <w:spacing w:line="400" w:lineRule="exact"/>
              <w:rPr>
                <w:rFonts w:ascii="Times New Roman" w:hAnsi="Times New Roman"/>
                <w:sz w:val="21"/>
              </w:rPr>
            </w:pPr>
            <w:r>
              <w:rPr>
                <w:sz w:val="21"/>
              </w:rPr>
              <w:t>充满活力和独特城市环境的乐活之城；构建产业、科研、商业、居住融合的现代新兴产业园区。</w:t>
            </w:r>
          </w:p>
        </w:tc>
        <w:tc>
          <w:tcPr>
            <w:tcW w:w="499" w:type="pct"/>
            <w:vMerge w:val="restart"/>
            <w:vAlign w:val="center"/>
          </w:tcPr>
          <w:p>
            <w:pPr>
              <w:pStyle w:val="16"/>
              <w:spacing w:line="400" w:lineRule="exact"/>
              <w:rPr>
                <w:rFonts w:ascii="Times New Roman" w:hAnsi="Times New Roman"/>
                <w:sz w:val="21"/>
              </w:rPr>
            </w:pPr>
            <w:r>
              <w:rPr>
                <w:rFonts w:hint="eastAsia" w:ascii="Times New Roman" w:hAnsi="Times New Roman" w:cstheme="minorBidi"/>
                <w:sz w:val="21"/>
              </w:rPr>
              <w:t>国际新兴产业园区</w:t>
            </w:r>
            <w:r>
              <w:rPr>
                <w:rFonts w:ascii="Times New Roman" w:hAnsi="Times New Roman" w:cstheme="minorBidi"/>
                <w:sz w:val="21"/>
              </w:rPr>
              <w:t>基本按原有规划发展较好</w:t>
            </w:r>
            <w:bookmarkStart w:id="83" w:name="_Hlk56903850"/>
            <w:r>
              <w:rPr>
                <w:rFonts w:ascii="Times New Roman" w:hAnsi="Times New Roman" w:cstheme="minorBidi"/>
                <w:sz w:val="21"/>
              </w:rPr>
              <w:t>。</w:t>
            </w:r>
            <w:bookmarkEnd w:id="83"/>
          </w:p>
        </w:tc>
        <w:tc>
          <w:tcPr>
            <w:tcW w:w="2386" w:type="pct"/>
            <w:vAlign w:val="center"/>
          </w:tcPr>
          <w:p>
            <w:pPr>
              <w:pStyle w:val="16"/>
              <w:spacing w:line="400" w:lineRule="exact"/>
              <w:rPr>
                <w:rFonts w:ascii="Times New Roman" w:hAnsi="Times New Roman" w:cstheme="minorBidi"/>
                <w:sz w:val="21"/>
              </w:rPr>
            </w:pPr>
            <w:r>
              <w:rPr>
                <w:rFonts w:hint="eastAsia" w:ascii="Times New Roman" w:hAnsi="Times New Roman" w:cstheme="minorBidi"/>
                <w:sz w:val="21"/>
              </w:rPr>
              <w:t>石庙子单元：是沈阳东南绿楔的重要组成部分，规划以生态绿地和耕地为主，保留现有的居住和物流仓储功能。</w:t>
            </w:r>
          </w:p>
        </w:tc>
        <w:tc>
          <w:tcPr>
            <w:tcW w:w="508" w:type="pct"/>
            <w:vMerge w:val="restart"/>
            <w:vAlign w:val="center"/>
          </w:tcPr>
          <w:p>
            <w:pPr>
              <w:pStyle w:val="16"/>
              <w:spacing w:line="400" w:lineRule="exact"/>
              <w:rPr>
                <w:rFonts w:ascii="Times New Roman" w:hAnsi="Times New Roman"/>
                <w:sz w:val="21"/>
              </w:rPr>
            </w:pPr>
            <w:r>
              <w:rPr>
                <w:rFonts w:ascii="Times New Roman" w:hAnsi="Times New Roman"/>
                <w:sz w:val="21"/>
              </w:rPr>
              <w:t>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630" w:type="pct"/>
            <w:vMerge w:val="continue"/>
            <w:vAlign w:val="center"/>
          </w:tcPr>
          <w:p>
            <w:pPr>
              <w:pStyle w:val="16"/>
              <w:spacing w:line="400" w:lineRule="exact"/>
            </w:pPr>
          </w:p>
        </w:tc>
        <w:tc>
          <w:tcPr>
            <w:tcW w:w="975" w:type="pct"/>
            <w:vMerge w:val="continue"/>
            <w:vAlign w:val="center"/>
          </w:tcPr>
          <w:p>
            <w:pPr>
              <w:pStyle w:val="25"/>
              <w:spacing w:after="0" w:line="400" w:lineRule="exact"/>
              <w:ind w:firstLine="0" w:firstLineChars="0"/>
              <w:jc w:val="center"/>
            </w:pPr>
          </w:p>
        </w:tc>
        <w:tc>
          <w:tcPr>
            <w:tcW w:w="499" w:type="pct"/>
            <w:vMerge w:val="continue"/>
            <w:vAlign w:val="center"/>
          </w:tcPr>
          <w:p>
            <w:pPr>
              <w:pStyle w:val="16"/>
              <w:spacing w:line="400" w:lineRule="exact"/>
              <w:rPr>
                <w:rFonts w:ascii="Times New Roman" w:hAnsi="Times New Roman" w:cstheme="minorBidi"/>
                <w:sz w:val="21"/>
              </w:rPr>
            </w:pPr>
          </w:p>
        </w:tc>
        <w:tc>
          <w:tcPr>
            <w:tcW w:w="2386" w:type="pct"/>
            <w:vAlign w:val="center"/>
          </w:tcPr>
          <w:p>
            <w:pPr>
              <w:pStyle w:val="16"/>
              <w:spacing w:line="400" w:lineRule="exact"/>
              <w:rPr>
                <w:rFonts w:ascii="Times New Roman" w:hAnsi="Times New Roman" w:cstheme="minorBidi"/>
                <w:sz w:val="21"/>
              </w:rPr>
            </w:pPr>
            <w:r>
              <w:rPr>
                <w:rFonts w:hint="eastAsia" w:ascii="Times New Roman" w:hAnsi="Times New Roman" w:cstheme="minorBidi"/>
                <w:sz w:val="21"/>
              </w:rPr>
              <w:t>王家湾单元：以居住和商业功能为主，是沈阳东部浑河南岸布局全市国际活动的战略拓展区。</w:t>
            </w:r>
          </w:p>
        </w:tc>
        <w:tc>
          <w:tcPr>
            <w:tcW w:w="508" w:type="pct"/>
            <w:vMerge w:val="continue"/>
            <w:vAlign w:val="center"/>
          </w:tcPr>
          <w:p>
            <w:pPr>
              <w:pStyle w:val="16"/>
              <w:spacing w:line="400" w:lineRule="exact"/>
              <w:rPr>
                <w:rFonts w:ascii="Times New Roman" w:hAnsi="Times New Roman" w:cstheme="minorBidi"/>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630" w:type="pct"/>
            <w:vMerge w:val="continue"/>
            <w:vAlign w:val="center"/>
          </w:tcPr>
          <w:p>
            <w:pPr>
              <w:pStyle w:val="16"/>
              <w:spacing w:line="400" w:lineRule="exact"/>
              <w:rPr>
                <w:rFonts w:ascii="Times New Roman" w:hAnsi="Times New Roman" w:cstheme="minorBidi"/>
                <w:sz w:val="21"/>
              </w:rPr>
            </w:pPr>
          </w:p>
        </w:tc>
        <w:tc>
          <w:tcPr>
            <w:tcW w:w="975" w:type="pct"/>
            <w:vMerge w:val="continue"/>
            <w:vAlign w:val="center"/>
          </w:tcPr>
          <w:p>
            <w:pPr>
              <w:pStyle w:val="16"/>
              <w:spacing w:line="400" w:lineRule="exact"/>
              <w:rPr>
                <w:rFonts w:ascii="Times New Roman" w:hAnsi="Times New Roman" w:cstheme="minorBidi"/>
                <w:sz w:val="21"/>
              </w:rPr>
            </w:pPr>
          </w:p>
        </w:tc>
        <w:tc>
          <w:tcPr>
            <w:tcW w:w="499" w:type="pct"/>
            <w:vMerge w:val="continue"/>
            <w:vAlign w:val="center"/>
          </w:tcPr>
          <w:p>
            <w:pPr>
              <w:pStyle w:val="16"/>
              <w:spacing w:line="400" w:lineRule="exact"/>
              <w:rPr>
                <w:rFonts w:ascii="Times New Roman" w:hAnsi="Times New Roman" w:cstheme="minorBidi"/>
                <w:sz w:val="21"/>
              </w:rPr>
            </w:pPr>
          </w:p>
        </w:tc>
        <w:tc>
          <w:tcPr>
            <w:tcW w:w="2386" w:type="pct"/>
            <w:vAlign w:val="center"/>
          </w:tcPr>
          <w:p>
            <w:pPr>
              <w:pStyle w:val="16"/>
              <w:spacing w:line="400" w:lineRule="exact"/>
              <w:rPr>
                <w:rFonts w:ascii="Times New Roman" w:hAnsi="Times New Roman" w:cstheme="minorBidi"/>
                <w:sz w:val="21"/>
              </w:rPr>
            </w:pPr>
            <w:r>
              <w:rPr>
                <w:rFonts w:hint="eastAsia" w:ascii="Times New Roman" w:hAnsi="Times New Roman" w:cstheme="minorBidi"/>
                <w:sz w:val="21"/>
              </w:rPr>
              <w:t>麦子屯单元：以电子商务第三方物流为主导的浑南区重要的电商物流园。</w:t>
            </w:r>
          </w:p>
        </w:tc>
        <w:tc>
          <w:tcPr>
            <w:tcW w:w="508" w:type="pct"/>
            <w:vMerge w:val="continue"/>
            <w:vAlign w:val="center"/>
          </w:tcPr>
          <w:p>
            <w:pPr>
              <w:pStyle w:val="16"/>
              <w:spacing w:line="400" w:lineRule="exact"/>
              <w:rPr>
                <w:rFonts w:ascii="Times New Roman" w:hAnsi="Times New Roman" w:cstheme="minorBidi"/>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630" w:type="pct"/>
            <w:vMerge w:val="continue"/>
            <w:vAlign w:val="center"/>
          </w:tcPr>
          <w:p>
            <w:pPr>
              <w:pStyle w:val="16"/>
              <w:spacing w:line="400" w:lineRule="exact"/>
              <w:rPr>
                <w:rFonts w:ascii="Times New Roman" w:hAnsi="Times New Roman" w:cstheme="minorBidi"/>
                <w:sz w:val="21"/>
              </w:rPr>
            </w:pPr>
          </w:p>
        </w:tc>
        <w:tc>
          <w:tcPr>
            <w:tcW w:w="975" w:type="pct"/>
            <w:vMerge w:val="continue"/>
            <w:vAlign w:val="center"/>
          </w:tcPr>
          <w:p>
            <w:pPr>
              <w:pStyle w:val="16"/>
              <w:spacing w:line="400" w:lineRule="exact"/>
              <w:rPr>
                <w:rFonts w:ascii="Times New Roman" w:hAnsi="Times New Roman" w:cstheme="minorBidi"/>
                <w:sz w:val="21"/>
              </w:rPr>
            </w:pPr>
          </w:p>
        </w:tc>
        <w:tc>
          <w:tcPr>
            <w:tcW w:w="499" w:type="pct"/>
            <w:vMerge w:val="continue"/>
            <w:vAlign w:val="center"/>
          </w:tcPr>
          <w:p>
            <w:pPr>
              <w:pStyle w:val="16"/>
              <w:spacing w:line="400" w:lineRule="exact"/>
              <w:rPr>
                <w:rFonts w:ascii="Times New Roman" w:hAnsi="Times New Roman" w:cstheme="minorBidi"/>
                <w:sz w:val="21"/>
              </w:rPr>
            </w:pPr>
          </w:p>
        </w:tc>
        <w:tc>
          <w:tcPr>
            <w:tcW w:w="2386" w:type="pct"/>
            <w:vAlign w:val="center"/>
          </w:tcPr>
          <w:p>
            <w:pPr>
              <w:pStyle w:val="16"/>
              <w:spacing w:line="400" w:lineRule="exact"/>
              <w:rPr>
                <w:rFonts w:ascii="Times New Roman" w:hAnsi="Times New Roman" w:cstheme="minorBidi"/>
                <w:sz w:val="21"/>
              </w:rPr>
            </w:pPr>
            <w:r>
              <w:rPr>
                <w:rFonts w:hint="eastAsia" w:ascii="Times New Roman" w:hAnsi="Times New Roman" w:cstheme="minorBidi"/>
                <w:sz w:val="21"/>
              </w:rPr>
              <w:t>杨官单元：以城市居住、都市型工业产业园为基本载体的综合服务区。</w:t>
            </w:r>
          </w:p>
        </w:tc>
        <w:tc>
          <w:tcPr>
            <w:tcW w:w="508" w:type="pct"/>
            <w:vMerge w:val="continue"/>
            <w:vAlign w:val="center"/>
          </w:tcPr>
          <w:p>
            <w:pPr>
              <w:pStyle w:val="16"/>
              <w:spacing w:line="400" w:lineRule="exact"/>
              <w:rPr>
                <w:rFonts w:ascii="Times New Roman" w:hAnsi="Times New Roman" w:cstheme="minorBidi"/>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630" w:type="pct"/>
            <w:vMerge w:val="continue"/>
            <w:vAlign w:val="center"/>
          </w:tcPr>
          <w:p>
            <w:pPr>
              <w:pStyle w:val="16"/>
              <w:spacing w:line="400" w:lineRule="exact"/>
              <w:rPr>
                <w:rFonts w:ascii="Times New Roman" w:hAnsi="Times New Roman" w:cstheme="minorBidi"/>
                <w:sz w:val="21"/>
              </w:rPr>
            </w:pPr>
          </w:p>
        </w:tc>
        <w:tc>
          <w:tcPr>
            <w:tcW w:w="975" w:type="pct"/>
            <w:vMerge w:val="continue"/>
            <w:vAlign w:val="center"/>
          </w:tcPr>
          <w:p>
            <w:pPr>
              <w:pStyle w:val="16"/>
              <w:spacing w:line="400" w:lineRule="exact"/>
              <w:rPr>
                <w:rFonts w:ascii="Times New Roman" w:hAnsi="Times New Roman" w:cstheme="minorBidi"/>
                <w:sz w:val="21"/>
              </w:rPr>
            </w:pPr>
          </w:p>
        </w:tc>
        <w:tc>
          <w:tcPr>
            <w:tcW w:w="499" w:type="pct"/>
            <w:vMerge w:val="continue"/>
            <w:vAlign w:val="center"/>
          </w:tcPr>
          <w:p>
            <w:pPr>
              <w:pStyle w:val="16"/>
              <w:spacing w:line="400" w:lineRule="exact"/>
              <w:rPr>
                <w:rFonts w:ascii="Times New Roman" w:hAnsi="Times New Roman" w:cstheme="minorBidi"/>
                <w:sz w:val="21"/>
              </w:rPr>
            </w:pPr>
          </w:p>
        </w:tc>
        <w:tc>
          <w:tcPr>
            <w:tcW w:w="2386" w:type="pct"/>
            <w:vAlign w:val="center"/>
          </w:tcPr>
          <w:p>
            <w:pPr>
              <w:pStyle w:val="16"/>
              <w:spacing w:line="400" w:lineRule="exact"/>
              <w:rPr>
                <w:rFonts w:ascii="Times New Roman" w:hAnsi="Times New Roman" w:cstheme="minorBidi"/>
                <w:sz w:val="21"/>
              </w:rPr>
            </w:pPr>
            <w:r>
              <w:rPr>
                <w:rFonts w:hint="eastAsia" w:ascii="Times New Roman" w:hAnsi="Times New Roman" w:cstheme="minorBidi"/>
                <w:sz w:val="21"/>
              </w:rPr>
              <w:t>李巴彦单元：以产业和生态功能为主，已居住功能为辅的生态行生产单元。</w:t>
            </w:r>
          </w:p>
        </w:tc>
        <w:tc>
          <w:tcPr>
            <w:tcW w:w="508" w:type="pct"/>
            <w:vMerge w:val="continue"/>
            <w:vAlign w:val="center"/>
          </w:tcPr>
          <w:p>
            <w:pPr>
              <w:pStyle w:val="16"/>
              <w:spacing w:line="400" w:lineRule="exact"/>
              <w:rPr>
                <w:rFonts w:ascii="Times New Roman" w:hAnsi="Times New Roman" w:cstheme="minorBidi"/>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pPr>
              <w:pStyle w:val="16"/>
              <w:spacing w:line="400" w:lineRule="exact"/>
              <w:rPr>
                <w:rFonts w:ascii="Times New Roman" w:hAnsi="Times New Roman"/>
                <w:sz w:val="21"/>
              </w:rPr>
            </w:pPr>
            <w:r>
              <w:rPr>
                <w:rFonts w:ascii="Times New Roman" w:hAnsi="Times New Roman"/>
                <w:sz w:val="21"/>
              </w:rPr>
              <w:t>用地布局</w:t>
            </w:r>
          </w:p>
        </w:tc>
        <w:tc>
          <w:tcPr>
            <w:tcW w:w="975" w:type="pct"/>
            <w:vAlign w:val="center"/>
          </w:tcPr>
          <w:p>
            <w:pPr>
              <w:pStyle w:val="25"/>
              <w:spacing w:after="0" w:line="400" w:lineRule="exact"/>
              <w:ind w:firstLine="0" w:firstLineChars="0"/>
              <w:jc w:val="center"/>
              <w:rPr>
                <w:sz w:val="21"/>
                <w:szCs w:val="21"/>
                <w:lang w:eastAsia="zh-CN"/>
              </w:rPr>
            </w:pPr>
            <w:r>
              <w:rPr>
                <w:sz w:val="21"/>
                <w:szCs w:val="21"/>
                <w:lang w:eastAsia="zh-CN"/>
              </w:rPr>
              <w:t>创造一个健康、</w:t>
            </w:r>
            <w:bookmarkStart w:id="84" w:name="_Hlk55157911"/>
            <w:r>
              <w:rPr>
                <w:rFonts w:hint="eastAsia"/>
                <w:sz w:val="21"/>
                <w:szCs w:val="21"/>
                <w:lang w:eastAsia="zh-CN"/>
              </w:rPr>
              <w:t>国际新兴产业园区用地</w:t>
            </w:r>
            <w:r>
              <w:rPr>
                <w:sz w:val="21"/>
                <w:szCs w:val="21"/>
                <w:lang w:eastAsia="zh-CN"/>
              </w:rPr>
              <w:t>布局采取</w:t>
            </w:r>
            <w:r>
              <w:rPr>
                <w:rFonts w:hint="eastAsia"/>
                <w:sz w:val="21"/>
                <w:szCs w:val="21"/>
                <w:lang w:eastAsia="zh-CN"/>
              </w:rPr>
              <w:t>“一核、两轴、三带、多节点”</w:t>
            </w:r>
            <w:bookmarkEnd w:id="84"/>
            <w:r>
              <w:rPr>
                <w:rFonts w:hint="eastAsia"/>
                <w:sz w:val="21"/>
                <w:szCs w:val="21"/>
                <w:lang w:eastAsia="zh-CN"/>
              </w:rPr>
              <w:t xml:space="preserve"> </w:t>
            </w:r>
          </w:p>
        </w:tc>
        <w:tc>
          <w:tcPr>
            <w:tcW w:w="2885" w:type="pct"/>
            <w:gridSpan w:val="2"/>
            <w:vAlign w:val="center"/>
          </w:tcPr>
          <w:p>
            <w:pPr>
              <w:pStyle w:val="25"/>
              <w:spacing w:after="0" w:line="400" w:lineRule="exact"/>
              <w:ind w:firstLine="0" w:firstLineChars="0"/>
              <w:jc w:val="center"/>
              <w:rPr>
                <w:sz w:val="21"/>
                <w:szCs w:val="21"/>
                <w:lang w:eastAsia="zh-CN"/>
              </w:rPr>
            </w:pPr>
            <w:r>
              <w:rPr>
                <w:spacing w:val="-8"/>
                <w:sz w:val="21"/>
                <w:szCs w:val="21"/>
                <w:lang w:eastAsia="zh-CN"/>
              </w:rPr>
              <w:t>以商务办公、商业服务、商贸配套为主，兼有服务于地区居</w:t>
            </w:r>
            <w:r>
              <w:rPr>
                <w:sz w:val="21"/>
                <w:szCs w:val="21"/>
                <w:lang w:eastAsia="zh-CN"/>
              </w:rPr>
              <w:t>民属性的城市级公共服务核心</w:t>
            </w:r>
            <w:r>
              <w:rPr>
                <w:rFonts w:hint="eastAsia"/>
                <w:sz w:val="21"/>
                <w:szCs w:val="21"/>
                <w:lang w:eastAsia="zh-CN"/>
              </w:rPr>
              <w:t>。</w:t>
            </w:r>
          </w:p>
          <w:p>
            <w:pPr>
              <w:pStyle w:val="25"/>
              <w:spacing w:after="0" w:line="400" w:lineRule="exact"/>
              <w:ind w:firstLine="0" w:firstLineChars="0"/>
              <w:jc w:val="center"/>
              <w:rPr>
                <w:sz w:val="21"/>
                <w:szCs w:val="21"/>
                <w:lang w:eastAsia="zh-CN"/>
              </w:rPr>
            </w:pPr>
            <w:r>
              <w:rPr>
                <w:spacing w:val="-9"/>
                <w:sz w:val="21"/>
                <w:szCs w:val="21"/>
                <w:lang w:eastAsia="zh-CN"/>
              </w:rPr>
              <w:t>沿浑南大道及其两侧区域、并突出轴线性发展带动作用的城</w:t>
            </w:r>
            <w:r>
              <w:rPr>
                <w:sz w:val="21"/>
                <w:szCs w:val="21"/>
                <w:lang w:eastAsia="zh-CN"/>
              </w:rPr>
              <w:t>市主要功能发展区域；</w:t>
            </w:r>
            <w:r>
              <w:rPr>
                <w:spacing w:val="-9"/>
                <w:sz w:val="21"/>
                <w:szCs w:val="21"/>
                <w:lang w:eastAsia="zh-CN"/>
              </w:rPr>
              <w:t>沿沈抚城际铁路及其两侧区域、并突出轴线性发展带动作用的</w:t>
            </w:r>
            <w:r>
              <w:rPr>
                <w:sz w:val="21"/>
                <w:szCs w:val="21"/>
                <w:lang w:eastAsia="zh-CN"/>
              </w:rPr>
              <w:t>城市产业功能发展区域。</w:t>
            </w:r>
          </w:p>
          <w:p>
            <w:pPr>
              <w:pStyle w:val="25"/>
              <w:spacing w:after="0" w:line="400" w:lineRule="exact"/>
              <w:ind w:firstLine="0" w:firstLineChars="0"/>
              <w:jc w:val="center"/>
              <w:rPr>
                <w:sz w:val="21"/>
                <w:szCs w:val="21"/>
                <w:lang w:eastAsia="zh-CN"/>
              </w:rPr>
            </w:pPr>
            <w:r>
              <w:rPr>
                <w:spacing w:val="-9"/>
                <w:sz w:val="21"/>
                <w:szCs w:val="21"/>
                <w:lang w:eastAsia="zh-CN"/>
              </w:rPr>
              <w:t>以居住为主，商业、商务功能配套聚集为主要功能布局的生活</w:t>
            </w:r>
            <w:r>
              <w:rPr>
                <w:sz w:val="21"/>
                <w:szCs w:val="21"/>
                <w:lang w:eastAsia="zh-CN"/>
              </w:rPr>
              <w:t>服务带状区域；</w:t>
            </w:r>
            <w:r>
              <w:rPr>
                <w:spacing w:val="-8"/>
                <w:sz w:val="21"/>
                <w:szCs w:val="21"/>
                <w:lang w:eastAsia="zh-CN"/>
              </w:rPr>
              <w:t>以保税加工、保税物流、高端装备为主的城市产业发展带，区</w:t>
            </w:r>
            <w:r>
              <w:rPr>
                <w:sz w:val="21"/>
                <w:szCs w:val="21"/>
                <w:lang w:eastAsia="zh-CN"/>
              </w:rPr>
              <w:t>域产业发展龙头；</w:t>
            </w:r>
            <w:r>
              <w:rPr>
                <w:spacing w:val="-9"/>
                <w:sz w:val="21"/>
                <w:szCs w:val="21"/>
                <w:lang w:eastAsia="zh-CN"/>
              </w:rPr>
              <w:t>以生物医药、电子商务与现代物流、节能环保和新能源为主的</w:t>
            </w:r>
            <w:r>
              <w:rPr>
                <w:sz w:val="21"/>
                <w:szCs w:val="21"/>
                <w:lang w:eastAsia="zh-CN"/>
              </w:rPr>
              <w:t>城市产业发展带。</w:t>
            </w:r>
          </w:p>
          <w:p>
            <w:pPr>
              <w:pStyle w:val="25"/>
              <w:spacing w:after="0" w:line="400" w:lineRule="exact"/>
              <w:ind w:firstLine="0" w:firstLineChars="0"/>
              <w:jc w:val="center"/>
              <w:rPr>
                <w:sz w:val="21"/>
                <w:szCs w:val="21"/>
                <w:lang w:eastAsia="zh-CN"/>
              </w:rPr>
            </w:pPr>
            <w:r>
              <w:rPr>
                <w:spacing w:val="-7"/>
                <w:sz w:val="21"/>
                <w:szCs w:val="21"/>
                <w:lang w:eastAsia="zh-CN"/>
              </w:rPr>
              <w:t>分散布局在生活服务带及产业发展带区域，提供商业、商</w:t>
            </w:r>
            <w:r>
              <w:rPr>
                <w:sz w:val="21"/>
                <w:szCs w:val="21"/>
                <w:lang w:eastAsia="zh-CN"/>
              </w:rPr>
              <w:t>务等配套公共服务。</w:t>
            </w:r>
          </w:p>
        </w:tc>
        <w:tc>
          <w:tcPr>
            <w:tcW w:w="508" w:type="pct"/>
            <w:vAlign w:val="center"/>
          </w:tcPr>
          <w:p>
            <w:pPr>
              <w:pStyle w:val="16"/>
              <w:spacing w:line="400" w:lineRule="exact"/>
              <w:rPr>
                <w:rFonts w:ascii="Times New Roman" w:hAnsi="Times New Roman"/>
                <w:sz w:val="21"/>
              </w:rPr>
            </w:pPr>
            <w:r>
              <w:rPr>
                <w:rFonts w:ascii="Times New Roman" w:hAnsi="Times New Roman"/>
                <w:sz w:val="21"/>
              </w:rPr>
              <w:t>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pPr>
              <w:pStyle w:val="16"/>
              <w:spacing w:line="400" w:lineRule="exact"/>
              <w:rPr>
                <w:rFonts w:ascii="Times New Roman" w:hAnsi="Times New Roman"/>
                <w:sz w:val="21"/>
              </w:rPr>
            </w:pPr>
            <w:r>
              <w:rPr>
                <w:rFonts w:ascii="Times New Roman" w:hAnsi="Times New Roman"/>
                <w:sz w:val="21"/>
              </w:rPr>
              <w:t>产业定位</w:t>
            </w:r>
          </w:p>
        </w:tc>
        <w:tc>
          <w:tcPr>
            <w:tcW w:w="975" w:type="pct"/>
            <w:vAlign w:val="center"/>
          </w:tcPr>
          <w:p>
            <w:pPr>
              <w:pStyle w:val="16"/>
              <w:spacing w:line="400" w:lineRule="exact"/>
              <w:rPr>
                <w:rFonts w:ascii="Times New Roman" w:hAnsi="Times New Roman"/>
                <w:sz w:val="21"/>
              </w:rPr>
            </w:pPr>
            <w:r>
              <w:rPr>
                <w:rFonts w:ascii="Times New Roman" w:hAnsi="Times New Roman" w:cstheme="minorBidi"/>
                <w:sz w:val="21"/>
              </w:rPr>
              <w:t>保税加工与保税物流产业集群、高端装备产业集群、生物医药产业集群、电子商务产业集群、节能环保与新能源产业集群。</w:t>
            </w:r>
          </w:p>
        </w:tc>
        <w:tc>
          <w:tcPr>
            <w:tcW w:w="2885" w:type="pct"/>
            <w:gridSpan w:val="2"/>
            <w:vAlign w:val="center"/>
          </w:tcPr>
          <w:p>
            <w:pPr>
              <w:pStyle w:val="16"/>
              <w:spacing w:line="400" w:lineRule="exact"/>
              <w:rPr>
                <w:rFonts w:ascii="Times New Roman" w:hAnsi="Times New Roman"/>
                <w:sz w:val="21"/>
              </w:rPr>
            </w:pPr>
            <w:r>
              <w:rPr>
                <w:rFonts w:ascii="Times New Roman" w:hAnsi="Times New Roman"/>
                <w:sz w:val="21"/>
              </w:rPr>
              <w:t>以先进制造与教育科研为主导产业，集科技研发、生活居住、公共服务、商贸金融等多功能为一体的配套设施完善、环境优美的生态型产业</w:t>
            </w:r>
            <w:r>
              <w:rPr>
                <w:rFonts w:hint="eastAsia" w:ascii="Times New Roman" w:hAnsi="Times New Roman"/>
                <w:sz w:val="21"/>
              </w:rPr>
              <w:t>国际新兴产业园区</w:t>
            </w:r>
            <w:r>
              <w:rPr>
                <w:rFonts w:ascii="Times New Roman" w:hAnsi="Times New Roman"/>
                <w:sz w:val="21"/>
              </w:rPr>
              <w:t>。</w:t>
            </w:r>
          </w:p>
        </w:tc>
        <w:tc>
          <w:tcPr>
            <w:tcW w:w="508" w:type="pct"/>
            <w:vAlign w:val="center"/>
          </w:tcPr>
          <w:p>
            <w:pPr>
              <w:pStyle w:val="16"/>
              <w:spacing w:line="400" w:lineRule="exact"/>
              <w:rPr>
                <w:rFonts w:ascii="Times New Roman" w:hAnsi="Times New Roman"/>
                <w:sz w:val="21"/>
              </w:rPr>
            </w:pPr>
            <w:r>
              <w:rPr>
                <w:rFonts w:ascii="Times New Roman" w:hAnsi="Times New Roman"/>
                <w:sz w:val="21"/>
              </w:rPr>
              <w:t>一致</w:t>
            </w:r>
          </w:p>
        </w:tc>
      </w:tr>
    </w:tbl>
    <w:p>
      <w:pPr>
        <w:pStyle w:val="20"/>
        <w:spacing w:line="240" w:lineRule="auto"/>
        <w:jc w:val="center"/>
        <w:rPr>
          <w:rFonts w:ascii="Times New Roman" w:hAnsi="Times New Roman" w:eastAsia="宋体" w:cs="Times New Roman"/>
          <w:b/>
          <w:bCs/>
          <w:sz w:val="21"/>
          <w:lang w:eastAsia="zh-CN"/>
        </w:rPr>
        <w:sectPr>
          <w:footerReference r:id="rId14" w:type="default"/>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20"/>
        <w:spacing w:line="240" w:lineRule="auto"/>
        <w:jc w:val="center"/>
        <w:rPr>
          <w:rFonts w:ascii="Times New Roman" w:hAnsi="Times New Roman" w:eastAsia="宋体" w:cs="Times New Roman"/>
          <w:b/>
          <w:bCs/>
          <w:sz w:val="21"/>
          <w:lang w:eastAsia="zh-CN"/>
        </w:rPr>
      </w:pPr>
      <w:r>
        <w:rPr>
          <w:rFonts w:ascii="Times New Roman" w:hAnsi="Times New Roman" w:eastAsia="宋体" w:cs="Times New Roman"/>
          <w:b/>
          <w:bCs/>
          <w:sz w:val="21"/>
          <w:lang w:eastAsia="zh-CN"/>
        </w:rPr>
        <w:t>表2.3-2  原规划与现状控详规划内容对比分析</w:t>
      </w:r>
    </w:p>
    <w:tbl>
      <w:tblPr>
        <w:tblStyle w:val="64"/>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2452"/>
        <w:gridCol w:w="2545"/>
        <w:gridCol w:w="1823"/>
        <w:gridCol w:w="1689"/>
        <w:gridCol w:w="2099"/>
        <w:gridCol w:w="278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8" w:type="pct"/>
            <w:vAlign w:val="center"/>
          </w:tcPr>
          <w:p>
            <w:pPr>
              <w:pStyle w:val="16"/>
              <w:spacing w:line="400" w:lineRule="exact"/>
              <w:rPr>
                <w:rFonts w:ascii="Times New Roman" w:hAnsi="Times New Roman"/>
                <w:b/>
                <w:bCs/>
                <w:sz w:val="21"/>
              </w:rPr>
            </w:pPr>
            <w:r>
              <w:rPr>
                <w:rFonts w:ascii="Times New Roman" w:hAnsi="Times New Roman"/>
                <w:b/>
                <w:bCs/>
                <w:sz w:val="21"/>
              </w:rPr>
              <w:t>功能定位</w:t>
            </w:r>
          </w:p>
        </w:tc>
        <w:tc>
          <w:tcPr>
            <w:tcW w:w="862" w:type="pct"/>
            <w:vAlign w:val="center"/>
          </w:tcPr>
          <w:p>
            <w:pPr>
              <w:pStyle w:val="16"/>
              <w:spacing w:line="400" w:lineRule="exact"/>
              <w:rPr>
                <w:rFonts w:ascii="Times New Roman" w:hAnsi="Times New Roman"/>
                <w:b/>
                <w:bCs/>
                <w:sz w:val="21"/>
              </w:rPr>
            </w:pPr>
            <w:r>
              <w:rPr>
                <w:rFonts w:ascii="Times New Roman" w:hAnsi="Times New Roman"/>
                <w:b/>
                <w:bCs/>
                <w:sz w:val="21"/>
              </w:rPr>
              <w:t>本区域</w:t>
            </w:r>
          </w:p>
        </w:tc>
        <w:tc>
          <w:tcPr>
            <w:tcW w:w="895" w:type="pct"/>
            <w:vAlign w:val="center"/>
          </w:tcPr>
          <w:p>
            <w:pPr>
              <w:pStyle w:val="16"/>
              <w:spacing w:line="400" w:lineRule="exact"/>
              <w:rPr>
                <w:rFonts w:ascii="Times New Roman" w:hAnsi="Times New Roman"/>
                <w:b/>
                <w:bCs/>
                <w:sz w:val="21"/>
              </w:rPr>
            </w:pPr>
            <w:r>
              <w:rPr>
                <w:rFonts w:hint="eastAsia" w:ascii="Times New Roman" w:hAnsi="Times New Roman" w:cstheme="minorBidi"/>
                <w:b/>
                <w:bCs/>
                <w:sz w:val="21"/>
              </w:rPr>
              <w:t>石庙子</w:t>
            </w:r>
            <w:r>
              <w:rPr>
                <w:rFonts w:ascii="Times New Roman" w:hAnsi="Times New Roman"/>
                <w:b/>
                <w:bCs/>
                <w:sz w:val="21"/>
              </w:rPr>
              <w:t>单元</w:t>
            </w:r>
          </w:p>
        </w:tc>
        <w:tc>
          <w:tcPr>
            <w:tcW w:w="641" w:type="pct"/>
            <w:vAlign w:val="center"/>
          </w:tcPr>
          <w:p>
            <w:pPr>
              <w:pStyle w:val="16"/>
              <w:spacing w:line="400" w:lineRule="exact"/>
              <w:rPr>
                <w:rFonts w:ascii="Times New Roman" w:hAnsi="Times New Roman"/>
                <w:b/>
                <w:bCs/>
                <w:sz w:val="21"/>
              </w:rPr>
            </w:pPr>
            <w:r>
              <w:rPr>
                <w:rFonts w:hint="eastAsia" w:ascii="Times New Roman" w:hAnsi="Times New Roman" w:cstheme="minorBidi"/>
                <w:b/>
                <w:bCs/>
                <w:sz w:val="21"/>
              </w:rPr>
              <w:t>王家湾单元</w:t>
            </w:r>
          </w:p>
        </w:tc>
        <w:tc>
          <w:tcPr>
            <w:tcW w:w="594" w:type="pct"/>
            <w:vAlign w:val="center"/>
          </w:tcPr>
          <w:p>
            <w:pPr>
              <w:pStyle w:val="16"/>
              <w:spacing w:line="400" w:lineRule="exact"/>
              <w:rPr>
                <w:rFonts w:ascii="Times New Roman" w:hAnsi="Times New Roman"/>
                <w:b/>
                <w:bCs/>
                <w:sz w:val="21"/>
              </w:rPr>
            </w:pPr>
            <w:r>
              <w:rPr>
                <w:rFonts w:hint="eastAsia" w:ascii="Times New Roman" w:hAnsi="Times New Roman" w:cstheme="minorBidi"/>
                <w:b/>
                <w:bCs/>
                <w:sz w:val="21"/>
              </w:rPr>
              <w:t>麦子屯单元</w:t>
            </w:r>
          </w:p>
        </w:tc>
        <w:tc>
          <w:tcPr>
            <w:tcW w:w="738" w:type="pct"/>
            <w:vAlign w:val="center"/>
          </w:tcPr>
          <w:p>
            <w:pPr>
              <w:pStyle w:val="16"/>
              <w:spacing w:line="400" w:lineRule="exact"/>
              <w:rPr>
                <w:rFonts w:ascii="Times New Roman" w:hAnsi="Times New Roman"/>
                <w:b/>
                <w:bCs/>
                <w:sz w:val="21"/>
              </w:rPr>
            </w:pPr>
            <w:r>
              <w:rPr>
                <w:rFonts w:hint="eastAsia" w:ascii="Times New Roman" w:hAnsi="Times New Roman" w:cstheme="minorBidi"/>
                <w:b/>
                <w:bCs/>
                <w:sz w:val="21"/>
              </w:rPr>
              <w:t>杨官单元</w:t>
            </w:r>
          </w:p>
        </w:tc>
        <w:tc>
          <w:tcPr>
            <w:tcW w:w="978" w:type="pct"/>
            <w:vAlign w:val="center"/>
          </w:tcPr>
          <w:p>
            <w:pPr>
              <w:pStyle w:val="16"/>
              <w:spacing w:line="400" w:lineRule="exact"/>
              <w:rPr>
                <w:rFonts w:ascii="Times New Roman" w:hAnsi="Times New Roman"/>
                <w:b/>
                <w:bCs/>
                <w:sz w:val="21"/>
              </w:rPr>
            </w:pPr>
            <w:r>
              <w:rPr>
                <w:rFonts w:hint="eastAsia" w:ascii="Times New Roman" w:hAnsi="Times New Roman" w:cstheme="minorBidi"/>
                <w:b/>
                <w:bCs/>
                <w:sz w:val="21"/>
              </w:rPr>
              <w:t>李巴彦单元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8" w:type="pct"/>
            <w:vAlign w:val="center"/>
          </w:tcPr>
          <w:p>
            <w:pPr>
              <w:pStyle w:val="16"/>
              <w:spacing w:line="400" w:lineRule="exact"/>
              <w:rPr>
                <w:rFonts w:ascii="Times New Roman" w:hAnsi="Times New Roman"/>
                <w:sz w:val="21"/>
              </w:rPr>
            </w:pPr>
            <w:r>
              <w:rPr>
                <w:rFonts w:ascii="Times New Roman" w:hAnsi="Times New Roman"/>
                <w:sz w:val="21"/>
              </w:rPr>
              <w:t>开发范围</w:t>
            </w:r>
          </w:p>
        </w:tc>
        <w:tc>
          <w:tcPr>
            <w:tcW w:w="862" w:type="pct"/>
            <w:vAlign w:val="center"/>
          </w:tcPr>
          <w:p>
            <w:pPr>
              <w:pStyle w:val="16"/>
              <w:spacing w:line="400" w:lineRule="exact"/>
              <w:rPr>
                <w:rFonts w:ascii="Times New Roman" w:hAnsi="Times New Roman"/>
                <w:sz w:val="21"/>
              </w:rPr>
            </w:pPr>
            <w:r>
              <w:rPr>
                <w:sz w:val="21"/>
              </w:rPr>
              <w:t>浑南国际新兴产业园区位于东陵区北部，规划范围东至三环高速，南至规划全运南路，西至沈李公路，北至浑河，规划总用地面积</w:t>
            </w:r>
            <w:r>
              <w:rPr>
                <w:rFonts w:ascii="Times New Roman" w:eastAsia="Times New Roman"/>
                <w:sz w:val="21"/>
              </w:rPr>
              <w:t>51km</w:t>
            </w:r>
            <w:r>
              <w:rPr>
                <w:rFonts w:ascii="Times New Roman" w:eastAsia="Times New Roman"/>
                <w:sz w:val="21"/>
                <w:vertAlign w:val="superscript"/>
              </w:rPr>
              <w:t>2</w:t>
            </w:r>
            <w:r>
              <w:rPr>
                <w:sz w:val="21"/>
              </w:rPr>
              <w:t>。</w:t>
            </w:r>
          </w:p>
        </w:tc>
        <w:tc>
          <w:tcPr>
            <w:tcW w:w="895" w:type="pct"/>
            <w:vAlign w:val="center"/>
          </w:tcPr>
          <w:p>
            <w:pPr>
              <w:widowControl/>
              <w:ind w:firstLine="0" w:firstLineChars="0"/>
              <w:jc w:val="center"/>
              <w:rPr>
                <w:sz w:val="21"/>
                <w:szCs w:val="21"/>
                <w:lang w:eastAsia="zh-CN"/>
              </w:rPr>
            </w:pPr>
            <w:r>
              <w:rPr>
                <w:rFonts w:hint="eastAsia" w:ascii="宋体" w:hAnsi="宋体" w:cs="Times New Roman"/>
                <w:sz w:val="21"/>
                <w:szCs w:val="21"/>
                <w:lang w:eastAsia="zh-CN"/>
              </w:rPr>
              <w:t>石庙子单元规划范围东至三环高速，西、南至新立街，北至南堤路，单元面积约</w:t>
            </w:r>
            <w:r>
              <w:rPr>
                <w:rFonts w:cs="Times New Roman"/>
                <w:sz w:val="21"/>
                <w:szCs w:val="21"/>
                <w:lang w:eastAsia="zh-CN"/>
              </w:rPr>
              <w:t>6.687</w:t>
            </w:r>
            <w:r>
              <w:rPr>
                <w:rFonts w:eastAsia="Times New Roman"/>
                <w:sz w:val="21"/>
                <w:szCs w:val="21"/>
                <w:lang w:eastAsia="zh-CN"/>
              </w:rPr>
              <w:t>km</w:t>
            </w:r>
            <w:r>
              <w:rPr>
                <w:rFonts w:eastAsia="Times New Roman"/>
                <w:sz w:val="21"/>
                <w:szCs w:val="21"/>
                <w:vertAlign w:val="superscript"/>
                <w:lang w:eastAsia="zh-CN"/>
              </w:rPr>
              <w:t>2</w:t>
            </w:r>
            <w:r>
              <w:rPr>
                <w:rFonts w:hint="eastAsia" w:ascii="宋体" w:hAnsi="宋体" w:cs="Times New Roman"/>
                <w:sz w:val="21"/>
                <w:szCs w:val="21"/>
                <w:lang w:eastAsia="zh-CN"/>
              </w:rPr>
              <w:t>。</w:t>
            </w:r>
          </w:p>
        </w:tc>
        <w:tc>
          <w:tcPr>
            <w:tcW w:w="641" w:type="pct"/>
            <w:vAlign w:val="center"/>
          </w:tcPr>
          <w:p>
            <w:pPr>
              <w:widowControl/>
              <w:ind w:firstLine="0" w:firstLineChars="0"/>
              <w:jc w:val="center"/>
              <w:rPr>
                <w:sz w:val="21"/>
                <w:szCs w:val="21"/>
                <w:lang w:eastAsia="zh-CN"/>
              </w:rPr>
            </w:pPr>
            <w:r>
              <w:rPr>
                <w:rFonts w:cs="Times New Roman"/>
                <w:color w:val="000000"/>
                <w:sz w:val="21"/>
                <w:szCs w:val="21"/>
                <w:lang w:eastAsia="zh-CN" w:bidi="ar"/>
              </w:rPr>
              <w:t>东至新立街，南至浑南东路，西至祝科街，北至南堤东路；总规划面积为5.029</w:t>
            </w:r>
            <w:r>
              <w:rPr>
                <w:rFonts w:eastAsia="Times New Roman" w:cs="Times New Roman"/>
                <w:sz w:val="21"/>
                <w:szCs w:val="21"/>
                <w:lang w:eastAsia="zh-CN"/>
              </w:rPr>
              <w:t>km</w:t>
            </w:r>
            <w:r>
              <w:rPr>
                <w:rFonts w:eastAsia="Times New Roman" w:cs="Times New Roman"/>
                <w:sz w:val="21"/>
                <w:szCs w:val="21"/>
                <w:vertAlign w:val="superscript"/>
                <w:lang w:eastAsia="zh-CN"/>
              </w:rPr>
              <w:t>2</w:t>
            </w:r>
          </w:p>
        </w:tc>
        <w:tc>
          <w:tcPr>
            <w:tcW w:w="594" w:type="pct"/>
            <w:vAlign w:val="center"/>
          </w:tcPr>
          <w:p>
            <w:pPr>
              <w:widowControl/>
              <w:ind w:firstLine="0" w:firstLineChars="0"/>
              <w:jc w:val="center"/>
              <w:rPr>
                <w:sz w:val="21"/>
                <w:szCs w:val="21"/>
                <w:lang w:eastAsia="zh-CN"/>
              </w:rPr>
            </w:pPr>
            <w:r>
              <w:rPr>
                <w:rFonts w:cs="Times New Roman"/>
                <w:color w:val="000000"/>
                <w:sz w:val="21"/>
                <w:szCs w:val="21"/>
                <w:lang w:eastAsia="zh-CN" w:bidi="ar"/>
              </w:rPr>
              <w:t>东至祝科南街，西至文溯南街西二街，北至三环高速，单元面积约6.8</w:t>
            </w:r>
            <w:r>
              <w:rPr>
                <w:rFonts w:eastAsia="Times New Roman" w:cs="Times New Roman"/>
                <w:sz w:val="21"/>
                <w:szCs w:val="21"/>
                <w:lang w:eastAsia="zh-CN"/>
              </w:rPr>
              <w:t>km</w:t>
            </w:r>
            <w:r>
              <w:rPr>
                <w:rFonts w:eastAsia="Times New Roman" w:cs="Times New Roman"/>
                <w:sz w:val="21"/>
                <w:szCs w:val="21"/>
                <w:vertAlign w:val="superscript"/>
                <w:lang w:eastAsia="zh-CN"/>
              </w:rPr>
              <w:t>2</w:t>
            </w:r>
            <w:r>
              <w:rPr>
                <w:rFonts w:cs="Times New Roman"/>
                <w:color w:val="000000"/>
                <w:sz w:val="21"/>
                <w:szCs w:val="21"/>
                <w:lang w:eastAsia="zh-CN" w:bidi="ar"/>
              </w:rPr>
              <w:t>。</w:t>
            </w:r>
          </w:p>
        </w:tc>
        <w:tc>
          <w:tcPr>
            <w:tcW w:w="738" w:type="pct"/>
            <w:vAlign w:val="center"/>
          </w:tcPr>
          <w:p>
            <w:pPr>
              <w:widowControl/>
              <w:ind w:firstLine="0" w:firstLineChars="0"/>
              <w:jc w:val="center"/>
              <w:rPr>
                <w:sz w:val="21"/>
                <w:szCs w:val="21"/>
              </w:rPr>
            </w:pPr>
            <w:r>
              <w:rPr>
                <w:rFonts w:hint="eastAsia" w:cs="Times New Roman"/>
                <w:color w:val="000000"/>
                <w:sz w:val="21"/>
                <w:szCs w:val="21"/>
                <w:lang w:eastAsia="zh-CN" w:bidi="ar"/>
              </w:rPr>
              <w:t>沈阳市浑南区西部，规划范围东至祝科街，西至文溯街，南至三环高速，北至南堤东路。总规划面积8.808</w:t>
            </w:r>
            <w:r>
              <w:rPr>
                <w:rFonts w:eastAsia="Times New Roman" w:cs="Times New Roman"/>
                <w:sz w:val="21"/>
                <w:szCs w:val="21"/>
              </w:rPr>
              <w:t>km</w:t>
            </w:r>
            <w:r>
              <w:rPr>
                <w:rFonts w:eastAsia="Times New Roman" w:cs="Times New Roman"/>
                <w:sz w:val="21"/>
                <w:szCs w:val="21"/>
                <w:vertAlign w:val="superscript"/>
              </w:rPr>
              <w:t>2</w:t>
            </w:r>
            <w:r>
              <w:rPr>
                <w:rFonts w:cs="Times New Roman"/>
                <w:color w:val="000000"/>
                <w:sz w:val="21"/>
                <w:szCs w:val="21"/>
                <w:lang w:eastAsia="zh-CN" w:bidi="ar"/>
              </w:rPr>
              <w:t>。</w:t>
            </w:r>
          </w:p>
        </w:tc>
        <w:tc>
          <w:tcPr>
            <w:tcW w:w="978" w:type="pct"/>
            <w:vAlign w:val="center"/>
          </w:tcPr>
          <w:p>
            <w:pPr>
              <w:widowControl/>
              <w:ind w:firstLine="0" w:firstLineChars="0"/>
              <w:jc w:val="center"/>
              <w:rPr>
                <w:sz w:val="21"/>
                <w:szCs w:val="21"/>
                <w:lang w:eastAsia="zh-CN"/>
              </w:rPr>
            </w:pPr>
            <w:r>
              <w:rPr>
                <w:rFonts w:hint="eastAsia" w:ascii="宋体" w:hAnsi="宋体" w:cs="宋体"/>
                <w:color w:val="000000"/>
                <w:sz w:val="21"/>
                <w:szCs w:val="21"/>
                <w:lang w:eastAsia="zh-CN" w:bidi="ar"/>
              </w:rPr>
              <w:t>东至新立街，南至三环高速公路，西至祝科街，北至浑南大道，单元面积约</w:t>
            </w:r>
            <w:r>
              <w:rPr>
                <w:rFonts w:cs="Times New Roman"/>
                <w:color w:val="000000"/>
                <w:sz w:val="21"/>
                <w:szCs w:val="21"/>
                <w:lang w:eastAsia="zh-CN" w:bidi="ar"/>
              </w:rPr>
              <w:t>9.038</w:t>
            </w:r>
            <w:r>
              <w:rPr>
                <w:rFonts w:eastAsia="Times New Roman" w:cs="Times New Roman"/>
                <w:sz w:val="21"/>
                <w:szCs w:val="21"/>
                <w:lang w:eastAsia="zh-CN"/>
              </w:rPr>
              <w:t>km</w:t>
            </w:r>
            <w:r>
              <w:rPr>
                <w:rFonts w:eastAsia="Times New Roman" w:cs="Times New Roman"/>
                <w:sz w:val="21"/>
                <w:szCs w:val="21"/>
                <w:vertAlign w:val="superscript"/>
                <w:lang w:eastAsia="zh-CN"/>
              </w:rPr>
              <w:t>2</w:t>
            </w:r>
            <w:r>
              <w:rPr>
                <w:rFonts w:hint="eastAsia" w:cs="Times New Roman"/>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8" w:type="pct"/>
            <w:vAlign w:val="center"/>
          </w:tcPr>
          <w:p>
            <w:pPr>
              <w:pStyle w:val="16"/>
              <w:spacing w:line="400" w:lineRule="exact"/>
              <w:rPr>
                <w:rFonts w:ascii="Times New Roman" w:hAnsi="Times New Roman"/>
                <w:sz w:val="21"/>
              </w:rPr>
            </w:pPr>
            <w:r>
              <w:rPr>
                <w:rFonts w:ascii="Times New Roman" w:hAnsi="Times New Roman"/>
                <w:sz w:val="21"/>
              </w:rPr>
              <w:t>规划定位</w:t>
            </w:r>
          </w:p>
        </w:tc>
        <w:tc>
          <w:tcPr>
            <w:tcW w:w="862" w:type="pct"/>
            <w:vAlign w:val="center"/>
          </w:tcPr>
          <w:p>
            <w:pPr>
              <w:pStyle w:val="16"/>
              <w:spacing w:line="400" w:lineRule="exact"/>
              <w:rPr>
                <w:sz w:val="21"/>
              </w:rPr>
            </w:pPr>
            <w:r>
              <w:rPr>
                <w:sz w:val="21"/>
              </w:rPr>
              <w:t>充满活力和独特城市环境的乐活之城；构建产业、科研、商业、居住融合的现代新兴产业园区。</w:t>
            </w:r>
          </w:p>
          <w:p>
            <w:pPr>
              <w:pStyle w:val="16"/>
              <w:spacing w:line="400" w:lineRule="exact"/>
              <w:rPr>
                <w:rFonts w:ascii="Times New Roman" w:hAnsi="Times New Roman"/>
                <w:sz w:val="21"/>
              </w:rPr>
            </w:pPr>
            <w:r>
              <w:rPr>
                <w:rFonts w:ascii="Times New Roman" w:hAnsi="Times New Roman"/>
                <w:sz w:val="21"/>
              </w:rPr>
              <w:t>产业发展目标：</w:t>
            </w:r>
          </w:p>
          <w:p>
            <w:pPr>
              <w:pStyle w:val="16"/>
              <w:spacing w:line="400" w:lineRule="exact"/>
              <w:rPr>
                <w:rFonts w:ascii="Times New Roman" w:hAnsi="Times New Roman"/>
                <w:sz w:val="21"/>
              </w:rPr>
            </w:pPr>
            <w:r>
              <w:rPr>
                <w:rFonts w:ascii="Times New Roman" w:hAnsi="Times New Roman" w:cstheme="minorBidi"/>
                <w:sz w:val="21"/>
              </w:rPr>
              <w:t>保税加工与保税物流产业集群、高端装备产业集群、生物医药产业集群、电子商务产业集群、节能环保与新能源产业集群</w:t>
            </w:r>
            <w:r>
              <w:rPr>
                <w:rFonts w:hint="eastAsia" w:ascii="Times New Roman" w:hAnsi="Times New Roman" w:cstheme="minorBidi"/>
                <w:sz w:val="21"/>
              </w:rPr>
              <w:t>。</w:t>
            </w:r>
            <w:r>
              <w:rPr>
                <w:rFonts w:ascii="Times New Roman" w:hAnsi="Times New Roman"/>
                <w:sz w:val="21"/>
              </w:rPr>
              <w:t xml:space="preserve"> </w:t>
            </w:r>
          </w:p>
        </w:tc>
        <w:tc>
          <w:tcPr>
            <w:tcW w:w="895" w:type="pct"/>
            <w:vAlign w:val="center"/>
          </w:tcPr>
          <w:p>
            <w:pPr>
              <w:widowControl/>
              <w:spacing w:line="400" w:lineRule="exact"/>
              <w:ind w:firstLine="0" w:firstLineChars="0"/>
              <w:jc w:val="center"/>
              <w:rPr>
                <w:rFonts w:ascii="宋体" w:hAnsi="宋体" w:cs="Times New Roman"/>
                <w:sz w:val="21"/>
                <w:szCs w:val="21"/>
                <w:lang w:eastAsia="zh-CN"/>
              </w:rPr>
            </w:pPr>
            <w:r>
              <w:rPr>
                <w:rFonts w:hint="eastAsia" w:ascii="宋体" w:hAnsi="宋体" w:cs="Times New Roman"/>
                <w:sz w:val="21"/>
                <w:szCs w:val="21"/>
                <w:lang w:eastAsia="zh-CN"/>
              </w:rPr>
              <w:t>石庙子单元是沈阳市东南绿楔的重要组成部分，规划以生态绿地和耕地为主，保留现有的居住和物流仓储功能。</w:t>
            </w:r>
          </w:p>
          <w:p>
            <w:pPr>
              <w:pStyle w:val="16"/>
              <w:spacing w:line="400" w:lineRule="exact"/>
              <w:rPr>
                <w:sz w:val="21"/>
              </w:rPr>
            </w:pPr>
            <w:r>
              <w:rPr>
                <w:sz w:val="21"/>
              </w:rPr>
              <w:t>产业发展目标：</w:t>
            </w:r>
          </w:p>
          <w:p>
            <w:pPr>
              <w:widowControl/>
              <w:spacing w:line="400" w:lineRule="exact"/>
              <w:ind w:firstLine="0" w:firstLineChars="0"/>
              <w:jc w:val="center"/>
              <w:rPr>
                <w:sz w:val="21"/>
                <w:szCs w:val="21"/>
                <w:lang w:eastAsia="zh-CN"/>
              </w:rPr>
            </w:pPr>
            <w:r>
              <w:rPr>
                <w:rFonts w:hint="eastAsia" w:ascii="宋体" w:hAnsi="宋体" w:cs="Times New Roman"/>
                <w:sz w:val="21"/>
                <w:szCs w:val="21"/>
                <w:lang w:eastAsia="zh-CN"/>
              </w:rPr>
              <w:t>仅限经营对居住和公共环境基本无干扰、污染和安全隐患的物流仓储项目。</w:t>
            </w:r>
          </w:p>
        </w:tc>
        <w:tc>
          <w:tcPr>
            <w:tcW w:w="641" w:type="pct"/>
            <w:vAlign w:val="center"/>
          </w:tcPr>
          <w:p>
            <w:pPr>
              <w:pStyle w:val="16"/>
              <w:spacing w:line="400" w:lineRule="exact"/>
              <w:rPr>
                <w:sz w:val="21"/>
              </w:rPr>
            </w:pPr>
            <w:r>
              <w:rPr>
                <w:rFonts w:hint="eastAsia"/>
                <w:sz w:val="21"/>
              </w:rPr>
              <w:t xml:space="preserve">以居住和商业功能为主，是沈阳东部浑河南岸布局全市国际活动的战略拓展区。 </w:t>
            </w:r>
          </w:p>
          <w:p>
            <w:pPr>
              <w:pStyle w:val="16"/>
              <w:spacing w:line="400" w:lineRule="exact"/>
              <w:rPr>
                <w:sz w:val="21"/>
              </w:rPr>
            </w:pPr>
            <w:r>
              <w:rPr>
                <w:sz w:val="21"/>
              </w:rPr>
              <w:t>产业发展目标：</w:t>
            </w:r>
          </w:p>
          <w:p>
            <w:pPr>
              <w:pStyle w:val="16"/>
              <w:spacing w:line="400" w:lineRule="exact"/>
              <w:rPr>
                <w:rFonts w:ascii="Times New Roman" w:hAnsi="Times New Roman"/>
                <w:sz w:val="21"/>
              </w:rPr>
            </w:pPr>
            <w:r>
              <w:rPr>
                <w:rFonts w:hint="eastAsia"/>
                <w:sz w:val="21"/>
              </w:rPr>
              <w:t>该区域主要以第三产业为主，无工业用地。</w:t>
            </w:r>
          </w:p>
        </w:tc>
        <w:tc>
          <w:tcPr>
            <w:tcW w:w="594" w:type="pct"/>
            <w:vAlign w:val="center"/>
          </w:tcPr>
          <w:p>
            <w:pPr>
              <w:widowControl/>
              <w:ind w:firstLine="0" w:firstLineChars="0"/>
              <w:jc w:val="center"/>
              <w:rPr>
                <w:rFonts w:ascii="宋体" w:hAnsi="宋体" w:cs="Times New Roman"/>
                <w:sz w:val="21"/>
                <w:szCs w:val="21"/>
                <w:lang w:eastAsia="zh-CN"/>
              </w:rPr>
            </w:pPr>
            <w:r>
              <w:rPr>
                <w:rFonts w:hint="eastAsia" w:ascii="宋体" w:hAnsi="宋体" w:cs="Times New Roman"/>
                <w:sz w:val="21"/>
                <w:szCs w:val="21"/>
                <w:lang w:eastAsia="zh-CN"/>
              </w:rPr>
              <w:t>以电子商务第三方物流为主导的浑南区重要的电商物流园。</w:t>
            </w:r>
          </w:p>
          <w:p>
            <w:pPr>
              <w:widowControl/>
              <w:ind w:firstLine="0" w:firstLineChars="0"/>
              <w:jc w:val="center"/>
              <w:rPr>
                <w:rFonts w:ascii="宋体" w:hAnsi="宋体" w:cs="Times New Roman"/>
                <w:sz w:val="21"/>
                <w:szCs w:val="21"/>
                <w:lang w:eastAsia="zh-CN"/>
              </w:rPr>
            </w:pPr>
            <w:r>
              <w:rPr>
                <w:rFonts w:hint="eastAsia" w:ascii="宋体" w:hAnsi="宋体" w:cs="Times New Roman"/>
                <w:sz w:val="21"/>
                <w:szCs w:val="21"/>
                <w:lang w:eastAsia="zh-CN"/>
              </w:rPr>
              <w:t>产业发展目标：以物流、高端装备、电子商务、节能环保与新能源产业为主、发展生物医药业。</w:t>
            </w:r>
          </w:p>
        </w:tc>
        <w:tc>
          <w:tcPr>
            <w:tcW w:w="738" w:type="pct"/>
            <w:vAlign w:val="center"/>
          </w:tcPr>
          <w:p>
            <w:pPr>
              <w:widowControl/>
              <w:ind w:firstLine="0" w:firstLineChars="0"/>
              <w:jc w:val="center"/>
              <w:rPr>
                <w:rFonts w:ascii="宋体" w:hAnsi="宋体" w:cs="Times New Roman"/>
                <w:sz w:val="21"/>
                <w:szCs w:val="21"/>
                <w:lang w:eastAsia="zh-CN"/>
              </w:rPr>
            </w:pPr>
            <w:r>
              <w:rPr>
                <w:rFonts w:hint="eastAsia" w:ascii="宋体" w:hAnsi="宋体" w:cs="Times New Roman"/>
                <w:sz w:val="21"/>
                <w:szCs w:val="21"/>
                <w:lang w:eastAsia="zh-CN"/>
              </w:rPr>
              <w:t>以城市居住、都市型工业产业园为基本载体的综合服务区</w:t>
            </w:r>
          </w:p>
          <w:p>
            <w:pPr>
              <w:widowControl/>
              <w:ind w:firstLine="0" w:firstLineChars="0"/>
              <w:jc w:val="center"/>
              <w:rPr>
                <w:rFonts w:ascii="宋体" w:hAnsi="宋体" w:cs="Times New Roman"/>
                <w:sz w:val="21"/>
                <w:szCs w:val="21"/>
                <w:lang w:eastAsia="zh-CN"/>
              </w:rPr>
            </w:pPr>
            <w:r>
              <w:rPr>
                <w:rFonts w:hint="eastAsia" w:ascii="宋体" w:hAnsi="宋体" w:cs="Times New Roman"/>
                <w:sz w:val="21"/>
                <w:szCs w:val="21"/>
                <w:lang w:eastAsia="zh-CN"/>
              </w:rPr>
              <w:t>产业发展目标：以物流、高端装备、电子商务、节能环保与新能源产业为主。</w:t>
            </w:r>
          </w:p>
          <w:p>
            <w:pPr>
              <w:widowControl/>
              <w:ind w:firstLine="0" w:firstLineChars="0"/>
              <w:jc w:val="center"/>
              <w:rPr>
                <w:rFonts w:ascii="宋体" w:hAnsi="宋体" w:cs="Times New Roman"/>
                <w:sz w:val="21"/>
                <w:szCs w:val="21"/>
                <w:lang w:eastAsia="zh-CN"/>
              </w:rPr>
            </w:pPr>
          </w:p>
        </w:tc>
        <w:tc>
          <w:tcPr>
            <w:tcW w:w="978" w:type="pct"/>
            <w:vAlign w:val="center"/>
          </w:tcPr>
          <w:p>
            <w:pPr>
              <w:widowControl/>
              <w:ind w:firstLine="0" w:firstLineChars="0"/>
              <w:jc w:val="center"/>
              <w:rPr>
                <w:sz w:val="21"/>
                <w:szCs w:val="21"/>
                <w:lang w:eastAsia="zh-CN"/>
              </w:rPr>
            </w:pPr>
            <w:r>
              <w:rPr>
                <w:rFonts w:hint="eastAsia" w:ascii="宋体" w:hAnsi="宋体" w:cs="宋体"/>
                <w:color w:val="000000"/>
                <w:sz w:val="21"/>
                <w:szCs w:val="21"/>
                <w:lang w:eastAsia="zh-CN" w:bidi="ar"/>
              </w:rPr>
              <w:t>以产业和生态功能为主，以居住功能为辅的生态型生产单元。产业发展目标：包括新一代信息技术产业、高端装备制造产业、新材料产业、生物产业、新能源汽车产业、新能源产业、节能环保产业、数字创意产业、相关服务业。</w:t>
            </w:r>
          </w:p>
        </w:tc>
      </w:tr>
    </w:tbl>
    <w:p>
      <w:pPr>
        <w:ind w:firstLine="480"/>
        <w:rPr>
          <w:rFonts w:cs="Times New Roman"/>
          <w:lang w:eastAsia="zh-CN"/>
        </w:rPr>
      </w:pPr>
      <w:r>
        <w:rPr>
          <w:rFonts w:cs="Times New Roman"/>
          <w:lang w:eastAsia="zh-CN"/>
        </w:rPr>
        <w:t>从上表可以看出，区域定位与控制性详细规划中涉及本区域的规定定位</w:t>
      </w:r>
      <w:r>
        <w:rPr>
          <w:rFonts w:hint="eastAsia" w:cs="Times New Roman"/>
          <w:lang w:eastAsia="zh-CN"/>
        </w:rPr>
        <w:t>一致</w:t>
      </w:r>
      <w:r>
        <w:rPr>
          <w:rFonts w:cs="Times New Roman"/>
          <w:lang w:eastAsia="zh-CN"/>
        </w:rPr>
        <w:t>。</w:t>
      </w:r>
    </w:p>
    <w:p>
      <w:pPr>
        <w:ind w:firstLine="480"/>
        <w:rPr>
          <w:rFonts w:cs="Times New Roman"/>
          <w:highlight w:val="yellow"/>
          <w:lang w:eastAsia="zh-CN"/>
        </w:rPr>
      </w:pPr>
      <w:r>
        <w:rPr>
          <w:rFonts w:cs="Times New Roman"/>
          <w:highlight w:val="yellow"/>
          <w:lang w:eastAsia="zh-CN"/>
        </w:rPr>
        <w:t>在《</w:t>
      </w:r>
      <w:r>
        <w:rPr>
          <w:rFonts w:hint="eastAsia" w:cs="Times New Roman"/>
          <w:highlight w:val="yellow"/>
          <w:lang w:eastAsia="zh-CN"/>
        </w:rPr>
        <w:t>单元</w:t>
      </w:r>
      <w:r>
        <w:rPr>
          <w:rFonts w:cs="Times New Roman"/>
          <w:highlight w:val="yellow"/>
          <w:lang w:eastAsia="zh-CN"/>
        </w:rPr>
        <w:t>控制性详细规划》中，将规划区域中部分商住混合用地调整为工业用地，将原有部分工业用地调整为教育科研用地和一类仓储用地，将部分工业用地调整为二类工业用地，详见附图</w:t>
      </w:r>
      <w:r>
        <w:rPr>
          <w:rFonts w:hint="eastAsia" w:cs="Times New Roman"/>
          <w:highlight w:val="yellow"/>
          <w:lang w:eastAsia="zh-CN"/>
        </w:rPr>
        <w:t>2-5</w:t>
      </w:r>
      <w:r>
        <w:rPr>
          <w:rFonts w:cs="Times New Roman"/>
          <w:highlight w:val="yellow"/>
          <w:lang w:eastAsia="zh-CN"/>
        </w:rPr>
        <w:t>。</w:t>
      </w:r>
    </w:p>
    <w:p>
      <w:pPr>
        <w:pStyle w:val="9"/>
        <w:rPr>
          <w:rFonts w:ascii="Times New Roman" w:hAnsi="Times New Roman"/>
        </w:rPr>
        <w:sectPr>
          <w:pgSz w:w="16840" w:h="11910" w:orient="landscape"/>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bookmarkStart w:id="85" w:name="_Toc11417"/>
    </w:p>
    <w:p>
      <w:pPr>
        <w:pStyle w:val="9"/>
        <w:rPr>
          <w:rFonts w:ascii="Times New Roman" w:hAnsi="Times New Roman"/>
          <w:highlight w:val="yellow"/>
        </w:rPr>
      </w:pPr>
      <w:r>
        <w:rPr>
          <w:rFonts w:ascii="Times New Roman" w:hAnsi="Times New Roman"/>
        </w:rPr>
        <w:t>2.3.2 土地利用现状</w:t>
      </w:r>
      <w:bookmarkEnd w:id="85"/>
    </w:p>
    <w:p>
      <w:pPr>
        <w:ind w:firstLine="480"/>
        <w:rPr>
          <w:rFonts w:cs="Times New Roman"/>
          <w:lang w:eastAsia="zh-CN"/>
        </w:rPr>
      </w:pPr>
      <w:r>
        <w:rPr>
          <w:rFonts w:cs="Times New Roman"/>
          <w:lang w:eastAsia="zh-CN"/>
        </w:rPr>
        <w:t>（1）生活居住用地</w:t>
      </w:r>
    </w:p>
    <w:p>
      <w:pPr>
        <w:ind w:firstLine="482"/>
        <w:rPr>
          <w:b/>
          <w:lang w:eastAsia="zh-CN"/>
        </w:rPr>
      </w:pPr>
      <w:r>
        <w:rPr>
          <w:b/>
          <w:lang w:eastAsia="zh-CN"/>
        </w:rPr>
        <w:t>原规划：</w:t>
      </w:r>
      <w:r>
        <w:rPr>
          <w:rFonts w:hint="eastAsia"/>
          <w:lang w:eastAsia="zh-CN"/>
        </w:rPr>
        <w:t>南堤中路和浑南大道</w:t>
      </w:r>
      <w:r>
        <w:rPr>
          <w:lang w:eastAsia="zh-CN"/>
        </w:rPr>
        <w:t>之间区域，地形较为平坦及地质情况良好，规划统一改造为居住用地，</w:t>
      </w:r>
      <w:r>
        <w:rPr>
          <w:rFonts w:cs="Times New Roman"/>
          <w:lang w:eastAsia="zh-CN"/>
        </w:rPr>
        <w:t>居住用地总面积为</w:t>
      </w:r>
      <w:r>
        <w:rPr>
          <w:rFonts w:hint="eastAsia" w:cs="Times New Roman"/>
          <w:lang w:eastAsia="zh-CN"/>
        </w:rPr>
        <w:t>1096.91</w:t>
      </w:r>
      <w:r>
        <w:rPr>
          <w:rFonts w:cs="Times New Roman"/>
          <w:lang w:eastAsia="zh-CN"/>
        </w:rPr>
        <w:t>hm</w:t>
      </w:r>
      <w:r>
        <w:rPr>
          <w:rFonts w:cs="Times New Roman"/>
          <w:vertAlign w:val="superscript"/>
          <w:lang w:eastAsia="zh-CN"/>
        </w:rPr>
        <w:t>2</w:t>
      </w:r>
      <w:r>
        <w:rPr>
          <w:rFonts w:cs="Times New Roman"/>
          <w:lang w:eastAsia="zh-CN"/>
        </w:rPr>
        <w:t>，占</w:t>
      </w:r>
      <w:r>
        <w:rPr>
          <w:rFonts w:hint="eastAsia" w:cs="Times New Roman"/>
          <w:lang w:eastAsia="zh-CN"/>
        </w:rPr>
        <w:t>国际新兴产业园区</w:t>
      </w:r>
      <w:r>
        <w:rPr>
          <w:rFonts w:cs="Times New Roman"/>
          <w:lang w:eastAsia="zh-CN"/>
        </w:rPr>
        <w:t>建设用地的</w:t>
      </w:r>
      <w:r>
        <w:rPr>
          <w:rFonts w:hint="eastAsia" w:cs="Times New Roman"/>
          <w:lang w:eastAsia="zh-CN"/>
        </w:rPr>
        <w:t>22.25</w:t>
      </w:r>
      <w:r>
        <w:rPr>
          <w:rFonts w:cs="Times New Roman"/>
          <w:lang w:eastAsia="zh-CN"/>
        </w:rPr>
        <w:t>%</w:t>
      </w:r>
      <w:r>
        <w:rPr>
          <w:lang w:eastAsia="zh-CN"/>
        </w:rPr>
        <w:t>。</w:t>
      </w:r>
    </w:p>
    <w:p>
      <w:pPr>
        <w:ind w:firstLine="482"/>
        <w:rPr>
          <w:lang w:eastAsia="zh-CN"/>
        </w:rPr>
      </w:pPr>
      <w:r>
        <w:rPr>
          <w:b/>
          <w:lang w:eastAsia="zh-CN"/>
        </w:rPr>
        <w:t>落实情况：</w:t>
      </w:r>
      <w:r>
        <w:rPr>
          <w:rFonts w:hint="eastAsia"/>
          <w:lang w:eastAsia="zh-CN"/>
        </w:rPr>
        <w:t>南堤中路和浑南大道</w:t>
      </w:r>
      <w:r>
        <w:rPr>
          <w:lang w:eastAsia="zh-CN"/>
        </w:rPr>
        <w:t>之间区域</w:t>
      </w:r>
      <w:r>
        <w:rPr>
          <w:rFonts w:hint="eastAsia"/>
          <w:lang w:eastAsia="zh-CN"/>
        </w:rPr>
        <w:t>尚未全部</w:t>
      </w:r>
      <w:r>
        <w:rPr>
          <w:lang w:eastAsia="zh-CN"/>
        </w:rPr>
        <w:t>改造为居住用地</w:t>
      </w:r>
      <w:r>
        <w:rPr>
          <w:rFonts w:hint="eastAsia"/>
          <w:lang w:eastAsia="zh-CN"/>
        </w:rPr>
        <w:t>，现状企业尚未搬迁，石庙子村、王家湾村、刘付村和4处</w:t>
      </w:r>
      <w:r>
        <w:rPr>
          <w:lang w:eastAsia="zh-CN"/>
        </w:rPr>
        <w:t>村居民区</w:t>
      </w:r>
      <w:r>
        <w:rPr>
          <w:rFonts w:hint="eastAsia"/>
          <w:lang w:eastAsia="zh-CN"/>
        </w:rPr>
        <w:t>尚未</w:t>
      </w:r>
      <w:r>
        <w:rPr>
          <w:lang w:eastAsia="zh-CN"/>
        </w:rPr>
        <w:t>拆迁</w:t>
      </w:r>
      <w:r>
        <w:rPr>
          <w:rFonts w:hint="eastAsia"/>
          <w:lang w:eastAsia="zh-CN"/>
        </w:rPr>
        <w:t>完成。</w:t>
      </w:r>
      <w:r>
        <w:rPr>
          <w:lang w:eastAsia="zh-CN"/>
        </w:rPr>
        <w:t>实际居住用地</w:t>
      </w:r>
      <w:r>
        <w:rPr>
          <w:rFonts w:hint="eastAsia"/>
          <w:lang w:eastAsia="zh-CN"/>
        </w:rPr>
        <w:t>709.19</w:t>
      </w:r>
      <w:r>
        <w:rPr>
          <w:lang w:eastAsia="zh-CN"/>
        </w:rPr>
        <w:t>公顷，占总用地的</w:t>
      </w:r>
      <w:r>
        <w:rPr>
          <w:rFonts w:hint="eastAsia"/>
          <w:lang w:eastAsia="zh-CN"/>
        </w:rPr>
        <w:t>13.83</w:t>
      </w:r>
      <w:r>
        <w:rPr>
          <w:lang w:eastAsia="zh-CN"/>
        </w:rPr>
        <w:t>%。</w:t>
      </w:r>
    </w:p>
    <w:p>
      <w:pPr>
        <w:ind w:firstLine="480"/>
        <w:rPr>
          <w:rFonts w:cs="Times New Roman"/>
          <w:lang w:eastAsia="zh-CN"/>
        </w:rPr>
      </w:pPr>
      <w:r>
        <w:rPr>
          <w:rFonts w:cs="Times New Roman"/>
          <w:lang w:eastAsia="zh-CN"/>
        </w:rPr>
        <w:t>（2）工业用地</w:t>
      </w:r>
    </w:p>
    <w:p>
      <w:pPr>
        <w:ind w:firstLine="482"/>
        <w:rPr>
          <w:b/>
          <w:lang w:eastAsia="zh-CN"/>
        </w:rPr>
      </w:pPr>
      <w:r>
        <w:rPr>
          <w:b/>
          <w:lang w:eastAsia="zh-CN"/>
        </w:rPr>
        <w:t>原规划：</w:t>
      </w:r>
      <w:r>
        <w:rPr>
          <w:rFonts w:hint="eastAsia"/>
          <w:lang w:eastAsia="zh-CN"/>
        </w:rPr>
        <w:t>浑南大道以南以工业用地为主，用地总面积</w:t>
      </w:r>
      <w:r>
        <w:rPr>
          <w:lang w:eastAsia="zh-CN"/>
        </w:rPr>
        <w:t>1287.66</w:t>
      </w:r>
      <w:r>
        <w:rPr>
          <w:rFonts w:cs="Times New Roman"/>
          <w:lang w:eastAsia="zh-CN"/>
        </w:rPr>
        <w:t>hm</w:t>
      </w:r>
      <w:r>
        <w:rPr>
          <w:rFonts w:cs="Times New Roman"/>
          <w:vertAlign w:val="superscript"/>
          <w:lang w:eastAsia="zh-CN"/>
        </w:rPr>
        <w:t>2</w:t>
      </w:r>
      <w:r>
        <w:rPr>
          <w:rFonts w:cs="Times New Roman"/>
          <w:lang w:eastAsia="zh-CN"/>
        </w:rPr>
        <w:t>，占</w:t>
      </w:r>
      <w:r>
        <w:rPr>
          <w:rFonts w:hint="eastAsia" w:cs="Times New Roman"/>
          <w:lang w:eastAsia="zh-CN"/>
        </w:rPr>
        <w:t>国际新兴产业园区</w:t>
      </w:r>
      <w:r>
        <w:rPr>
          <w:rFonts w:cs="Times New Roman"/>
          <w:lang w:eastAsia="zh-CN"/>
        </w:rPr>
        <w:t>建设用地的</w:t>
      </w:r>
      <w:r>
        <w:rPr>
          <w:lang w:eastAsia="zh-CN"/>
        </w:rPr>
        <w:t>2</w:t>
      </w:r>
      <w:r>
        <w:rPr>
          <w:rFonts w:hint="eastAsia"/>
          <w:lang w:eastAsia="zh-CN"/>
        </w:rPr>
        <w:t>5.25</w:t>
      </w:r>
      <w:r>
        <w:rPr>
          <w:rFonts w:cs="Times New Roman"/>
          <w:lang w:eastAsia="zh-CN"/>
        </w:rPr>
        <w:t>%</w:t>
      </w:r>
      <w:r>
        <w:rPr>
          <w:lang w:eastAsia="zh-CN"/>
        </w:rPr>
        <w:t>。</w:t>
      </w:r>
    </w:p>
    <w:p>
      <w:pPr>
        <w:ind w:firstLine="482"/>
        <w:rPr>
          <w:lang w:eastAsia="zh-CN"/>
        </w:rPr>
      </w:pPr>
      <w:r>
        <w:rPr>
          <w:b/>
          <w:lang w:eastAsia="zh-CN"/>
        </w:rPr>
        <w:t>落实情况：</w:t>
      </w:r>
      <w:r>
        <w:rPr>
          <w:lang w:eastAsia="zh-CN"/>
        </w:rPr>
        <w:t>现状用地</w:t>
      </w:r>
      <w:r>
        <w:rPr>
          <w:rFonts w:hint="eastAsia"/>
          <w:lang w:eastAsia="zh-CN"/>
        </w:rPr>
        <w:t>大部分为耕地和荒地，随着规划发展过程中有入驻企业开发建设。</w:t>
      </w:r>
      <w:r>
        <w:rPr>
          <w:lang w:eastAsia="zh-CN"/>
        </w:rPr>
        <w:t>现状工业用地</w:t>
      </w:r>
      <w:r>
        <w:rPr>
          <w:rFonts w:hint="eastAsia"/>
          <w:lang w:eastAsia="zh-CN"/>
        </w:rPr>
        <w:t>538.53</w:t>
      </w:r>
      <w:r>
        <w:rPr>
          <w:lang w:eastAsia="zh-CN"/>
        </w:rPr>
        <w:t>公顷，占总用地的</w:t>
      </w:r>
      <w:r>
        <w:rPr>
          <w:rFonts w:hint="eastAsia"/>
          <w:lang w:eastAsia="zh-CN"/>
        </w:rPr>
        <w:t>10.56</w:t>
      </w:r>
      <w:r>
        <w:rPr>
          <w:lang w:eastAsia="zh-CN"/>
        </w:rPr>
        <w:t>%。</w:t>
      </w:r>
    </w:p>
    <w:p>
      <w:pPr>
        <w:ind w:firstLine="480"/>
        <w:rPr>
          <w:rFonts w:cs="Times New Roman"/>
          <w:lang w:eastAsia="zh-CN"/>
        </w:rPr>
      </w:pPr>
      <w:r>
        <w:rPr>
          <w:rFonts w:cs="Times New Roman"/>
          <w:lang w:eastAsia="zh-CN"/>
        </w:rPr>
        <w:t>（3）公共服务设施用地</w:t>
      </w:r>
    </w:p>
    <w:p>
      <w:pPr>
        <w:ind w:firstLine="482"/>
        <w:jc w:val="left"/>
        <w:rPr>
          <w:b/>
          <w:lang w:eastAsia="zh-CN"/>
        </w:rPr>
      </w:pPr>
      <w:r>
        <w:rPr>
          <w:b/>
          <w:lang w:eastAsia="zh-CN"/>
        </w:rPr>
        <w:t>原规划：</w:t>
      </w:r>
      <w:r>
        <w:rPr>
          <w:lang w:eastAsia="zh-CN"/>
        </w:rPr>
        <w:t>规划公共设施用地（含商住混合用地）</w:t>
      </w:r>
      <w:r>
        <w:rPr>
          <w:spacing w:val="-16"/>
          <w:lang w:eastAsia="zh-CN"/>
        </w:rPr>
        <w:t xml:space="preserve">总规模 </w:t>
      </w:r>
      <w:r>
        <w:rPr>
          <w:rFonts w:eastAsia="Times New Roman"/>
          <w:lang w:eastAsia="zh-CN"/>
        </w:rPr>
        <w:t>166.52 hm</w:t>
      </w:r>
      <w:r>
        <w:rPr>
          <w:rFonts w:eastAsia="Times New Roman"/>
          <w:vertAlign w:val="superscript"/>
          <w:lang w:eastAsia="zh-CN"/>
        </w:rPr>
        <w:t>2</w:t>
      </w:r>
      <w:r>
        <w:rPr>
          <w:spacing w:val="-9"/>
          <w:lang w:eastAsia="zh-CN"/>
        </w:rPr>
        <w:t xml:space="preserve">，占总用地的 </w:t>
      </w:r>
      <w:r>
        <w:rPr>
          <w:rFonts w:eastAsia="Times New Roman"/>
          <w:lang w:eastAsia="zh-CN"/>
        </w:rPr>
        <w:t>3.38%</w:t>
      </w:r>
      <w:r>
        <w:rPr>
          <w:lang w:eastAsia="zh-CN"/>
        </w:rPr>
        <w:t>。</w:t>
      </w:r>
    </w:p>
    <w:p>
      <w:pPr>
        <w:pStyle w:val="25"/>
        <w:spacing w:after="0"/>
        <w:ind w:firstLine="482"/>
        <w:jc w:val="left"/>
        <w:rPr>
          <w:b/>
          <w:lang w:eastAsia="zh-CN"/>
        </w:rPr>
      </w:pPr>
      <w:r>
        <w:rPr>
          <w:b/>
          <w:lang w:eastAsia="zh-CN"/>
        </w:rPr>
        <w:t>落实情况：</w:t>
      </w:r>
      <w:r>
        <w:rPr>
          <w:spacing w:val="-3"/>
          <w:lang w:eastAsia="zh-CN"/>
        </w:rPr>
        <w:t>规划在整个浑南国际新兴产业园区的基础上统筹考虑公共服务设施的布局，塑造</w:t>
      </w:r>
      <w:r>
        <w:rPr>
          <w:spacing w:val="-6"/>
          <w:lang w:eastAsia="zh-CN"/>
        </w:rPr>
        <w:t>地区经济活动和社会生活的活力极核。</w:t>
      </w:r>
      <w:r>
        <w:rPr>
          <w:lang w:eastAsia="zh-CN"/>
        </w:rPr>
        <w:t>用地</w:t>
      </w:r>
      <w:r>
        <w:rPr>
          <w:rFonts w:hint="eastAsia"/>
          <w:lang w:eastAsia="zh-CN"/>
        </w:rPr>
        <w:t>26.25</w:t>
      </w:r>
      <w:r>
        <w:rPr>
          <w:lang w:eastAsia="zh-CN"/>
        </w:rPr>
        <w:t>公顷，占总用地的0.</w:t>
      </w:r>
      <w:r>
        <w:rPr>
          <w:rFonts w:hint="eastAsia"/>
          <w:lang w:eastAsia="zh-CN"/>
        </w:rPr>
        <w:t>51</w:t>
      </w:r>
      <w:r>
        <w:rPr>
          <w:lang w:eastAsia="zh-CN"/>
        </w:rPr>
        <w:t>%。</w:t>
      </w:r>
    </w:p>
    <w:p>
      <w:pPr>
        <w:ind w:firstLine="480"/>
        <w:rPr>
          <w:rFonts w:cs="Times New Roman"/>
          <w:lang w:eastAsia="zh-CN"/>
        </w:rPr>
      </w:pPr>
      <w:r>
        <w:rPr>
          <w:rFonts w:hint="eastAsia" w:cs="Times New Roman"/>
          <w:lang w:eastAsia="zh-CN"/>
        </w:rPr>
        <w:t>（4）</w:t>
      </w:r>
      <w:r>
        <w:rPr>
          <w:lang w:eastAsia="zh-CN"/>
        </w:rPr>
        <w:t>商住混合用地</w:t>
      </w:r>
    </w:p>
    <w:p>
      <w:pPr>
        <w:pStyle w:val="25"/>
        <w:spacing w:after="0"/>
        <w:ind w:firstLine="482"/>
        <w:rPr>
          <w:rFonts w:cs="Times New Roman"/>
          <w:lang w:eastAsia="zh-CN"/>
        </w:rPr>
      </w:pPr>
      <w:r>
        <w:rPr>
          <w:b/>
          <w:lang w:eastAsia="zh-CN"/>
        </w:rPr>
        <w:t>原规划：</w:t>
      </w:r>
      <w:r>
        <w:rPr>
          <w:lang w:eastAsia="zh-CN"/>
        </w:rPr>
        <w:t>规划商住混合用地共</w:t>
      </w:r>
      <w:r>
        <w:rPr>
          <w:rFonts w:eastAsia="Times New Roman"/>
          <w:lang w:eastAsia="zh-CN"/>
        </w:rPr>
        <w:t>76.43hm</w:t>
      </w:r>
      <w:r>
        <w:rPr>
          <w:rFonts w:eastAsia="Times New Roman"/>
          <w:vertAlign w:val="superscript"/>
          <w:lang w:eastAsia="zh-CN"/>
        </w:rPr>
        <w:t>2</w:t>
      </w:r>
      <w:r>
        <w:rPr>
          <w:lang w:eastAsia="zh-CN"/>
        </w:rPr>
        <w:t>，占规划总用地的</w:t>
      </w:r>
      <w:r>
        <w:rPr>
          <w:rFonts w:eastAsia="Times New Roman"/>
          <w:lang w:eastAsia="zh-CN"/>
        </w:rPr>
        <w:t>1.55%</w:t>
      </w:r>
      <w:r>
        <w:rPr>
          <w:rFonts w:hint="eastAsia"/>
          <w:lang w:eastAsia="zh-CN"/>
        </w:rPr>
        <w:t>。</w:t>
      </w:r>
    </w:p>
    <w:p>
      <w:pPr>
        <w:pStyle w:val="25"/>
        <w:spacing w:after="0"/>
        <w:ind w:firstLine="482"/>
        <w:rPr>
          <w:rFonts w:cs="Times New Roman"/>
          <w:lang w:eastAsia="zh-CN"/>
        </w:rPr>
      </w:pPr>
      <w:r>
        <w:rPr>
          <w:b/>
          <w:lang w:eastAsia="zh-CN"/>
        </w:rPr>
        <w:t>落实情况：</w:t>
      </w:r>
      <w:r>
        <w:rPr>
          <w:lang w:eastAsia="zh-CN"/>
        </w:rPr>
        <w:t>用地</w:t>
      </w:r>
      <w:r>
        <w:rPr>
          <w:rFonts w:hint="eastAsia"/>
          <w:lang w:eastAsia="zh-CN"/>
        </w:rPr>
        <w:t>5.42</w:t>
      </w:r>
      <w:r>
        <w:rPr>
          <w:lang w:eastAsia="zh-CN"/>
        </w:rPr>
        <w:t>公顷，占总用地的</w:t>
      </w:r>
      <w:r>
        <w:rPr>
          <w:rFonts w:hint="eastAsia"/>
          <w:lang w:eastAsia="zh-CN"/>
        </w:rPr>
        <w:t>0.11</w:t>
      </w:r>
      <w:r>
        <w:rPr>
          <w:lang w:eastAsia="zh-CN"/>
        </w:rPr>
        <w:t>%。</w:t>
      </w:r>
    </w:p>
    <w:p>
      <w:pPr>
        <w:ind w:firstLine="480"/>
        <w:rPr>
          <w:rFonts w:cs="Times New Roman"/>
          <w:lang w:eastAsia="zh-CN"/>
        </w:rPr>
      </w:pPr>
      <w:r>
        <w:rPr>
          <w:rFonts w:cs="Times New Roman"/>
          <w:lang w:eastAsia="zh-CN"/>
        </w:rPr>
        <w:t>（</w:t>
      </w:r>
      <w:r>
        <w:rPr>
          <w:rFonts w:hint="eastAsia" w:cs="Times New Roman"/>
          <w:lang w:eastAsia="zh-CN"/>
        </w:rPr>
        <w:t>5</w:t>
      </w:r>
      <w:r>
        <w:rPr>
          <w:rFonts w:cs="Times New Roman"/>
          <w:lang w:eastAsia="zh-CN"/>
        </w:rPr>
        <w:t>）</w:t>
      </w:r>
      <w:r>
        <w:rPr>
          <w:lang w:eastAsia="zh-CN"/>
        </w:rPr>
        <w:t>普通仓库用地</w:t>
      </w:r>
    </w:p>
    <w:p>
      <w:pPr>
        <w:ind w:firstLine="482"/>
        <w:rPr>
          <w:rFonts w:cs="Times New Roman"/>
          <w:b/>
          <w:bCs/>
          <w:lang w:eastAsia="zh-CN"/>
        </w:rPr>
      </w:pPr>
      <w:r>
        <w:rPr>
          <w:b/>
          <w:lang w:eastAsia="zh-CN"/>
        </w:rPr>
        <w:t>原规划：</w:t>
      </w:r>
      <w:r>
        <w:rPr>
          <w:lang w:eastAsia="zh-CN"/>
        </w:rPr>
        <w:t>规划普通仓库用地共</w:t>
      </w:r>
      <w:r>
        <w:rPr>
          <w:rFonts w:eastAsia="Times New Roman"/>
          <w:lang w:eastAsia="zh-CN"/>
        </w:rPr>
        <w:t>192.94hm</w:t>
      </w:r>
      <w:r>
        <w:rPr>
          <w:rFonts w:eastAsia="Times New Roman"/>
          <w:vertAlign w:val="superscript"/>
          <w:lang w:eastAsia="zh-CN"/>
        </w:rPr>
        <w:t>2</w:t>
      </w:r>
      <w:r>
        <w:rPr>
          <w:lang w:eastAsia="zh-CN"/>
        </w:rPr>
        <w:t>，占规划总用地的</w:t>
      </w:r>
      <w:r>
        <w:rPr>
          <w:rFonts w:eastAsia="Times New Roman"/>
          <w:lang w:eastAsia="zh-CN"/>
        </w:rPr>
        <w:t>3.91%</w:t>
      </w:r>
      <w:r>
        <w:rPr>
          <w:rFonts w:hint="eastAsia"/>
          <w:lang w:eastAsia="zh-CN"/>
        </w:rPr>
        <w:t>。</w:t>
      </w:r>
    </w:p>
    <w:p>
      <w:pPr>
        <w:ind w:firstLine="482"/>
        <w:rPr>
          <w:rFonts w:cs="Times New Roman"/>
          <w:lang w:eastAsia="zh-CN"/>
        </w:rPr>
      </w:pPr>
      <w:r>
        <w:rPr>
          <w:b/>
          <w:lang w:eastAsia="zh-CN"/>
        </w:rPr>
        <w:t>落实情况：</w:t>
      </w:r>
      <w:r>
        <w:rPr>
          <w:lang w:eastAsia="zh-CN"/>
        </w:rPr>
        <w:t>普通仓库用地共</w:t>
      </w:r>
      <w:r>
        <w:rPr>
          <w:rFonts w:hint="eastAsia"/>
          <w:lang w:eastAsia="zh-CN"/>
        </w:rPr>
        <w:t>185.68</w:t>
      </w:r>
      <w:r>
        <w:rPr>
          <w:rFonts w:eastAsia="Times New Roman"/>
          <w:lang w:eastAsia="zh-CN"/>
        </w:rPr>
        <w:t>hm</w:t>
      </w:r>
      <w:r>
        <w:rPr>
          <w:rFonts w:eastAsia="Times New Roman"/>
          <w:vertAlign w:val="superscript"/>
          <w:lang w:eastAsia="zh-CN"/>
        </w:rPr>
        <w:t>2</w:t>
      </w:r>
      <w:r>
        <w:rPr>
          <w:lang w:eastAsia="zh-CN"/>
        </w:rPr>
        <w:t>，占规划总用地的</w:t>
      </w:r>
      <w:r>
        <w:rPr>
          <w:rFonts w:eastAsia="Times New Roman"/>
          <w:lang w:eastAsia="zh-CN"/>
        </w:rPr>
        <w:t>3.</w:t>
      </w:r>
      <w:r>
        <w:rPr>
          <w:rFonts w:hint="eastAsia"/>
          <w:lang w:eastAsia="zh-CN"/>
        </w:rPr>
        <w:t>65</w:t>
      </w:r>
      <w:r>
        <w:rPr>
          <w:rFonts w:eastAsia="Times New Roman"/>
          <w:lang w:eastAsia="zh-CN"/>
        </w:rPr>
        <w:t>%</w:t>
      </w:r>
      <w:r>
        <w:rPr>
          <w:rFonts w:hint="eastAsia"/>
          <w:lang w:eastAsia="zh-CN"/>
        </w:rPr>
        <w:t>。较规划</w:t>
      </w:r>
      <w:r>
        <w:rPr>
          <w:rFonts w:hint="eastAsia" w:cs="Times New Roman"/>
          <w:lang w:eastAsia="zh-CN"/>
        </w:rPr>
        <w:t>阶段</w:t>
      </w:r>
      <w:r>
        <w:rPr>
          <w:rFonts w:cs="Times New Roman"/>
          <w:lang w:eastAsia="zh-CN"/>
        </w:rPr>
        <w:t>规模相应缩小</w:t>
      </w:r>
      <w:r>
        <w:rPr>
          <w:rFonts w:hint="eastAsia" w:cs="Times New Roman"/>
          <w:lang w:eastAsia="zh-CN"/>
        </w:rPr>
        <w:t>。</w:t>
      </w:r>
    </w:p>
    <w:p>
      <w:pPr>
        <w:ind w:firstLine="480"/>
        <w:rPr>
          <w:rFonts w:cs="Times New Roman"/>
          <w:lang w:eastAsia="zh-CN"/>
        </w:rPr>
      </w:pPr>
      <w:r>
        <w:rPr>
          <w:rFonts w:hint="eastAsia" w:cs="Times New Roman"/>
          <w:lang w:eastAsia="zh-CN"/>
        </w:rPr>
        <w:t>（6）</w:t>
      </w:r>
      <w:r>
        <w:rPr>
          <w:lang w:eastAsia="zh-CN"/>
        </w:rPr>
        <w:t>对外交通用地</w:t>
      </w:r>
    </w:p>
    <w:p>
      <w:pPr>
        <w:ind w:firstLine="482"/>
        <w:rPr>
          <w:rFonts w:cs="Times New Roman"/>
          <w:lang w:eastAsia="zh-CN"/>
        </w:rPr>
      </w:pPr>
      <w:r>
        <w:rPr>
          <w:b/>
          <w:lang w:eastAsia="zh-CN"/>
        </w:rPr>
        <w:t>原规划：</w:t>
      </w:r>
      <w:r>
        <w:rPr>
          <w:lang w:eastAsia="zh-CN"/>
        </w:rPr>
        <w:t>规划对外交通用地共</w:t>
      </w:r>
      <w:r>
        <w:rPr>
          <w:rFonts w:eastAsia="Times New Roman"/>
          <w:lang w:eastAsia="zh-CN"/>
        </w:rPr>
        <w:t>50.51hm</w:t>
      </w:r>
      <w:r>
        <w:rPr>
          <w:rFonts w:eastAsia="Times New Roman"/>
          <w:vertAlign w:val="superscript"/>
          <w:lang w:eastAsia="zh-CN"/>
        </w:rPr>
        <w:t>2</w:t>
      </w:r>
      <w:r>
        <w:rPr>
          <w:lang w:eastAsia="zh-CN"/>
        </w:rPr>
        <w:t>，占规划总用地的</w:t>
      </w:r>
      <w:r>
        <w:rPr>
          <w:rFonts w:eastAsia="Times New Roman"/>
          <w:lang w:eastAsia="zh-CN"/>
        </w:rPr>
        <w:t>1.02%</w:t>
      </w:r>
      <w:r>
        <w:rPr>
          <w:rFonts w:hint="eastAsia"/>
          <w:lang w:eastAsia="zh-CN"/>
        </w:rPr>
        <w:t>。</w:t>
      </w:r>
    </w:p>
    <w:p>
      <w:pPr>
        <w:ind w:firstLine="482"/>
        <w:rPr>
          <w:rFonts w:cs="Times New Roman"/>
          <w:lang w:eastAsia="zh-CN"/>
        </w:rPr>
      </w:pPr>
      <w:r>
        <w:rPr>
          <w:b/>
          <w:lang w:eastAsia="zh-CN"/>
        </w:rPr>
        <w:t>落实情况：</w:t>
      </w:r>
      <w:r>
        <w:rPr>
          <w:lang w:eastAsia="zh-CN"/>
        </w:rPr>
        <w:t>规划对外交通用地共</w:t>
      </w:r>
      <w:r>
        <w:rPr>
          <w:rFonts w:eastAsia="Times New Roman"/>
          <w:lang w:eastAsia="zh-CN"/>
        </w:rPr>
        <w:t>50.51hm</w:t>
      </w:r>
      <w:r>
        <w:rPr>
          <w:rFonts w:eastAsia="Times New Roman"/>
          <w:vertAlign w:val="superscript"/>
          <w:lang w:eastAsia="zh-CN"/>
        </w:rPr>
        <w:t>2</w:t>
      </w:r>
      <w:r>
        <w:rPr>
          <w:lang w:eastAsia="zh-CN"/>
        </w:rPr>
        <w:t>，占规划总用地的</w:t>
      </w:r>
      <w:r>
        <w:rPr>
          <w:rFonts w:eastAsia="Times New Roman"/>
          <w:lang w:eastAsia="zh-CN"/>
        </w:rPr>
        <w:t>1.02%</w:t>
      </w:r>
      <w:r>
        <w:rPr>
          <w:rFonts w:hint="eastAsia"/>
          <w:lang w:eastAsia="zh-CN"/>
        </w:rPr>
        <w:t>。</w:t>
      </w:r>
    </w:p>
    <w:p>
      <w:pPr>
        <w:ind w:firstLine="480"/>
        <w:rPr>
          <w:rFonts w:cs="Times New Roman"/>
          <w:lang w:eastAsia="zh-CN"/>
        </w:rPr>
      </w:pPr>
      <w:r>
        <w:rPr>
          <w:rFonts w:hint="eastAsia" w:cs="Times New Roman"/>
          <w:lang w:eastAsia="zh-CN"/>
        </w:rPr>
        <w:t>（7）</w:t>
      </w:r>
      <w:r>
        <w:rPr>
          <w:lang w:eastAsia="zh-CN"/>
        </w:rPr>
        <w:t>道路广场用地</w:t>
      </w:r>
    </w:p>
    <w:p>
      <w:pPr>
        <w:ind w:firstLine="482"/>
        <w:rPr>
          <w:rFonts w:cs="Times New Roman"/>
          <w:lang w:eastAsia="zh-CN"/>
        </w:rPr>
      </w:pPr>
      <w:r>
        <w:rPr>
          <w:b/>
          <w:lang w:eastAsia="zh-CN"/>
        </w:rPr>
        <w:t>原规划：</w:t>
      </w:r>
      <w:r>
        <w:rPr>
          <w:lang w:eastAsia="zh-CN"/>
        </w:rPr>
        <w:t>规划道路广场用地规模为</w:t>
      </w:r>
      <w:r>
        <w:rPr>
          <w:rFonts w:eastAsia="Times New Roman"/>
          <w:lang w:eastAsia="zh-CN"/>
        </w:rPr>
        <w:t>744.39hm</w:t>
      </w:r>
      <w:r>
        <w:rPr>
          <w:rFonts w:eastAsia="Times New Roman"/>
          <w:vertAlign w:val="superscript"/>
          <w:lang w:eastAsia="zh-CN"/>
        </w:rPr>
        <w:t>2</w:t>
      </w:r>
      <w:r>
        <w:rPr>
          <w:lang w:eastAsia="zh-CN"/>
        </w:rPr>
        <w:t>，占总用地的</w:t>
      </w:r>
      <w:r>
        <w:rPr>
          <w:rFonts w:eastAsia="Times New Roman"/>
          <w:lang w:eastAsia="zh-CN"/>
        </w:rPr>
        <w:t>15.10%</w:t>
      </w:r>
      <w:r>
        <w:rPr>
          <w:rFonts w:hint="eastAsia"/>
          <w:lang w:eastAsia="zh-CN"/>
        </w:rPr>
        <w:t>。</w:t>
      </w:r>
    </w:p>
    <w:p>
      <w:pPr>
        <w:ind w:firstLine="482"/>
        <w:rPr>
          <w:rFonts w:cs="Times New Roman"/>
          <w:lang w:eastAsia="zh-CN"/>
        </w:rPr>
      </w:pPr>
      <w:r>
        <w:rPr>
          <w:b/>
          <w:lang w:eastAsia="zh-CN"/>
        </w:rPr>
        <w:t>落实情况：</w:t>
      </w:r>
      <w:r>
        <w:rPr>
          <w:lang w:eastAsia="zh-CN"/>
        </w:rPr>
        <w:t>道路广场用地规模为</w:t>
      </w:r>
      <w:r>
        <w:rPr>
          <w:rFonts w:hint="eastAsia"/>
          <w:lang w:eastAsia="zh-CN"/>
        </w:rPr>
        <w:t>186.1</w:t>
      </w:r>
      <w:r>
        <w:rPr>
          <w:rFonts w:eastAsia="Times New Roman"/>
          <w:lang w:eastAsia="zh-CN"/>
        </w:rPr>
        <w:t>hm</w:t>
      </w:r>
      <w:r>
        <w:rPr>
          <w:rFonts w:eastAsia="Times New Roman"/>
          <w:vertAlign w:val="superscript"/>
          <w:lang w:eastAsia="zh-CN"/>
        </w:rPr>
        <w:t>2</w:t>
      </w:r>
      <w:r>
        <w:rPr>
          <w:lang w:eastAsia="zh-CN"/>
        </w:rPr>
        <w:t>，占总用地的</w:t>
      </w:r>
      <w:r>
        <w:rPr>
          <w:rFonts w:hint="eastAsia"/>
          <w:lang w:eastAsia="zh-CN"/>
        </w:rPr>
        <w:t>3.78</w:t>
      </w:r>
      <w:r>
        <w:rPr>
          <w:rFonts w:eastAsia="Times New Roman"/>
          <w:lang w:eastAsia="zh-CN"/>
        </w:rPr>
        <w:t>%</w:t>
      </w:r>
    </w:p>
    <w:p>
      <w:pPr>
        <w:pStyle w:val="25"/>
        <w:spacing w:after="0"/>
        <w:ind w:firstLine="480"/>
        <w:rPr>
          <w:lang w:eastAsia="zh-CN"/>
        </w:rPr>
      </w:pPr>
      <w:r>
        <w:rPr>
          <w:rFonts w:hint="eastAsia"/>
          <w:lang w:eastAsia="zh-CN"/>
        </w:rPr>
        <w:t>（8）</w:t>
      </w:r>
      <w:r>
        <w:rPr>
          <w:lang w:eastAsia="zh-CN"/>
        </w:rPr>
        <w:t>绿地与水系</w:t>
      </w:r>
    </w:p>
    <w:p>
      <w:pPr>
        <w:pStyle w:val="25"/>
        <w:spacing w:after="0"/>
        <w:ind w:firstLine="482"/>
        <w:rPr>
          <w:lang w:eastAsia="zh-CN"/>
        </w:rPr>
      </w:pPr>
      <w:r>
        <w:rPr>
          <w:b/>
          <w:lang w:eastAsia="zh-CN"/>
        </w:rPr>
        <w:t>原规划：</w:t>
      </w:r>
      <w:r>
        <w:rPr>
          <w:lang w:eastAsia="zh-CN"/>
        </w:rPr>
        <w:t>规划绿地与水系面积</w:t>
      </w:r>
      <w:r>
        <w:rPr>
          <w:rFonts w:eastAsia="Times New Roman"/>
          <w:lang w:eastAsia="zh-CN"/>
        </w:rPr>
        <w:t>1244.48hm</w:t>
      </w:r>
      <w:r>
        <w:rPr>
          <w:rFonts w:eastAsia="Times New Roman"/>
          <w:vertAlign w:val="superscript"/>
          <w:lang w:eastAsia="zh-CN"/>
        </w:rPr>
        <w:t>2</w:t>
      </w:r>
      <w:r>
        <w:rPr>
          <w:lang w:eastAsia="zh-CN"/>
        </w:rPr>
        <w:t xml:space="preserve">，占总用地比例 </w:t>
      </w:r>
      <w:r>
        <w:rPr>
          <w:rFonts w:eastAsia="Times New Roman"/>
          <w:lang w:eastAsia="zh-CN"/>
        </w:rPr>
        <w:t>25.26%</w:t>
      </w:r>
      <w:r>
        <w:rPr>
          <w:lang w:eastAsia="zh-CN"/>
        </w:rPr>
        <w:t>。</w:t>
      </w:r>
    </w:p>
    <w:p>
      <w:pPr>
        <w:ind w:firstLine="482"/>
        <w:rPr>
          <w:rFonts w:cs="Times New Roman"/>
          <w:lang w:eastAsia="zh-CN"/>
        </w:rPr>
      </w:pPr>
      <w:r>
        <w:rPr>
          <w:b/>
          <w:lang w:eastAsia="zh-CN"/>
        </w:rPr>
        <w:t>落实情况：</w:t>
      </w:r>
      <w:r>
        <w:rPr>
          <w:rFonts w:cs="Times New Roman"/>
          <w:lang w:eastAsia="zh-CN"/>
        </w:rPr>
        <w:t>较原规划减少，主要因为区域工业用地</w:t>
      </w:r>
      <w:r>
        <w:rPr>
          <w:rFonts w:hint="eastAsia" w:cs="Times New Roman"/>
          <w:lang w:eastAsia="zh-CN"/>
        </w:rPr>
        <w:t>未达到规划规模</w:t>
      </w:r>
      <w:r>
        <w:rPr>
          <w:rFonts w:cs="Times New Roman"/>
          <w:lang w:eastAsia="zh-CN"/>
        </w:rPr>
        <w:t>，相应的防护绿地面积有所减少，公共绿地面积没有减少。</w:t>
      </w:r>
      <w:r>
        <w:rPr>
          <w:lang w:eastAsia="zh-CN"/>
        </w:rPr>
        <w:t>水域</w:t>
      </w:r>
      <w:r>
        <w:rPr>
          <w:rFonts w:hint="eastAsia"/>
          <w:lang w:eastAsia="zh-CN"/>
        </w:rPr>
        <w:t>面积无变化。</w:t>
      </w:r>
    </w:p>
    <w:p>
      <w:pPr>
        <w:ind w:firstLine="480"/>
        <w:rPr>
          <w:rFonts w:cs="Times New Roman"/>
          <w:lang w:eastAsia="zh-CN"/>
        </w:rPr>
      </w:pPr>
      <w:r>
        <w:rPr>
          <w:rFonts w:cs="Times New Roman"/>
          <w:lang w:eastAsia="zh-CN"/>
        </w:rPr>
        <w:t>具体原有规划、跟踪评价建设用地平衡对比情况见表2.3-3。</w:t>
      </w:r>
    </w:p>
    <w:p>
      <w:pPr>
        <w:pStyle w:val="20"/>
        <w:spacing w:line="240" w:lineRule="auto"/>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表2.3-3 规划、跟踪评价阶段建设用地平衡对比表</w:t>
      </w:r>
    </w:p>
    <w:tbl>
      <w:tblPr>
        <w:tblStyle w:val="64"/>
        <w:tblW w:w="8998" w:type="dxa"/>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41"/>
        <w:gridCol w:w="875"/>
        <w:gridCol w:w="583"/>
        <w:gridCol w:w="2305"/>
        <w:gridCol w:w="1000"/>
        <w:gridCol w:w="903"/>
        <w:gridCol w:w="1000"/>
        <w:gridCol w:w="1148"/>
        <w:gridCol w:w="743"/>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441" w:type="dxa"/>
            <w:tcBorders>
              <w:tl2br w:val="nil"/>
              <w:tr2bl w:val="nil"/>
            </w:tcBorders>
            <w:vAlign w:val="center"/>
          </w:tcPr>
          <w:p>
            <w:pPr>
              <w:pStyle w:val="119"/>
              <w:spacing w:line="400" w:lineRule="exact"/>
              <w:ind w:firstLine="0" w:firstLineChars="0"/>
              <w:jc w:val="center"/>
              <w:rPr>
                <w:rFonts w:cs="Times New Roman"/>
                <w:b/>
                <w:bCs/>
                <w:sz w:val="21"/>
                <w:szCs w:val="21"/>
              </w:rPr>
            </w:pPr>
            <w:r>
              <w:rPr>
                <w:rFonts w:cs="Times New Roman"/>
                <w:b/>
                <w:bCs/>
                <w:sz w:val="21"/>
                <w:szCs w:val="21"/>
              </w:rPr>
              <w:t>序</w:t>
            </w:r>
          </w:p>
          <w:p>
            <w:pPr>
              <w:pStyle w:val="119"/>
              <w:spacing w:line="400" w:lineRule="exact"/>
              <w:ind w:firstLine="0" w:firstLineChars="0"/>
              <w:jc w:val="center"/>
              <w:rPr>
                <w:rFonts w:cs="Times New Roman"/>
                <w:b/>
                <w:bCs/>
                <w:sz w:val="21"/>
                <w:szCs w:val="21"/>
              </w:rPr>
            </w:pPr>
            <w:r>
              <w:rPr>
                <w:rFonts w:cs="Times New Roman"/>
                <w:b/>
                <w:bCs/>
                <w:sz w:val="21"/>
                <w:szCs w:val="21"/>
              </w:rPr>
              <w:t>号</w:t>
            </w:r>
          </w:p>
        </w:tc>
        <w:tc>
          <w:tcPr>
            <w:tcW w:w="875" w:type="dxa"/>
            <w:tcBorders>
              <w:tl2br w:val="nil"/>
              <w:tr2bl w:val="nil"/>
            </w:tcBorders>
            <w:vAlign w:val="center"/>
          </w:tcPr>
          <w:p>
            <w:pPr>
              <w:pStyle w:val="119"/>
              <w:spacing w:line="400" w:lineRule="exact"/>
              <w:ind w:firstLine="0" w:firstLineChars="0"/>
              <w:jc w:val="center"/>
              <w:rPr>
                <w:rFonts w:cs="Times New Roman"/>
                <w:b/>
                <w:bCs/>
                <w:sz w:val="21"/>
                <w:szCs w:val="21"/>
              </w:rPr>
            </w:pPr>
            <w:r>
              <w:rPr>
                <w:rFonts w:cs="Times New Roman"/>
                <w:b/>
                <w:bCs/>
                <w:sz w:val="21"/>
                <w:szCs w:val="21"/>
              </w:rPr>
              <w:t>用地性</w:t>
            </w:r>
          </w:p>
          <w:p>
            <w:pPr>
              <w:pStyle w:val="119"/>
              <w:spacing w:line="400" w:lineRule="exact"/>
              <w:ind w:firstLine="0" w:firstLineChars="0"/>
              <w:jc w:val="center"/>
              <w:rPr>
                <w:rFonts w:cs="Times New Roman"/>
                <w:b/>
                <w:bCs/>
                <w:sz w:val="21"/>
                <w:szCs w:val="21"/>
              </w:rPr>
            </w:pPr>
            <w:r>
              <w:rPr>
                <w:rFonts w:cs="Times New Roman"/>
                <w:b/>
                <w:bCs/>
                <w:sz w:val="21"/>
                <w:szCs w:val="21"/>
              </w:rPr>
              <w:t>质代码</w:t>
            </w:r>
          </w:p>
        </w:tc>
        <w:tc>
          <w:tcPr>
            <w:tcW w:w="2888" w:type="dxa"/>
            <w:gridSpan w:val="2"/>
            <w:tcBorders>
              <w:tl2br w:val="nil"/>
              <w:tr2bl w:val="nil"/>
            </w:tcBorders>
            <w:vAlign w:val="center"/>
          </w:tcPr>
          <w:p>
            <w:pPr>
              <w:pStyle w:val="119"/>
              <w:spacing w:line="400" w:lineRule="exact"/>
              <w:ind w:firstLine="0" w:firstLineChars="0"/>
              <w:jc w:val="center"/>
              <w:rPr>
                <w:rFonts w:cs="Times New Roman"/>
                <w:b/>
                <w:bCs/>
                <w:sz w:val="21"/>
                <w:szCs w:val="21"/>
              </w:rPr>
            </w:pPr>
            <w:r>
              <w:rPr>
                <w:rFonts w:cs="Times New Roman"/>
                <w:b/>
                <w:bCs/>
                <w:sz w:val="21"/>
                <w:szCs w:val="21"/>
              </w:rPr>
              <w:t>用地性质</w:t>
            </w:r>
          </w:p>
        </w:tc>
        <w:tc>
          <w:tcPr>
            <w:tcW w:w="1000" w:type="dxa"/>
            <w:tcBorders>
              <w:tl2br w:val="nil"/>
              <w:tr2bl w:val="nil"/>
            </w:tcBorders>
            <w:vAlign w:val="center"/>
          </w:tcPr>
          <w:p>
            <w:pPr>
              <w:pStyle w:val="119"/>
              <w:spacing w:line="400" w:lineRule="exact"/>
              <w:ind w:firstLine="0" w:firstLineChars="0"/>
              <w:jc w:val="center"/>
              <w:rPr>
                <w:rFonts w:cs="Times New Roman"/>
                <w:b/>
                <w:bCs/>
                <w:sz w:val="21"/>
                <w:szCs w:val="21"/>
              </w:rPr>
            </w:pPr>
            <w:r>
              <w:rPr>
                <w:rFonts w:cs="Times New Roman"/>
                <w:b/>
                <w:bCs/>
                <w:sz w:val="21"/>
                <w:szCs w:val="21"/>
              </w:rPr>
              <w:t>用地面积</w:t>
            </w:r>
          </w:p>
          <w:p>
            <w:pPr>
              <w:pStyle w:val="119"/>
              <w:spacing w:line="400" w:lineRule="exact"/>
              <w:ind w:firstLine="0" w:firstLineChars="0"/>
              <w:jc w:val="center"/>
              <w:rPr>
                <w:rFonts w:cs="Times New Roman"/>
                <w:b/>
                <w:bCs/>
                <w:sz w:val="21"/>
                <w:szCs w:val="21"/>
              </w:rPr>
            </w:pPr>
            <w:r>
              <w:rPr>
                <w:rFonts w:cs="Times New Roman"/>
                <w:b/>
                <w:bCs/>
                <w:sz w:val="21"/>
                <w:szCs w:val="21"/>
              </w:rPr>
              <w:t>/hm</w:t>
            </w:r>
            <w:r>
              <w:rPr>
                <w:rFonts w:cs="Times New Roman"/>
                <w:b/>
                <w:bCs/>
                <w:sz w:val="21"/>
                <w:szCs w:val="21"/>
                <w:vertAlign w:val="superscript"/>
              </w:rPr>
              <w:t>2</w:t>
            </w:r>
          </w:p>
        </w:tc>
        <w:tc>
          <w:tcPr>
            <w:tcW w:w="903" w:type="dxa"/>
            <w:tcBorders>
              <w:tl2br w:val="nil"/>
              <w:tr2bl w:val="nil"/>
            </w:tcBorders>
            <w:vAlign w:val="center"/>
          </w:tcPr>
          <w:p>
            <w:pPr>
              <w:pStyle w:val="119"/>
              <w:spacing w:line="400" w:lineRule="exact"/>
              <w:ind w:firstLine="0" w:firstLineChars="0"/>
              <w:jc w:val="center"/>
              <w:rPr>
                <w:rFonts w:cs="Times New Roman"/>
                <w:b/>
                <w:bCs/>
                <w:sz w:val="21"/>
                <w:szCs w:val="21"/>
              </w:rPr>
            </w:pPr>
            <w:r>
              <w:rPr>
                <w:rFonts w:cs="Times New Roman"/>
                <w:b/>
                <w:bCs/>
                <w:sz w:val="21"/>
                <w:szCs w:val="21"/>
              </w:rPr>
              <w:t>所占比例</w:t>
            </w:r>
          </w:p>
          <w:p>
            <w:pPr>
              <w:pStyle w:val="119"/>
              <w:spacing w:line="400" w:lineRule="exact"/>
              <w:ind w:firstLine="0" w:firstLineChars="0"/>
              <w:jc w:val="center"/>
              <w:rPr>
                <w:rFonts w:cs="Times New Roman"/>
                <w:b/>
                <w:bCs/>
                <w:sz w:val="21"/>
                <w:szCs w:val="21"/>
              </w:rPr>
            </w:pPr>
            <w:r>
              <w:rPr>
                <w:rFonts w:cs="Times New Roman"/>
                <w:b/>
                <w:bCs/>
                <w:sz w:val="21"/>
                <w:szCs w:val="21"/>
              </w:rPr>
              <w:t>/%</w:t>
            </w:r>
          </w:p>
        </w:tc>
        <w:tc>
          <w:tcPr>
            <w:tcW w:w="1000" w:type="dxa"/>
            <w:tcBorders>
              <w:tl2br w:val="nil"/>
              <w:tr2bl w:val="nil"/>
            </w:tcBorders>
            <w:vAlign w:val="center"/>
          </w:tcPr>
          <w:p>
            <w:pPr>
              <w:pStyle w:val="119"/>
              <w:spacing w:line="400" w:lineRule="exact"/>
              <w:ind w:firstLine="0" w:firstLineChars="0"/>
              <w:jc w:val="center"/>
              <w:rPr>
                <w:rFonts w:cs="Times New Roman"/>
                <w:b/>
                <w:bCs/>
                <w:sz w:val="21"/>
                <w:szCs w:val="21"/>
              </w:rPr>
            </w:pPr>
            <w:r>
              <w:rPr>
                <w:rFonts w:cs="Times New Roman"/>
                <w:b/>
                <w:bCs/>
                <w:sz w:val="21"/>
                <w:szCs w:val="21"/>
              </w:rPr>
              <w:t>人均占地/m</w:t>
            </w:r>
            <w:r>
              <w:rPr>
                <w:rFonts w:cs="Times New Roman"/>
                <w:b/>
                <w:bCs/>
                <w:sz w:val="21"/>
                <w:szCs w:val="21"/>
                <w:vertAlign w:val="superscript"/>
              </w:rPr>
              <w:t>2</w:t>
            </w:r>
            <w:r>
              <w:rPr>
                <w:rFonts w:cs="Times New Roman"/>
                <w:b/>
                <w:bCs/>
                <w:sz w:val="21"/>
                <w:szCs w:val="21"/>
              </w:rPr>
              <w:t>/人</w:t>
            </w:r>
          </w:p>
        </w:tc>
        <w:tc>
          <w:tcPr>
            <w:tcW w:w="1148" w:type="dxa"/>
            <w:tcBorders>
              <w:tl2br w:val="nil"/>
              <w:tr2bl w:val="nil"/>
            </w:tcBorders>
            <w:vAlign w:val="center"/>
          </w:tcPr>
          <w:p>
            <w:pPr>
              <w:pStyle w:val="16"/>
              <w:spacing w:line="240" w:lineRule="auto"/>
              <w:rPr>
                <w:rFonts w:ascii="Times New Roman" w:hAnsi="Times New Roman"/>
                <w:sz w:val="21"/>
              </w:rPr>
            </w:pPr>
            <w:r>
              <w:rPr>
                <w:rFonts w:ascii="Times New Roman" w:hAnsi="Times New Roman"/>
                <w:b/>
                <w:bCs/>
                <w:sz w:val="21"/>
                <w:lang w:val="zh-CN"/>
              </w:rPr>
              <w:t>跟踪评价面积</w:t>
            </w:r>
            <w:r>
              <w:rPr>
                <w:rFonts w:ascii="Times New Roman" w:hAnsi="Times New Roman"/>
                <w:b/>
                <w:bCs/>
                <w:sz w:val="21"/>
              </w:rPr>
              <w:t>/hm</w:t>
            </w:r>
            <w:r>
              <w:rPr>
                <w:rFonts w:ascii="Times New Roman" w:hAnsi="Times New Roman"/>
                <w:b/>
                <w:bCs/>
                <w:sz w:val="21"/>
                <w:vertAlign w:val="superscript"/>
              </w:rPr>
              <w:t>2</w:t>
            </w:r>
          </w:p>
        </w:tc>
        <w:tc>
          <w:tcPr>
            <w:tcW w:w="743" w:type="dxa"/>
            <w:tcBorders>
              <w:tl2br w:val="nil"/>
              <w:tr2bl w:val="nil"/>
            </w:tcBorders>
            <w:vAlign w:val="center"/>
          </w:tcPr>
          <w:p>
            <w:pPr>
              <w:pStyle w:val="16"/>
              <w:spacing w:line="240" w:lineRule="auto"/>
              <w:rPr>
                <w:rFonts w:ascii="Times New Roman" w:hAnsi="Times New Roman"/>
                <w:sz w:val="21"/>
              </w:rPr>
            </w:pPr>
            <w:r>
              <w:rPr>
                <w:rFonts w:ascii="Times New Roman" w:hAnsi="Times New Roman"/>
                <w:b/>
                <w:bCs/>
                <w:sz w:val="21"/>
                <w:lang w:val="zh-CN"/>
              </w:rPr>
              <w:t>比例</w:t>
            </w:r>
            <w:r>
              <w:rPr>
                <w:rFonts w:ascii="Times New Roman" w:hAnsi="Times New Roman"/>
                <w:b/>
                <w:bCs/>
                <w:sz w:val="21"/>
              </w:rPr>
              <w:t>%</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41"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p>
          <w:p>
            <w:pPr>
              <w:pStyle w:val="119"/>
              <w:spacing w:line="400" w:lineRule="exact"/>
              <w:ind w:firstLine="0" w:firstLineChars="0"/>
              <w:jc w:val="center"/>
              <w:rPr>
                <w:rFonts w:cs="Times New Roman"/>
                <w:sz w:val="21"/>
                <w:szCs w:val="21"/>
              </w:rPr>
            </w:pPr>
            <w:r>
              <w:rPr>
                <w:rFonts w:cs="Times New Roman"/>
                <w:sz w:val="21"/>
                <w:szCs w:val="21"/>
              </w:rPr>
              <w:t>1</w:t>
            </w:r>
          </w:p>
        </w:tc>
        <w:tc>
          <w:tcPr>
            <w:tcW w:w="875"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R</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居住用地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1096.91</w:t>
            </w:r>
          </w:p>
        </w:tc>
        <w:tc>
          <w:tcPr>
            <w:tcW w:w="903"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22.25</w:t>
            </w:r>
          </w:p>
        </w:tc>
        <w:tc>
          <w:tcPr>
            <w:tcW w:w="1000"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34.82</w:t>
            </w: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709.19</w:t>
            </w:r>
          </w:p>
        </w:tc>
        <w:tc>
          <w:tcPr>
            <w:tcW w:w="743" w:type="dxa"/>
            <w:vMerge w:val="restart"/>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13.83</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其中</w:t>
            </w: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二类居住用地（R2）</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1040.59</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689.96</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中小学用地（R5）</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56.32</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19.23</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41"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p>
          <w:p>
            <w:pPr>
              <w:pStyle w:val="119"/>
              <w:spacing w:line="400" w:lineRule="exact"/>
              <w:ind w:firstLine="0" w:firstLineChars="0"/>
              <w:jc w:val="center"/>
              <w:rPr>
                <w:rFonts w:cs="Times New Roman"/>
                <w:sz w:val="21"/>
                <w:szCs w:val="21"/>
              </w:rPr>
            </w:pPr>
          </w:p>
          <w:p>
            <w:pPr>
              <w:pStyle w:val="119"/>
              <w:spacing w:line="400" w:lineRule="exact"/>
              <w:ind w:firstLine="0" w:firstLineChars="0"/>
              <w:jc w:val="center"/>
              <w:rPr>
                <w:rFonts w:cs="Times New Roman"/>
                <w:sz w:val="21"/>
                <w:szCs w:val="21"/>
              </w:rPr>
            </w:pPr>
            <w:r>
              <w:rPr>
                <w:rFonts w:cs="Times New Roman"/>
                <w:sz w:val="21"/>
                <w:szCs w:val="21"/>
              </w:rPr>
              <w:t>2</w:t>
            </w:r>
          </w:p>
        </w:tc>
        <w:tc>
          <w:tcPr>
            <w:tcW w:w="875"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C</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公共设施用地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166.52</w:t>
            </w:r>
          </w:p>
        </w:tc>
        <w:tc>
          <w:tcPr>
            <w:tcW w:w="903"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3.38</w:t>
            </w:r>
          </w:p>
        </w:tc>
        <w:tc>
          <w:tcPr>
            <w:tcW w:w="1000"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5.29</w:t>
            </w: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26.25</w:t>
            </w:r>
          </w:p>
        </w:tc>
        <w:tc>
          <w:tcPr>
            <w:tcW w:w="743" w:type="dxa"/>
            <w:vMerge w:val="restart"/>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0.51</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其中</w:t>
            </w: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行政办公用地（C1）</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2.33</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2.33</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商业金融业用地（C2）</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138.20</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23.92</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医疗卫生用地（C5）</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12.19</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教育科研设计用地（C6）</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13.80</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441"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3</w:t>
            </w:r>
          </w:p>
        </w:tc>
        <w:tc>
          <w:tcPr>
            <w:tcW w:w="87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CR</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商住混合用地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76.43</w:t>
            </w:r>
          </w:p>
        </w:tc>
        <w:tc>
          <w:tcPr>
            <w:tcW w:w="903"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1.55</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2.43</w:t>
            </w: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5.42</w:t>
            </w:r>
          </w:p>
        </w:tc>
        <w:tc>
          <w:tcPr>
            <w:tcW w:w="743"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0.11</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41"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4</w:t>
            </w:r>
          </w:p>
        </w:tc>
        <w:tc>
          <w:tcPr>
            <w:tcW w:w="87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M</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工业用地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1287.66</w:t>
            </w:r>
          </w:p>
        </w:tc>
        <w:tc>
          <w:tcPr>
            <w:tcW w:w="903"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26.12</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40.88</w:t>
            </w: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538.53</w:t>
            </w:r>
          </w:p>
        </w:tc>
        <w:tc>
          <w:tcPr>
            <w:tcW w:w="743"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10.56</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41"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5</w:t>
            </w:r>
          </w:p>
        </w:tc>
        <w:tc>
          <w:tcPr>
            <w:tcW w:w="87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W</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普通仓库用地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192.94</w:t>
            </w:r>
          </w:p>
        </w:tc>
        <w:tc>
          <w:tcPr>
            <w:tcW w:w="903"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3.91</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6.13</w:t>
            </w: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185.68</w:t>
            </w:r>
          </w:p>
        </w:tc>
        <w:tc>
          <w:tcPr>
            <w:tcW w:w="743"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3.65</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41"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6</w:t>
            </w:r>
          </w:p>
        </w:tc>
        <w:tc>
          <w:tcPr>
            <w:tcW w:w="875"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T</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对外交通用地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50.51</w:t>
            </w:r>
          </w:p>
        </w:tc>
        <w:tc>
          <w:tcPr>
            <w:tcW w:w="903"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1.02</w:t>
            </w:r>
          </w:p>
        </w:tc>
        <w:tc>
          <w:tcPr>
            <w:tcW w:w="1000"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1.60</w:t>
            </w: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50.51</w:t>
            </w:r>
          </w:p>
        </w:tc>
        <w:tc>
          <w:tcPr>
            <w:tcW w:w="743" w:type="dxa"/>
            <w:vMerge w:val="restart"/>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1.02</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其中</w:t>
            </w: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铁路用地（T1）</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50.51</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50.51</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41"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7</w:t>
            </w:r>
          </w:p>
        </w:tc>
        <w:tc>
          <w:tcPr>
            <w:tcW w:w="875"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S</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道路广场用地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744.39</w:t>
            </w:r>
          </w:p>
        </w:tc>
        <w:tc>
          <w:tcPr>
            <w:tcW w:w="903"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15.10</w:t>
            </w:r>
          </w:p>
        </w:tc>
        <w:tc>
          <w:tcPr>
            <w:tcW w:w="1000"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23.63</w:t>
            </w: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rPr>
            </w:pPr>
            <w:r>
              <w:rPr>
                <w:rFonts w:hint="eastAsia" w:cs="Times New Roman"/>
                <w:sz w:val="21"/>
                <w:szCs w:val="21"/>
                <w:lang w:eastAsia="zh-CN"/>
              </w:rPr>
              <w:t>186.1</w:t>
            </w:r>
          </w:p>
        </w:tc>
        <w:tc>
          <w:tcPr>
            <w:tcW w:w="743" w:type="dxa"/>
            <w:vMerge w:val="restart"/>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3.78</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其中</w:t>
            </w: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道路用地（S1）</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744.39</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186.1</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441"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8</w:t>
            </w:r>
          </w:p>
        </w:tc>
        <w:tc>
          <w:tcPr>
            <w:tcW w:w="87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U</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市政公用设施用地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69.27</w:t>
            </w:r>
          </w:p>
        </w:tc>
        <w:tc>
          <w:tcPr>
            <w:tcW w:w="903"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1.41</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2.20</w:t>
            </w: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3.3</w:t>
            </w:r>
          </w:p>
        </w:tc>
        <w:tc>
          <w:tcPr>
            <w:tcW w:w="743"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0.07</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1" w:hRule="atLeast"/>
          <w:jc w:val="center"/>
        </w:trPr>
        <w:tc>
          <w:tcPr>
            <w:tcW w:w="441"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9</w:t>
            </w:r>
          </w:p>
        </w:tc>
        <w:tc>
          <w:tcPr>
            <w:tcW w:w="875"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G</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绿地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874.46</w:t>
            </w:r>
          </w:p>
        </w:tc>
        <w:tc>
          <w:tcPr>
            <w:tcW w:w="903"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17.75</w:t>
            </w:r>
          </w:p>
        </w:tc>
        <w:tc>
          <w:tcPr>
            <w:tcW w:w="1000"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27.76</w:t>
            </w:r>
          </w:p>
        </w:tc>
        <w:tc>
          <w:tcPr>
            <w:tcW w:w="114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430</w:t>
            </w:r>
          </w:p>
        </w:tc>
        <w:tc>
          <w:tcPr>
            <w:tcW w:w="743" w:type="dxa"/>
            <w:vMerge w:val="restart"/>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8.43</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1"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vMerge w:val="restart"/>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其中</w:t>
            </w: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公共绿地（G1）</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507.88</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63.42</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875"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58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生产防护绿地（G2）</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rPr>
            </w:pPr>
            <w:r>
              <w:rPr>
                <w:rFonts w:cs="Times New Roman"/>
                <w:sz w:val="21"/>
                <w:szCs w:val="21"/>
              </w:rPr>
              <w:t>366.58</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366.58</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441" w:type="dxa"/>
            <w:vMerge w:val="restart"/>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10</w:t>
            </w:r>
          </w:p>
        </w:tc>
        <w:tc>
          <w:tcPr>
            <w:tcW w:w="875" w:type="dxa"/>
            <w:vMerge w:val="restart"/>
            <w:tcBorders>
              <w:tl2br w:val="nil"/>
              <w:tr2bl w:val="nil"/>
            </w:tcBorders>
            <w:vAlign w:val="center"/>
          </w:tcPr>
          <w:p>
            <w:pPr>
              <w:spacing w:line="400" w:lineRule="exact"/>
              <w:ind w:firstLine="0" w:firstLineChars="0"/>
              <w:jc w:val="center"/>
              <w:rPr>
                <w:rFonts w:cs="Times New Roman"/>
                <w:sz w:val="21"/>
                <w:szCs w:val="21"/>
              </w:rPr>
            </w:pPr>
            <w:r>
              <w:rPr>
                <w:sz w:val="21"/>
              </w:rPr>
              <w:t>E</w:t>
            </w:r>
          </w:p>
        </w:tc>
        <w:tc>
          <w:tcPr>
            <w:tcW w:w="2888" w:type="dxa"/>
            <w:gridSpan w:val="2"/>
            <w:tcBorders>
              <w:tl2br w:val="nil"/>
              <w:tr2bl w:val="nil"/>
            </w:tcBorders>
            <w:vAlign w:val="center"/>
          </w:tcPr>
          <w:p>
            <w:pPr>
              <w:pStyle w:val="119"/>
              <w:spacing w:line="400" w:lineRule="exact"/>
              <w:ind w:firstLine="0" w:firstLineChars="0"/>
              <w:jc w:val="center"/>
              <w:rPr>
                <w:rFonts w:cs="Times New Roman"/>
                <w:sz w:val="21"/>
                <w:szCs w:val="21"/>
              </w:rPr>
            </w:pPr>
            <w:r>
              <w:rPr>
                <w:sz w:val="21"/>
              </w:rPr>
              <w:t>水域和其它用地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370.02</w:t>
            </w:r>
          </w:p>
        </w:tc>
        <w:tc>
          <w:tcPr>
            <w:tcW w:w="903" w:type="dxa"/>
            <w:vMerge w:val="restart"/>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7.51</w:t>
            </w:r>
          </w:p>
        </w:tc>
        <w:tc>
          <w:tcPr>
            <w:tcW w:w="1000" w:type="dxa"/>
            <w:vMerge w:val="restart"/>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11.75</w:t>
            </w: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2932.23</w:t>
            </w:r>
          </w:p>
        </w:tc>
        <w:tc>
          <w:tcPr>
            <w:tcW w:w="743" w:type="dxa"/>
            <w:vMerge w:val="restart"/>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57.17</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lang w:eastAsia="zh-CN"/>
              </w:rPr>
            </w:pPr>
          </w:p>
        </w:tc>
        <w:tc>
          <w:tcPr>
            <w:tcW w:w="875" w:type="dxa"/>
            <w:vMerge w:val="continue"/>
            <w:tcBorders>
              <w:tl2br w:val="nil"/>
              <w:tr2bl w:val="nil"/>
            </w:tcBorders>
            <w:vAlign w:val="center"/>
          </w:tcPr>
          <w:p>
            <w:pPr>
              <w:spacing w:line="400" w:lineRule="exact"/>
              <w:ind w:firstLine="0" w:firstLineChars="0"/>
              <w:jc w:val="center"/>
              <w:rPr>
                <w:sz w:val="21"/>
              </w:rPr>
            </w:pPr>
          </w:p>
        </w:tc>
        <w:tc>
          <w:tcPr>
            <w:tcW w:w="583" w:type="dxa"/>
            <w:vMerge w:val="restart"/>
            <w:tcBorders>
              <w:tl2br w:val="nil"/>
              <w:tr2bl w:val="nil"/>
            </w:tcBorders>
            <w:vAlign w:val="center"/>
          </w:tcPr>
          <w:p>
            <w:pPr>
              <w:pStyle w:val="119"/>
              <w:spacing w:line="400" w:lineRule="exact"/>
              <w:ind w:firstLine="0" w:firstLineChars="0"/>
              <w:jc w:val="center"/>
              <w:rPr>
                <w:sz w:val="21"/>
              </w:rPr>
            </w:pPr>
            <w:r>
              <w:rPr>
                <w:rFonts w:cs="Times New Roman"/>
                <w:sz w:val="21"/>
                <w:szCs w:val="21"/>
              </w:rPr>
              <w:t>其中</w:t>
            </w:r>
          </w:p>
        </w:tc>
        <w:tc>
          <w:tcPr>
            <w:tcW w:w="2305" w:type="dxa"/>
            <w:tcBorders>
              <w:tl2br w:val="nil"/>
              <w:tr2bl w:val="nil"/>
            </w:tcBorders>
            <w:vAlign w:val="center"/>
          </w:tcPr>
          <w:p>
            <w:pPr>
              <w:pStyle w:val="119"/>
              <w:spacing w:line="400" w:lineRule="exact"/>
              <w:ind w:firstLine="0" w:firstLineChars="0"/>
              <w:jc w:val="center"/>
              <w:rPr>
                <w:sz w:val="21"/>
              </w:rPr>
            </w:pPr>
            <w:r>
              <w:rPr>
                <w:sz w:val="21"/>
              </w:rPr>
              <w:t>水域（</w:t>
            </w:r>
            <w:r>
              <w:rPr>
                <w:rFonts w:eastAsia="Times New Roman"/>
                <w:sz w:val="21"/>
              </w:rPr>
              <w:t>E1</w:t>
            </w:r>
            <w:r>
              <w:rPr>
                <w:sz w:val="21"/>
              </w:rPr>
              <w:t>）</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370.02</w:t>
            </w:r>
          </w:p>
        </w:tc>
        <w:tc>
          <w:tcPr>
            <w:tcW w:w="903" w:type="dxa"/>
            <w:vMerge w:val="continue"/>
            <w:tcBorders>
              <w:tl2br w:val="nil"/>
              <w:tr2bl w:val="nil"/>
            </w:tcBorders>
            <w:vAlign w:val="center"/>
          </w:tcPr>
          <w:p>
            <w:pPr>
              <w:spacing w:line="400" w:lineRule="exact"/>
              <w:ind w:firstLine="0" w:firstLineChars="0"/>
              <w:jc w:val="center"/>
              <w:rPr>
                <w:rFonts w:cs="Times New Roman"/>
                <w:sz w:val="21"/>
                <w:szCs w:val="21"/>
                <w:lang w:eastAsia="zh-CN"/>
              </w:rPr>
            </w:pPr>
          </w:p>
        </w:tc>
        <w:tc>
          <w:tcPr>
            <w:tcW w:w="1000" w:type="dxa"/>
            <w:vMerge w:val="continue"/>
            <w:tcBorders>
              <w:tl2br w:val="nil"/>
              <w:tr2bl w:val="nil"/>
            </w:tcBorders>
            <w:vAlign w:val="center"/>
          </w:tcPr>
          <w:p>
            <w:pPr>
              <w:spacing w:line="400" w:lineRule="exact"/>
              <w:ind w:firstLine="0" w:firstLineChars="0"/>
              <w:jc w:val="center"/>
              <w:rPr>
                <w:rFonts w:cs="Times New Roman"/>
                <w:sz w:val="21"/>
                <w:szCs w:val="21"/>
                <w:lang w:eastAsia="zh-CN"/>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370.02</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441" w:type="dxa"/>
            <w:vMerge w:val="continue"/>
            <w:tcBorders>
              <w:tl2br w:val="nil"/>
              <w:tr2bl w:val="nil"/>
            </w:tcBorders>
            <w:vAlign w:val="center"/>
          </w:tcPr>
          <w:p>
            <w:pPr>
              <w:spacing w:line="400" w:lineRule="exact"/>
              <w:ind w:firstLine="0" w:firstLineChars="0"/>
              <w:jc w:val="center"/>
              <w:rPr>
                <w:rFonts w:cs="Times New Roman"/>
                <w:sz w:val="21"/>
                <w:szCs w:val="21"/>
                <w:lang w:eastAsia="zh-CN"/>
              </w:rPr>
            </w:pPr>
          </w:p>
        </w:tc>
        <w:tc>
          <w:tcPr>
            <w:tcW w:w="875" w:type="dxa"/>
            <w:vMerge w:val="continue"/>
            <w:tcBorders>
              <w:tl2br w:val="nil"/>
              <w:tr2bl w:val="nil"/>
            </w:tcBorders>
            <w:vAlign w:val="center"/>
          </w:tcPr>
          <w:p>
            <w:pPr>
              <w:spacing w:line="400" w:lineRule="exact"/>
              <w:ind w:firstLine="0" w:firstLineChars="0"/>
              <w:jc w:val="center"/>
              <w:rPr>
                <w:sz w:val="21"/>
              </w:rPr>
            </w:pPr>
          </w:p>
        </w:tc>
        <w:tc>
          <w:tcPr>
            <w:tcW w:w="583" w:type="dxa"/>
            <w:vMerge w:val="continue"/>
            <w:tcBorders>
              <w:tl2br w:val="nil"/>
              <w:tr2bl w:val="nil"/>
            </w:tcBorders>
            <w:vAlign w:val="center"/>
          </w:tcPr>
          <w:p>
            <w:pPr>
              <w:pStyle w:val="119"/>
              <w:spacing w:line="400" w:lineRule="exact"/>
              <w:ind w:firstLine="0" w:firstLineChars="0"/>
              <w:jc w:val="center"/>
              <w:rPr>
                <w:rFonts w:cs="Times New Roman"/>
                <w:sz w:val="21"/>
                <w:szCs w:val="21"/>
              </w:rPr>
            </w:pPr>
          </w:p>
        </w:tc>
        <w:tc>
          <w:tcPr>
            <w:tcW w:w="2305" w:type="dxa"/>
            <w:tcBorders>
              <w:tl2br w:val="nil"/>
              <w:tr2bl w:val="nil"/>
            </w:tcBorders>
            <w:vAlign w:val="center"/>
          </w:tcPr>
          <w:p>
            <w:pPr>
              <w:pStyle w:val="119"/>
              <w:spacing w:line="400" w:lineRule="exact"/>
              <w:ind w:firstLine="0" w:firstLineChars="0"/>
              <w:jc w:val="center"/>
              <w:rPr>
                <w:rFonts w:cs="Times New Roman"/>
                <w:sz w:val="21"/>
                <w:szCs w:val="21"/>
              </w:rPr>
            </w:pPr>
            <w:r>
              <w:rPr>
                <w:sz w:val="21"/>
              </w:rPr>
              <w:t>其它用地</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w:t>
            </w:r>
          </w:p>
        </w:tc>
        <w:tc>
          <w:tcPr>
            <w:tcW w:w="903"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w:t>
            </w:r>
          </w:p>
        </w:tc>
        <w:tc>
          <w:tcPr>
            <w:tcW w:w="1000" w:type="dxa"/>
            <w:tcBorders>
              <w:tl2br w:val="nil"/>
              <w:tr2bl w:val="nil"/>
            </w:tcBorders>
            <w:vAlign w:val="center"/>
          </w:tcPr>
          <w:p>
            <w:pPr>
              <w:spacing w:line="400" w:lineRule="exact"/>
              <w:ind w:firstLine="0" w:firstLineChars="0"/>
              <w:jc w:val="center"/>
              <w:rPr>
                <w:rFonts w:cs="Times New Roman"/>
                <w:sz w:val="21"/>
                <w:szCs w:val="21"/>
                <w:lang w:eastAsia="zh-CN"/>
              </w:rPr>
            </w:pP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2562.21</w:t>
            </w:r>
          </w:p>
        </w:tc>
        <w:tc>
          <w:tcPr>
            <w:tcW w:w="743" w:type="dxa"/>
            <w:vMerge w:val="continue"/>
            <w:tcBorders>
              <w:tl2br w:val="nil"/>
              <w:tr2bl w:val="nil"/>
            </w:tcBorders>
            <w:vAlign w:val="center"/>
          </w:tcPr>
          <w:p>
            <w:pPr>
              <w:spacing w:line="40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4204" w:type="dxa"/>
            <w:gridSpan w:val="4"/>
            <w:tcBorders>
              <w:tl2br w:val="nil"/>
              <w:tr2bl w:val="nil"/>
            </w:tcBorders>
            <w:vAlign w:val="center"/>
          </w:tcPr>
          <w:p>
            <w:pPr>
              <w:pStyle w:val="119"/>
              <w:spacing w:line="400" w:lineRule="exact"/>
              <w:ind w:firstLine="0" w:firstLineChars="0"/>
              <w:jc w:val="center"/>
              <w:rPr>
                <w:sz w:val="21"/>
                <w:lang w:eastAsia="zh-CN"/>
              </w:rPr>
            </w:pPr>
            <w:r>
              <w:rPr>
                <w:rFonts w:hint="eastAsia"/>
                <w:sz w:val="21"/>
                <w:lang w:eastAsia="zh-CN"/>
              </w:rPr>
              <w:t>合计</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5129.11</w:t>
            </w:r>
          </w:p>
        </w:tc>
        <w:tc>
          <w:tcPr>
            <w:tcW w:w="903"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100</w:t>
            </w:r>
          </w:p>
        </w:tc>
        <w:tc>
          <w:tcPr>
            <w:tcW w:w="1000"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rPr>
              <w:t>50.51</w:t>
            </w:r>
          </w:p>
        </w:tc>
        <w:tc>
          <w:tcPr>
            <w:tcW w:w="114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5129.11</w:t>
            </w:r>
          </w:p>
        </w:tc>
        <w:tc>
          <w:tcPr>
            <w:tcW w:w="743"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hint="eastAsia" w:cs="Times New Roman"/>
                <w:sz w:val="21"/>
                <w:szCs w:val="21"/>
                <w:lang w:eastAsia="zh-CN"/>
              </w:rPr>
              <w:t>100</w:t>
            </w:r>
          </w:p>
        </w:tc>
      </w:tr>
    </w:tbl>
    <w:p>
      <w:pPr>
        <w:pStyle w:val="9"/>
        <w:rPr>
          <w:rFonts w:ascii="Times New Roman" w:hAnsi="Times New Roman"/>
        </w:rPr>
      </w:pPr>
      <w:bookmarkStart w:id="86" w:name="_Toc5351"/>
      <w:r>
        <w:rPr>
          <w:rFonts w:ascii="Times New Roman" w:hAnsi="Times New Roman"/>
        </w:rPr>
        <w:t>2.3.3 产业结构实施情况</w:t>
      </w:r>
      <w:bookmarkEnd w:id="86"/>
    </w:p>
    <w:p>
      <w:pPr>
        <w:pStyle w:val="10"/>
        <w:rPr>
          <w:rFonts w:cs="Times New Roman"/>
          <w:b/>
          <w:bCs/>
          <w:lang w:eastAsia="zh-CN"/>
        </w:rPr>
      </w:pPr>
      <w:r>
        <w:rPr>
          <w:rFonts w:cs="Times New Roman"/>
          <w:b/>
          <w:bCs/>
          <w:lang w:eastAsia="zh-CN"/>
        </w:rPr>
        <w:t>2.3.3.1 规划产业结构</w:t>
      </w:r>
    </w:p>
    <w:p>
      <w:pPr>
        <w:pStyle w:val="25"/>
        <w:spacing w:after="0"/>
        <w:ind w:firstLine="440"/>
        <w:rPr>
          <w:lang w:eastAsia="zh-CN"/>
        </w:rPr>
      </w:pPr>
      <w:r>
        <w:rPr>
          <w:spacing w:val="-10"/>
          <w:lang w:eastAsia="zh-CN"/>
        </w:rPr>
        <w:t>以节能环保、新能源、生物医药、电子商务、现代物流产业为主导，以先进装备制造、汽车零部件生产产业为延伸，打造沈阳经济区的生态环保、科技创新、结构优</w:t>
      </w:r>
      <w:r>
        <w:rPr>
          <w:lang w:eastAsia="zh-CN"/>
        </w:rPr>
        <w:t>化的龙头产业基地。</w:t>
      </w:r>
      <w:r>
        <w:rPr>
          <w:rFonts w:cs="Times New Roman"/>
          <w:lang w:eastAsia="zh-CN"/>
        </w:rPr>
        <w:t>规划环评时期，主要</w:t>
      </w:r>
      <w:r>
        <w:rPr>
          <w:rFonts w:hint="eastAsia" w:cs="Times New Roman"/>
          <w:lang w:eastAsia="zh-CN"/>
        </w:rPr>
        <w:t>工业企业见表2.3-4。</w:t>
      </w:r>
    </w:p>
    <w:p>
      <w:pPr>
        <w:pStyle w:val="20"/>
        <w:spacing w:line="240" w:lineRule="auto"/>
        <w:jc w:val="center"/>
        <w:rPr>
          <w:rFonts w:ascii="Times New Roman" w:hAnsi="Times New Roman" w:eastAsia="宋体" w:cs="Times New Roman"/>
          <w:b/>
          <w:bCs/>
          <w:sz w:val="21"/>
          <w:szCs w:val="21"/>
          <w:lang w:eastAsia="zh-CN"/>
        </w:rPr>
        <w:sectPr>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20"/>
        <w:spacing w:line="240" w:lineRule="auto"/>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 xml:space="preserve">表2.3-4  </w:t>
      </w:r>
      <w:r>
        <w:rPr>
          <w:rFonts w:hint="eastAsia" w:ascii="Times New Roman" w:hAnsi="Times New Roman" w:eastAsia="宋体" w:cs="Times New Roman"/>
          <w:b/>
          <w:bCs/>
          <w:sz w:val="21"/>
          <w:szCs w:val="21"/>
          <w:lang w:eastAsia="zh-CN"/>
        </w:rPr>
        <w:t>国际新兴产业园区规划环评时期</w:t>
      </w:r>
      <w:r>
        <w:rPr>
          <w:rFonts w:ascii="Times New Roman" w:hAnsi="Times New Roman" w:eastAsia="宋体" w:cs="Times New Roman"/>
          <w:b/>
          <w:bCs/>
          <w:sz w:val="21"/>
          <w:szCs w:val="21"/>
          <w:lang w:eastAsia="zh-CN"/>
        </w:rPr>
        <w:t>主要工业企业一览表</w:t>
      </w:r>
    </w:p>
    <w:tbl>
      <w:tblPr>
        <w:tblStyle w:val="64"/>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2802"/>
        <w:gridCol w:w="1213"/>
        <w:gridCol w:w="1819"/>
        <w:gridCol w:w="1717"/>
        <w:gridCol w:w="108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序号</w:t>
            </w:r>
          </w:p>
        </w:tc>
        <w:tc>
          <w:tcPr>
            <w:tcW w:w="1508" w:type="pct"/>
            <w:shd w:val="clear" w:color="auto" w:fill="auto"/>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企业（项目）名称</w:t>
            </w:r>
          </w:p>
        </w:tc>
        <w:tc>
          <w:tcPr>
            <w:tcW w:w="653" w:type="pct"/>
            <w:vAlign w:val="center"/>
          </w:tcPr>
          <w:p>
            <w:pPr>
              <w:pStyle w:val="16"/>
              <w:spacing w:line="400" w:lineRule="exact"/>
              <w:rPr>
                <w:rFonts w:ascii="Times New Roman" w:hAnsi="Times New Roman"/>
                <w:b/>
                <w:bCs/>
                <w:sz w:val="21"/>
              </w:rPr>
            </w:pPr>
            <w:r>
              <w:rPr>
                <w:rFonts w:ascii="Times New Roman" w:hAnsi="Times New Roman"/>
                <w:b/>
                <w:bCs/>
                <w:sz w:val="21"/>
              </w:rPr>
              <w:t>行业类别</w:t>
            </w:r>
          </w:p>
        </w:tc>
        <w:tc>
          <w:tcPr>
            <w:tcW w:w="979" w:type="pct"/>
            <w:vAlign w:val="center"/>
          </w:tcPr>
          <w:p>
            <w:pPr>
              <w:pStyle w:val="16"/>
              <w:spacing w:line="400" w:lineRule="exact"/>
              <w:rPr>
                <w:rFonts w:ascii="Times New Roman" w:hAnsi="Times New Roman"/>
                <w:b/>
                <w:bCs/>
                <w:sz w:val="21"/>
              </w:rPr>
            </w:pPr>
            <w:r>
              <w:rPr>
                <w:rFonts w:hint="eastAsia" w:ascii="Times New Roman" w:hAnsi="Times New Roman"/>
                <w:b/>
                <w:bCs/>
                <w:sz w:val="21"/>
              </w:rPr>
              <w:t>环评批复文号</w:t>
            </w:r>
          </w:p>
        </w:tc>
        <w:tc>
          <w:tcPr>
            <w:tcW w:w="924" w:type="pct"/>
            <w:vAlign w:val="center"/>
          </w:tcPr>
          <w:p>
            <w:pPr>
              <w:pStyle w:val="16"/>
              <w:spacing w:line="400" w:lineRule="exact"/>
              <w:rPr>
                <w:rFonts w:ascii="Times New Roman" w:hAnsi="Times New Roman"/>
                <w:b/>
                <w:bCs/>
                <w:sz w:val="21"/>
              </w:rPr>
            </w:pPr>
            <w:r>
              <w:rPr>
                <w:rFonts w:hint="eastAsia" w:ascii="Times New Roman" w:hAnsi="Times New Roman"/>
                <w:b/>
                <w:bCs/>
                <w:sz w:val="21"/>
              </w:rPr>
              <w:t>环保验收文号</w:t>
            </w:r>
          </w:p>
        </w:tc>
        <w:tc>
          <w:tcPr>
            <w:tcW w:w="585" w:type="pct"/>
            <w:vAlign w:val="center"/>
          </w:tcPr>
          <w:p>
            <w:pPr>
              <w:pStyle w:val="16"/>
              <w:spacing w:line="400" w:lineRule="exact"/>
              <w:rPr>
                <w:rFonts w:ascii="Times New Roman" w:hAnsi="Times New Roman"/>
                <w:b/>
                <w:bCs/>
                <w:sz w:val="21"/>
              </w:rPr>
            </w:pPr>
            <w:r>
              <w:rPr>
                <w:rFonts w:hint="eastAsia" w:ascii="Times New Roman" w:hAnsi="Times New Roman"/>
                <w:b/>
                <w:bCs/>
                <w:sz w:val="21"/>
              </w:rPr>
              <w:t>跟踪评价期间</w:t>
            </w:r>
            <w:r>
              <w:rPr>
                <w:rFonts w:ascii="Times New Roman" w:hAnsi="Times New Roman"/>
                <w:b/>
                <w:bCs/>
                <w:sz w:val="21"/>
                <w:lang w:val="zh-CN"/>
              </w:rPr>
              <w:t>状态</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lang w:val="zh-CN"/>
              </w:rPr>
            </w:pPr>
            <w:r>
              <w:rPr>
                <w:rFonts w:ascii="Times New Roman" w:hAnsi="Times New Roman"/>
                <w:sz w:val="21"/>
                <w:lang w:val="zh-CN"/>
              </w:rPr>
              <w:t>1</w:t>
            </w:r>
          </w:p>
        </w:tc>
        <w:tc>
          <w:tcPr>
            <w:tcW w:w="1508" w:type="pct"/>
            <w:shd w:val="clear" w:color="auto" w:fill="auto"/>
            <w:vAlign w:val="center"/>
          </w:tcPr>
          <w:p>
            <w:pPr>
              <w:pStyle w:val="119"/>
              <w:spacing w:line="400" w:lineRule="exact"/>
              <w:ind w:firstLine="0" w:firstLineChars="0"/>
              <w:jc w:val="center"/>
              <w:rPr>
                <w:rFonts w:cs="Times New Roman"/>
                <w:sz w:val="21"/>
                <w:szCs w:val="21"/>
                <w:lang w:val="zh-CN" w:eastAsia="zh-CN"/>
              </w:rPr>
            </w:pPr>
            <w:r>
              <w:rPr>
                <w:rFonts w:cs="Times New Roman"/>
                <w:sz w:val="21"/>
                <w:szCs w:val="21"/>
                <w:lang w:eastAsia="zh-CN"/>
              </w:rPr>
              <w:t>沈阳大明办公设备有限公司</w:t>
            </w:r>
          </w:p>
        </w:tc>
        <w:tc>
          <w:tcPr>
            <w:tcW w:w="653" w:type="pct"/>
            <w:vAlign w:val="center"/>
          </w:tcPr>
          <w:p>
            <w:pPr>
              <w:pStyle w:val="119"/>
              <w:spacing w:line="400" w:lineRule="exact"/>
              <w:ind w:firstLine="0" w:firstLineChars="0"/>
              <w:jc w:val="center"/>
              <w:rPr>
                <w:rFonts w:cs="Times New Roman"/>
                <w:sz w:val="21"/>
                <w:szCs w:val="21"/>
              </w:rPr>
            </w:pPr>
            <w:r>
              <w:rPr>
                <w:rFonts w:cs="Times New Roman"/>
                <w:sz w:val="21"/>
                <w:szCs w:val="21"/>
              </w:rPr>
              <w:t>C2130</w:t>
            </w:r>
          </w:p>
        </w:tc>
        <w:tc>
          <w:tcPr>
            <w:tcW w:w="979" w:type="pct"/>
            <w:vAlign w:val="center"/>
          </w:tcPr>
          <w:p>
            <w:pPr>
              <w:pStyle w:val="119"/>
              <w:spacing w:line="400" w:lineRule="exact"/>
              <w:ind w:firstLine="0" w:firstLineChars="0"/>
              <w:jc w:val="center"/>
              <w:rPr>
                <w:rFonts w:cs="Times New Roman"/>
                <w:sz w:val="21"/>
                <w:szCs w:val="21"/>
              </w:rPr>
            </w:pPr>
            <w:r>
              <w:rPr>
                <w:sz w:val="21"/>
                <w:szCs w:val="21"/>
              </w:rPr>
              <w:t>2008.6.2</w:t>
            </w:r>
          </w:p>
        </w:tc>
        <w:tc>
          <w:tcPr>
            <w:tcW w:w="924" w:type="pct"/>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沈东陵环保验字【</w:t>
            </w:r>
            <w:r>
              <w:rPr>
                <w:rFonts w:eastAsia="Times New Roman"/>
                <w:sz w:val="21"/>
                <w:szCs w:val="21"/>
                <w:lang w:eastAsia="zh-CN"/>
              </w:rPr>
              <w:t>2008</w:t>
            </w:r>
            <w:r>
              <w:rPr>
                <w:sz w:val="21"/>
                <w:szCs w:val="21"/>
                <w:lang w:eastAsia="zh-CN"/>
              </w:rPr>
              <w:t>】</w:t>
            </w:r>
            <w:r>
              <w:rPr>
                <w:rFonts w:eastAsia="Times New Roman"/>
                <w:sz w:val="21"/>
                <w:szCs w:val="21"/>
                <w:lang w:eastAsia="zh-CN"/>
              </w:rPr>
              <w:t>62</w:t>
            </w:r>
            <w:r>
              <w:rPr>
                <w:sz w:val="21"/>
                <w:szCs w:val="21"/>
                <w:lang w:eastAsia="zh-CN"/>
              </w:rPr>
              <w:t>号</w:t>
            </w: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lang w:val="zh-CN"/>
              </w:rPr>
            </w:pPr>
            <w:r>
              <w:rPr>
                <w:rFonts w:ascii="Times New Roman" w:hAnsi="Times New Roman"/>
                <w:sz w:val="21"/>
                <w:lang w:val="zh-CN"/>
              </w:rPr>
              <w:t>2</w:t>
            </w:r>
          </w:p>
        </w:tc>
        <w:tc>
          <w:tcPr>
            <w:tcW w:w="1508" w:type="pct"/>
            <w:shd w:val="clear" w:color="auto" w:fill="auto"/>
            <w:vAlign w:val="center"/>
          </w:tcPr>
          <w:p>
            <w:pPr>
              <w:pStyle w:val="119"/>
              <w:spacing w:line="400" w:lineRule="exact"/>
              <w:ind w:firstLine="0" w:firstLineChars="0"/>
              <w:jc w:val="center"/>
              <w:rPr>
                <w:rFonts w:cs="Times New Roman"/>
                <w:sz w:val="21"/>
                <w:szCs w:val="21"/>
                <w:lang w:val="zh-CN" w:eastAsia="zh-CN"/>
              </w:rPr>
            </w:pPr>
            <w:r>
              <w:rPr>
                <w:rFonts w:cs="Times New Roman"/>
                <w:sz w:val="21"/>
                <w:szCs w:val="21"/>
                <w:lang w:eastAsia="zh-CN"/>
              </w:rPr>
              <w:t>中国科学院沈阳科学仪器股份有限公司</w:t>
            </w:r>
          </w:p>
        </w:tc>
        <w:tc>
          <w:tcPr>
            <w:tcW w:w="653" w:type="pct"/>
            <w:vAlign w:val="center"/>
          </w:tcPr>
          <w:p>
            <w:pPr>
              <w:pStyle w:val="119"/>
              <w:spacing w:line="400" w:lineRule="exact"/>
              <w:ind w:firstLine="0" w:firstLineChars="0"/>
              <w:jc w:val="center"/>
              <w:rPr>
                <w:rFonts w:cs="Times New Roman"/>
                <w:sz w:val="21"/>
                <w:szCs w:val="21"/>
              </w:rPr>
            </w:pPr>
            <w:r>
              <w:rPr>
                <w:rFonts w:cs="Times New Roman"/>
                <w:sz w:val="21"/>
                <w:szCs w:val="21"/>
              </w:rPr>
              <w:t>C344</w:t>
            </w:r>
          </w:p>
        </w:tc>
        <w:tc>
          <w:tcPr>
            <w:tcW w:w="979" w:type="pct"/>
            <w:vAlign w:val="center"/>
          </w:tcPr>
          <w:p>
            <w:pPr>
              <w:pStyle w:val="119"/>
              <w:spacing w:line="400" w:lineRule="exact"/>
              <w:ind w:firstLine="0" w:firstLineChars="0"/>
              <w:jc w:val="center"/>
              <w:rPr>
                <w:rFonts w:cs="Times New Roman"/>
                <w:sz w:val="21"/>
                <w:szCs w:val="21"/>
                <w:lang w:val="zh-CN"/>
              </w:rPr>
            </w:pPr>
            <w:r>
              <w:rPr>
                <w:sz w:val="21"/>
                <w:szCs w:val="21"/>
              </w:rPr>
              <w:t>2006</w:t>
            </w:r>
          </w:p>
        </w:tc>
        <w:tc>
          <w:tcPr>
            <w:tcW w:w="924" w:type="pct"/>
            <w:vAlign w:val="center"/>
          </w:tcPr>
          <w:p>
            <w:pPr>
              <w:pStyle w:val="119"/>
              <w:spacing w:line="400" w:lineRule="exact"/>
              <w:ind w:firstLine="0" w:firstLineChars="0"/>
              <w:jc w:val="center"/>
              <w:rPr>
                <w:rFonts w:cs="Times New Roman"/>
                <w:sz w:val="21"/>
                <w:szCs w:val="21"/>
              </w:rPr>
            </w:pPr>
            <w:r>
              <w:rPr>
                <w:sz w:val="21"/>
                <w:szCs w:val="21"/>
              </w:rPr>
              <w:t>环验【</w:t>
            </w:r>
            <w:r>
              <w:rPr>
                <w:rFonts w:eastAsia="Times New Roman"/>
                <w:sz w:val="21"/>
                <w:szCs w:val="21"/>
              </w:rPr>
              <w:t>2006</w:t>
            </w:r>
            <w:r>
              <w:rPr>
                <w:sz w:val="21"/>
                <w:szCs w:val="21"/>
              </w:rPr>
              <w:t>】</w:t>
            </w:r>
            <w:r>
              <w:rPr>
                <w:rFonts w:eastAsia="Times New Roman"/>
                <w:sz w:val="21"/>
                <w:szCs w:val="21"/>
              </w:rPr>
              <w:t xml:space="preserve">22 </w:t>
            </w:r>
            <w:r>
              <w:rPr>
                <w:sz w:val="21"/>
                <w:szCs w:val="21"/>
              </w:rPr>
              <w:t>号</w:t>
            </w: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347" w:type="pct"/>
            <w:shd w:val="clear" w:color="auto" w:fill="auto"/>
            <w:vAlign w:val="center"/>
          </w:tcPr>
          <w:p>
            <w:pPr>
              <w:pStyle w:val="16"/>
              <w:spacing w:line="400" w:lineRule="exact"/>
              <w:rPr>
                <w:rFonts w:ascii="Times New Roman" w:hAnsi="Times New Roman"/>
                <w:sz w:val="21"/>
                <w:lang w:val="zh-CN"/>
              </w:rPr>
            </w:pPr>
            <w:r>
              <w:rPr>
                <w:rFonts w:ascii="Times New Roman" w:hAnsi="Times New Roman"/>
                <w:sz w:val="21"/>
                <w:lang w:val="zh-CN"/>
              </w:rPr>
              <w:t>3</w:t>
            </w:r>
          </w:p>
        </w:tc>
        <w:tc>
          <w:tcPr>
            <w:tcW w:w="1508" w:type="pct"/>
            <w:shd w:val="clear" w:color="auto" w:fill="auto"/>
            <w:vAlign w:val="center"/>
          </w:tcPr>
          <w:p>
            <w:pPr>
              <w:pStyle w:val="119"/>
              <w:spacing w:line="400" w:lineRule="exact"/>
              <w:ind w:firstLine="0" w:firstLineChars="0"/>
              <w:jc w:val="center"/>
              <w:rPr>
                <w:rFonts w:cs="Times New Roman"/>
                <w:sz w:val="21"/>
                <w:szCs w:val="21"/>
                <w:lang w:val="zh-CN" w:eastAsia="zh-CN"/>
              </w:rPr>
            </w:pPr>
            <w:r>
              <w:rPr>
                <w:rFonts w:cs="Times New Roman"/>
                <w:sz w:val="21"/>
                <w:szCs w:val="21"/>
                <w:lang w:eastAsia="zh-CN"/>
              </w:rPr>
              <w:t>同方光电（沈阳）有限公司</w:t>
            </w:r>
          </w:p>
        </w:tc>
        <w:tc>
          <w:tcPr>
            <w:tcW w:w="653" w:type="pct"/>
            <w:vAlign w:val="center"/>
          </w:tcPr>
          <w:p>
            <w:pPr>
              <w:pStyle w:val="119"/>
              <w:spacing w:line="400" w:lineRule="exact"/>
              <w:ind w:firstLine="0" w:firstLineChars="0"/>
              <w:jc w:val="center"/>
              <w:rPr>
                <w:rFonts w:cs="Times New Roman"/>
                <w:sz w:val="21"/>
                <w:szCs w:val="21"/>
              </w:rPr>
            </w:pPr>
            <w:r>
              <w:rPr>
                <w:rFonts w:cs="Times New Roman"/>
                <w:sz w:val="21"/>
                <w:szCs w:val="21"/>
              </w:rPr>
              <w:t>C3969</w:t>
            </w:r>
          </w:p>
        </w:tc>
        <w:tc>
          <w:tcPr>
            <w:tcW w:w="979" w:type="pct"/>
            <w:vAlign w:val="center"/>
          </w:tcPr>
          <w:p>
            <w:pPr>
              <w:pStyle w:val="119"/>
              <w:spacing w:line="400" w:lineRule="exact"/>
              <w:ind w:firstLine="0" w:firstLineChars="0"/>
              <w:jc w:val="center"/>
              <w:rPr>
                <w:rFonts w:cs="Times New Roman"/>
                <w:sz w:val="21"/>
                <w:szCs w:val="21"/>
              </w:rPr>
            </w:pPr>
            <w:r>
              <w:rPr>
                <w:sz w:val="21"/>
                <w:szCs w:val="21"/>
              </w:rPr>
              <w:t>浑环分审字【</w:t>
            </w:r>
            <w:r>
              <w:rPr>
                <w:rFonts w:eastAsia="Times New Roman"/>
                <w:sz w:val="21"/>
                <w:szCs w:val="21"/>
              </w:rPr>
              <w:t>2010</w:t>
            </w:r>
            <w:r>
              <w:rPr>
                <w:sz w:val="21"/>
                <w:szCs w:val="21"/>
              </w:rPr>
              <w:t>】</w:t>
            </w:r>
            <w:r>
              <w:rPr>
                <w:rFonts w:eastAsia="Times New Roman"/>
                <w:sz w:val="21"/>
                <w:szCs w:val="21"/>
              </w:rPr>
              <w:t>8</w:t>
            </w:r>
            <w:r>
              <w:rPr>
                <w:sz w:val="21"/>
                <w:szCs w:val="21"/>
              </w:rPr>
              <w:t>号</w:t>
            </w:r>
          </w:p>
        </w:tc>
        <w:tc>
          <w:tcPr>
            <w:tcW w:w="924" w:type="pct"/>
            <w:vAlign w:val="center"/>
          </w:tcPr>
          <w:p>
            <w:pPr>
              <w:pStyle w:val="119"/>
              <w:spacing w:line="400" w:lineRule="exact"/>
              <w:ind w:firstLine="0" w:firstLineChars="0"/>
              <w:jc w:val="center"/>
              <w:rPr>
                <w:rFonts w:eastAsia="Times New Roman"/>
                <w:sz w:val="21"/>
                <w:szCs w:val="21"/>
                <w:lang w:eastAsia="zh-CN"/>
              </w:rPr>
            </w:pPr>
            <w:r>
              <w:rPr>
                <w:sz w:val="21"/>
                <w:szCs w:val="21"/>
                <w:lang w:eastAsia="zh-CN"/>
              </w:rPr>
              <w:t>环监技服字（</w:t>
            </w:r>
            <w:r>
              <w:rPr>
                <w:rFonts w:eastAsia="Times New Roman"/>
                <w:sz w:val="21"/>
                <w:szCs w:val="21"/>
                <w:lang w:eastAsia="zh-CN"/>
              </w:rPr>
              <w:t>HY</w:t>
            </w:r>
            <w:r>
              <w:rPr>
                <w:sz w:val="21"/>
                <w:szCs w:val="21"/>
                <w:lang w:eastAsia="zh-CN"/>
              </w:rPr>
              <w:t>）</w:t>
            </w:r>
            <w:r>
              <w:rPr>
                <w:rFonts w:eastAsia="Times New Roman"/>
                <w:sz w:val="21"/>
                <w:szCs w:val="21"/>
                <w:lang w:eastAsia="zh-CN"/>
              </w:rPr>
              <w:t>2010</w:t>
            </w:r>
          </w:p>
          <w:p>
            <w:pPr>
              <w:pStyle w:val="119"/>
              <w:spacing w:line="400" w:lineRule="exact"/>
              <w:ind w:firstLine="0" w:firstLineChars="0"/>
              <w:jc w:val="center"/>
              <w:rPr>
                <w:rFonts w:cs="Times New Roman"/>
                <w:sz w:val="21"/>
                <w:szCs w:val="21"/>
                <w:lang w:eastAsia="zh-CN"/>
              </w:rPr>
            </w:pPr>
            <w:r>
              <w:rPr>
                <w:sz w:val="21"/>
                <w:szCs w:val="21"/>
                <w:lang w:eastAsia="zh-CN"/>
              </w:rPr>
              <w:t>第（</w:t>
            </w:r>
            <w:r>
              <w:rPr>
                <w:rFonts w:eastAsia="Times New Roman"/>
                <w:sz w:val="21"/>
                <w:szCs w:val="21"/>
                <w:lang w:eastAsia="zh-CN"/>
              </w:rPr>
              <w:t>009</w:t>
            </w:r>
            <w:r>
              <w:rPr>
                <w:sz w:val="21"/>
                <w:szCs w:val="21"/>
                <w:lang w:eastAsia="zh-CN"/>
              </w:rPr>
              <w:t>）号</w:t>
            </w:r>
          </w:p>
        </w:tc>
        <w:tc>
          <w:tcPr>
            <w:tcW w:w="585" w:type="pct"/>
            <w:vAlign w:val="center"/>
          </w:tcPr>
          <w:p>
            <w:pPr>
              <w:pStyle w:val="16"/>
              <w:spacing w:line="400" w:lineRule="exact"/>
              <w:rPr>
                <w:rFonts w:ascii="Times New Roman" w:hAnsi="Times New Roman"/>
                <w:sz w:val="21"/>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47" w:type="pct"/>
            <w:shd w:val="clear" w:color="auto" w:fill="auto"/>
            <w:vAlign w:val="center"/>
          </w:tcPr>
          <w:p>
            <w:pPr>
              <w:pStyle w:val="16"/>
              <w:spacing w:line="400" w:lineRule="exact"/>
              <w:rPr>
                <w:rFonts w:ascii="Times New Roman" w:hAnsi="Times New Roman"/>
                <w:sz w:val="21"/>
                <w:lang w:val="zh-CN"/>
              </w:rPr>
            </w:pPr>
            <w:r>
              <w:rPr>
                <w:rFonts w:ascii="Times New Roman" w:hAnsi="Times New Roman"/>
                <w:sz w:val="21"/>
                <w:lang w:val="zh-CN"/>
              </w:rPr>
              <w:t>4</w:t>
            </w:r>
          </w:p>
        </w:tc>
        <w:tc>
          <w:tcPr>
            <w:tcW w:w="1508" w:type="pct"/>
            <w:shd w:val="clear" w:color="auto" w:fill="auto"/>
            <w:vAlign w:val="center"/>
          </w:tcPr>
          <w:p>
            <w:pPr>
              <w:pStyle w:val="119"/>
              <w:spacing w:line="400" w:lineRule="exact"/>
              <w:ind w:firstLine="0" w:firstLineChars="0"/>
              <w:jc w:val="center"/>
              <w:rPr>
                <w:rFonts w:cs="Times New Roman"/>
                <w:sz w:val="21"/>
                <w:szCs w:val="21"/>
                <w:lang w:val="zh-CN" w:eastAsia="zh-CN"/>
              </w:rPr>
            </w:pPr>
            <w:r>
              <w:rPr>
                <w:rFonts w:cs="Times New Roman"/>
                <w:sz w:val="21"/>
                <w:szCs w:val="21"/>
                <w:lang w:eastAsia="zh-CN"/>
              </w:rPr>
              <w:t>沈阳华晨东兴汽车零部件有限公司</w:t>
            </w:r>
          </w:p>
        </w:tc>
        <w:tc>
          <w:tcPr>
            <w:tcW w:w="653" w:type="pct"/>
            <w:vAlign w:val="center"/>
          </w:tcPr>
          <w:p>
            <w:pPr>
              <w:pStyle w:val="119"/>
              <w:spacing w:line="400" w:lineRule="exact"/>
              <w:ind w:firstLine="0" w:firstLineChars="0"/>
              <w:jc w:val="center"/>
              <w:rPr>
                <w:rFonts w:cs="Times New Roman"/>
                <w:sz w:val="21"/>
                <w:szCs w:val="21"/>
              </w:rPr>
            </w:pPr>
            <w:r>
              <w:rPr>
                <w:rFonts w:cs="Times New Roman"/>
                <w:sz w:val="21"/>
                <w:szCs w:val="21"/>
              </w:rPr>
              <w:t>C3660</w:t>
            </w:r>
          </w:p>
        </w:tc>
        <w:tc>
          <w:tcPr>
            <w:tcW w:w="979" w:type="pct"/>
            <w:vAlign w:val="center"/>
          </w:tcPr>
          <w:p>
            <w:pPr>
              <w:pStyle w:val="119"/>
              <w:spacing w:line="400" w:lineRule="exact"/>
              <w:ind w:firstLine="0" w:firstLineChars="0"/>
              <w:jc w:val="center"/>
              <w:rPr>
                <w:rFonts w:cs="Times New Roman"/>
                <w:sz w:val="21"/>
                <w:szCs w:val="21"/>
                <w:lang w:val="zh-CN" w:eastAsia="zh-CN"/>
              </w:rPr>
            </w:pPr>
            <w:r>
              <w:rPr>
                <w:sz w:val="21"/>
                <w:szCs w:val="21"/>
                <w:lang w:eastAsia="zh-CN"/>
              </w:rPr>
              <w:t>沈新区环保审字【</w:t>
            </w:r>
            <w:r>
              <w:rPr>
                <w:rFonts w:eastAsia="Times New Roman"/>
                <w:sz w:val="21"/>
                <w:szCs w:val="21"/>
                <w:lang w:eastAsia="zh-CN"/>
              </w:rPr>
              <w:t>2008</w:t>
            </w:r>
            <w:r>
              <w:rPr>
                <w:sz w:val="21"/>
                <w:szCs w:val="21"/>
                <w:lang w:eastAsia="zh-CN"/>
              </w:rPr>
              <w:t>】</w:t>
            </w:r>
            <w:r>
              <w:rPr>
                <w:rFonts w:eastAsia="Times New Roman"/>
                <w:sz w:val="21"/>
                <w:szCs w:val="21"/>
                <w:lang w:eastAsia="zh-CN"/>
              </w:rPr>
              <w:t>014</w:t>
            </w:r>
            <w:r>
              <w:rPr>
                <w:sz w:val="21"/>
                <w:szCs w:val="21"/>
                <w:lang w:eastAsia="zh-CN"/>
              </w:rPr>
              <w:t>号</w:t>
            </w:r>
          </w:p>
        </w:tc>
        <w:tc>
          <w:tcPr>
            <w:tcW w:w="924" w:type="pct"/>
            <w:vAlign w:val="center"/>
          </w:tcPr>
          <w:p>
            <w:pPr>
              <w:pStyle w:val="119"/>
              <w:spacing w:line="400" w:lineRule="exact"/>
              <w:ind w:firstLine="0" w:firstLineChars="0"/>
              <w:jc w:val="center"/>
              <w:rPr>
                <w:rFonts w:cs="Times New Roman"/>
                <w:sz w:val="21"/>
                <w:szCs w:val="21"/>
              </w:rPr>
            </w:pPr>
            <w:r>
              <w:rPr>
                <w:sz w:val="21"/>
                <w:szCs w:val="21"/>
              </w:rPr>
              <w:t>浑环分验字【</w:t>
            </w:r>
            <w:r>
              <w:rPr>
                <w:rFonts w:eastAsia="Times New Roman"/>
                <w:sz w:val="21"/>
                <w:szCs w:val="21"/>
              </w:rPr>
              <w:t>2010</w:t>
            </w:r>
            <w:r>
              <w:rPr>
                <w:sz w:val="21"/>
                <w:szCs w:val="21"/>
              </w:rPr>
              <w:t>】</w:t>
            </w:r>
            <w:r>
              <w:rPr>
                <w:rFonts w:eastAsia="Times New Roman"/>
                <w:sz w:val="21"/>
                <w:szCs w:val="21"/>
              </w:rPr>
              <w:t>7</w:t>
            </w:r>
            <w:r>
              <w:rPr>
                <w:sz w:val="21"/>
                <w:szCs w:val="21"/>
              </w:rPr>
              <w:t>号</w:t>
            </w:r>
          </w:p>
        </w:tc>
        <w:tc>
          <w:tcPr>
            <w:tcW w:w="585" w:type="pct"/>
            <w:vAlign w:val="center"/>
          </w:tcPr>
          <w:p>
            <w:pPr>
              <w:pStyle w:val="16"/>
              <w:spacing w:line="400" w:lineRule="exact"/>
              <w:rPr>
                <w:rFonts w:ascii="Times New Roman" w:hAnsi="Times New Roman"/>
                <w:sz w:val="21"/>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347" w:type="pct"/>
            <w:shd w:val="clear" w:color="auto" w:fill="auto"/>
            <w:vAlign w:val="center"/>
          </w:tcPr>
          <w:p>
            <w:pPr>
              <w:pStyle w:val="16"/>
              <w:spacing w:line="400" w:lineRule="exact"/>
              <w:rPr>
                <w:rFonts w:ascii="Times New Roman" w:hAnsi="Times New Roman"/>
                <w:sz w:val="21"/>
                <w:lang w:val="zh-CN"/>
              </w:rPr>
            </w:pPr>
            <w:r>
              <w:rPr>
                <w:rFonts w:ascii="Times New Roman" w:hAnsi="Times New Roman"/>
                <w:sz w:val="21"/>
                <w:lang w:val="zh-CN"/>
              </w:rPr>
              <w:t>5</w:t>
            </w:r>
          </w:p>
        </w:tc>
        <w:tc>
          <w:tcPr>
            <w:tcW w:w="1508" w:type="pct"/>
            <w:shd w:val="clear" w:color="auto" w:fill="auto"/>
            <w:vAlign w:val="center"/>
          </w:tcPr>
          <w:p>
            <w:pPr>
              <w:pStyle w:val="119"/>
              <w:spacing w:line="400" w:lineRule="exact"/>
              <w:ind w:firstLine="0" w:firstLineChars="0"/>
              <w:jc w:val="center"/>
              <w:rPr>
                <w:rFonts w:cs="Times New Roman"/>
                <w:sz w:val="21"/>
                <w:szCs w:val="21"/>
                <w:lang w:val="zh-CN" w:eastAsia="zh-CN"/>
              </w:rPr>
            </w:pPr>
            <w:r>
              <w:rPr>
                <w:rFonts w:cs="Times New Roman"/>
                <w:sz w:val="21"/>
                <w:szCs w:val="21"/>
                <w:lang w:eastAsia="zh-CN"/>
              </w:rPr>
              <w:t>沈阳慧文汽车附件有限公司</w:t>
            </w:r>
          </w:p>
        </w:tc>
        <w:tc>
          <w:tcPr>
            <w:tcW w:w="653" w:type="pct"/>
            <w:vAlign w:val="center"/>
          </w:tcPr>
          <w:p>
            <w:pPr>
              <w:pStyle w:val="119"/>
              <w:spacing w:line="400" w:lineRule="exact"/>
              <w:ind w:firstLine="0" w:firstLineChars="0"/>
              <w:jc w:val="center"/>
              <w:rPr>
                <w:rFonts w:cs="Times New Roman"/>
                <w:sz w:val="21"/>
                <w:szCs w:val="21"/>
                <w:lang w:eastAsia="zh-CN"/>
              </w:rPr>
            </w:pPr>
          </w:p>
          <w:p>
            <w:pPr>
              <w:pStyle w:val="119"/>
              <w:spacing w:line="400" w:lineRule="exact"/>
              <w:ind w:firstLine="0" w:firstLineChars="0"/>
              <w:jc w:val="center"/>
              <w:rPr>
                <w:rFonts w:cs="Times New Roman"/>
                <w:sz w:val="21"/>
                <w:szCs w:val="21"/>
              </w:rPr>
            </w:pPr>
            <w:r>
              <w:rPr>
                <w:rFonts w:cs="Times New Roman"/>
                <w:sz w:val="21"/>
                <w:szCs w:val="21"/>
              </w:rPr>
              <w:t>C3660</w:t>
            </w:r>
          </w:p>
        </w:tc>
        <w:tc>
          <w:tcPr>
            <w:tcW w:w="979" w:type="pct"/>
            <w:vAlign w:val="center"/>
          </w:tcPr>
          <w:p>
            <w:pPr>
              <w:pStyle w:val="119"/>
              <w:spacing w:line="400" w:lineRule="exact"/>
              <w:ind w:firstLine="0" w:firstLineChars="0"/>
              <w:jc w:val="center"/>
              <w:rPr>
                <w:rFonts w:cs="Times New Roman"/>
                <w:sz w:val="21"/>
                <w:szCs w:val="21"/>
                <w:lang w:val="zh-CN" w:eastAsia="zh-CN"/>
              </w:rPr>
            </w:pPr>
            <w:r>
              <w:rPr>
                <w:sz w:val="21"/>
                <w:szCs w:val="21"/>
                <w:lang w:eastAsia="zh-CN"/>
              </w:rPr>
              <w:t>沈东环监技服字（</w:t>
            </w:r>
            <w:r>
              <w:rPr>
                <w:rFonts w:eastAsia="Times New Roman"/>
                <w:sz w:val="21"/>
                <w:szCs w:val="21"/>
                <w:lang w:eastAsia="zh-CN"/>
              </w:rPr>
              <w:t>A-1</w:t>
            </w:r>
            <w:r>
              <w:rPr>
                <w:sz w:val="21"/>
                <w:szCs w:val="21"/>
                <w:lang w:eastAsia="zh-CN"/>
              </w:rPr>
              <w:t>）</w:t>
            </w:r>
            <w:r>
              <w:rPr>
                <w:rFonts w:eastAsia="Times New Roman"/>
                <w:sz w:val="21"/>
                <w:szCs w:val="21"/>
                <w:lang w:eastAsia="zh-CN"/>
              </w:rPr>
              <w:t>2009</w:t>
            </w:r>
            <w:r>
              <w:rPr>
                <w:sz w:val="21"/>
                <w:szCs w:val="21"/>
                <w:lang w:eastAsia="zh-CN"/>
              </w:rPr>
              <w:t>第</w:t>
            </w:r>
            <w:r>
              <w:rPr>
                <w:rFonts w:eastAsia="Times New Roman"/>
                <w:sz w:val="21"/>
                <w:szCs w:val="21"/>
                <w:lang w:eastAsia="zh-CN"/>
              </w:rPr>
              <w:t>019</w:t>
            </w:r>
            <w:r>
              <w:rPr>
                <w:sz w:val="21"/>
                <w:szCs w:val="21"/>
                <w:lang w:eastAsia="zh-CN"/>
              </w:rPr>
              <w:t>号</w:t>
            </w:r>
          </w:p>
        </w:tc>
        <w:tc>
          <w:tcPr>
            <w:tcW w:w="924" w:type="pct"/>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沈东陵环保验字（</w:t>
            </w:r>
            <w:r>
              <w:rPr>
                <w:rFonts w:eastAsia="Times New Roman"/>
                <w:sz w:val="21"/>
                <w:szCs w:val="21"/>
                <w:lang w:eastAsia="zh-CN"/>
              </w:rPr>
              <w:t>2009</w:t>
            </w:r>
            <w:r>
              <w:rPr>
                <w:sz w:val="21"/>
                <w:szCs w:val="21"/>
                <w:lang w:eastAsia="zh-CN"/>
              </w:rPr>
              <w:t>）</w:t>
            </w:r>
            <w:r>
              <w:rPr>
                <w:rFonts w:eastAsia="Times New Roman"/>
                <w:sz w:val="21"/>
                <w:szCs w:val="21"/>
                <w:lang w:eastAsia="zh-CN"/>
              </w:rPr>
              <w:t xml:space="preserve">080 </w:t>
            </w:r>
            <w:r>
              <w:rPr>
                <w:sz w:val="21"/>
                <w:szCs w:val="21"/>
                <w:lang w:eastAsia="zh-CN"/>
              </w:rPr>
              <w:t>号</w:t>
            </w:r>
          </w:p>
        </w:tc>
        <w:tc>
          <w:tcPr>
            <w:tcW w:w="585" w:type="pct"/>
            <w:vAlign w:val="center"/>
          </w:tcPr>
          <w:p>
            <w:pPr>
              <w:pStyle w:val="16"/>
              <w:spacing w:line="400" w:lineRule="exact"/>
              <w:rPr>
                <w:rFonts w:ascii="Times New Roman" w:hAnsi="Times New Roman"/>
                <w:sz w:val="21"/>
              </w:rPr>
            </w:pPr>
            <w:r>
              <w:rPr>
                <w:rFonts w:ascii="Times New Roman" w:hAnsi="Times New Roman"/>
                <w:sz w:val="21"/>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347" w:type="pct"/>
            <w:shd w:val="clear" w:color="auto" w:fill="auto"/>
            <w:vAlign w:val="center"/>
          </w:tcPr>
          <w:p>
            <w:pPr>
              <w:pStyle w:val="16"/>
              <w:spacing w:line="400" w:lineRule="exact"/>
              <w:rPr>
                <w:rFonts w:ascii="Times New Roman" w:hAnsi="Times New Roman"/>
                <w:sz w:val="21"/>
                <w:lang w:val="zh-CN"/>
              </w:rPr>
            </w:pPr>
            <w:r>
              <w:rPr>
                <w:rFonts w:ascii="Times New Roman" w:hAnsi="Times New Roman"/>
                <w:sz w:val="21"/>
                <w:lang w:val="zh-CN"/>
              </w:rPr>
              <w:t>6</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沈阳鞍东混凝土产业有限公司</w:t>
            </w:r>
          </w:p>
        </w:tc>
        <w:tc>
          <w:tcPr>
            <w:tcW w:w="653" w:type="pct"/>
            <w:shd w:val="clear" w:color="auto" w:fill="auto"/>
            <w:vAlign w:val="center"/>
          </w:tcPr>
          <w:p>
            <w:pPr>
              <w:pStyle w:val="119"/>
              <w:spacing w:line="400" w:lineRule="exact"/>
              <w:ind w:firstLine="0" w:firstLineChars="0"/>
              <w:jc w:val="center"/>
              <w:rPr>
                <w:rFonts w:cs="Times New Roman"/>
                <w:sz w:val="21"/>
                <w:szCs w:val="21"/>
              </w:rPr>
            </w:pPr>
            <w:r>
              <w:rPr>
                <w:sz w:val="21"/>
                <w:szCs w:val="21"/>
              </w:rPr>
              <w:t>混凝土</w:t>
            </w:r>
          </w:p>
        </w:tc>
        <w:tc>
          <w:tcPr>
            <w:tcW w:w="979" w:type="pct"/>
            <w:vAlign w:val="center"/>
          </w:tcPr>
          <w:p>
            <w:pPr>
              <w:pStyle w:val="119"/>
              <w:spacing w:line="400" w:lineRule="exact"/>
              <w:ind w:firstLine="0" w:firstLineChars="0"/>
              <w:jc w:val="center"/>
              <w:rPr>
                <w:rFonts w:cs="Times New Roman"/>
                <w:sz w:val="21"/>
                <w:szCs w:val="21"/>
              </w:rPr>
            </w:pPr>
            <w:r>
              <w:rPr>
                <w:sz w:val="21"/>
                <w:szCs w:val="21"/>
              </w:rPr>
              <w:t>2006.7.19</w:t>
            </w:r>
          </w:p>
        </w:tc>
        <w:tc>
          <w:tcPr>
            <w:tcW w:w="924" w:type="pct"/>
            <w:vAlign w:val="center"/>
          </w:tcPr>
          <w:p>
            <w:pPr>
              <w:pStyle w:val="119"/>
              <w:spacing w:line="400" w:lineRule="exact"/>
              <w:ind w:firstLine="0" w:firstLineChars="0"/>
              <w:jc w:val="center"/>
              <w:rPr>
                <w:rFonts w:cs="Times New Roman"/>
                <w:sz w:val="21"/>
                <w:szCs w:val="21"/>
              </w:rPr>
            </w:pPr>
            <w:r>
              <w:rPr>
                <w:sz w:val="21"/>
                <w:szCs w:val="21"/>
              </w:rPr>
              <w:t>浑环分验【</w:t>
            </w:r>
            <w:r>
              <w:rPr>
                <w:rFonts w:eastAsia="Times New Roman"/>
                <w:sz w:val="21"/>
                <w:szCs w:val="21"/>
              </w:rPr>
              <w:t>2011</w:t>
            </w:r>
            <w:r>
              <w:rPr>
                <w:sz w:val="21"/>
                <w:szCs w:val="21"/>
              </w:rPr>
              <w:t>】</w:t>
            </w:r>
            <w:r>
              <w:rPr>
                <w:rFonts w:eastAsia="Times New Roman"/>
                <w:sz w:val="21"/>
                <w:szCs w:val="21"/>
              </w:rPr>
              <w:t>98</w:t>
            </w:r>
            <w:r>
              <w:rPr>
                <w:sz w:val="21"/>
                <w:szCs w:val="21"/>
              </w:rPr>
              <w:t>号</w:t>
            </w:r>
          </w:p>
        </w:tc>
        <w:tc>
          <w:tcPr>
            <w:tcW w:w="585" w:type="pct"/>
            <w:vAlign w:val="center"/>
          </w:tcPr>
          <w:p>
            <w:pPr>
              <w:pStyle w:val="16"/>
              <w:spacing w:line="400" w:lineRule="exact"/>
              <w:rPr>
                <w:rFonts w:ascii="Times New Roman" w:hAnsi="Times New Roman"/>
                <w:sz w:val="21"/>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lang w:val="zh-CN"/>
              </w:rPr>
            </w:pPr>
            <w:r>
              <w:rPr>
                <w:rFonts w:ascii="Times New Roman" w:hAnsi="Times New Roman"/>
                <w:sz w:val="21"/>
              </w:rPr>
              <w:t>7</w:t>
            </w:r>
          </w:p>
        </w:tc>
        <w:tc>
          <w:tcPr>
            <w:tcW w:w="1508" w:type="pct"/>
            <w:shd w:val="clear" w:color="auto" w:fill="auto"/>
            <w:vAlign w:val="center"/>
          </w:tcPr>
          <w:p>
            <w:pPr>
              <w:pStyle w:val="119"/>
              <w:spacing w:line="400" w:lineRule="exact"/>
              <w:ind w:firstLine="0" w:firstLineChars="0"/>
              <w:jc w:val="center"/>
              <w:rPr>
                <w:rFonts w:cs="Times New Roman"/>
                <w:sz w:val="21"/>
                <w:szCs w:val="21"/>
                <w:lang w:val="zh-CN" w:eastAsia="zh-CN"/>
              </w:rPr>
            </w:pPr>
            <w:r>
              <w:rPr>
                <w:rFonts w:cs="Times New Roman"/>
                <w:sz w:val="21"/>
                <w:szCs w:val="21"/>
                <w:lang w:eastAsia="zh-CN"/>
              </w:rPr>
              <w:t>沈阳市航达科技有限公司</w:t>
            </w:r>
          </w:p>
        </w:tc>
        <w:tc>
          <w:tcPr>
            <w:tcW w:w="653" w:type="pct"/>
            <w:vAlign w:val="center"/>
          </w:tcPr>
          <w:p>
            <w:pPr>
              <w:pStyle w:val="119"/>
              <w:spacing w:line="400" w:lineRule="exact"/>
              <w:ind w:firstLine="0" w:firstLineChars="0"/>
              <w:jc w:val="center"/>
              <w:rPr>
                <w:rFonts w:cs="Times New Roman"/>
                <w:sz w:val="21"/>
                <w:szCs w:val="21"/>
              </w:rPr>
            </w:pPr>
            <w:r>
              <w:rPr>
                <w:rFonts w:cs="Times New Roman"/>
                <w:sz w:val="21"/>
                <w:szCs w:val="21"/>
              </w:rPr>
              <w:t>C2641</w:t>
            </w:r>
          </w:p>
        </w:tc>
        <w:tc>
          <w:tcPr>
            <w:tcW w:w="979" w:type="pct"/>
            <w:vAlign w:val="center"/>
          </w:tcPr>
          <w:p>
            <w:pPr>
              <w:pStyle w:val="119"/>
              <w:spacing w:line="400" w:lineRule="exact"/>
              <w:ind w:firstLine="0" w:firstLineChars="0"/>
              <w:jc w:val="center"/>
              <w:rPr>
                <w:rFonts w:cs="Times New Roman"/>
                <w:sz w:val="21"/>
                <w:szCs w:val="21"/>
                <w:lang w:val="zh-CN"/>
              </w:rPr>
            </w:pPr>
            <w:r>
              <w:rPr>
                <w:spacing w:val="-13"/>
                <w:sz w:val="21"/>
                <w:szCs w:val="21"/>
              </w:rPr>
              <w:t>沈东环保审字【</w:t>
            </w:r>
            <w:r>
              <w:rPr>
                <w:rFonts w:eastAsia="Times New Roman"/>
                <w:sz w:val="21"/>
                <w:szCs w:val="21"/>
              </w:rPr>
              <w:t>2006</w:t>
            </w:r>
            <w:r>
              <w:rPr>
                <w:sz w:val="21"/>
                <w:szCs w:val="21"/>
              </w:rPr>
              <w:t>】</w:t>
            </w:r>
            <w:r>
              <w:rPr>
                <w:rFonts w:eastAsia="Times New Roman"/>
                <w:sz w:val="21"/>
                <w:szCs w:val="21"/>
              </w:rPr>
              <w:t>073</w:t>
            </w:r>
            <w:r>
              <w:rPr>
                <w:sz w:val="21"/>
                <w:szCs w:val="21"/>
              </w:rPr>
              <w:t>号</w:t>
            </w:r>
          </w:p>
        </w:tc>
        <w:tc>
          <w:tcPr>
            <w:tcW w:w="924" w:type="pct"/>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沈东陵环保验字【</w:t>
            </w:r>
            <w:r>
              <w:rPr>
                <w:rFonts w:eastAsia="Times New Roman"/>
                <w:sz w:val="21"/>
                <w:szCs w:val="21"/>
                <w:lang w:eastAsia="zh-CN"/>
              </w:rPr>
              <w:t>2007</w:t>
            </w:r>
            <w:r>
              <w:rPr>
                <w:sz w:val="21"/>
                <w:szCs w:val="21"/>
                <w:lang w:eastAsia="zh-CN"/>
              </w:rPr>
              <w:t>】</w:t>
            </w:r>
            <w:r>
              <w:rPr>
                <w:rFonts w:eastAsia="Times New Roman"/>
                <w:sz w:val="21"/>
                <w:szCs w:val="21"/>
                <w:lang w:eastAsia="zh-CN"/>
              </w:rPr>
              <w:t>017</w:t>
            </w:r>
            <w:r>
              <w:rPr>
                <w:sz w:val="21"/>
                <w:szCs w:val="21"/>
                <w:lang w:eastAsia="zh-CN"/>
              </w:rPr>
              <w:t>号</w:t>
            </w:r>
          </w:p>
        </w:tc>
        <w:tc>
          <w:tcPr>
            <w:tcW w:w="585" w:type="pct"/>
            <w:vAlign w:val="center"/>
          </w:tcPr>
          <w:p>
            <w:pPr>
              <w:pStyle w:val="16"/>
              <w:spacing w:line="400" w:lineRule="exact"/>
              <w:rPr>
                <w:rFonts w:ascii="Times New Roman" w:hAnsi="Times New Roman"/>
                <w:sz w:val="21"/>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8</w:t>
            </w:r>
          </w:p>
        </w:tc>
        <w:tc>
          <w:tcPr>
            <w:tcW w:w="1508" w:type="pct"/>
            <w:shd w:val="clear" w:color="auto" w:fill="auto"/>
            <w:vAlign w:val="center"/>
          </w:tcPr>
          <w:p>
            <w:pPr>
              <w:pStyle w:val="119"/>
              <w:spacing w:line="400" w:lineRule="exact"/>
              <w:ind w:firstLine="0" w:firstLineChars="0"/>
              <w:jc w:val="center"/>
              <w:rPr>
                <w:rFonts w:cs="Times New Roman"/>
                <w:sz w:val="21"/>
                <w:szCs w:val="21"/>
                <w:lang w:val="zh-CN" w:eastAsia="zh-CN"/>
              </w:rPr>
            </w:pPr>
            <w:r>
              <w:rPr>
                <w:rFonts w:cs="Times New Roman"/>
                <w:sz w:val="21"/>
                <w:szCs w:val="21"/>
                <w:lang w:eastAsia="zh-CN"/>
              </w:rPr>
              <w:t>红盛沈阳工业有限公司</w:t>
            </w:r>
          </w:p>
        </w:tc>
        <w:tc>
          <w:tcPr>
            <w:tcW w:w="653" w:type="pct"/>
            <w:vAlign w:val="center"/>
          </w:tcPr>
          <w:p>
            <w:pPr>
              <w:pStyle w:val="119"/>
              <w:spacing w:line="400" w:lineRule="exact"/>
              <w:ind w:firstLine="0" w:firstLineChars="0"/>
              <w:jc w:val="center"/>
              <w:rPr>
                <w:rFonts w:cs="Times New Roman"/>
                <w:sz w:val="21"/>
                <w:szCs w:val="21"/>
              </w:rPr>
            </w:pPr>
            <w:r>
              <w:rPr>
                <w:sz w:val="21"/>
                <w:szCs w:val="21"/>
              </w:rPr>
              <w:t>烟标</w:t>
            </w:r>
          </w:p>
        </w:tc>
        <w:tc>
          <w:tcPr>
            <w:tcW w:w="979" w:type="pct"/>
            <w:vAlign w:val="center"/>
          </w:tcPr>
          <w:p>
            <w:pPr>
              <w:pStyle w:val="119"/>
              <w:spacing w:line="400" w:lineRule="exact"/>
              <w:ind w:firstLine="0" w:firstLineChars="0"/>
              <w:jc w:val="center"/>
              <w:rPr>
                <w:rFonts w:cs="Times New Roman"/>
                <w:sz w:val="21"/>
                <w:szCs w:val="21"/>
                <w:lang w:val="zh-CN"/>
              </w:rPr>
            </w:pPr>
            <w:r>
              <w:rPr>
                <w:sz w:val="21"/>
                <w:szCs w:val="21"/>
              </w:rPr>
              <w:t>2004.12</w:t>
            </w:r>
          </w:p>
        </w:tc>
        <w:tc>
          <w:tcPr>
            <w:tcW w:w="924" w:type="pct"/>
            <w:vAlign w:val="center"/>
          </w:tcPr>
          <w:p>
            <w:pPr>
              <w:pStyle w:val="119"/>
              <w:spacing w:line="400" w:lineRule="exact"/>
              <w:ind w:firstLine="0" w:firstLineChars="0"/>
              <w:jc w:val="center"/>
              <w:rPr>
                <w:rFonts w:cs="Times New Roman"/>
                <w:sz w:val="21"/>
                <w:szCs w:val="21"/>
              </w:rPr>
            </w:pPr>
            <w:r>
              <w:rPr>
                <w:sz w:val="21"/>
                <w:szCs w:val="21"/>
              </w:rPr>
              <w:t>2005.5</w:t>
            </w:r>
          </w:p>
        </w:tc>
        <w:tc>
          <w:tcPr>
            <w:tcW w:w="585" w:type="pct"/>
            <w:vAlign w:val="center"/>
          </w:tcPr>
          <w:p>
            <w:pPr>
              <w:pStyle w:val="16"/>
              <w:spacing w:line="400" w:lineRule="exact"/>
              <w:rPr>
                <w:rFonts w:ascii="Times New Roman" w:hAnsi="Times New Roman"/>
                <w:sz w:val="21"/>
                <w:lang w:val="zh-CN"/>
              </w:rPr>
            </w:pPr>
            <w:r>
              <w:rPr>
                <w:rFonts w:hint="eastAsia" w:ascii="Times New Roman" w:hAnsi="Times New Roman"/>
                <w:sz w:val="21"/>
              </w:rPr>
              <w:t>停产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9</w:t>
            </w:r>
          </w:p>
        </w:tc>
        <w:tc>
          <w:tcPr>
            <w:tcW w:w="1508" w:type="pct"/>
            <w:shd w:val="clear" w:color="auto" w:fill="auto"/>
            <w:vAlign w:val="center"/>
          </w:tcPr>
          <w:p>
            <w:pPr>
              <w:pStyle w:val="119"/>
              <w:spacing w:line="400" w:lineRule="exact"/>
              <w:ind w:firstLine="0" w:firstLineChars="0"/>
              <w:jc w:val="center"/>
              <w:rPr>
                <w:rFonts w:cs="Times New Roman"/>
                <w:sz w:val="21"/>
                <w:szCs w:val="21"/>
                <w:lang w:val="zh-CN" w:eastAsia="zh-CN"/>
              </w:rPr>
            </w:pPr>
            <w:r>
              <w:rPr>
                <w:rFonts w:cs="Times New Roman"/>
                <w:sz w:val="21"/>
                <w:szCs w:val="21"/>
                <w:lang w:eastAsia="zh-CN"/>
              </w:rPr>
              <w:t>沈阳时盛混凝土工程有限公司</w:t>
            </w:r>
          </w:p>
        </w:tc>
        <w:tc>
          <w:tcPr>
            <w:tcW w:w="653" w:type="pct"/>
            <w:vAlign w:val="center"/>
          </w:tcPr>
          <w:p>
            <w:pPr>
              <w:pStyle w:val="119"/>
              <w:spacing w:line="400" w:lineRule="exact"/>
              <w:ind w:firstLine="0" w:firstLineChars="0"/>
              <w:jc w:val="center"/>
              <w:rPr>
                <w:rFonts w:cs="Times New Roman"/>
                <w:sz w:val="21"/>
                <w:szCs w:val="21"/>
              </w:rPr>
            </w:pPr>
            <w:r>
              <w:rPr>
                <w:sz w:val="21"/>
                <w:szCs w:val="21"/>
              </w:rPr>
              <w:t>混凝土</w:t>
            </w:r>
          </w:p>
        </w:tc>
        <w:tc>
          <w:tcPr>
            <w:tcW w:w="979" w:type="pct"/>
            <w:vAlign w:val="center"/>
          </w:tcPr>
          <w:p>
            <w:pPr>
              <w:pStyle w:val="119"/>
              <w:spacing w:line="400" w:lineRule="exact"/>
              <w:ind w:firstLine="0" w:firstLineChars="0"/>
              <w:jc w:val="center"/>
              <w:rPr>
                <w:rFonts w:cs="Times New Roman"/>
                <w:sz w:val="21"/>
                <w:szCs w:val="21"/>
                <w:lang w:val="zh-CN" w:eastAsia="zh-CN"/>
              </w:rPr>
            </w:pPr>
            <w:r>
              <w:rPr>
                <w:sz w:val="21"/>
                <w:szCs w:val="21"/>
                <w:lang w:eastAsia="zh-CN"/>
              </w:rPr>
              <w:t>沈东环监技服字（</w:t>
            </w:r>
            <w:r>
              <w:rPr>
                <w:rFonts w:eastAsia="Times New Roman"/>
                <w:sz w:val="21"/>
                <w:szCs w:val="21"/>
                <w:lang w:eastAsia="zh-CN"/>
              </w:rPr>
              <w:t>A-9</w:t>
            </w:r>
            <w:r>
              <w:rPr>
                <w:sz w:val="21"/>
                <w:szCs w:val="21"/>
                <w:lang w:eastAsia="zh-CN"/>
              </w:rPr>
              <w:t>）</w:t>
            </w:r>
            <w:r>
              <w:rPr>
                <w:rFonts w:eastAsia="Times New Roman"/>
                <w:sz w:val="21"/>
                <w:szCs w:val="21"/>
                <w:lang w:eastAsia="zh-CN"/>
              </w:rPr>
              <w:t>2012</w:t>
            </w:r>
            <w:r>
              <w:rPr>
                <w:sz w:val="21"/>
                <w:szCs w:val="21"/>
                <w:lang w:eastAsia="zh-CN"/>
              </w:rPr>
              <w:t>第</w:t>
            </w:r>
            <w:r>
              <w:rPr>
                <w:rFonts w:eastAsia="Times New Roman"/>
                <w:sz w:val="21"/>
                <w:szCs w:val="21"/>
                <w:lang w:eastAsia="zh-CN"/>
              </w:rPr>
              <w:t>132</w:t>
            </w:r>
            <w:r>
              <w:rPr>
                <w:sz w:val="21"/>
                <w:szCs w:val="21"/>
                <w:lang w:eastAsia="zh-CN"/>
              </w:rPr>
              <w:t>号</w:t>
            </w:r>
          </w:p>
        </w:tc>
        <w:tc>
          <w:tcPr>
            <w:tcW w:w="924" w:type="pct"/>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沈环保浑南验字【</w:t>
            </w:r>
            <w:r>
              <w:rPr>
                <w:rFonts w:eastAsia="Times New Roman"/>
                <w:sz w:val="21"/>
                <w:szCs w:val="21"/>
                <w:lang w:eastAsia="zh-CN"/>
              </w:rPr>
              <w:t>2013</w:t>
            </w:r>
            <w:r>
              <w:rPr>
                <w:sz w:val="21"/>
                <w:szCs w:val="21"/>
                <w:lang w:eastAsia="zh-CN"/>
              </w:rPr>
              <w:t>】</w:t>
            </w:r>
            <w:r>
              <w:rPr>
                <w:rFonts w:eastAsia="Times New Roman"/>
                <w:sz w:val="21"/>
                <w:szCs w:val="21"/>
                <w:lang w:eastAsia="zh-CN"/>
              </w:rPr>
              <w:t>0048</w:t>
            </w:r>
            <w:r>
              <w:rPr>
                <w:sz w:val="21"/>
                <w:szCs w:val="21"/>
                <w:lang w:eastAsia="zh-CN"/>
              </w:rPr>
              <w:t>号</w:t>
            </w: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10</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瓦克华磁性材料（沈阳）有限公司</w:t>
            </w:r>
          </w:p>
        </w:tc>
        <w:tc>
          <w:tcPr>
            <w:tcW w:w="653" w:type="pct"/>
            <w:vAlign w:val="center"/>
          </w:tcPr>
          <w:p>
            <w:pPr>
              <w:pStyle w:val="119"/>
              <w:spacing w:line="400" w:lineRule="exact"/>
              <w:ind w:firstLine="0" w:firstLineChars="0"/>
              <w:jc w:val="center"/>
              <w:rPr>
                <w:rFonts w:cs="Times New Roman"/>
                <w:sz w:val="21"/>
                <w:szCs w:val="21"/>
              </w:rPr>
            </w:pPr>
            <w:r>
              <w:rPr>
                <w:rFonts w:cs="Times New Roman"/>
                <w:sz w:val="21"/>
                <w:szCs w:val="21"/>
              </w:rPr>
              <w:t>C3971</w:t>
            </w:r>
          </w:p>
        </w:tc>
        <w:tc>
          <w:tcPr>
            <w:tcW w:w="979" w:type="pct"/>
            <w:vAlign w:val="center"/>
          </w:tcPr>
          <w:p>
            <w:pPr>
              <w:pStyle w:val="119"/>
              <w:spacing w:line="400" w:lineRule="exact"/>
              <w:ind w:firstLine="0" w:firstLineChars="0"/>
              <w:jc w:val="center"/>
              <w:rPr>
                <w:rFonts w:cs="Times New Roman"/>
                <w:sz w:val="21"/>
                <w:szCs w:val="21"/>
                <w:lang w:val="zh-CN" w:eastAsia="zh-CN"/>
              </w:rPr>
            </w:pPr>
            <w:r>
              <w:rPr>
                <w:sz w:val="21"/>
                <w:szCs w:val="21"/>
                <w:lang w:eastAsia="zh-CN"/>
              </w:rPr>
              <w:t>沈新区环保审字【</w:t>
            </w:r>
            <w:r>
              <w:rPr>
                <w:rFonts w:eastAsia="Times New Roman"/>
                <w:sz w:val="21"/>
                <w:szCs w:val="21"/>
                <w:lang w:eastAsia="zh-CN"/>
              </w:rPr>
              <w:t>2007</w:t>
            </w:r>
            <w:r>
              <w:rPr>
                <w:sz w:val="21"/>
                <w:szCs w:val="21"/>
                <w:lang w:eastAsia="zh-CN"/>
              </w:rPr>
              <w:t>】</w:t>
            </w:r>
            <w:r>
              <w:rPr>
                <w:rFonts w:eastAsia="Times New Roman"/>
                <w:sz w:val="21"/>
                <w:szCs w:val="21"/>
                <w:lang w:eastAsia="zh-CN"/>
              </w:rPr>
              <w:t>28</w:t>
            </w:r>
            <w:r>
              <w:rPr>
                <w:sz w:val="21"/>
                <w:szCs w:val="21"/>
                <w:lang w:eastAsia="zh-CN"/>
              </w:rPr>
              <w:t>号</w:t>
            </w:r>
          </w:p>
        </w:tc>
        <w:tc>
          <w:tcPr>
            <w:tcW w:w="924" w:type="pct"/>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沈新区环保验字【</w:t>
            </w:r>
            <w:r>
              <w:rPr>
                <w:rFonts w:eastAsia="Times New Roman"/>
                <w:sz w:val="21"/>
                <w:szCs w:val="21"/>
                <w:lang w:eastAsia="zh-CN"/>
              </w:rPr>
              <w:t>2007</w:t>
            </w:r>
            <w:r>
              <w:rPr>
                <w:sz w:val="21"/>
                <w:szCs w:val="21"/>
                <w:lang w:eastAsia="zh-CN"/>
              </w:rPr>
              <w:t>】</w:t>
            </w:r>
            <w:r>
              <w:rPr>
                <w:rFonts w:eastAsia="Times New Roman"/>
                <w:sz w:val="21"/>
                <w:szCs w:val="21"/>
                <w:lang w:eastAsia="zh-CN"/>
              </w:rPr>
              <w:t>13</w:t>
            </w:r>
            <w:r>
              <w:rPr>
                <w:sz w:val="21"/>
                <w:szCs w:val="21"/>
                <w:lang w:eastAsia="zh-CN"/>
              </w:rPr>
              <w:t>号</w:t>
            </w: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11</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沈阳好百年木业有限公司</w:t>
            </w:r>
          </w:p>
        </w:tc>
        <w:tc>
          <w:tcPr>
            <w:tcW w:w="653" w:type="pct"/>
            <w:vAlign w:val="center"/>
          </w:tcPr>
          <w:p>
            <w:pPr>
              <w:pStyle w:val="119"/>
              <w:spacing w:line="400" w:lineRule="exact"/>
              <w:ind w:firstLine="0" w:firstLineChars="0"/>
              <w:jc w:val="center"/>
              <w:rPr>
                <w:rFonts w:cs="Times New Roman"/>
                <w:sz w:val="21"/>
                <w:szCs w:val="21"/>
              </w:rPr>
            </w:pPr>
            <w:r>
              <w:rPr>
                <w:rFonts w:cs="Times New Roman"/>
                <w:sz w:val="21"/>
                <w:szCs w:val="21"/>
              </w:rPr>
              <w:t>C2033</w:t>
            </w:r>
          </w:p>
        </w:tc>
        <w:tc>
          <w:tcPr>
            <w:tcW w:w="979" w:type="pct"/>
            <w:vAlign w:val="center"/>
          </w:tcPr>
          <w:p>
            <w:pPr>
              <w:pStyle w:val="119"/>
              <w:spacing w:line="400" w:lineRule="exact"/>
              <w:ind w:firstLine="0" w:firstLineChars="0"/>
              <w:jc w:val="center"/>
              <w:rPr>
                <w:rFonts w:cs="Times New Roman"/>
                <w:sz w:val="21"/>
                <w:szCs w:val="21"/>
                <w:lang w:val="zh-CN" w:eastAsia="zh-CN"/>
              </w:rPr>
            </w:pPr>
            <w:r>
              <w:rPr>
                <w:sz w:val="21"/>
                <w:szCs w:val="21"/>
                <w:lang w:eastAsia="zh-CN"/>
              </w:rPr>
              <w:t>沈新区环保审字【</w:t>
            </w:r>
            <w:r>
              <w:rPr>
                <w:rFonts w:eastAsia="Times New Roman"/>
                <w:sz w:val="21"/>
                <w:szCs w:val="21"/>
                <w:lang w:eastAsia="zh-CN"/>
              </w:rPr>
              <w:t>2008</w:t>
            </w:r>
            <w:r>
              <w:rPr>
                <w:sz w:val="21"/>
                <w:szCs w:val="21"/>
                <w:lang w:eastAsia="zh-CN"/>
              </w:rPr>
              <w:t>】</w:t>
            </w:r>
            <w:r>
              <w:rPr>
                <w:rFonts w:eastAsia="Times New Roman"/>
                <w:sz w:val="21"/>
                <w:szCs w:val="21"/>
                <w:lang w:eastAsia="zh-CN"/>
              </w:rPr>
              <w:t>078</w:t>
            </w:r>
            <w:r>
              <w:rPr>
                <w:sz w:val="21"/>
                <w:szCs w:val="21"/>
                <w:lang w:eastAsia="zh-CN"/>
              </w:rPr>
              <w:t>号</w:t>
            </w:r>
          </w:p>
        </w:tc>
        <w:tc>
          <w:tcPr>
            <w:tcW w:w="924" w:type="pct"/>
            <w:vAlign w:val="center"/>
          </w:tcPr>
          <w:p>
            <w:pPr>
              <w:pStyle w:val="119"/>
              <w:spacing w:line="400" w:lineRule="exact"/>
              <w:ind w:firstLine="0" w:firstLineChars="0"/>
              <w:jc w:val="center"/>
              <w:rPr>
                <w:rFonts w:cs="Times New Roman"/>
                <w:sz w:val="21"/>
                <w:szCs w:val="21"/>
              </w:rPr>
            </w:pPr>
            <w:r>
              <w:rPr>
                <w:sz w:val="21"/>
                <w:szCs w:val="21"/>
              </w:rPr>
              <w:t>浑环分验字【</w:t>
            </w:r>
            <w:r>
              <w:rPr>
                <w:rFonts w:eastAsia="Times New Roman"/>
                <w:sz w:val="21"/>
                <w:szCs w:val="21"/>
              </w:rPr>
              <w:t>2012</w:t>
            </w:r>
            <w:r>
              <w:rPr>
                <w:sz w:val="21"/>
                <w:szCs w:val="21"/>
              </w:rPr>
              <w:t>】</w:t>
            </w:r>
            <w:r>
              <w:rPr>
                <w:rFonts w:eastAsia="Times New Roman"/>
                <w:sz w:val="21"/>
                <w:szCs w:val="21"/>
              </w:rPr>
              <w:t>23</w:t>
            </w:r>
            <w:r>
              <w:rPr>
                <w:sz w:val="21"/>
                <w:szCs w:val="21"/>
              </w:rPr>
              <w:t>号</w:t>
            </w: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12</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沈阳天贺新材料开发有限公司</w:t>
            </w:r>
          </w:p>
        </w:tc>
        <w:tc>
          <w:tcPr>
            <w:tcW w:w="653" w:type="pct"/>
            <w:vAlign w:val="center"/>
          </w:tcPr>
          <w:p>
            <w:pPr>
              <w:pStyle w:val="119"/>
              <w:spacing w:line="400" w:lineRule="exact"/>
              <w:ind w:firstLine="0" w:firstLineChars="0"/>
              <w:jc w:val="center"/>
              <w:rPr>
                <w:rFonts w:cs="Times New Roman"/>
                <w:sz w:val="21"/>
                <w:szCs w:val="21"/>
              </w:rPr>
            </w:pPr>
            <w:r>
              <w:rPr>
                <w:rFonts w:cs="Times New Roman"/>
                <w:sz w:val="21"/>
                <w:szCs w:val="21"/>
              </w:rPr>
              <w:t>C3340</w:t>
            </w:r>
          </w:p>
        </w:tc>
        <w:tc>
          <w:tcPr>
            <w:tcW w:w="979" w:type="pct"/>
            <w:vAlign w:val="center"/>
          </w:tcPr>
          <w:p>
            <w:pPr>
              <w:pStyle w:val="119"/>
              <w:spacing w:line="400" w:lineRule="exact"/>
              <w:ind w:firstLine="0" w:firstLineChars="0"/>
              <w:jc w:val="center"/>
              <w:rPr>
                <w:rFonts w:cs="Times New Roman"/>
                <w:sz w:val="21"/>
                <w:szCs w:val="21"/>
                <w:lang w:val="zh-CN" w:eastAsia="zh-CN"/>
              </w:rPr>
            </w:pPr>
            <w:r>
              <w:rPr>
                <w:sz w:val="21"/>
                <w:szCs w:val="21"/>
                <w:lang w:eastAsia="zh-CN"/>
              </w:rPr>
              <w:t>沈环保浑南审字【</w:t>
            </w:r>
            <w:r>
              <w:rPr>
                <w:rFonts w:eastAsia="Times New Roman"/>
                <w:sz w:val="21"/>
                <w:szCs w:val="21"/>
                <w:lang w:eastAsia="zh-CN"/>
              </w:rPr>
              <w:t>2009</w:t>
            </w:r>
            <w:r>
              <w:rPr>
                <w:sz w:val="21"/>
                <w:szCs w:val="21"/>
                <w:lang w:eastAsia="zh-CN"/>
              </w:rPr>
              <w:t>】</w:t>
            </w:r>
            <w:r>
              <w:rPr>
                <w:rFonts w:eastAsia="Times New Roman"/>
                <w:sz w:val="21"/>
                <w:szCs w:val="21"/>
                <w:lang w:eastAsia="zh-CN"/>
              </w:rPr>
              <w:t>147</w:t>
            </w:r>
            <w:r>
              <w:rPr>
                <w:sz w:val="21"/>
                <w:szCs w:val="21"/>
                <w:lang w:eastAsia="zh-CN"/>
              </w:rPr>
              <w:t>号</w:t>
            </w:r>
          </w:p>
        </w:tc>
        <w:tc>
          <w:tcPr>
            <w:tcW w:w="924" w:type="pct"/>
            <w:vAlign w:val="center"/>
          </w:tcPr>
          <w:p>
            <w:pPr>
              <w:pStyle w:val="119"/>
              <w:spacing w:line="400" w:lineRule="exact"/>
              <w:ind w:firstLine="0" w:firstLineChars="0"/>
              <w:jc w:val="center"/>
              <w:rPr>
                <w:rFonts w:cs="Times New Roman"/>
                <w:sz w:val="21"/>
                <w:szCs w:val="21"/>
              </w:rPr>
            </w:pPr>
            <w:r>
              <w:rPr>
                <w:sz w:val="21"/>
                <w:szCs w:val="21"/>
              </w:rPr>
              <w:t>2010.10</w:t>
            </w: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13</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沈阳宏达纸业有限公司</w:t>
            </w:r>
          </w:p>
        </w:tc>
        <w:tc>
          <w:tcPr>
            <w:tcW w:w="653" w:type="pct"/>
            <w:vAlign w:val="center"/>
          </w:tcPr>
          <w:p>
            <w:pPr>
              <w:pStyle w:val="119"/>
              <w:spacing w:line="400" w:lineRule="exact"/>
              <w:ind w:firstLine="0" w:firstLineChars="0"/>
              <w:jc w:val="center"/>
              <w:rPr>
                <w:rFonts w:cs="Times New Roman"/>
                <w:sz w:val="21"/>
                <w:szCs w:val="21"/>
              </w:rPr>
            </w:pPr>
            <w:r>
              <w:rPr>
                <w:rFonts w:cs="Times New Roman"/>
                <w:sz w:val="21"/>
                <w:szCs w:val="21"/>
              </w:rPr>
              <w:t>C2221</w:t>
            </w:r>
          </w:p>
        </w:tc>
        <w:tc>
          <w:tcPr>
            <w:tcW w:w="979" w:type="pct"/>
            <w:vAlign w:val="center"/>
          </w:tcPr>
          <w:p>
            <w:pPr>
              <w:pStyle w:val="119"/>
              <w:spacing w:line="400" w:lineRule="exact"/>
              <w:ind w:firstLine="0" w:firstLineChars="0"/>
              <w:jc w:val="center"/>
              <w:rPr>
                <w:rFonts w:cs="Times New Roman"/>
                <w:sz w:val="21"/>
                <w:szCs w:val="21"/>
                <w:lang w:val="zh-CN"/>
              </w:rPr>
            </w:pPr>
            <w:r>
              <w:rPr>
                <w:sz w:val="21"/>
                <w:szCs w:val="21"/>
              </w:rPr>
              <w:t>——</w:t>
            </w:r>
          </w:p>
        </w:tc>
        <w:tc>
          <w:tcPr>
            <w:tcW w:w="924" w:type="pct"/>
            <w:vAlign w:val="center"/>
          </w:tcPr>
          <w:p>
            <w:pPr>
              <w:pStyle w:val="119"/>
              <w:spacing w:line="400" w:lineRule="exact"/>
              <w:ind w:firstLine="0" w:firstLineChars="0"/>
              <w:jc w:val="center"/>
              <w:rPr>
                <w:rFonts w:cs="Times New Roman"/>
                <w:sz w:val="21"/>
                <w:szCs w:val="21"/>
              </w:rPr>
            </w:pPr>
            <w:r>
              <w:rPr>
                <w:sz w:val="21"/>
                <w:szCs w:val="21"/>
              </w:rPr>
              <w:t>——</w:t>
            </w: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14</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沈阳东方钛业股份有限公司</w:t>
            </w:r>
          </w:p>
        </w:tc>
        <w:tc>
          <w:tcPr>
            <w:tcW w:w="653" w:type="pct"/>
            <w:vAlign w:val="center"/>
          </w:tcPr>
          <w:p>
            <w:pPr>
              <w:pStyle w:val="119"/>
              <w:spacing w:line="400" w:lineRule="exact"/>
              <w:ind w:firstLine="0" w:firstLineChars="0"/>
              <w:jc w:val="center"/>
              <w:rPr>
                <w:rFonts w:cs="Times New Roman"/>
                <w:sz w:val="21"/>
                <w:szCs w:val="21"/>
                <w:lang w:eastAsia="zh-CN"/>
              </w:rPr>
            </w:pPr>
            <w:r>
              <w:rPr>
                <w:rFonts w:hint="eastAsia" w:cs="Times New Roman"/>
                <w:sz w:val="21"/>
                <w:szCs w:val="21"/>
                <w:lang w:eastAsia="zh-CN"/>
              </w:rPr>
              <w:t>压力容器</w:t>
            </w:r>
          </w:p>
        </w:tc>
        <w:tc>
          <w:tcPr>
            <w:tcW w:w="979" w:type="pct"/>
            <w:vAlign w:val="center"/>
          </w:tcPr>
          <w:p>
            <w:pPr>
              <w:pStyle w:val="119"/>
              <w:spacing w:line="400" w:lineRule="exact"/>
              <w:ind w:firstLine="0" w:firstLineChars="0"/>
              <w:jc w:val="center"/>
              <w:rPr>
                <w:rFonts w:cs="Times New Roman"/>
                <w:sz w:val="21"/>
                <w:szCs w:val="21"/>
                <w:lang w:val="zh-CN"/>
              </w:rPr>
            </w:pPr>
            <w:r>
              <w:rPr>
                <w:sz w:val="21"/>
                <w:szCs w:val="21"/>
              </w:rPr>
              <w:t>沈环保审字【</w:t>
            </w:r>
            <w:r>
              <w:rPr>
                <w:rFonts w:eastAsia="Times New Roman"/>
                <w:sz w:val="21"/>
                <w:szCs w:val="21"/>
              </w:rPr>
              <w:t>2007</w:t>
            </w:r>
            <w:r>
              <w:rPr>
                <w:sz w:val="21"/>
                <w:szCs w:val="21"/>
              </w:rPr>
              <w:t>】</w:t>
            </w:r>
            <w:r>
              <w:rPr>
                <w:rFonts w:eastAsia="Times New Roman"/>
                <w:sz w:val="21"/>
                <w:szCs w:val="21"/>
              </w:rPr>
              <w:t>231</w:t>
            </w:r>
            <w:r>
              <w:rPr>
                <w:sz w:val="21"/>
                <w:szCs w:val="21"/>
              </w:rPr>
              <w:t>号</w:t>
            </w:r>
          </w:p>
        </w:tc>
        <w:tc>
          <w:tcPr>
            <w:tcW w:w="924" w:type="pct"/>
            <w:vAlign w:val="center"/>
          </w:tcPr>
          <w:p>
            <w:pPr>
              <w:pStyle w:val="119"/>
              <w:spacing w:line="400" w:lineRule="exact"/>
              <w:ind w:firstLine="0" w:firstLineChars="0"/>
              <w:jc w:val="center"/>
              <w:rPr>
                <w:rFonts w:cs="Times New Roman"/>
                <w:sz w:val="21"/>
                <w:szCs w:val="21"/>
              </w:rPr>
            </w:pPr>
            <w:r>
              <w:rPr>
                <w:sz w:val="21"/>
                <w:szCs w:val="21"/>
              </w:rPr>
              <w:t>沈环保验字【</w:t>
            </w:r>
            <w:r>
              <w:rPr>
                <w:rFonts w:eastAsia="Times New Roman"/>
                <w:sz w:val="21"/>
                <w:szCs w:val="21"/>
              </w:rPr>
              <w:t>2012</w:t>
            </w:r>
            <w:r>
              <w:rPr>
                <w:sz w:val="21"/>
                <w:szCs w:val="21"/>
              </w:rPr>
              <w:t>】</w:t>
            </w:r>
            <w:r>
              <w:rPr>
                <w:rFonts w:eastAsia="Times New Roman"/>
                <w:sz w:val="21"/>
                <w:szCs w:val="21"/>
              </w:rPr>
              <w:t>080</w:t>
            </w:r>
            <w:r>
              <w:rPr>
                <w:sz w:val="21"/>
                <w:szCs w:val="21"/>
              </w:rPr>
              <w:t>号</w:t>
            </w: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15</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沈阳仪表科学研究院有限公司汇博装备产业园项目</w:t>
            </w:r>
          </w:p>
        </w:tc>
        <w:tc>
          <w:tcPr>
            <w:tcW w:w="653" w:type="pct"/>
            <w:vAlign w:val="center"/>
          </w:tcPr>
          <w:p>
            <w:pPr>
              <w:pStyle w:val="119"/>
              <w:spacing w:line="400" w:lineRule="exact"/>
              <w:ind w:firstLine="0" w:firstLineChars="0"/>
              <w:jc w:val="center"/>
              <w:rPr>
                <w:rFonts w:cs="Times New Roman"/>
                <w:sz w:val="21"/>
                <w:szCs w:val="21"/>
              </w:rPr>
            </w:pPr>
            <w:r>
              <w:rPr>
                <w:sz w:val="21"/>
                <w:szCs w:val="21"/>
              </w:rPr>
              <w:t>C4112</w:t>
            </w:r>
          </w:p>
        </w:tc>
        <w:tc>
          <w:tcPr>
            <w:tcW w:w="979" w:type="pct"/>
            <w:vAlign w:val="center"/>
          </w:tcPr>
          <w:p>
            <w:pPr>
              <w:pStyle w:val="119"/>
              <w:spacing w:line="400" w:lineRule="exact"/>
              <w:ind w:firstLine="0" w:firstLineChars="0"/>
              <w:jc w:val="center"/>
              <w:rPr>
                <w:rFonts w:cs="Times New Roman"/>
                <w:sz w:val="21"/>
                <w:szCs w:val="21"/>
              </w:rPr>
            </w:pPr>
            <w:r>
              <w:rPr>
                <w:sz w:val="21"/>
                <w:szCs w:val="21"/>
              </w:rPr>
              <w:t>浑环分审字【</w:t>
            </w:r>
            <w:r>
              <w:rPr>
                <w:rFonts w:eastAsia="Times New Roman"/>
                <w:sz w:val="21"/>
                <w:szCs w:val="21"/>
              </w:rPr>
              <w:t>2010</w:t>
            </w:r>
            <w:r>
              <w:rPr>
                <w:sz w:val="21"/>
                <w:szCs w:val="21"/>
              </w:rPr>
              <w:t>】</w:t>
            </w:r>
            <w:r>
              <w:rPr>
                <w:rFonts w:eastAsia="Times New Roman"/>
                <w:sz w:val="21"/>
                <w:szCs w:val="21"/>
              </w:rPr>
              <w:t>98</w:t>
            </w:r>
            <w:r>
              <w:rPr>
                <w:sz w:val="21"/>
                <w:szCs w:val="21"/>
              </w:rPr>
              <w:t>号</w:t>
            </w:r>
          </w:p>
        </w:tc>
        <w:tc>
          <w:tcPr>
            <w:tcW w:w="924" w:type="pct"/>
            <w:vAlign w:val="center"/>
          </w:tcPr>
          <w:p>
            <w:pPr>
              <w:pStyle w:val="119"/>
              <w:spacing w:line="400" w:lineRule="exact"/>
              <w:ind w:firstLine="0" w:firstLineChars="0"/>
              <w:jc w:val="center"/>
              <w:rPr>
                <w:spacing w:val="-5"/>
                <w:sz w:val="21"/>
                <w:szCs w:val="21"/>
              </w:rPr>
            </w:pP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16</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沈阳东星医药科技有限公司</w:t>
            </w:r>
          </w:p>
        </w:tc>
        <w:tc>
          <w:tcPr>
            <w:tcW w:w="653" w:type="pct"/>
            <w:vAlign w:val="center"/>
          </w:tcPr>
          <w:p>
            <w:pPr>
              <w:pStyle w:val="119"/>
              <w:spacing w:line="400" w:lineRule="exact"/>
              <w:ind w:firstLine="0" w:firstLineChars="0"/>
              <w:jc w:val="center"/>
              <w:rPr>
                <w:rFonts w:cs="Times New Roman"/>
                <w:sz w:val="21"/>
                <w:szCs w:val="21"/>
              </w:rPr>
            </w:pPr>
            <w:r>
              <w:rPr>
                <w:rFonts w:hint="eastAsia"/>
                <w:sz w:val="18"/>
                <w:szCs w:val="18"/>
              </w:rPr>
              <w:t>制药</w:t>
            </w:r>
          </w:p>
        </w:tc>
        <w:tc>
          <w:tcPr>
            <w:tcW w:w="979" w:type="pct"/>
            <w:vAlign w:val="center"/>
          </w:tcPr>
          <w:p>
            <w:pPr>
              <w:pStyle w:val="119"/>
              <w:spacing w:line="400" w:lineRule="exact"/>
              <w:ind w:firstLine="0" w:firstLineChars="0"/>
              <w:jc w:val="center"/>
              <w:rPr>
                <w:rFonts w:cs="Times New Roman"/>
                <w:sz w:val="21"/>
                <w:szCs w:val="21"/>
              </w:rPr>
            </w:pPr>
            <w:r>
              <w:rPr>
                <w:rFonts w:cs="Times New Roman"/>
                <w:sz w:val="21"/>
                <w:szCs w:val="21"/>
              </w:rPr>
              <w:t>沈环保浑南审字[2015]0013号</w:t>
            </w:r>
          </w:p>
        </w:tc>
        <w:tc>
          <w:tcPr>
            <w:tcW w:w="924" w:type="pct"/>
            <w:vAlign w:val="center"/>
          </w:tcPr>
          <w:p>
            <w:pPr>
              <w:pStyle w:val="119"/>
              <w:spacing w:line="400" w:lineRule="exact"/>
              <w:ind w:firstLine="0" w:firstLineChars="0"/>
              <w:jc w:val="center"/>
              <w:rPr>
                <w:sz w:val="21"/>
                <w:szCs w:val="21"/>
                <w:lang w:eastAsia="zh-CN"/>
              </w:rPr>
            </w:pPr>
            <w:r>
              <w:rPr>
                <w:rFonts w:hint="eastAsia"/>
                <w:sz w:val="21"/>
                <w:szCs w:val="21"/>
                <w:lang w:eastAsia="zh-CN"/>
              </w:rPr>
              <w:t>自主验收</w:t>
            </w: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17</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沈阳市政工程机械有限公司</w:t>
            </w:r>
          </w:p>
        </w:tc>
        <w:tc>
          <w:tcPr>
            <w:tcW w:w="653" w:type="pct"/>
            <w:vAlign w:val="center"/>
          </w:tcPr>
          <w:p>
            <w:pPr>
              <w:pStyle w:val="119"/>
              <w:spacing w:line="400" w:lineRule="exact"/>
              <w:ind w:firstLine="0" w:firstLineChars="0"/>
              <w:jc w:val="center"/>
              <w:rPr>
                <w:rFonts w:cs="Times New Roman"/>
                <w:sz w:val="21"/>
                <w:szCs w:val="21"/>
              </w:rPr>
            </w:pPr>
            <w:r>
              <w:rPr>
                <w:sz w:val="21"/>
                <w:szCs w:val="21"/>
              </w:rPr>
              <w:t>C3583</w:t>
            </w:r>
          </w:p>
        </w:tc>
        <w:tc>
          <w:tcPr>
            <w:tcW w:w="979" w:type="pct"/>
            <w:vAlign w:val="center"/>
          </w:tcPr>
          <w:p>
            <w:pPr>
              <w:pStyle w:val="119"/>
              <w:spacing w:line="400" w:lineRule="exact"/>
              <w:ind w:firstLine="0" w:firstLineChars="0"/>
              <w:jc w:val="center"/>
              <w:rPr>
                <w:rFonts w:cs="Times New Roman"/>
                <w:sz w:val="21"/>
                <w:szCs w:val="21"/>
              </w:rPr>
            </w:pPr>
            <w:r>
              <w:rPr>
                <w:sz w:val="21"/>
                <w:szCs w:val="21"/>
              </w:rPr>
              <w:t>浑环分审字【</w:t>
            </w:r>
            <w:r>
              <w:rPr>
                <w:rFonts w:eastAsia="Times New Roman"/>
                <w:sz w:val="21"/>
                <w:szCs w:val="21"/>
              </w:rPr>
              <w:t>2012</w:t>
            </w:r>
            <w:r>
              <w:rPr>
                <w:sz w:val="21"/>
                <w:szCs w:val="21"/>
              </w:rPr>
              <w:t>】</w:t>
            </w:r>
            <w:r>
              <w:rPr>
                <w:rFonts w:eastAsia="Times New Roman"/>
                <w:sz w:val="21"/>
                <w:szCs w:val="21"/>
              </w:rPr>
              <w:t>0244</w:t>
            </w:r>
            <w:r>
              <w:rPr>
                <w:sz w:val="21"/>
                <w:szCs w:val="21"/>
              </w:rPr>
              <w:t>号</w:t>
            </w:r>
          </w:p>
        </w:tc>
        <w:tc>
          <w:tcPr>
            <w:tcW w:w="924" w:type="pct"/>
            <w:vAlign w:val="center"/>
          </w:tcPr>
          <w:p>
            <w:pPr>
              <w:pStyle w:val="119"/>
              <w:spacing w:line="400" w:lineRule="exact"/>
              <w:ind w:firstLine="0" w:firstLineChars="0"/>
              <w:jc w:val="center"/>
              <w:rPr>
                <w:sz w:val="21"/>
                <w:szCs w:val="21"/>
              </w:rPr>
            </w:pP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18</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沈阳东大冶金科技股份有限公司</w:t>
            </w:r>
          </w:p>
        </w:tc>
        <w:tc>
          <w:tcPr>
            <w:tcW w:w="653" w:type="pct"/>
            <w:vAlign w:val="center"/>
          </w:tcPr>
          <w:p>
            <w:pPr>
              <w:pStyle w:val="119"/>
              <w:spacing w:line="400" w:lineRule="exact"/>
              <w:ind w:firstLine="0" w:firstLineChars="0"/>
              <w:jc w:val="center"/>
              <w:rPr>
                <w:rFonts w:cs="Times New Roman"/>
                <w:sz w:val="21"/>
                <w:szCs w:val="21"/>
                <w:lang w:eastAsia="zh-CN"/>
              </w:rPr>
            </w:pPr>
          </w:p>
        </w:tc>
        <w:tc>
          <w:tcPr>
            <w:tcW w:w="979" w:type="pct"/>
            <w:vAlign w:val="center"/>
          </w:tcPr>
          <w:p>
            <w:pPr>
              <w:pStyle w:val="119"/>
              <w:spacing w:line="400" w:lineRule="exact"/>
              <w:ind w:firstLine="0" w:firstLineChars="0"/>
              <w:jc w:val="center"/>
              <w:rPr>
                <w:rFonts w:cs="Times New Roman"/>
                <w:sz w:val="21"/>
                <w:szCs w:val="21"/>
                <w:lang w:eastAsia="zh-CN"/>
              </w:rPr>
            </w:pPr>
          </w:p>
        </w:tc>
        <w:tc>
          <w:tcPr>
            <w:tcW w:w="924" w:type="pct"/>
            <w:vAlign w:val="center"/>
          </w:tcPr>
          <w:p>
            <w:pPr>
              <w:pStyle w:val="119"/>
              <w:spacing w:line="400" w:lineRule="exact"/>
              <w:ind w:firstLine="0" w:firstLineChars="0"/>
              <w:jc w:val="center"/>
              <w:rPr>
                <w:sz w:val="21"/>
                <w:szCs w:val="21"/>
                <w:lang w:eastAsia="zh-CN"/>
              </w:rPr>
            </w:pPr>
          </w:p>
        </w:tc>
        <w:tc>
          <w:tcPr>
            <w:tcW w:w="585" w:type="pct"/>
            <w:vAlign w:val="center"/>
          </w:tcPr>
          <w:p>
            <w:pPr>
              <w:pStyle w:val="16"/>
              <w:spacing w:line="400" w:lineRule="exact"/>
              <w:rPr>
                <w:rFonts w:ascii="Times New Roman" w:hAnsi="Times New Roman"/>
                <w:sz w:val="21"/>
                <w:lang w:val="zh-CN"/>
              </w:rPr>
            </w:pPr>
            <w:r>
              <w:rPr>
                <w:rFonts w:hint="eastAsia" w:ascii="Times New Roman" w:hAnsi="Times New Roman"/>
                <w:sz w:val="21"/>
              </w:rPr>
              <w:t>搬迁</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19</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沈阳展博磁石技术有限公司</w:t>
            </w:r>
          </w:p>
        </w:tc>
        <w:tc>
          <w:tcPr>
            <w:tcW w:w="653" w:type="pct"/>
            <w:vAlign w:val="center"/>
          </w:tcPr>
          <w:p>
            <w:pPr>
              <w:pStyle w:val="119"/>
              <w:spacing w:line="400" w:lineRule="exact"/>
              <w:ind w:firstLine="0" w:firstLineChars="0"/>
              <w:jc w:val="center"/>
              <w:rPr>
                <w:rFonts w:cs="Times New Roman"/>
                <w:sz w:val="21"/>
                <w:szCs w:val="21"/>
              </w:rPr>
            </w:pPr>
            <w:r>
              <w:rPr>
                <w:sz w:val="21"/>
                <w:szCs w:val="21"/>
              </w:rPr>
              <w:t>C3353</w:t>
            </w:r>
          </w:p>
        </w:tc>
        <w:tc>
          <w:tcPr>
            <w:tcW w:w="979" w:type="pct"/>
            <w:vAlign w:val="center"/>
          </w:tcPr>
          <w:p>
            <w:pPr>
              <w:pStyle w:val="119"/>
              <w:spacing w:line="400" w:lineRule="exact"/>
              <w:ind w:firstLine="0" w:firstLineChars="0"/>
              <w:jc w:val="center"/>
              <w:rPr>
                <w:rFonts w:cs="Times New Roman"/>
                <w:sz w:val="21"/>
                <w:szCs w:val="21"/>
              </w:rPr>
            </w:pPr>
            <w:r>
              <w:rPr>
                <w:sz w:val="21"/>
                <w:szCs w:val="21"/>
              </w:rPr>
              <w:t>浑环分审字【</w:t>
            </w:r>
            <w:r>
              <w:rPr>
                <w:rFonts w:eastAsia="Times New Roman"/>
                <w:sz w:val="21"/>
                <w:szCs w:val="21"/>
              </w:rPr>
              <w:t>2011</w:t>
            </w:r>
            <w:r>
              <w:rPr>
                <w:sz w:val="21"/>
                <w:szCs w:val="21"/>
              </w:rPr>
              <w:t>】</w:t>
            </w:r>
            <w:r>
              <w:rPr>
                <w:rFonts w:eastAsia="Times New Roman"/>
                <w:sz w:val="21"/>
                <w:szCs w:val="21"/>
              </w:rPr>
              <w:t>78</w:t>
            </w:r>
            <w:r>
              <w:rPr>
                <w:sz w:val="21"/>
                <w:szCs w:val="21"/>
              </w:rPr>
              <w:t>号</w:t>
            </w:r>
          </w:p>
        </w:tc>
        <w:tc>
          <w:tcPr>
            <w:tcW w:w="924" w:type="pct"/>
            <w:vAlign w:val="center"/>
          </w:tcPr>
          <w:p>
            <w:pPr>
              <w:pStyle w:val="119"/>
              <w:spacing w:line="400" w:lineRule="exact"/>
              <w:ind w:firstLine="0" w:firstLineChars="0"/>
              <w:jc w:val="center"/>
              <w:rPr>
                <w:sz w:val="21"/>
                <w:szCs w:val="21"/>
              </w:rPr>
            </w:pP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20</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沈阳金纳新材料股份有限公司</w:t>
            </w:r>
          </w:p>
        </w:tc>
        <w:tc>
          <w:tcPr>
            <w:tcW w:w="653" w:type="pct"/>
            <w:vAlign w:val="center"/>
          </w:tcPr>
          <w:p>
            <w:pPr>
              <w:pStyle w:val="119"/>
              <w:spacing w:line="400" w:lineRule="exact"/>
              <w:ind w:firstLine="0" w:firstLineChars="0"/>
              <w:jc w:val="center"/>
              <w:rPr>
                <w:rFonts w:cs="Times New Roman"/>
                <w:sz w:val="21"/>
                <w:szCs w:val="21"/>
              </w:rPr>
            </w:pPr>
            <w:r>
              <w:rPr>
                <w:sz w:val="21"/>
                <w:szCs w:val="21"/>
              </w:rPr>
              <w:t>C19</w:t>
            </w:r>
          </w:p>
        </w:tc>
        <w:tc>
          <w:tcPr>
            <w:tcW w:w="979" w:type="pct"/>
            <w:vAlign w:val="center"/>
          </w:tcPr>
          <w:p>
            <w:pPr>
              <w:pStyle w:val="119"/>
              <w:spacing w:line="400" w:lineRule="exact"/>
              <w:ind w:firstLine="0" w:firstLineChars="0"/>
              <w:jc w:val="center"/>
              <w:rPr>
                <w:sz w:val="21"/>
                <w:szCs w:val="21"/>
                <w:lang w:eastAsia="zh-CN"/>
              </w:rPr>
            </w:pPr>
            <w:r>
              <w:rPr>
                <w:sz w:val="21"/>
                <w:szCs w:val="21"/>
                <w:lang w:eastAsia="zh-CN"/>
              </w:rPr>
              <w:t>浑环分审字【</w:t>
            </w:r>
            <w:r>
              <w:rPr>
                <w:rFonts w:eastAsia="Times New Roman"/>
                <w:sz w:val="21"/>
                <w:szCs w:val="21"/>
                <w:lang w:eastAsia="zh-CN"/>
              </w:rPr>
              <w:t>2011</w:t>
            </w:r>
            <w:r>
              <w:rPr>
                <w:sz w:val="21"/>
                <w:szCs w:val="21"/>
                <w:lang w:eastAsia="zh-CN"/>
              </w:rPr>
              <w:t>】</w:t>
            </w:r>
            <w:r>
              <w:rPr>
                <w:rFonts w:eastAsia="Times New Roman"/>
                <w:sz w:val="21"/>
                <w:szCs w:val="21"/>
                <w:lang w:eastAsia="zh-CN"/>
              </w:rPr>
              <w:t>61</w:t>
            </w:r>
            <w:r>
              <w:rPr>
                <w:sz w:val="21"/>
                <w:szCs w:val="21"/>
                <w:lang w:eastAsia="zh-CN"/>
              </w:rPr>
              <w:t>号</w:t>
            </w:r>
          </w:p>
          <w:p>
            <w:pPr>
              <w:pStyle w:val="119"/>
              <w:spacing w:line="400" w:lineRule="exact"/>
              <w:ind w:firstLine="0" w:firstLineChars="0"/>
              <w:jc w:val="center"/>
              <w:rPr>
                <w:rFonts w:cs="Times New Roman"/>
                <w:sz w:val="21"/>
                <w:szCs w:val="21"/>
                <w:lang w:eastAsia="zh-CN"/>
              </w:rPr>
            </w:pPr>
            <w:r>
              <w:rPr>
                <w:sz w:val="21"/>
                <w:szCs w:val="21"/>
                <w:lang w:eastAsia="zh-CN"/>
              </w:rPr>
              <w:t>沈环保浑南审字【</w:t>
            </w:r>
            <w:r>
              <w:rPr>
                <w:rFonts w:eastAsia="Times New Roman"/>
                <w:sz w:val="21"/>
                <w:szCs w:val="21"/>
                <w:lang w:eastAsia="zh-CN"/>
              </w:rPr>
              <w:t>2014</w:t>
            </w:r>
            <w:r>
              <w:rPr>
                <w:sz w:val="21"/>
                <w:szCs w:val="21"/>
                <w:lang w:eastAsia="zh-CN"/>
              </w:rPr>
              <w:t>】</w:t>
            </w:r>
            <w:r>
              <w:rPr>
                <w:rFonts w:eastAsia="Times New Roman"/>
                <w:sz w:val="21"/>
                <w:szCs w:val="21"/>
                <w:lang w:eastAsia="zh-CN"/>
              </w:rPr>
              <w:t>51</w:t>
            </w:r>
            <w:r>
              <w:rPr>
                <w:sz w:val="21"/>
                <w:szCs w:val="21"/>
                <w:lang w:eastAsia="zh-CN"/>
              </w:rPr>
              <w:t>号</w:t>
            </w:r>
          </w:p>
        </w:tc>
        <w:tc>
          <w:tcPr>
            <w:tcW w:w="924" w:type="pct"/>
            <w:vAlign w:val="center"/>
          </w:tcPr>
          <w:p>
            <w:pPr>
              <w:pStyle w:val="119"/>
              <w:spacing w:line="400" w:lineRule="exact"/>
              <w:ind w:firstLine="0" w:firstLineChars="0"/>
              <w:jc w:val="center"/>
              <w:rPr>
                <w:sz w:val="21"/>
                <w:szCs w:val="21"/>
                <w:lang w:eastAsia="zh-CN"/>
              </w:rPr>
            </w:pPr>
          </w:p>
        </w:tc>
        <w:tc>
          <w:tcPr>
            <w:tcW w:w="585" w:type="pct"/>
            <w:vAlign w:val="center"/>
          </w:tcPr>
          <w:p>
            <w:pPr>
              <w:pStyle w:val="16"/>
              <w:spacing w:line="400" w:lineRule="exact"/>
              <w:rPr>
                <w:rFonts w:ascii="Times New Roman" w:hAnsi="Times New Roman"/>
                <w:sz w:val="21"/>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21</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沈阳华港食品有限公司</w:t>
            </w:r>
          </w:p>
        </w:tc>
        <w:tc>
          <w:tcPr>
            <w:tcW w:w="653" w:type="pct"/>
            <w:vAlign w:val="center"/>
          </w:tcPr>
          <w:p>
            <w:pPr>
              <w:pStyle w:val="119"/>
              <w:spacing w:line="400" w:lineRule="exact"/>
              <w:ind w:firstLine="0" w:firstLineChars="0"/>
              <w:jc w:val="center"/>
              <w:rPr>
                <w:rFonts w:cs="Times New Roman"/>
                <w:sz w:val="21"/>
                <w:szCs w:val="21"/>
                <w:lang w:eastAsia="zh-CN"/>
              </w:rPr>
            </w:pPr>
          </w:p>
        </w:tc>
        <w:tc>
          <w:tcPr>
            <w:tcW w:w="979" w:type="pct"/>
            <w:vAlign w:val="center"/>
          </w:tcPr>
          <w:p>
            <w:pPr>
              <w:pStyle w:val="119"/>
              <w:spacing w:line="400" w:lineRule="exact"/>
              <w:ind w:firstLine="0" w:firstLineChars="0"/>
              <w:jc w:val="center"/>
              <w:rPr>
                <w:rFonts w:cs="Times New Roman"/>
                <w:sz w:val="21"/>
                <w:szCs w:val="21"/>
              </w:rPr>
            </w:pPr>
            <w:r>
              <w:rPr>
                <w:sz w:val="21"/>
                <w:szCs w:val="21"/>
              </w:rPr>
              <w:t>浑环分审字【</w:t>
            </w:r>
            <w:r>
              <w:rPr>
                <w:rFonts w:eastAsia="Times New Roman"/>
                <w:sz w:val="21"/>
                <w:szCs w:val="21"/>
              </w:rPr>
              <w:t>2011</w:t>
            </w:r>
            <w:r>
              <w:rPr>
                <w:sz w:val="21"/>
                <w:szCs w:val="21"/>
              </w:rPr>
              <w:t>】</w:t>
            </w:r>
            <w:r>
              <w:rPr>
                <w:rFonts w:eastAsia="Times New Roman"/>
                <w:sz w:val="21"/>
                <w:szCs w:val="21"/>
              </w:rPr>
              <w:t>118</w:t>
            </w:r>
            <w:r>
              <w:rPr>
                <w:sz w:val="21"/>
                <w:szCs w:val="21"/>
              </w:rPr>
              <w:t>号</w:t>
            </w:r>
          </w:p>
        </w:tc>
        <w:tc>
          <w:tcPr>
            <w:tcW w:w="924" w:type="pct"/>
            <w:vAlign w:val="center"/>
          </w:tcPr>
          <w:p>
            <w:pPr>
              <w:pStyle w:val="119"/>
              <w:spacing w:line="400" w:lineRule="exact"/>
              <w:ind w:firstLine="0" w:firstLineChars="0"/>
              <w:jc w:val="center"/>
              <w:rPr>
                <w:sz w:val="21"/>
                <w:szCs w:val="21"/>
              </w:rPr>
            </w:pP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22</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sz w:val="21"/>
                <w:szCs w:val="21"/>
                <w:lang w:eastAsia="zh-CN"/>
              </w:rPr>
              <w:t>国网辽宁省级检修基地</w:t>
            </w:r>
          </w:p>
        </w:tc>
        <w:tc>
          <w:tcPr>
            <w:tcW w:w="653" w:type="pct"/>
            <w:vAlign w:val="center"/>
          </w:tcPr>
          <w:p>
            <w:pPr>
              <w:pStyle w:val="119"/>
              <w:spacing w:line="400" w:lineRule="exact"/>
              <w:ind w:firstLine="0" w:firstLineChars="0"/>
              <w:jc w:val="center"/>
              <w:rPr>
                <w:rFonts w:cs="Times New Roman"/>
                <w:sz w:val="21"/>
                <w:szCs w:val="21"/>
              </w:rPr>
            </w:pPr>
            <w:r>
              <w:rPr>
                <w:sz w:val="21"/>
                <w:szCs w:val="21"/>
              </w:rPr>
              <w:t>DL400-91</w:t>
            </w:r>
          </w:p>
        </w:tc>
        <w:tc>
          <w:tcPr>
            <w:tcW w:w="979" w:type="pct"/>
            <w:vAlign w:val="center"/>
          </w:tcPr>
          <w:p>
            <w:pPr>
              <w:pStyle w:val="119"/>
              <w:spacing w:line="400" w:lineRule="exact"/>
              <w:ind w:firstLine="0" w:firstLineChars="0"/>
              <w:jc w:val="center"/>
              <w:rPr>
                <w:rFonts w:cs="Times New Roman"/>
                <w:sz w:val="21"/>
                <w:szCs w:val="21"/>
              </w:rPr>
            </w:pPr>
            <w:r>
              <w:rPr>
                <w:sz w:val="21"/>
                <w:szCs w:val="21"/>
              </w:rPr>
              <w:t>正在办理</w:t>
            </w:r>
          </w:p>
        </w:tc>
        <w:tc>
          <w:tcPr>
            <w:tcW w:w="924" w:type="pct"/>
            <w:vAlign w:val="center"/>
          </w:tcPr>
          <w:p>
            <w:pPr>
              <w:pStyle w:val="119"/>
              <w:spacing w:line="400" w:lineRule="exact"/>
              <w:ind w:firstLine="0" w:firstLineChars="0"/>
              <w:jc w:val="center"/>
              <w:rPr>
                <w:sz w:val="21"/>
                <w:szCs w:val="21"/>
              </w:rPr>
            </w:pP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23</w:t>
            </w:r>
          </w:p>
        </w:tc>
        <w:tc>
          <w:tcPr>
            <w:tcW w:w="1508" w:type="pct"/>
            <w:shd w:val="clear" w:color="auto" w:fill="auto"/>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沈阳子正电气设备有限公司</w:t>
            </w:r>
          </w:p>
        </w:tc>
        <w:tc>
          <w:tcPr>
            <w:tcW w:w="653" w:type="pct"/>
            <w:vAlign w:val="center"/>
          </w:tcPr>
          <w:p>
            <w:pPr>
              <w:pStyle w:val="119"/>
              <w:spacing w:line="400" w:lineRule="exact"/>
              <w:ind w:firstLine="0" w:firstLineChars="0"/>
              <w:jc w:val="center"/>
              <w:rPr>
                <w:rFonts w:cs="Times New Roman"/>
                <w:sz w:val="21"/>
                <w:szCs w:val="21"/>
              </w:rPr>
            </w:pPr>
            <w:r>
              <w:rPr>
                <w:sz w:val="21"/>
                <w:szCs w:val="21"/>
              </w:rPr>
              <w:t>C3923</w:t>
            </w:r>
          </w:p>
        </w:tc>
        <w:tc>
          <w:tcPr>
            <w:tcW w:w="979" w:type="pct"/>
            <w:vAlign w:val="center"/>
          </w:tcPr>
          <w:p>
            <w:pPr>
              <w:pStyle w:val="119"/>
              <w:spacing w:line="400" w:lineRule="exact"/>
              <w:ind w:firstLine="0" w:firstLineChars="0"/>
              <w:jc w:val="center"/>
              <w:rPr>
                <w:rFonts w:cs="Times New Roman"/>
                <w:sz w:val="21"/>
                <w:szCs w:val="21"/>
                <w:lang w:eastAsia="zh-CN"/>
              </w:rPr>
            </w:pPr>
            <w:r>
              <w:rPr>
                <w:sz w:val="21"/>
                <w:szCs w:val="21"/>
                <w:lang w:eastAsia="zh-CN"/>
              </w:rPr>
              <w:t>沈环保浑南审字【</w:t>
            </w:r>
            <w:r>
              <w:rPr>
                <w:rFonts w:eastAsia="Times New Roman"/>
                <w:sz w:val="21"/>
                <w:szCs w:val="21"/>
                <w:lang w:eastAsia="zh-CN"/>
              </w:rPr>
              <w:t>2013</w:t>
            </w:r>
            <w:r>
              <w:rPr>
                <w:sz w:val="21"/>
                <w:szCs w:val="21"/>
                <w:lang w:eastAsia="zh-CN"/>
              </w:rPr>
              <w:t>】</w:t>
            </w:r>
            <w:r>
              <w:rPr>
                <w:rFonts w:eastAsia="Times New Roman"/>
                <w:sz w:val="21"/>
                <w:szCs w:val="21"/>
                <w:lang w:eastAsia="zh-CN"/>
              </w:rPr>
              <w:t>0145</w:t>
            </w:r>
            <w:r>
              <w:rPr>
                <w:sz w:val="21"/>
                <w:szCs w:val="21"/>
                <w:lang w:eastAsia="zh-CN"/>
              </w:rPr>
              <w:t>号</w:t>
            </w:r>
          </w:p>
        </w:tc>
        <w:tc>
          <w:tcPr>
            <w:tcW w:w="924" w:type="pct"/>
            <w:vAlign w:val="center"/>
          </w:tcPr>
          <w:p>
            <w:pPr>
              <w:pStyle w:val="119"/>
              <w:spacing w:line="400" w:lineRule="exact"/>
              <w:ind w:firstLine="0" w:firstLineChars="0"/>
              <w:jc w:val="center"/>
              <w:rPr>
                <w:sz w:val="21"/>
                <w:szCs w:val="21"/>
                <w:lang w:eastAsia="zh-CN"/>
              </w:rPr>
            </w:pPr>
          </w:p>
        </w:tc>
        <w:tc>
          <w:tcPr>
            <w:tcW w:w="585" w:type="pct"/>
            <w:vAlign w:val="center"/>
          </w:tcPr>
          <w:p>
            <w:pPr>
              <w:pStyle w:val="16"/>
              <w:spacing w:line="400" w:lineRule="exact"/>
              <w:rPr>
                <w:rFonts w:ascii="Times New Roman" w:hAnsi="Times New Roman"/>
                <w:sz w:val="21"/>
                <w:lang w:val="zh-CN"/>
              </w:rPr>
            </w:pPr>
            <w:r>
              <w:rPr>
                <w:rFonts w:ascii="Times New Roman" w:hAnsi="Times New Roman"/>
                <w:sz w:val="21"/>
                <w:lang w:val="zh-CN"/>
              </w:rPr>
              <w:t>生产</w:t>
            </w:r>
          </w:p>
        </w:tc>
      </w:tr>
    </w:tbl>
    <w:p>
      <w:pPr>
        <w:ind w:firstLine="480"/>
        <w:rPr>
          <w:rFonts w:cs="Times New Roman" w:eastAsiaTheme="minorEastAsia"/>
          <w:lang w:eastAsia="zh-CN"/>
        </w:rPr>
      </w:pPr>
      <w:r>
        <w:rPr>
          <w:rFonts w:cs="Times New Roman" w:eastAsiaTheme="minorEastAsia"/>
          <w:lang w:eastAsia="zh-CN"/>
        </w:rPr>
        <w:t>由上</w:t>
      </w:r>
      <w:r>
        <w:rPr>
          <w:rFonts w:cs="Times New Roman"/>
          <w:lang w:eastAsia="zh-CN"/>
        </w:rPr>
        <w:t>表可以看出，</w:t>
      </w:r>
      <w:r>
        <w:rPr>
          <w:rFonts w:hint="eastAsia" w:cs="Times New Roman"/>
          <w:lang w:eastAsia="zh-CN"/>
        </w:rPr>
        <w:t>沈阳宏达纸业有限公司和沈阳鞍东混凝土产业有限公司和沈阳时盛混凝土工程有限公司与规划发展的产业不符，主要原因是该三家企业建设时间较早，建设之时区域未进行产业发展规划。其余企业的产业类型与规划发展的产业类型吻合，</w:t>
      </w:r>
      <w:r>
        <w:rPr>
          <w:rFonts w:cs="Times New Roman" w:eastAsiaTheme="minorEastAsia"/>
          <w:lang w:eastAsia="zh-CN"/>
        </w:rPr>
        <w:t>入区项目均符合规划环评环境准入</w:t>
      </w:r>
      <w:r>
        <w:rPr>
          <w:rFonts w:hint="eastAsia" w:cs="Times New Roman" w:eastAsiaTheme="minorEastAsia"/>
          <w:lang w:eastAsia="zh-CN"/>
        </w:rPr>
        <w:t>，</w:t>
      </w:r>
      <w:r>
        <w:rPr>
          <w:rFonts w:hint="eastAsia" w:cs="Times New Roman"/>
          <w:lang w:eastAsia="zh-CN"/>
        </w:rPr>
        <w:t>且均已履行环保手续。</w:t>
      </w:r>
    </w:p>
    <w:p>
      <w:pPr>
        <w:pStyle w:val="10"/>
        <w:rPr>
          <w:rFonts w:cs="Times New Roman"/>
          <w:b/>
          <w:bCs/>
          <w:lang w:eastAsia="zh-CN"/>
        </w:rPr>
      </w:pPr>
      <w:r>
        <w:rPr>
          <w:rFonts w:cs="Times New Roman"/>
          <w:b/>
          <w:bCs/>
          <w:lang w:eastAsia="zh-CN"/>
        </w:rPr>
        <w:t>2.3.3.2 现状产业结构</w:t>
      </w:r>
    </w:p>
    <w:p>
      <w:pPr>
        <w:ind w:firstLine="480"/>
        <w:rPr>
          <w:rFonts w:cs="Times New Roman"/>
          <w:lang w:eastAsia="zh-CN"/>
        </w:rPr>
      </w:pPr>
      <w:r>
        <w:rPr>
          <w:rFonts w:cs="Times New Roman"/>
          <w:lang w:eastAsia="zh-CN"/>
        </w:rPr>
        <w:t>至本次跟踪评价期间，现有工业企业产业结构基本符合规划产业结构要求，</w:t>
      </w:r>
      <w:r>
        <w:rPr>
          <w:rFonts w:hint="eastAsia"/>
          <w:color w:val="000000"/>
          <w:lang w:eastAsia="zh-CN"/>
        </w:rPr>
        <w:t>浑南国际新兴产业园区</w:t>
      </w:r>
      <w:r>
        <w:rPr>
          <w:color w:val="000000"/>
          <w:lang w:val="zh-CN" w:eastAsia="zh-CN"/>
        </w:rPr>
        <w:t>目前产业</w:t>
      </w:r>
      <w:r>
        <w:rPr>
          <w:rFonts w:hint="eastAsia"/>
          <w:color w:val="000000"/>
          <w:lang w:val="zh-CN" w:eastAsia="zh-CN"/>
        </w:rPr>
        <w:t>结构</w:t>
      </w:r>
      <w:r>
        <w:rPr>
          <w:color w:val="000000"/>
          <w:lang w:val="zh-CN" w:eastAsia="zh-CN"/>
        </w:rPr>
        <w:t>为：</w:t>
      </w:r>
      <w:r>
        <w:rPr>
          <w:spacing w:val="-10"/>
          <w:lang w:eastAsia="zh-CN"/>
        </w:rPr>
        <w:t>以节能环保、新能源、生物医药、电子商务、现代物流产业</w:t>
      </w:r>
      <w:r>
        <w:rPr>
          <w:rFonts w:hint="eastAsia"/>
          <w:spacing w:val="-10"/>
          <w:lang w:eastAsia="zh-CN"/>
        </w:rPr>
        <w:t>为主导，</w:t>
      </w:r>
      <w:r>
        <w:rPr>
          <w:spacing w:val="-10"/>
          <w:lang w:eastAsia="zh-CN"/>
        </w:rPr>
        <w:t>以先进装备制造、汽车零部件生产产业为延伸</w:t>
      </w:r>
      <w:r>
        <w:rPr>
          <w:color w:val="000000"/>
          <w:lang w:val="zh-CN" w:eastAsia="zh-CN"/>
        </w:rPr>
        <w:t>。20</w:t>
      </w:r>
      <w:r>
        <w:rPr>
          <w:rFonts w:hint="eastAsia"/>
          <w:color w:val="000000"/>
          <w:lang w:eastAsia="zh-CN"/>
        </w:rPr>
        <w:t>20</w:t>
      </w:r>
      <w:r>
        <w:rPr>
          <w:color w:val="000000"/>
          <w:lang w:val="zh-CN" w:eastAsia="zh-CN"/>
        </w:rPr>
        <w:t>年，</w:t>
      </w:r>
      <w:r>
        <w:rPr>
          <w:rFonts w:hint="eastAsia"/>
          <w:color w:val="000000"/>
          <w:lang w:eastAsia="zh-CN"/>
        </w:rPr>
        <w:t>浑南国际新兴产业园区</w:t>
      </w:r>
      <w:r>
        <w:rPr>
          <w:color w:val="000000"/>
          <w:lang w:val="zh-CN" w:eastAsia="zh-CN"/>
        </w:rPr>
        <w:t>实现工业增加值8.3亿元。</w:t>
      </w:r>
      <w:r>
        <w:rPr>
          <w:color w:val="000000"/>
          <w:lang w:eastAsia="zh-CN"/>
        </w:rPr>
        <w:t>工业企业户数达到65户</w:t>
      </w:r>
      <w:r>
        <w:rPr>
          <w:rFonts w:hint="eastAsia"/>
          <w:color w:val="000000"/>
          <w:lang w:eastAsia="zh-CN"/>
        </w:rPr>
        <w:t>，生产型企业</w:t>
      </w:r>
      <w:r>
        <w:rPr>
          <w:rFonts w:cs="Times New Roman"/>
          <w:lang w:eastAsia="zh-CN"/>
        </w:rPr>
        <w:t>详见表2.3-</w:t>
      </w:r>
      <w:r>
        <w:rPr>
          <w:rFonts w:hint="eastAsia" w:cs="Times New Roman"/>
          <w:lang w:eastAsia="zh-CN"/>
        </w:rPr>
        <w:t>5</w:t>
      </w:r>
      <w:r>
        <w:rPr>
          <w:rFonts w:cs="Times New Roman"/>
          <w:lang w:eastAsia="zh-CN"/>
        </w:rPr>
        <w:t>，企业位置图见附图2-</w:t>
      </w:r>
      <w:r>
        <w:rPr>
          <w:rFonts w:hint="eastAsia" w:cs="Times New Roman"/>
          <w:lang w:eastAsia="zh-CN"/>
        </w:rPr>
        <w:t>6</w:t>
      </w:r>
      <w:r>
        <w:rPr>
          <w:rFonts w:cs="Times New Roman"/>
          <w:lang w:eastAsia="zh-CN"/>
        </w:rPr>
        <w:t>。</w:t>
      </w:r>
    </w:p>
    <w:p>
      <w:pPr>
        <w:widowControl/>
        <w:ind w:firstLine="440"/>
        <w:jc w:val="left"/>
        <w:rPr>
          <w:lang w:eastAsia="zh-CN"/>
        </w:rPr>
      </w:pPr>
      <w:r>
        <w:rPr>
          <w:rFonts w:hint="eastAsia"/>
          <w:spacing w:val="-10"/>
          <w:lang w:eastAsia="zh-CN"/>
        </w:rPr>
        <w:t>非生产性企业</w:t>
      </w:r>
      <w:r>
        <w:rPr>
          <w:rFonts w:hint="eastAsia" w:ascii="宋体" w:hAnsi="宋体" w:cs="宋体"/>
          <w:color w:val="000000"/>
          <w:lang w:eastAsia="zh-CN" w:bidi="ar"/>
        </w:rPr>
        <w:t>主要有京东物流、苏宁浑南物流中心、安博浑南物流中心、普洛斯物流、菜鸟网络物流等现代物流企业，中国科学院沈阳计算技术研究所科技创新园、沈阳华 强电商物流园、汇博装备产业园。</w:t>
      </w:r>
    </w:p>
    <w:p>
      <w:pPr>
        <w:pStyle w:val="2"/>
        <w:ind w:left="480" w:firstLine="480"/>
        <w:sectPr>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20"/>
        <w:ind w:firstLine="422"/>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 xml:space="preserve">表2.3-5   </w:t>
      </w:r>
      <w:r>
        <w:rPr>
          <w:rFonts w:hint="eastAsia" w:ascii="Times New Roman" w:hAnsi="Times New Roman" w:eastAsia="宋体" w:cs="Times New Roman"/>
          <w:b/>
          <w:bCs/>
          <w:sz w:val="21"/>
          <w:szCs w:val="21"/>
          <w:lang w:eastAsia="zh-CN"/>
        </w:rPr>
        <w:t>国际新兴产业园区</w:t>
      </w:r>
      <w:r>
        <w:rPr>
          <w:rFonts w:ascii="Times New Roman" w:hAnsi="Times New Roman" w:eastAsia="宋体" w:cs="Times New Roman"/>
          <w:b/>
          <w:bCs/>
          <w:sz w:val="21"/>
          <w:szCs w:val="21"/>
          <w:lang w:eastAsia="zh-CN"/>
        </w:rPr>
        <w:t>内</w:t>
      </w:r>
      <w:r>
        <w:rPr>
          <w:rFonts w:hint="eastAsia" w:ascii="Times New Roman" w:hAnsi="Times New Roman" w:eastAsia="宋体" w:cs="Times New Roman"/>
          <w:b/>
          <w:bCs/>
          <w:sz w:val="21"/>
          <w:szCs w:val="21"/>
          <w:lang w:eastAsia="zh-CN"/>
        </w:rPr>
        <w:t>生产型</w:t>
      </w:r>
      <w:r>
        <w:rPr>
          <w:rFonts w:ascii="Times New Roman" w:hAnsi="Times New Roman" w:eastAsia="宋体" w:cs="Times New Roman"/>
          <w:b/>
          <w:bCs/>
          <w:sz w:val="21"/>
          <w:szCs w:val="21"/>
          <w:lang w:eastAsia="zh-CN"/>
        </w:rPr>
        <w:t>企业环保手续执行情况</w:t>
      </w:r>
    </w:p>
    <w:tbl>
      <w:tblPr>
        <w:tblStyle w:val="64"/>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3214"/>
        <w:gridCol w:w="1482"/>
        <w:gridCol w:w="2884"/>
        <w:gridCol w:w="1337"/>
        <w:gridCol w:w="2620"/>
        <w:gridCol w:w="950"/>
        <w:gridCol w:w="124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67" w:type="pct"/>
            <w:shd w:val="clear" w:color="auto" w:fill="auto"/>
            <w:vAlign w:val="center"/>
          </w:tcPr>
          <w:p>
            <w:pPr>
              <w:pStyle w:val="16"/>
              <w:spacing w:line="400" w:lineRule="exact"/>
              <w:rPr>
                <w:rFonts w:ascii="Times New Roman" w:hAnsi="Times New Roman"/>
                <w:b/>
                <w:bCs/>
                <w:color w:val="000000" w:themeColor="text1"/>
                <w:sz w:val="21"/>
                <w14:textFill>
                  <w14:solidFill>
                    <w14:schemeClr w14:val="tx1"/>
                  </w14:solidFill>
                </w14:textFill>
              </w:rPr>
            </w:pPr>
            <w:r>
              <w:rPr>
                <w:rFonts w:ascii="Times New Roman" w:hAnsi="Times New Roman"/>
                <w:b/>
                <w:bCs/>
                <w:color w:val="000000" w:themeColor="text1"/>
                <w:sz w:val="21"/>
                <w14:textFill>
                  <w14:solidFill>
                    <w14:schemeClr w14:val="tx1"/>
                  </w14:solidFill>
                </w14:textFill>
              </w:rPr>
              <w:t>序号</w:t>
            </w:r>
          </w:p>
        </w:tc>
        <w:tc>
          <w:tcPr>
            <w:tcW w:w="1130" w:type="pct"/>
            <w:shd w:val="clear" w:color="auto" w:fill="auto"/>
            <w:vAlign w:val="center"/>
          </w:tcPr>
          <w:p>
            <w:pPr>
              <w:pStyle w:val="16"/>
              <w:spacing w:line="400" w:lineRule="exact"/>
              <w:rPr>
                <w:rFonts w:ascii="Times New Roman" w:hAnsi="Times New Roman"/>
                <w:b/>
                <w:bCs/>
                <w:color w:val="000000" w:themeColor="text1"/>
                <w:sz w:val="21"/>
                <w:lang w:val="zh-CN"/>
                <w14:textFill>
                  <w14:solidFill>
                    <w14:schemeClr w14:val="tx1"/>
                  </w14:solidFill>
                </w14:textFill>
              </w:rPr>
            </w:pPr>
            <w:r>
              <w:rPr>
                <w:rFonts w:ascii="Times New Roman" w:hAnsi="Times New Roman"/>
                <w:b/>
                <w:bCs/>
                <w:color w:val="000000" w:themeColor="text1"/>
                <w:sz w:val="21"/>
                <w:lang w:val="zh-CN"/>
                <w14:textFill>
                  <w14:solidFill>
                    <w14:schemeClr w14:val="tx1"/>
                  </w14:solidFill>
                </w14:textFill>
              </w:rPr>
              <w:t>企业（项目）名称</w:t>
            </w:r>
          </w:p>
        </w:tc>
        <w:tc>
          <w:tcPr>
            <w:tcW w:w="521" w:type="pct"/>
            <w:vAlign w:val="center"/>
          </w:tcPr>
          <w:p>
            <w:pPr>
              <w:pStyle w:val="16"/>
              <w:spacing w:line="400" w:lineRule="exact"/>
              <w:rPr>
                <w:rFonts w:ascii="Times New Roman" w:hAnsi="Times New Roman"/>
                <w:b/>
                <w:bCs/>
                <w:color w:val="000000" w:themeColor="text1"/>
                <w:sz w:val="21"/>
                <w14:textFill>
                  <w14:solidFill>
                    <w14:schemeClr w14:val="tx1"/>
                  </w14:solidFill>
                </w14:textFill>
              </w:rPr>
            </w:pPr>
            <w:r>
              <w:rPr>
                <w:rFonts w:ascii="Times New Roman" w:hAnsi="Times New Roman"/>
                <w:b/>
                <w:bCs/>
                <w:color w:val="000000" w:themeColor="text1"/>
                <w:sz w:val="21"/>
                <w14:textFill>
                  <w14:solidFill>
                    <w14:schemeClr w14:val="tx1"/>
                  </w14:solidFill>
                </w14:textFill>
              </w:rPr>
              <w:t>行业类型</w:t>
            </w:r>
          </w:p>
        </w:tc>
        <w:tc>
          <w:tcPr>
            <w:tcW w:w="1014" w:type="pct"/>
            <w:vAlign w:val="center"/>
          </w:tcPr>
          <w:p>
            <w:pPr>
              <w:pStyle w:val="16"/>
              <w:spacing w:line="400" w:lineRule="exact"/>
              <w:rPr>
                <w:rFonts w:ascii="Times New Roman" w:hAnsi="Times New Roman"/>
                <w:b/>
                <w:bCs/>
                <w:color w:val="000000" w:themeColor="text1"/>
                <w:sz w:val="21"/>
                <w:lang w:val="zh-CN"/>
                <w14:textFill>
                  <w14:solidFill>
                    <w14:schemeClr w14:val="tx1"/>
                  </w14:solidFill>
                </w14:textFill>
              </w:rPr>
            </w:pPr>
            <w:r>
              <w:rPr>
                <w:rFonts w:ascii="Times New Roman" w:hAnsi="Times New Roman"/>
                <w:b/>
                <w:bCs/>
                <w:color w:val="000000" w:themeColor="text1"/>
                <w:sz w:val="21"/>
                <w:lang w:val="zh-CN"/>
                <w14:textFill>
                  <w14:solidFill>
                    <w14:schemeClr w14:val="tx1"/>
                  </w14:solidFill>
                </w14:textFill>
              </w:rPr>
              <w:t>环评</w:t>
            </w:r>
          </w:p>
        </w:tc>
        <w:tc>
          <w:tcPr>
            <w:tcW w:w="470" w:type="pct"/>
            <w:vAlign w:val="center"/>
          </w:tcPr>
          <w:p>
            <w:pPr>
              <w:pStyle w:val="16"/>
              <w:spacing w:line="400" w:lineRule="exact"/>
              <w:rPr>
                <w:rFonts w:ascii="Times New Roman" w:hAnsi="Times New Roman"/>
                <w:b/>
                <w:bCs/>
                <w:color w:val="000000" w:themeColor="text1"/>
                <w:sz w:val="21"/>
                <w:lang w:val="zh-CN"/>
                <w14:textFill>
                  <w14:solidFill>
                    <w14:schemeClr w14:val="tx1"/>
                  </w14:solidFill>
                </w14:textFill>
              </w:rPr>
            </w:pPr>
            <w:r>
              <w:rPr>
                <w:rFonts w:ascii="Times New Roman" w:hAnsi="Times New Roman"/>
                <w:b/>
                <w:bCs/>
                <w:color w:val="000000" w:themeColor="text1"/>
                <w:sz w:val="21"/>
                <w:lang w:val="zh-CN"/>
                <w14:textFill>
                  <w14:solidFill>
                    <w14:schemeClr w14:val="tx1"/>
                  </w14:solidFill>
                </w14:textFill>
              </w:rPr>
              <w:t>验收</w:t>
            </w:r>
          </w:p>
        </w:tc>
        <w:tc>
          <w:tcPr>
            <w:tcW w:w="921" w:type="pct"/>
            <w:vAlign w:val="center"/>
          </w:tcPr>
          <w:p>
            <w:pPr>
              <w:pStyle w:val="16"/>
              <w:spacing w:line="400" w:lineRule="exact"/>
              <w:rPr>
                <w:rFonts w:ascii="Times New Roman" w:hAnsi="Times New Roman"/>
                <w:b/>
                <w:bCs/>
                <w:color w:val="000000" w:themeColor="text1"/>
                <w:sz w:val="21"/>
                <w:lang w:val="zh-CN"/>
                <w14:textFill>
                  <w14:solidFill>
                    <w14:schemeClr w14:val="tx1"/>
                  </w14:solidFill>
                </w14:textFill>
              </w:rPr>
            </w:pPr>
            <w:r>
              <w:rPr>
                <w:rFonts w:ascii="Times New Roman" w:hAnsi="Times New Roman"/>
                <w:b/>
                <w:bCs/>
                <w:color w:val="000000" w:themeColor="text1"/>
                <w:sz w:val="21"/>
                <w:lang w:val="zh-CN"/>
                <w14:textFill>
                  <w14:solidFill>
                    <w14:schemeClr w14:val="tx1"/>
                  </w14:solidFill>
                </w14:textFill>
              </w:rPr>
              <w:t>排污许可</w:t>
            </w:r>
          </w:p>
        </w:tc>
        <w:tc>
          <w:tcPr>
            <w:tcW w:w="334" w:type="pct"/>
            <w:vAlign w:val="center"/>
          </w:tcPr>
          <w:p>
            <w:pPr>
              <w:pStyle w:val="16"/>
              <w:spacing w:line="400" w:lineRule="exact"/>
              <w:rPr>
                <w:rFonts w:ascii="Times New Roman" w:hAnsi="Times New Roman"/>
                <w:b/>
                <w:bCs/>
                <w:color w:val="000000" w:themeColor="text1"/>
                <w:sz w:val="21"/>
                <w:lang w:val="zh-CN"/>
                <w14:textFill>
                  <w14:solidFill>
                    <w14:schemeClr w14:val="tx1"/>
                  </w14:solidFill>
                </w14:textFill>
              </w:rPr>
            </w:pPr>
            <w:r>
              <w:rPr>
                <w:rFonts w:ascii="Times New Roman" w:hAnsi="Times New Roman"/>
                <w:b/>
                <w:bCs/>
                <w:color w:val="000000" w:themeColor="text1"/>
                <w:sz w:val="21"/>
                <w:lang w:val="zh-CN"/>
                <w14:textFill>
                  <w14:solidFill>
                    <w14:schemeClr w14:val="tx1"/>
                  </w14:solidFill>
                </w14:textFill>
              </w:rPr>
              <w:t>是否达标排放</w:t>
            </w:r>
          </w:p>
        </w:tc>
        <w:tc>
          <w:tcPr>
            <w:tcW w:w="438" w:type="pct"/>
            <w:vAlign w:val="center"/>
          </w:tcPr>
          <w:p>
            <w:pPr>
              <w:pStyle w:val="16"/>
              <w:spacing w:line="400" w:lineRule="exact"/>
              <w:rPr>
                <w:rFonts w:ascii="Times New Roman" w:hAnsi="Times New Roman"/>
                <w:b/>
                <w:bCs/>
                <w:color w:val="000000" w:themeColor="text1"/>
                <w:sz w:val="21"/>
                <w:lang w:val="zh-CN"/>
                <w14:textFill>
                  <w14:solidFill>
                    <w14:schemeClr w14:val="tx1"/>
                  </w14:solidFill>
                </w14:textFill>
              </w:rPr>
            </w:pPr>
            <w:r>
              <w:rPr>
                <w:rFonts w:ascii="Times New Roman" w:hAnsi="Times New Roman"/>
                <w:b/>
                <w:bCs/>
                <w:color w:val="000000" w:themeColor="text1"/>
                <w:sz w:val="21"/>
                <w:lang w:val="zh-CN"/>
                <w14:textFill>
                  <w14:solidFill>
                    <w14:schemeClr w14:val="tx1"/>
                  </w14:solidFill>
                </w14:textFill>
              </w:rPr>
              <w:t>是否负面清单企业</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1</w:t>
            </w:r>
          </w:p>
        </w:tc>
        <w:tc>
          <w:tcPr>
            <w:tcW w:w="1130" w:type="pct"/>
            <w:shd w:val="clear" w:color="auto" w:fill="auto"/>
            <w:vAlign w:val="center"/>
          </w:tcPr>
          <w:p>
            <w:pPr>
              <w:widowControl/>
              <w:spacing w:line="400" w:lineRule="exact"/>
              <w:ind w:firstLine="0" w:firstLineChars="0"/>
              <w:jc w:val="center"/>
              <w:rPr>
                <w:rFonts w:cs="Times New Roman"/>
                <w:color w:val="000000" w:themeColor="text1"/>
                <w:sz w:val="21"/>
                <w:szCs w:val="21"/>
                <w:lang w:val="zh-CN"/>
                <w14:textFill>
                  <w14:solidFill>
                    <w14:schemeClr w14:val="tx1"/>
                  </w14:solidFill>
                </w14:textFill>
              </w:rPr>
            </w:pPr>
            <w:r>
              <w:rPr>
                <w:rFonts w:cs="Times New Roman"/>
                <w:color w:val="000000" w:themeColor="text1"/>
                <w:sz w:val="21"/>
                <w:szCs w:val="21"/>
                <w:lang w:eastAsia="zh-CN" w:bidi="ar"/>
                <w14:textFill>
                  <w14:solidFill>
                    <w14:schemeClr w14:val="tx1"/>
                  </w14:solidFill>
                </w14:textFill>
              </w:rPr>
              <w:t>沈阳金纳新材料股份有限公司</w:t>
            </w:r>
          </w:p>
        </w:tc>
        <w:tc>
          <w:tcPr>
            <w:tcW w:w="521"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C19</w:t>
            </w:r>
          </w:p>
        </w:tc>
        <w:tc>
          <w:tcPr>
            <w:tcW w:w="1014"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浑环分审字[2011]61号，</w:t>
            </w:r>
          </w:p>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沈环保浑南审字[2014]51号</w:t>
            </w:r>
          </w:p>
        </w:tc>
        <w:tc>
          <w:tcPr>
            <w:tcW w:w="470"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自主验收</w:t>
            </w:r>
          </w:p>
        </w:tc>
        <w:tc>
          <w:tcPr>
            <w:tcW w:w="921"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91210113671971772P001Q</w:t>
            </w: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是</w:t>
            </w: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2</w:t>
            </w:r>
          </w:p>
        </w:tc>
        <w:tc>
          <w:tcPr>
            <w:tcW w:w="1130" w:type="pct"/>
            <w:shd w:val="clear" w:color="auto" w:fill="auto"/>
            <w:vAlign w:val="center"/>
          </w:tcPr>
          <w:p>
            <w:pPr>
              <w:widowControl/>
              <w:spacing w:line="400" w:lineRule="exact"/>
              <w:ind w:firstLine="0" w:firstLineChars="0"/>
              <w:jc w:val="center"/>
              <w:rPr>
                <w:rFonts w:cs="Times New Roman"/>
                <w:color w:val="000000" w:themeColor="text1"/>
                <w:sz w:val="21"/>
                <w:szCs w:val="21"/>
                <w:lang w:val="zh-CN" w:eastAsia="zh-CN"/>
                <w14:textFill>
                  <w14:solidFill>
                    <w14:schemeClr w14:val="tx1"/>
                  </w14:solidFill>
                </w14:textFill>
              </w:rPr>
            </w:pPr>
            <w:r>
              <w:rPr>
                <w:rFonts w:cs="Times New Roman"/>
                <w:color w:val="000000" w:themeColor="text1"/>
                <w:sz w:val="21"/>
                <w:szCs w:val="21"/>
                <w:lang w:eastAsia="zh-CN" w:bidi="ar"/>
                <w14:textFill>
                  <w14:solidFill>
                    <w14:schemeClr w14:val="tx1"/>
                  </w14:solidFill>
                </w14:textFill>
              </w:rPr>
              <w:t>沈阳浑南热力有限责任公司（第三热源厂)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沈环保浑南审字[2016]95号，</w:t>
            </w:r>
          </w:p>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沈环浑南审字（2019）37号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自主验收</w:t>
            </w:r>
          </w:p>
        </w:tc>
        <w:tc>
          <w:tcPr>
            <w:tcW w:w="921"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91210113738694328A001Y</w:t>
            </w: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是</w:t>
            </w: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3</w:t>
            </w:r>
          </w:p>
        </w:tc>
        <w:tc>
          <w:tcPr>
            <w:tcW w:w="1130" w:type="pct"/>
            <w:shd w:val="clear" w:color="auto" w:fill="auto"/>
            <w:vAlign w:val="center"/>
          </w:tcPr>
          <w:p>
            <w:pPr>
              <w:widowControl/>
              <w:spacing w:line="400" w:lineRule="exact"/>
              <w:ind w:firstLine="0" w:firstLineChars="0"/>
              <w:jc w:val="center"/>
              <w:rPr>
                <w:rFonts w:cs="Times New Roman"/>
                <w:color w:val="000000" w:themeColor="text1"/>
                <w:sz w:val="21"/>
                <w:szCs w:val="21"/>
                <w:lang w:val="zh-CN"/>
                <w14:textFill>
                  <w14:solidFill>
                    <w14:schemeClr w14:val="tx1"/>
                  </w14:solidFill>
                </w14:textFill>
              </w:rPr>
            </w:pPr>
            <w:r>
              <w:rPr>
                <w:rFonts w:cs="Times New Roman"/>
                <w:color w:val="000000" w:themeColor="text1"/>
                <w:sz w:val="21"/>
                <w:szCs w:val="21"/>
                <w:lang w:eastAsia="zh-CN" w:bidi="ar"/>
                <w14:textFill>
                  <w14:solidFill>
                    <w14:schemeClr w14:val="tx1"/>
                  </w14:solidFill>
                </w14:textFill>
              </w:rPr>
              <w:t>沈阳海为电力装备股份有限公司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沈环保浑南审字[2013]0594号，沈环保浑南审字（2018）61号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自主验收</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w:t>
            </w: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是</w:t>
            </w: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Style w:val="77"/>
                <w:rFonts w:ascii="Times New Roman" w:hAnsi="Times New Roman"/>
                <w:i w:val="0"/>
                <w:color w:val="000000" w:themeColor="text1"/>
                <w:sz w:val="21"/>
                <w:shd w:val="clear" w:color="auto" w:fill="FFFFFF"/>
                <w14:textFill>
                  <w14:solidFill>
                    <w14:schemeClr w14:val="tx1"/>
                  </w14:solidFill>
                </w14:textFill>
              </w:rPr>
              <w:t>沈阳百创特生物科技有限公司</w:t>
            </w:r>
          </w:p>
        </w:tc>
        <w:tc>
          <w:tcPr>
            <w:tcW w:w="521"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Style w:val="77"/>
                <w:rFonts w:ascii="Times New Roman" w:hAnsi="Times New Roman"/>
                <w:i w:val="0"/>
                <w:color w:val="000000" w:themeColor="text1"/>
                <w:sz w:val="21"/>
                <w:shd w:val="clear" w:color="auto" w:fill="FFFFFF"/>
                <w14:textFill>
                  <w14:solidFill>
                    <w14:schemeClr w14:val="tx1"/>
                  </w14:solidFill>
                </w14:textFill>
              </w:rPr>
              <w:t>C2720 化学药品制剂制造</w:t>
            </w:r>
          </w:p>
        </w:tc>
        <w:tc>
          <w:tcPr>
            <w:tcW w:w="1014"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富虹集团</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C1311稻谷加工</w:t>
            </w: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Style w:val="77"/>
                <w:rFonts w:ascii="Times New Roman" w:hAnsi="Times New Roman"/>
                <w:i w:val="0"/>
                <w:color w:val="000000" w:themeColor="text1"/>
                <w:sz w:val="21"/>
                <w:shd w:val="clear" w:color="auto" w:fill="FFFFFF"/>
                <w14:textFill>
                  <w14:solidFill>
                    <w14:schemeClr w14:val="tx1"/>
                  </w14:solidFill>
                </w14:textFill>
              </w:rPr>
              <w:t>沈环浑南审字（2020）82号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w:t>
            </w:r>
          </w:p>
        </w:tc>
        <w:tc>
          <w:tcPr>
            <w:tcW w:w="334"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是</w:t>
            </w: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6</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沈阳华龙新能源汽车有限公司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7</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沈阳东方钛业股份有限公司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沈环保审字[2007]231号，沈环保浑南审字（2018）2号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沈环保验字[2012]080号</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8</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沈阳黎明国际动力工业有限公司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Style w:val="77"/>
                <w:rFonts w:ascii="Times New Roman" w:hAnsi="Times New Roman"/>
                <w:i w:val="0"/>
                <w:color w:val="000000" w:themeColor="text1"/>
                <w:sz w:val="21"/>
                <w:shd w:val="clear" w:color="auto" w:fill="FFFFFF"/>
                <w14:textFill>
                  <w14:solidFill>
                    <w14:schemeClr w14:val="tx1"/>
                  </w14:solidFill>
                </w14:textFill>
              </w:rPr>
              <w:t>飞机零件</w:t>
            </w: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沈环保浑南审字（2018）22号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自主验收</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9</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沈阳凯润捷航空材料有限公司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10</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沈阳艾尔发增压器制造有限公司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C3670 汽车零部件及配件制造</w:t>
            </w: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bidi="ar"/>
                <w14:textFill>
                  <w14:solidFill>
                    <w14:schemeClr w14:val="tx1"/>
                  </w14:solidFill>
                </w14:textFill>
              </w:rPr>
              <w:t>沈环浑南审字（2019）23号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自主验收</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11</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沈阳和合医学检验所有限公司</w:t>
            </w:r>
          </w:p>
        </w:tc>
        <w:tc>
          <w:tcPr>
            <w:tcW w:w="521"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其他卫生活动</w:t>
            </w:r>
          </w:p>
        </w:tc>
        <w:tc>
          <w:tcPr>
            <w:tcW w:w="1014"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沈环保浑南审字[2017]038号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自主验收</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12</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沈阳恒进真空科技有限公司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13</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沈阳和泰筛分机械设备有限公司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14</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沈阳盛飞达市政工程有限公司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15</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沈阳杨猛包装制造有限公司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16</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沈阳凯翔包装制造有限公司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17</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沈阳市东陵区汪石水泥制管厂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18</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辽宁沈石机械设备制造有限公司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19</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沈阳市浑南区祥盛源工艺品厂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20</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沈阳市大天九塑料厂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21</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沈阳市东风发动机配件厂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22</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沈阳市华缙精密配件厂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23</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沈阳凌空翱翔聚氨酯橡胶制品厂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24</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沈阳春硕建材有限公司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25</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沈阳金通创业建筑材料有限公司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26</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沈阳高新区中泰成套电器开关厂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东环分审字〔2012〕77号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27</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沈阳东方路通公路材料有限公司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28</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沈阳天星试验仪器有限公司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29</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沈阳汇博热能设备有限公司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30</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沈阳蓝英工业自动化装备股份有限公司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沈环保浑南审字（2014）0098号</w:t>
            </w: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浑环分审字[2010]160号/浑环分审字[2010]161号</w:t>
            </w:r>
          </w:p>
        </w:tc>
        <w:tc>
          <w:tcPr>
            <w:tcW w:w="921"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31</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辽宁金帆标识有限公司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32</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沈阳浑南区美诺达橱柜厂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33</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沈阳高新区汪家镇东源橡塑加工点</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34</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辽宁远东新型管业发展有限公司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35</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沈阳深潜泵业有限公司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36</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沈阳市冶金石墨厂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37</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沈阳市沈城标准件厂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38</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沈阳弘鼎康医疗器械有限公司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沈环保浑南审字〔2016〕87号</w:t>
            </w: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bCs/>
                <w:color w:val="000000" w:themeColor="text1"/>
                <w:sz w:val="21"/>
                <w14:textFill>
                  <w14:solidFill>
                    <w14:schemeClr w14:val="tx1"/>
                  </w14:solidFill>
                </w14:textFill>
              </w:rPr>
              <w:t>沈环保浑南验字〔2017〕044号</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39</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沈阳市方胜兴业热风幕制造有限公司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沈环浑南分审字［2012］77号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40</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沈阳市东陵区伟涛铁艺加工部</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环保浑南审字〔2012〕163号</w:t>
            </w: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41</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沈阳科晶自动化设备有限公司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spacing w:line="400" w:lineRule="exact"/>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浑环分审字〔2011〕</w:t>
            </w:r>
            <w:r>
              <w:rPr>
                <w:rFonts w:cs="Times New Roman"/>
                <w:color w:val="000000" w:themeColor="text1"/>
                <w:sz w:val="21"/>
                <w:szCs w:val="21"/>
                <w:lang w:eastAsia="zh-CN"/>
                <w14:textFill>
                  <w14:solidFill>
                    <w14:schemeClr w14:val="tx1"/>
                  </w14:solidFill>
                </w14:textFill>
              </w:rPr>
              <w:t>235</w:t>
            </w:r>
            <w:r>
              <w:rPr>
                <w:rFonts w:cs="Times New Roman"/>
                <w:color w:val="000000" w:themeColor="text1"/>
                <w:sz w:val="21"/>
                <w:szCs w:val="21"/>
                <w14:textFill>
                  <w14:solidFill>
                    <w14:schemeClr w14:val="tx1"/>
                  </w14:solidFill>
                </w14:textFill>
              </w:rPr>
              <w:t>号</w:t>
            </w:r>
          </w:p>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42</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沈阳益普应用技术研究所</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沈环保浑南验字〔2013〕0064号</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43</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沈阳天之美印务有限公司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浑环分审字〔2010〕178号</w:t>
            </w: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浑环分验字〔2011〕66号</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44</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沈阳拓荆科技有限公司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spacing w:line="400" w:lineRule="exact"/>
              <w:ind w:firstLine="0" w:firstLineChars="0"/>
              <w:jc w:val="right"/>
              <w:rPr>
                <w:rFonts w:cs="Times New Roman"/>
                <w:color w:val="000000" w:themeColor="text1"/>
                <w:sz w:val="21"/>
                <w:szCs w:val="21"/>
                <w:lang w:val="zh-CN" w:eastAsia="zh-CN"/>
                <w14:textFill>
                  <w14:solidFill>
                    <w14:schemeClr w14:val="tx1"/>
                  </w14:solidFill>
                </w14:textFill>
              </w:rPr>
            </w:pPr>
            <w:r>
              <w:rPr>
                <w:rFonts w:cs="Times New Roman"/>
                <w:color w:val="000000" w:themeColor="text1"/>
                <w:sz w:val="21"/>
                <w:szCs w:val="21"/>
                <w:lang w:eastAsia="zh-CN"/>
                <w14:textFill>
                  <w14:solidFill>
                    <w14:schemeClr w14:val="tx1"/>
                  </w14:solidFill>
                </w14:textFill>
              </w:rPr>
              <w:t>沈环保浑南审字〔2015〕0026号</w:t>
            </w: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45</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沈阳百安达特种劳动防护用品有限公司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46</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沈阳中科博微科技股份有限公司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47</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沈阳新松数字驱动有限公司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浑环分审字〔2010〕178号</w:t>
            </w: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浑环分验字〔2011〕66号</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48</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沈阳维特自动化设备有限公司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49</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沈阳市广联服装厂</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50</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沈阳赛力肯集成电路装备有限公司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51</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辽宁昌盛纸塑包装有限公司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52</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辽宁晟启昊天生物医药科技有限公司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spacing w:line="400" w:lineRule="exact"/>
              <w:ind w:firstLine="0" w:firstLineChars="0"/>
              <w:jc w:val="right"/>
              <w:rPr>
                <w:rFonts w:cs="Times New Roman"/>
                <w:color w:val="000000" w:themeColor="text1"/>
                <w:sz w:val="21"/>
                <w:szCs w:val="21"/>
                <w:lang w:val="zh-CN" w:eastAsia="zh-CN"/>
                <w14:textFill>
                  <w14:solidFill>
                    <w14:schemeClr w14:val="tx1"/>
                  </w14:solidFill>
                </w14:textFill>
              </w:rPr>
            </w:pPr>
            <w:r>
              <w:rPr>
                <w:rFonts w:cs="Times New Roman"/>
                <w:color w:val="000000" w:themeColor="text1"/>
                <w:sz w:val="21"/>
                <w:szCs w:val="21"/>
                <w:lang w:eastAsia="zh-CN"/>
                <w14:textFill>
                  <w14:solidFill>
                    <w14:schemeClr w14:val="tx1"/>
                  </w14:solidFill>
                </w14:textFill>
              </w:rPr>
              <w:t>沈环保浑南审字〔2016〕54号</w:t>
            </w: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bCs/>
                <w:color w:val="000000" w:themeColor="text1"/>
                <w:sz w:val="21"/>
                <w14:textFill>
                  <w14:solidFill>
                    <w14:schemeClr w14:val="tx1"/>
                  </w14:solidFill>
                </w14:textFill>
              </w:rPr>
              <w:t>沈环保浑南验字〔2016〕48号</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53</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w:t>
            </w:r>
            <w:r>
              <w:rPr>
                <w:rFonts w:ascii="Times New Roman" w:hAnsi="Times New Roman"/>
                <w:color w:val="000000" w:themeColor="text1"/>
                <w:sz w:val="21"/>
                <w:highlight w:val="yellow"/>
                <w14:textFill>
                  <w14:solidFill>
                    <w14:schemeClr w14:val="tx1"/>
                  </w14:solidFill>
                </w14:textFill>
              </w:rPr>
              <w:t>阳长新金属制品</w:t>
            </w:r>
            <w:r>
              <w:rPr>
                <w:rFonts w:ascii="Times New Roman" w:hAnsi="Times New Roman"/>
                <w:color w:val="000000" w:themeColor="text1"/>
                <w:sz w:val="21"/>
                <w14:textFill>
                  <w14:solidFill>
                    <w14:schemeClr w14:val="tx1"/>
                  </w14:solidFill>
                </w14:textFill>
              </w:rPr>
              <w:t>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沈环保浑南审字（2009）53号</w:t>
            </w: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浑环分验字〔2012〕12号</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54</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沈阳上方电子有限公司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2884" w:type="dxa"/>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沈环保浑南审字（2009）050号</w:t>
            </w: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浑环分验字〔2012〕28号</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55</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沈阳远大诺康生物制药有限公司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14:textFill>
                  <w14:solidFill>
                    <w14:schemeClr w14:val="tx1"/>
                  </w14:solidFill>
                </w14:textFill>
              </w:rPr>
              <w:t>C</w:t>
            </w:r>
            <w:r>
              <w:rPr>
                <w:rFonts w:ascii="Times New Roman" w:hAnsi="Times New Roman"/>
                <w:color w:val="000000" w:themeColor="text1"/>
                <w:sz w:val="21"/>
                <w:lang w:val="zh-CN"/>
                <w14:textFill>
                  <w14:solidFill>
                    <w14:schemeClr w14:val="tx1"/>
                  </w14:solidFill>
                </w14:textFill>
              </w:rPr>
              <w:t>2710化学药品原料药制造</w:t>
            </w:r>
          </w:p>
        </w:tc>
        <w:tc>
          <w:tcPr>
            <w:tcW w:w="2884" w:type="dxa"/>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r>
              <w:rPr>
                <w:rFonts w:ascii="Times New Roman" w:hAnsi="Times New Roman"/>
                <w:color w:val="000000" w:themeColor="text1"/>
                <w:sz w:val="21"/>
                <w:lang w:val="zh-CN"/>
                <w14:textFill>
                  <w14:solidFill>
                    <w14:schemeClr w14:val="tx1"/>
                  </w14:solidFill>
                </w14:textFill>
              </w:rPr>
              <w:t>沈新区环保生字（</w:t>
            </w:r>
            <w:r>
              <w:rPr>
                <w:rFonts w:ascii="Times New Roman" w:hAnsi="Times New Roman"/>
                <w:color w:val="000000" w:themeColor="text1"/>
                <w:sz w:val="21"/>
                <w14:textFill>
                  <w14:solidFill>
                    <w14:schemeClr w14:val="tx1"/>
                  </w14:solidFill>
                </w14:textFill>
              </w:rPr>
              <w:t>2005</w:t>
            </w:r>
            <w:r>
              <w:rPr>
                <w:rFonts w:ascii="Times New Roman" w:hAnsi="Times New Roman"/>
                <w:color w:val="000000" w:themeColor="text1"/>
                <w:sz w:val="21"/>
                <w:lang w:val="zh-CN"/>
                <w14:textFill>
                  <w14:solidFill>
                    <w14:schemeClr w14:val="tx1"/>
                  </w14:solidFill>
                </w14:textFill>
              </w:rPr>
              <w:t>）</w:t>
            </w:r>
            <w:r>
              <w:rPr>
                <w:rFonts w:ascii="Times New Roman" w:hAnsi="Times New Roman"/>
                <w:color w:val="000000" w:themeColor="text1"/>
                <w:sz w:val="21"/>
                <w14:textFill>
                  <w14:solidFill>
                    <w14:schemeClr w14:val="tx1"/>
                  </w14:solidFill>
                </w14:textFill>
              </w:rPr>
              <w:t>15号</w:t>
            </w:r>
          </w:p>
        </w:tc>
        <w:tc>
          <w:tcPr>
            <w:tcW w:w="1337" w:type="dxa"/>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浑环分验字〔2012〕26号</w:t>
            </w: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56</w:t>
            </w:r>
          </w:p>
        </w:tc>
        <w:tc>
          <w:tcPr>
            <w:tcW w:w="1130"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富士康(沈阳)精密工业有限公司</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57</w:t>
            </w:r>
          </w:p>
        </w:tc>
        <w:tc>
          <w:tcPr>
            <w:tcW w:w="3214" w:type="dxa"/>
            <w:shd w:val="clear" w:color="auto" w:fill="auto"/>
            <w:vAlign w:val="center"/>
          </w:tcPr>
          <w:p>
            <w:pPr>
              <w:widowControl/>
              <w:spacing w:line="400" w:lineRule="exact"/>
              <w:ind w:firstLine="0" w:firstLineChars="0"/>
              <w:jc w:val="center"/>
              <w:rPr>
                <w:rFonts w:cs="Times New Roman"/>
                <w:color w:val="000000" w:themeColor="text1"/>
                <w:sz w:val="21"/>
                <w:szCs w:val="21"/>
                <w:lang w:eastAsia="zh-CN"/>
                <w14:textFill>
                  <w14:solidFill>
                    <w14:schemeClr w14:val="tx1"/>
                  </w14:solidFill>
                </w14:textFill>
              </w:rPr>
            </w:pPr>
            <w:r>
              <w:rPr>
                <w:rFonts w:cs="Times New Roman"/>
                <w:color w:val="000000" w:themeColor="text1"/>
                <w:sz w:val="21"/>
                <w:szCs w:val="21"/>
                <w:lang w:eastAsia="zh-CN"/>
                <w14:textFill>
                  <w14:solidFill>
                    <w14:schemeClr w14:val="tx1"/>
                  </w14:solidFill>
                </w14:textFill>
              </w:rPr>
              <w:t>沈阳市浑南区鑫航油坊</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7"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58</w:t>
            </w:r>
          </w:p>
        </w:tc>
        <w:tc>
          <w:tcPr>
            <w:tcW w:w="3214" w:type="dxa"/>
            <w:shd w:val="clear" w:color="auto" w:fill="auto"/>
            <w:vAlign w:val="center"/>
          </w:tcPr>
          <w:p>
            <w:pPr>
              <w:widowControl/>
              <w:spacing w:line="400" w:lineRule="exact"/>
              <w:ind w:firstLine="0" w:firstLineChars="0"/>
              <w:jc w:val="center"/>
              <w:rPr>
                <w:rFonts w:cs="Times New Roman"/>
                <w:color w:val="000000" w:themeColor="text1"/>
                <w:sz w:val="21"/>
                <w:szCs w:val="21"/>
                <w:lang w:eastAsia="zh-CN"/>
                <w14:textFill>
                  <w14:solidFill>
                    <w14:schemeClr w14:val="tx1"/>
                  </w14:solidFill>
                </w14:textFill>
              </w:rPr>
            </w:pPr>
            <w:r>
              <w:rPr>
                <w:rFonts w:cs="Times New Roman"/>
                <w:color w:val="000000" w:themeColor="text1"/>
                <w:sz w:val="21"/>
                <w:szCs w:val="21"/>
                <w:lang w:eastAsia="zh-CN"/>
                <w14:textFill>
                  <w14:solidFill>
                    <w14:schemeClr w14:val="tx1"/>
                  </w14:solidFill>
                </w14:textFill>
              </w:rPr>
              <w:t>沈阳市浑南区世宏酒坊</w:t>
            </w:r>
          </w:p>
        </w:tc>
        <w:tc>
          <w:tcPr>
            <w:tcW w:w="5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101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70" w:type="pct"/>
            <w:vAlign w:val="center"/>
          </w:tcPr>
          <w:p>
            <w:pPr>
              <w:pStyle w:val="16"/>
              <w:spacing w:line="400" w:lineRule="exact"/>
              <w:rPr>
                <w:rFonts w:ascii="Times New Roman" w:hAnsi="Times New Roman"/>
                <w:color w:val="000000" w:themeColor="text1"/>
                <w:sz w:val="21"/>
                <w14:textFill>
                  <w14:solidFill>
                    <w14:schemeClr w14:val="tx1"/>
                  </w14:solidFill>
                </w14:textFill>
              </w:rPr>
            </w:pPr>
          </w:p>
        </w:tc>
        <w:tc>
          <w:tcPr>
            <w:tcW w:w="921"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334"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c>
          <w:tcPr>
            <w:tcW w:w="438" w:type="pct"/>
            <w:vAlign w:val="center"/>
          </w:tcPr>
          <w:p>
            <w:pPr>
              <w:pStyle w:val="16"/>
              <w:spacing w:line="400" w:lineRule="exact"/>
              <w:rPr>
                <w:rFonts w:ascii="Times New Roman" w:hAnsi="Times New Roman"/>
                <w:color w:val="000000" w:themeColor="text1"/>
                <w:sz w:val="21"/>
                <w:lang w:val="zh-CN"/>
                <w14:textFill>
                  <w14:solidFill>
                    <w14:schemeClr w14:val="tx1"/>
                  </w14:solidFill>
                </w14:textFill>
              </w:rPr>
            </w:pPr>
          </w:p>
        </w:tc>
      </w:tr>
    </w:tbl>
    <w:p>
      <w:pPr>
        <w:pStyle w:val="9"/>
        <w:rPr>
          <w:rFonts w:ascii="Times New Roman" w:hAnsi="Times New Roman"/>
          <w:spacing w:val="-1"/>
        </w:rPr>
        <w:sectPr>
          <w:pgSz w:w="16840" w:h="11910" w:orient="landscape"/>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9"/>
        <w:rPr>
          <w:rFonts w:ascii="Times New Roman" w:hAnsi="Times New Roman"/>
          <w:spacing w:val="-1"/>
        </w:rPr>
      </w:pPr>
      <w:bookmarkStart w:id="87" w:name="_Toc3786"/>
      <w:r>
        <w:rPr>
          <w:rFonts w:ascii="Times New Roman" w:hAnsi="Times New Roman"/>
          <w:spacing w:val="-1"/>
        </w:rPr>
        <w:t>2.</w:t>
      </w:r>
      <w:r>
        <w:rPr>
          <w:rFonts w:ascii="Times New Roman" w:hAnsi="Times New Roman" w:eastAsiaTheme="minorEastAsia"/>
          <w:spacing w:val="-1"/>
        </w:rPr>
        <w:t>3</w:t>
      </w:r>
      <w:r>
        <w:rPr>
          <w:rFonts w:ascii="Times New Roman" w:hAnsi="Times New Roman"/>
          <w:spacing w:val="-1"/>
        </w:rPr>
        <w:t>.4 配套基础设施建设实施情况</w:t>
      </w:r>
      <w:bookmarkEnd w:id="87"/>
    </w:p>
    <w:p>
      <w:pPr>
        <w:pStyle w:val="10"/>
        <w:rPr>
          <w:rFonts w:cs="Times New Roman"/>
          <w:b/>
          <w:bCs/>
          <w:lang w:eastAsia="zh-CN"/>
        </w:rPr>
      </w:pPr>
      <w:r>
        <w:rPr>
          <w:rFonts w:cs="Times New Roman"/>
          <w:b/>
          <w:bCs/>
          <w:lang w:eastAsia="zh-CN"/>
        </w:rPr>
        <w:t>2.3.4.1 给水设施情况</w:t>
      </w:r>
    </w:p>
    <w:p>
      <w:pPr>
        <w:ind w:firstLine="480"/>
        <w:rPr>
          <w:rFonts w:cs="Times New Roman"/>
          <w:lang w:eastAsia="zh-CN"/>
        </w:rPr>
      </w:pPr>
      <w:r>
        <w:rPr>
          <w:rFonts w:cs="Times New Roman"/>
          <w:lang w:eastAsia="zh-CN"/>
        </w:rPr>
        <w:t>原规划</w:t>
      </w:r>
      <w:r>
        <w:rPr>
          <w:rFonts w:hint="eastAsia" w:cs="Times New Roman"/>
          <w:lang w:eastAsia="zh-CN"/>
        </w:rPr>
        <w:t>：</w:t>
      </w:r>
      <w:r>
        <w:rPr>
          <w:rFonts w:cs="Times New Roman"/>
          <w:lang w:eastAsia="zh-CN"/>
        </w:rPr>
        <w:t>供水水源为三环以南地区由古城子规划配水厂提供；三环以北地区由浑南新区规划3号配水厂提供。</w:t>
      </w:r>
    </w:p>
    <w:p>
      <w:pPr>
        <w:widowControl/>
        <w:ind w:firstLine="480"/>
        <w:jc w:val="left"/>
        <w:rPr>
          <w:bCs/>
          <w:color w:val="000000" w:themeColor="text1"/>
          <w:lang w:eastAsia="zh-CN"/>
          <w14:textFill>
            <w14:solidFill>
              <w14:schemeClr w14:val="tx1"/>
            </w14:solidFill>
          </w14:textFill>
        </w:rPr>
      </w:pPr>
      <w:r>
        <w:rPr>
          <w:bCs/>
          <w:color w:val="000000" w:themeColor="text1"/>
          <w:lang w:eastAsia="zh-CN"/>
          <w14:textFill>
            <w14:solidFill>
              <w14:schemeClr w14:val="tx1"/>
            </w14:solidFill>
          </w14:textFill>
        </w:rPr>
        <w:t>落实情况：</w:t>
      </w:r>
      <w:r>
        <w:rPr>
          <w:rFonts w:hint="eastAsia"/>
          <w:bCs/>
          <w:color w:val="000000" w:themeColor="text1"/>
          <w:lang w:eastAsia="zh-CN"/>
          <w14:textFill>
            <w14:solidFill>
              <w14:schemeClr w14:val="tx1"/>
            </w14:solidFill>
          </w14:textFill>
        </w:rPr>
        <w:t>较原规划给水设施有变化。</w:t>
      </w:r>
    </w:p>
    <w:p>
      <w:pPr>
        <w:widowControl/>
        <w:ind w:firstLine="480"/>
        <w:jc w:val="left"/>
        <w:rPr>
          <w:rFonts w:cs="Times New Roman"/>
          <w:lang w:eastAsia="zh-CN"/>
        </w:rPr>
      </w:pPr>
      <w:r>
        <w:rPr>
          <w:rFonts w:hint="eastAsia" w:ascii="宋体" w:hAnsi="宋体" w:eastAsia="宋体" w:cs="宋体"/>
          <w:color w:val="000000"/>
          <w:kern w:val="0"/>
          <w:sz w:val="24"/>
          <w:szCs w:val="24"/>
          <w:lang w:val="en-US" w:eastAsia="zh-CN" w:bidi="ar"/>
        </w:rPr>
        <w:t>农业用水主要采用地表水解决，已经开发的居住小区和工业企业用水由浑南供水公司产业区水源解决，</w:t>
      </w:r>
      <w:r>
        <w:rPr>
          <w:rFonts w:hint="eastAsia"/>
          <w:bCs/>
          <w:color w:val="000000" w:themeColor="text1"/>
          <w:lang w:eastAsia="zh-CN"/>
          <w14:textFill>
            <w14:solidFill>
              <w14:schemeClr w14:val="tx1"/>
            </w14:solidFill>
          </w14:textFill>
        </w:rPr>
        <w:t>供水规模</w:t>
      </w:r>
      <w:r>
        <w:rPr>
          <w:bCs/>
          <w:color w:val="000000" w:themeColor="text1"/>
          <w:lang w:eastAsia="zh-CN"/>
          <w14:textFill>
            <w14:solidFill>
              <w14:schemeClr w14:val="tx1"/>
            </w14:solidFill>
          </w14:textFill>
        </w:rPr>
        <w:t>218.4</w:t>
      </w:r>
      <w:r>
        <w:rPr>
          <w:rFonts w:hint="eastAsia"/>
          <w:bCs/>
          <w:color w:val="000000" w:themeColor="text1"/>
          <w:lang w:eastAsia="zh-CN"/>
          <w14:textFill>
            <w14:solidFill>
              <w14:schemeClr w14:val="tx1"/>
            </w14:solidFill>
          </w14:textFill>
        </w:rPr>
        <w:t>万吨</w:t>
      </w:r>
      <w:r>
        <w:rPr>
          <w:bCs/>
          <w:color w:val="000000" w:themeColor="text1"/>
          <w:lang w:eastAsia="zh-CN"/>
          <w14:textFill>
            <w14:solidFill>
              <w14:schemeClr w14:val="tx1"/>
            </w14:solidFill>
          </w14:textFill>
        </w:rPr>
        <w:t>/</w:t>
      </w:r>
      <w:r>
        <w:rPr>
          <w:rFonts w:hint="eastAsia"/>
          <w:bCs/>
          <w:color w:val="000000" w:themeColor="text1"/>
          <w:lang w:eastAsia="zh-CN"/>
          <w14:textFill>
            <w14:solidFill>
              <w14:schemeClr w14:val="tx1"/>
            </w14:solidFill>
          </w14:textFill>
        </w:rPr>
        <w:t>日</w:t>
      </w:r>
      <w:r>
        <w:rPr>
          <w:rFonts w:hint="eastAsia" w:ascii="宋体" w:hAnsi="宋体" w:eastAsia="宋体" w:cs="宋体"/>
          <w:color w:val="000000"/>
          <w:kern w:val="0"/>
          <w:sz w:val="24"/>
          <w:szCs w:val="24"/>
          <w:lang w:val="en-US" w:eastAsia="zh-CN" w:bidi="ar"/>
        </w:rPr>
        <w:t>。</w:t>
      </w:r>
      <w:r>
        <w:rPr>
          <w:rFonts w:cs="Times New Roman"/>
          <w:lang w:eastAsia="zh-CN"/>
        </w:rPr>
        <w:t>目前可以满足</w:t>
      </w:r>
      <w:r>
        <w:rPr>
          <w:rFonts w:hint="eastAsia" w:cs="Times New Roman"/>
          <w:lang w:eastAsia="zh-CN"/>
        </w:rPr>
        <w:t>国际新兴产业园区</w:t>
      </w:r>
      <w:r>
        <w:rPr>
          <w:rFonts w:cs="Times New Roman"/>
          <w:lang w:eastAsia="zh-CN"/>
        </w:rPr>
        <w:t>供水需求。</w:t>
      </w:r>
      <w:r>
        <w:rPr>
          <w:rFonts w:hint="eastAsia" w:cs="Times New Roman"/>
          <w:lang w:eastAsia="zh-CN"/>
        </w:rPr>
        <w:t>国际新兴产业园区</w:t>
      </w:r>
      <w:r>
        <w:rPr>
          <w:rFonts w:cs="Times New Roman"/>
          <w:lang w:eastAsia="zh-CN"/>
        </w:rPr>
        <w:t>给水管线已修建完成，供水管网均已覆盖，</w:t>
      </w:r>
      <w:r>
        <w:rPr>
          <w:rFonts w:cs="Times New Roman"/>
          <w:highlight w:val="yellow"/>
          <w:lang w:eastAsia="zh-CN"/>
        </w:rPr>
        <w:t>现状供水管线图详见附图2-</w:t>
      </w:r>
      <w:r>
        <w:rPr>
          <w:rFonts w:hint="eastAsia" w:cs="Times New Roman"/>
          <w:highlight w:val="yellow"/>
          <w:lang w:eastAsia="zh-CN"/>
        </w:rPr>
        <w:t>7</w:t>
      </w:r>
      <w:r>
        <w:rPr>
          <w:rFonts w:cs="Times New Roman"/>
          <w:highlight w:val="yellow"/>
          <w:lang w:eastAsia="zh-CN"/>
        </w:rPr>
        <w:t>。</w:t>
      </w:r>
    </w:p>
    <w:p>
      <w:pPr>
        <w:pStyle w:val="10"/>
        <w:rPr>
          <w:rFonts w:cs="Times New Roman"/>
          <w:b/>
          <w:bCs/>
          <w:lang w:eastAsia="zh-CN"/>
        </w:rPr>
      </w:pPr>
      <w:r>
        <w:rPr>
          <w:rFonts w:cs="Times New Roman"/>
          <w:b/>
          <w:bCs/>
          <w:lang w:eastAsia="zh-CN"/>
        </w:rPr>
        <w:t>2.3.4.2 污水处理设施</w:t>
      </w:r>
    </w:p>
    <w:p>
      <w:pPr>
        <w:ind w:firstLine="480"/>
        <w:rPr>
          <w:rFonts w:cs="Times New Roman"/>
          <w:lang w:eastAsia="zh-CN"/>
        </w:rPr>
      </w:pPr>
      <w:r>
        <w:rPr>
          <w:rFonts w:hint="eastAsia" w:cs="Times New Roman"/>
          <w:lang w:eastAsia="zh-CN"/>
        </w:rPr>
        <w:t>原规划：</w:t>
      </w:r>
      <w:r>
        <w:rPr>
          <w:rFonts w:cs="Times New Roman"/>
          <w:lang w:eastAsia="zh-CN"/>
        </w:rPr>
        <w:t>根据沈阳市排水规划，该地区污水近期排入规划桑林子污水处理厂处理，远期排入规划南部污水处理厂处理。该地区雨水经管道收集，经泵站提升后排入张官河、杨官河。</w:t>
      </w:r>
    </w:p>
    <w:p>
      <w:pPr>
        <w:ind w:firstLine="480"/>
        <w:contextualSpacing/>
        <w:rPr>
          <w:rFonts w:cs="Times New Roman"/>
          <w:lang w:eastAsia="zh-CN"/>
        </w:rPr>
      </w:pPr>
      <w:r>
        <w:rPr>
          <w:bCs/>
          <w:color w:val="000000" w:themeColor="text1"/>
          <w:lang w:eastAsia="zh-CN"/>
          <w14:textFill>
            <w14:solidFill>
              <w14:schemeClr w14:val="tx1"/>
            </w14:solidFill>
          </w14:textFill>
        </w:rPr>
        <w:t>落实情况：</w:t>
      </w:r>
      <w:r>
        <w:rPr>
          <w:rFonts w:hint="eastAsia" w:cs="Times New Roman"/>
          <w:lang w:eastAsia="zh-CN"/>
        </w:rPr>
        <w:t>较原规划污水处理设施有变化。</w:t>
      </w:r>
    </w:p>
    <w:p>
      <w:pPr>
        <w:widowControl/>
        <w:ind w:firstLine="480"/>
        <w:jc w:val="left"/>
        <w:rPr>
          <w:rFonts w:ascii="宋体" w:hAnsi="宋体" w:cs="宋体"/>
          <w:color w:val="000000"/>
          <w:lang w:eastAsia="zh-CN" w:bidi="ar"/>
        </w:rPr>
      </w:pPr>
      <w:r>
        <w:rPr>
          <w:rFonts w:hint="eastAsia" w:ascii="宋体" w:hAnsi="宋体" w:cs="宋体"/>
          <w:color w:val="000000"/>
          <w:lang w:eastAsia="zh-CN" w:bidi="ar"/>
        </w:rPr>
        <w:t>各单元污水均排入上夹河污水处理厂或转输到桃仙污水处理厂处理。</w:t>
      </w:r>
    </w:p>
    <w:p>
      <w:pPr>
        <w:widowControl/>
        <w:ind w:firstLine="480"/>
        <w:jc w:val="left"/>
        <w:rPr>
          <w:rFonts w:ascii="宋体" w:hAnsi="宋体" w:cs="宋体"/>
          <w:color w:val="000000"/>
          <w:lang w:eastAsia="zh-CN" w:bidi="ar"/>
        </w:rPr>
      </w:pPr>
      <w:r>
        <w:rPr>
          <w:rFonts w:hint="eastAsia" w:ascii="宋体" w:hAnsi="宋体" w:cs="宋体"/>
          <w:color w:val="000000"/>
          <w:lang w:eastAsia="zh-CN" w:bidi="ar"/>
        </w:rPr>
        <w:t>王家湾村排水未得到收集，生活污水、雨水除渗漏外，其余均顺地表沟渠流入地表水体，基本未经处理。</w:t>
      </w:r>
    </w:p>
    <w:p>
      <w:pPr>
        <w:widowControl/>
        <w:ind w:firstLine="480"/>
        <w:jc w:val="left"/>
        <w:rPr>
          <w:lang w:eastAsia="zh-CN"/>
        </w:rPr>
      </w:pPr>
      <w:r>
        <w:rPr>
          <w:rFonts w:hint="eastAsia" w:ascii="宋体" w:hAnsi="宋体" w:cs="宋体"/>
          <w:color w:val="000000"/>
          <w:lang w:eastAsia="zh-CN" w:bidi="ar"/>
        </w:rPr>
        <w:t>养竹村排水未得到收集，生活污水、雨水除渗漏外，其余均顺地表沟渠流入地表水体，基本未经处理</w:t>
      </w:r>
      <w:r>
        <w:rPr>
          <w:rFonts w:hint="eastAsia"/>
          <w:lang w:eastAsia="zh-CN"/>
        </w:rPr>
        <w:t>。</w:t>
      </w:r>
    </w:p>
    <w:p>
      <w:pPr>
        <w:widowControl/>
        <w:ind w:firstLine="480"/>
        <w:jc w:val="left"/>
        <w:rPr>
          <w:lang w:eastAsia="zh-CN"/>
        </w:rPr>
      </w:pPr>
      <w:r>
        <w:rPr>
          <w:rFonts w:hint="eastAsia" w:ascii="宋体" w:hAnsi="宋体" w:cs="宋体"/>
          <w:color w:val="000000"/>
          <w:lang w:eastAsia="zh-CN" w:bidi="ar"/>
        </w:rPr>
        <w:t>麦子屯村和古城子村排水未得到收集，生活污水、雨水除渗漏外，其余均顺地表沟渠流入地表水体，基本未经处理。</w:t>
      </w:r>
    </w:p>
    <w:p>
      <w:pPr>
        <w:widowControl/>
        <w:ind w:firstLine="480"/>
        <w:jc w:val="left"/>
        <w:rPr>
          <w:rFonts w:ascii="宋体" w:hAnsi="宋体" w:cs="宋体"/>
          <w:color w:val="000000"/>
          <w:lang w:eastAsia="zh-CN" w:bidi="ar"/>
        </w:rPr>
      </w:pPr>
      <w:r>
        <w:rPr>
          <w:rFonts w:hint="eastAsia" w:ascii="宋体" w:hAnsi="宋体" w:cs="宋体"/>
          <w:color w:val="000000"/>
          <w:lang w:eastAsia="zh-CN" w:bidi="ar"/>
        </w:rPr>
        <w:t>牛相村和水家村排水未得到收集，生活污水、雨水除渗漏外，其余均顺地表沟渠流入地表水体，基本未经处理。</w:t>
      </w:r>
    </w:p>
    <w:p>
      <w:pPr>
        <w:widowControl/>
        <w:ind w:firstLine="480"/>
        <w:jc w:val="left"/>
        <w:rPr>
          <w:lang w:eastAsia="zh-CN"/>
        </w:rPr>
      </w:pPr>
      <w:r>
        <w:rPr>
          <w:rFonts w:hint="eastAsia" w:ascii="宋体" w:hAnsi="宋体" w:cs="宋体"/>
          <w:color w:val="000000"/>
          <w:lang w:eastAsia="zh-CN" w:bidi="ar"/>
        </w:rPr>
        <w:t>刘付村、石庙子村和东岗子村排水未得到收集，生活污水、雨水除渗漏外，其余均顺地表沟渠流入地表水体，基本未经处理。</w:t>
      </w:r>
    </w:p>
    <w:p>
      <w:pPr>
        <w:ind w:firstLine="480"/>
        <w:contextualSpacing/>
        <w:rPr>
          <w:rFonts w:cs="Times New Roman"/>
          <w:lang w:eastAsia="zh-CN"/>
        </w:rPr>
      </w:pPr>
      <w:r>
        <w:rPr>
          <w:rFonts w:hint="eastAsia" w:cs="Times New Roman"/>
          <w:lang w:eastAsia="zh-CN"/>
        </w:rPr>
        <w:t>国际新兴产业园区</w:t>
      </w:r>
      <w:r>
        <w:rPr>
          <w:rFonts w:cs="Times New Roman"/>
          <w:lang w:eastAsia="zh-CN"/>
        </w:rPr>
        <w:t>目前已建成的主要道路均敷设了雨水和污水管道，排水管线依据自然地势，结合规划区街路，污水处理厂位置，布置污水干线；依据自然地势、周边水体，按照规划街区布置雨水管道，雨水排放应尽量采取重力流方式就近排入附近水体。</w:t>
      </w:r>
      <w:r>
        <w:rPr>
          <w:rFonts w:cs="Times New Roman"/>
          <w:highlight w:val="yellow"/>
          <w:lang w:eastAsia="zh-CN"/>
        </w:rPr>
        <w:t>排水管网图详见</w:t>
      </w:r>
      <w:r>
        <w:rPr>
          <w:rFonts w:hint="eastAsia" w:cs="Times New Roman"/>
          <w:highlight w:val="yellow"/>
          <w:lang w:eastAsia="zh-CN"/>
        </w:rPr>
        <w:t>附</w:t>
      </w:r>
      <w:r>
        <w:rPr>
          <w:rFonts w:cs="Times New Roman"/>
          <w:highlight w:val="yellow"/>
          <w:lang w:eastAsia="zh-CN"/>
        </w:rPr>
        <w:t>图2-</w:t>
      </w:r>
      <w:r>
        <w:rPr>
          <w:rFonts w:hint="eastAsia" w:cs="Times New Roman"/>
          <w:highlight w:val="yellow"/>
          <w:lang w:eastAsia="zh-CN"/>
        </w:rPr>
        <w:t>8</w:t>
      </w:r>
      <w:r>
        <w:rPr>
          <w:rFonts w:cs="Times New Roman"/>
          <w:highlight w:val="yellow"/>
          <w:lang w:eastAsia="zh-CN"/>
        </w:rPr>
        <w:t>。</w:t>
      </w:r>
    </w:p>
    <w:p>
      <w:pPr>
        <w:ind w:firstLine="480"/>
        <w:contextualSpacing/>
        <w:rPr>
          <w:rFonts w:cs="Times New Roman"/>
          <w:lang w:eastAsia="zh-CN"/>
        </w:rPr>
      </w:pPr>
      <w:r>
        <w:rPr>
          <w:rFonts w:cs="Times New Roman"/>
          <w:lang w:eastAsia="zh-CN"/>
        </w:rPr>
        <w:t>浑南新城桃仙污水处理厂位于沈阳市浑南新城，南邻沈丹铁路，厂区占地11.8hm</w:t>
      </w:r>
      <w:r>
        <w:rPr>
          <w:rFonts w:cs="Times New Roman"/>
          <w:vertAlign w:val="superscript"/>
          <w:lang w:eastAsia="zh-CN"/>
        </w:rPr>
        <w:t>2</w:t>
      </w:r>
      <w:r>
        <w:rPr>
          <w:rFonts w:cs="Times New Roman"/>
          <w:lang w:eastAsia="zh-CN"/>
        </w:rPr>
        <w:t>。 污水处理厂一期设计污水处理规模为8万t/d，采用CWSBR工艺。污水处理构筑物包括粗格栅、提升泵房、细格栅、旋流沉砂池、紫外线消毒系统等部分，处在常年主导风向的下风向。厂区内污水排入厂区下水道进入项目排水泵池，经提升与厂区来水一并处理，污水处理厂排水自沙河堡后桑村排站排入北沙河</w:t>
      </w:r>
      <w:r>
        <w:rPr>
          <w:rFonts w:hint="eastAsia" w:cs="Times New Roman"/>
          <w:lang w:eastAsia="zh-CN"/>
        </w:rPr>
        <w:t>。</w:t>
      </w:r>
    </w:p>
    <w:p>
      <w:pPr>
        <w:ind w:firstLine="480"/>
        <w:contextualSpacing/>
        <w:rPr>
          <w:rFonts w:cs="Times New Roman"/>
          <w:lang w:eastAsia="zh-CN"/>
        </w:rPr>
      </w:pPr>
      <w:r>
        <w:rPr>
          <w:rFonts w:cs="Times New Roman"/>
          <w:lang w:eastAsia="zh-CN"/>
        </w:rPr>
        <w:t>目前实际日污水量已基本达到满负荷运行，污水排放符合《城镇污水处理厂污染物排放标准》一级A标准，污水厂现已安装在线监测系统，</w:t>
      </w:r>
      <w:r>
        <w:rPr>
          <w:rFonts w:cs="Times New Roman"/>
          <w:highlight w:val="none"/>
          <w:lang w:eastAsia="zh-CN"/>
        </w:rPr>
        <w:t>汇水范围图详见</w:t>
      </w:r>
      <w:r>
        <w:rPr>
          <w:rFonts w:hint="eastAsia" w:cs="Times New Roman"/>
          <w:highlight w:val="none"/>
          <w:lang w:eastAsia="zh-CN"/>
        </w:rPr>
        <w:t>附</w:t>
      </w:r>
      <w:r>
        <w:rPr>
          <w:rFonts w:cs="Times New Roman"/>
          <w:highlight w:val="none"/>
          <w:lang w:eastAsia="zh-CN"/>
        </w:rPr>
        <w:t>图2-</w:t>
      </w:r>
      <w:r>
        <w:rPr>
          <w:rFonts w:hint="eastAsia" w:cs="Times New Roman"/>
          <w:highlight w:val="none"/>
          <w:lang w:eastAsia="zh-CN"/>
        </w:rPr>
        <w:t>9</w:t>
      </w:r>
      <w:r>
        <w:rPr>
          <w:rFonts w:cs="Times New Roman"/>
          <w:lang w:eastAsia="zh-CN"/>
        </w:rPr>
        <w:t>。</w:t>
      </w:r>
    </w:p>
    <w:p>
      <w:pPr>
        <w:pStyle w:val="10"/>
        <w:rPr>
          <w:rFonts w:cs="Times New Roman"/>
          <w:b/>
          <w:bCs/>
          <w:lang w:eastAsia="zh-CN"/>
        </w:rPr>
      </w:pPr>
      <w:r>
        <w:rPr>
          <w:rFonts w:cs="Times New Roman"/>
          <w:b/>
          <w:bCs/>
          <w:lang w:eastAsia="zh-CN"/>
        </w:rPr>
        <w:t>2.3.4.3 供热设施情况</w:t>
      </w:r>
    </w:p>
    <w:p>
      <w:pPr>
        <w:pStyle w:val="25"/>
        <w:snapToGrid w:val="0"/>
        <w:spacing w:after="0"/>
        <w:ind w:firstLine="480"/>
        <w:rPr>
          <w:lang w:eastAsia="zh-CN"/>
        </w:rPr>
      </w:pPr>
      <w:r>
        <w:rPr>
          <w:rFonts w:hint="eastAsia" w:cs="Times New Roman"/>
          <w:lang w:eastAsia="zh-CN"/>
        </w:rPr>
        <w:t>原规划：</w:t>
      </w:r>
      <w:r>
        <w:rPr>
          <w:lang w:eastAsia="zh-CN"/>
        </w:rPr>
        <w:t>规划区的供热主要由本地区规划热源厂</w:t>
      </w:r>
      <w:r>
        <w:rPr>
          <w:rFonts w:eastAsia="Times New Roman"/>
          <w:lang w:eastAsia="zh-CN"/>
        </w:rPr>
        <w:t>2</w:t>
      </w:r>
      <w:r>
        <w:rPr>
          <w:lang w:eastAsia="zh-CN"/>
        </w:rPr>
        <w:t>座，其中三环以北</w:t>
      </w:r>
      <w:r>
        <w:rPr>
          <w:rFonts w:eastAsia="Times New Roman"/>
          <w:lang w:eastAsia="zh-CN"/>
        </w:rPr>
        <w:t>1</w:t>
      </w:r>
      <w:r>
        <w:rPr>
          <w:lang w:eastAsia="zh-CN"/>
        </w:rPr>
        <w:t>座总容量</w:t>
      </w:r>
      <w:r>
        <w:rPr>
          <w:rFonts w:eastAsia="Times New Roman"/>
          <w:lang w:eastAsia="zh-CN"/>
        </w:rPr>
        <w:t>1176MW</w:t>
      </w:r>
      <w:r>
        <w:rPr>
          <w:lang w:eastAsia="zh-CN"/>
        </w:rPr>
        <w:t>，占地</w:t>
      </w:r>
      <w:r>
        <w:rPr>
          <w:rFonts w:eastAsia="Times New Roman"/>
          <w:lang w:eastAsia="zh-CN"/>
        </w:rPr>
        <w:t>7.0 hm</w:t>
      </w:r>
      <w:r>
        <w:rPr>
          <w:rFonts w:eastAsia="Times New Roman"/>
          <w:vertAlign w:val="superscript"/>
          <w:lang w:eastAsia="zh-CN"/>
        </w:rPr>
        <w:t>2</w:t>
      </w:r>
      <w:r>
        <w:rPr>
          <w:lang w:eastAsia="zh-CN"/>
        </w:rPr>
        <w:t>，三环以南</w:t>
      </w:r>
      <w:r>
        <w:rPr>
          <w:rFonts w:eastAsia="Times New Roman"/>
          <w:lang w:eastAsia="zh-CN"/>
        </w:rPr>
        <w:t>1</w:t>
      </w:r>
      <w:r>
        <w:rPr>
          <w:lang w:eastAsia="zh-CN"/>
        </w:rPr>
        <w:t>座总容量</w:t>
      </w:r>
      <w:r>
        <w:rPr>
          <w:rFonts w:eastAsia="Times New Roman"/>
          <w:lang w:eastAsia="zh-CN"/>
        </w:rPr>
        <w:t>700MW</w:t>
      </w:r>
      <w:r>
        <w:rPr>
          <w:lang w:eastAsia="zh-CN"/>
        </w:rPr>
        <w:t>，占地</w:t>
      </w:r>
      <w:r>
        <w:rPr>
          <w:rFonts w:eastAsia="Times New Roman"/>
          <w:lang w:eastAsia="zh-CN"/>
        </w:rPr>
        <w:t>5.0 hm</w:t>
      </w:r>
      <w:r>
        <w:rPr>
          <w:rFonts w:eastAsia="Times New Roman"/>
          <w:vertAlign w:val="superscript"/>
          <w:lang w:eastAsia="zh-CN"/>
        </w:rPr>
        <w:t>2</w:t>
      </w:r>
      <w:r>
        <w:rPr>
          <w:lang w:eastAsia="zh-CN"/>
        </w:rPr>
        <w:t>。</w:t>
      </w:r>
    </w:p>
    <w:p>
      <w:pPr>
        <w:widowControl/>
        <w:ind w:firstLine="480"/>
        <w:jc w:val="left"/>
        <w:rPr>
          <w:lang w:eastAsia="zh-CN"/>
        </w:rPr>
      </w:pPr>
      <w:r>
        <w:rPr>
          <w:rFonts w:hint="eastAsia" w:cs="Times New Roman"/>
          <w:kern w:val="2"/>
          <w:lang w:eastAsia="zh-CN"/>
        </w:rPr>
        <w:t>落实情况：</w:t>
      </w:r>
      <w:r>
        <w:rPr>
          <w:rFonts w:hint="eastAsia" w:ascii="宋体" w:hAnsi="宋体" w:cs="宋体"/>
          <w:color w:val="000000"/>
          <w:lang w:eastAsia="zh-CN" w:bidi="ar"/>
        </w:rPr>
        <w:t>规划区域现状主要由沈阳浑南热力有限责任公司第三热源厂供热，王家湾村居民、麦子屯和古城子村居民</w:t>
      </w:r>
      <w:r>
        <w:rPr>
          <w:rFonts w:hint="eastAsia"/>
          <w:lang w:eastAsia="zh-CN"/>
        </w:rPr>
        <w:t>、</w:t>
      </w:r>
      <w:r>
        <w:rPr>
          <w:rFonts w:hint="eastAsia" w:ascii="宋体" w:hAnsi="宋体" w:cs="宋体"/>
          <w:color w:val="000000"/>
          <w:lang w:eastAsia="zh-CN" w:bidi="ar"/>
        </w:rPr>
        <w:t>养竹村居民、刘付村、石庙子村和东岗子村居民、牛相村和水家村居民冬季采暖主要是采用煤炉供暖。</w:t>
      </w:r>
    </w:p>
    <w:p>
      <w:pPr>
        <w:widowControl/>
        <w:ind w:firstLine="480"/>
        <w:jc w:val="left"/>
        <w:rPr>
          <w:lang w:eastAsia="zh-CN"/>
        </w:rPr>
      </w:pPr>
      <w:r>
        <w:rPr>
          <w:rFonts w:hint="eastAsia" w:ascii="宋体" w:hAnsi="宋体" w:cs="宋体"/>
          <w:color w:val="000000"/>
          <w:lang w:eastAsia="zh-CN" w:bidi="ar"/>
        </w:rPr>
        <w:t>沈阳浑南热力有限责任公司第三热源厂位于浑南新区祝科街东侧，占地面积</w:t>
      </w:r>
      <w:r>
        <w:rPr>
          <w:rFonts w:cs="Times New Roman"/>
          <w:color w:val="000000"/>
          <w:lang w:eastAsia="zh-CN" w:bidi="ar"/>
        </w:rPr>
        <w:t>30003m</w:t>
      </w:r>
      <w:r>
        <w:rPr>
          <w:rFonts w:cs="Times New Roman"/>
          <w:color w:val="000000"/>
          <w:vertAlign w:val="superscript"/>
          <w:lang w:eastAsia="zh-CN" w:bidi="ar"/>
        </w:rPr>
        <w:t>2</w:t>
      </w:r>
      <w:r>
        <w:rPr>
          <w:rFonts w:hint="eastAsia" w:ascii="宋体" w:hAnsi="宋体" w:cs="宋体"/>
          <w:color w:val="000000"/>
          <w:lang w:eastAsia="zh-CN" w:bidi="ar"/>
        </w:rPr>
        <w:t>，总建筑面积</w:t>
      </w:r>
      <w:r>
        <w:rPr>
          <w:rFonts w:cs="Times New Roman"/>
          <w:color w:val="000000"/>
          <w:lang w:eastAsia="zh-CN" w:bidi="ar"/>
        </w:rPr>
        <w:t>27178m</w:t>
      </w:r>
      <w:r>
        <w:rPr>
          <w:rFonts w:hint="eastAsia" w:cs="Times New Roman"/>
          <w:color w:val="000000"/>
          <w:vertAlign w:val="superscript"/>
          <w:lang w:eastAsia="zh-CN" w:bidi="ar"/>
        </w:rPr>
        <w:t>2</w:t>
      </w:r>
      <w:r>
        <w:rPr>
          <w:rFonts w:hint="eastAsia" w:ascii="宋体" w:hAnsi="宋体" w:cs="宋体"/>
          <w:color w:val="000000"/>
          <w:lang w:eastAsia="zh-CN" w:bidi="ar"/>
        </w:rPr>
        <w:t>。装机规模为：</w:t>
      </w:r>
      <w:r>
        <w:rPr>
          <w:rFonts w:cs="Times New Roman"/>
          <w:color w:val="000000"/>
          <w:lang w:eastAsia="zh-CN" w:bidi="ar"/>
        </w:rPr>
        <w:t>5×85MW</w:t>
      </w:r>
      <w:r>
        <w:rPr>
          <w:rFonts w:hint="eastAsia" w:ascii="宋体" w:hAnsi="宋体" w:cs="宋体"/>
          <w:color w:val="000000"/>
          <w:lang w:eastAsia="zh-CN" w:bidi="ar"/>
        </w:rPr>
        <w:t>（</w:t>
      </w:r>
      <w:r>
        <w:rPr>
          <w:rFonts w:cs="Times New Roman"/>
          <w:color w:val="000000"/>
          <w:lang w:eastAsia="zh-CN" w:bidi="ar"/>
        </w:rPr>
        <w:t>120t/h</w:t>
      </w:r>
      <w:r>
        <w:rPr>
          <w:rFonts w:hint="eastAsia" w:ascii="宋体" w:hAnsi="宋体" w:cs="宋体"/>
          <w:color w:val="000000"/>
          <w:lang w:eastAsia="zh-CN" w:bidi="ar"/>
        </w:rPr>
        <w:t>）的热水锅炉、</w:t>
      </w:r>
      <w:r>
        <w:rPr>
          <w:rFonts w:cs="Times New Roman"/>
          <w:color w:val="000000"/>
          <w:lang w:eastAsia="zh-CN" w:bidi="ar"/>
        </w:rPr>
        <w:t>1x90t/h</w:t>
      </w:r>
      <w:r>
        <w:rPr>
          <w:rFonts w:hint="eastAsia" w:ascii="宋体" w:hAnsi="宋体" w:cs="宋体"/>
          <w:color w:val="000000"/>
          <w:lang w:eastAsia="zh-CN" w:bidi="ar"/>
        </w:rPr>
        <w:t>的蒸汽锅炉，总计吨位</w:t>
      </w:r>
      <w:r>
        <w:rPr>
          <w:rFonts w:cs="Times New Roman"/>
          <w:color w:val="000000"/>
          <w:lang w:eastAsia="zh-CN" w:bidi="ar"/>
        </w:rPr>
        <w:t>690t/h</w:t>
      </w:r>
      <w:r>
        <w:rPr>
          <w:rFonts w:hint="eastAsia" w:ascii="宋体" w:hAnsi="宋体" w:cs="宋体"/>
          <w:color w:val="000000"/>
          <w:lang w:eastAsia="zh-CN" w:bidi="ar"/>
        </w:rPr>
        <w:t>，供热面积为</w:t>
      </w:r>
      <w:r>
        <w:rPr>
          <w:rFonts w:cs="Times New Roman"/>
          <w:color w:val="000000"/>
          <w:lang w:eastAsia="zh-CN" w:bidi="ar"/>
        </w:rPr>
        <w:t>551.3</w:t>
      </w:r>
      <w:r>
        <w:rPr>
          <w:rFonts w:hint="eastAsia" w:ascii="宋体" w:hAnsi="宋体" w:cs="宋体"/>
          <w:color w:val="000000"/>
          <w:lang w:eastAsia="zh-CN" w:bidi="ar"/>
        </w:rPr>
        <w:t>万</w:t>
      </w:r>
      <w:r>
        <w:rPr>
          <w:rFonts w:cs="Times New Roman"/>
          <w:color w:val="000000"/>
          <w:lang w:eastAsia="zh-CN" w:bidi="ar"/>
        </w:rPr>
        <w:t>m</w:t>
      </w:r>
      <w:r>
        <w:rPr>
          <w:rFonts w:cs="Times New Roman"/>
          <w:color w:val="000000"/>
          <w:vertAlign w:val="superscript"/>
          <w:lang w:eastAsia="zh-CN" w:bidi="ar"/>
        </w:rPr>
        <w:t>2</w:t>
      </w:r>
      <w:r>
        <w:rPr>
          <w:rFonts w:hint="eastAsia" w:ascii="宋体" w:hAnsi="宋体" w:cs="宋体"/>
          <w:color w:val="000000"/>
          <w:lang w:eastAsia="zh-CN" w:bidi="ar"/>
        </w:rPr>
        <w:t>。</w:t>
      </w:r>
    </w:p>
    <w:p>
      <w:pPr>
        <w:pStyle w:val="25"/>
        <w:snapToGrid w:val="0"/>
        <w:spacing w:after="0"/>
        <w:ind w:firstLine="480"/>
        <w:rPr>
          <w:rFonts w:cs="Times New Roman"/>
          <w:kern w:val="2"/>
          <w:lang w:eastAsia="zh-CN"/>
        </w:rPr>
      </w:pPr>
      <w:r>
        <w:rPr>
          <w:rFonts w:hint="eastAsia" w:cs="Times New Roman"/>
          <w:kern w:val="2"/>
          <w:lang w:eastAsia="zh-CN"/>
        </w:rPr>
        <w:t>浑南3号</w:t>
      </w:r>
      <w:r>
        <w:rPr>
          <w:rFonts w:cs="Times New Roman"/>
          <w:kern w:val="2"/>
          <w:lang w:eastAsia="zh-CN"/>
        </w:rPr>
        <w:t>热源厂情况详见表2.3-6。</w:t>
      </w:r>
    </w:p>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sz w:val="24"/>
          <w:szCs w:val="24"/>
          <w:lang w:eastAsia="zh-CN"/>
        </w:rPr>
      </w:pPr>
      <w:r>
        <w:rPr>
          <w:rFonts w:ascii="Times New Roman" w:hAnsi="Times New Roman" w:eastAsia="宋体" w:cs="Times New Roman"/>
          <w:b/>
          <w:bCs/>
          <w:sz w:val="24"/>
          <w:szCs w:val="24"/>
          <w:lang w:eastAsia="zh-CN"/>
        </w:rPr>
        <w:t>表2.3-6   热源厂基本情况表</w:t>
      </w:r>
    </w:p>
    <w:tbl>
      <w:tblPr>
        <w:tblStyle w:val="64"/>
        <w:tblW w:w="4996"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1"/>
        <w:gridCol w:w="1356"/>
        <w:gridCol w:w="1306"/>
        <w:gridCol w:w="1934"/>
        <w:gridCol w:w="1936"/>
        <w:gridCol w:w="700"/>
        <w:gridCol w:w="76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95" w:type="pct"/>
            <w:vMerge w:val="restart"/>
            <w:tcBorders>
              <w:tl2br w:val="nil"/>
              <w:tr2bl w:val="nil"/>
            </w:tcBorders>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企业名称</w:t>
            </w:r>
          </w:p>
        </w:tc>
        <w:tc>
          <w:tcPr>
            <w:tcW w:w="730" w:type="pct"/>
            <w:vMerge w:val="restart"/>
            <w:tcBorders>
              <w:tl2br w:val="nil"/>
              <w:tr2bl w:val="nil"/>
            </w:tcBorders>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原有环评时规模</w:t>
            </w:r>
          </w:p>
        </w:tc>
        <w:tc>
          <w:tcPr>
            <w:tcW w:w="703" w:type="pct"/>
            <w:vMerge w:val="restart"/>
            <w:tcBorders>
              <w:tl2br w:val="nil"/>
              <w:tr2bl w:val="nil"/>
            </w:tcBorders>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原有环评时处理措施</w:t>
            </w:r>
          </w:p>
        </w:tc>
        <w:tc>
          <w:tcPr>
            <w:tcW w:w="1041" w:type="pct"/>
            <w:vMerge w:val="restart"/>
            <w:tcBorders>
              <w:tl2br w:val="nil"/>
              <w:tr2bl w:val="nil"/>
            </w:tcBorders>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现有规模</w:t>
            </w:r>
          </w:p>
        </w:tc>
        <w:tc>
          <w:tcPr>
            <w:tcW w:w="1042" w:type="pct"/>
            <w:vMerge w:val="restart"/>
            <w:tcBorders>
              <w:tl2br w:val="nil"/>
              <w:tr2bl w:val="nil"/>
            </w:tcBorders>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处理措施</w:t>
            </w:r>
          </w:p>
        </w:tc>
        <w:tc>
          <w:tcPr>
            <w:tcW w:w="786" w:type="pct"/>
            <w:gridSpan w:val="2"/>
            <w:tcBorders>
              <w:tl2br w:val="nil"/>
              <w:tr2bl w:val="nil"/>
            </w:tcBorders>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排气筒</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95" w:type="pct"/>
            <w:vMerge w:val="continue"/>
            <w:tcBorders>
              <w:tl2br w:val="nil"/>
              <w:tr2bl w:val="nil"/>
            </w:tcBorders>
            <w:vAlign w:val="center"/>
          </w:tcPr>
          <w:p>
            <w:pPr>
              <w:pStyle w:val="16"/>
              <w:spacing w:line="400" w:lineRule="exact"/>
              <w:rPr>
                <w:rFonts w:ascii="Times New Roman" w:hAnsi="Times New Roman"/>
                <w:b/>
                <w:bCs/>
                <w:sz w:val="21"/>
                <w:lang w:val="zh-CN"/>
              </w:rPr>
            </w:pPr>
          </w:p>
        </w:tc>
        <w:tc>
          <w:tcPr>
            <w:tcW w:w="730" w:type="pct"/>
            <w:vMerge w:val="continue"/>
            <w:tcBorders>
              <w:tl2br w:val="nil"/>
              <w:tr2bl w:val="nil"/>
            </w:tcBorders>
            <w:vAlign w:val="center"/>
          </w:tcPr>
          <w:p>
            <w:pPr>
              <w:pStyle w:val="16"/>
              <w:spacing w:line="400" w:lineRule="exact"/>
              <w:rPr>
                <w:rFonts w:ascii="Times New Roman" w:hAnsi="Times New Roman"/>
                <w:b/>
                <w:bCs/>
                <w:sz w:val="21"/>
                <w:lang w:val="zh-CN"/>
              </w:rPr>
            </w:pPr>
          </w:p>
        </w:tc>
        <w:tc>
          <w:tcPr>
            <w:tcW w:w="703" w:type="pct"/>
            <w:vMerge w:val="continue"/>
            <w:tcBorders>
              <w:tl2br w:val="nil"/>
              <w:tr2bl w:val="nil"/>
            </w:tcBorders>
            <w:vAlign w:val="center"/>
          </w:tcPr>
          <w:p>
            <w:pPr>
              <w:pStyle w:val="16"/>
              <w:spacing w:line="400" w:lineRule="exact"/>
              <w:rPr>
                <w:rFonts w:ascii="Times New Roman" w:hAnsi="Times New Roman"/>
                <w:b/>
                <w:bCs/>
                <w:sz w:val="21"/>
                <w:lang w:val="zh-CN"/>
              </w:rPr>
            </w:pPr>
          </w:p>
        </w:tc>
        <w:tc>
          <w:tcPr>
            <w:tcW w:w="1041" w:type="pct"/>
            <w:vMerge w:val="continue"/>
            <w:tcBorders>
              <w:tl2br w:val="nil"/>
              <w:tr2bl w:val="nil"/>
            </w:tcBorders>
            <w:vAlign w:val="center"/>
          </w:tcPr>
          <w:p>
            <w:pPr>
              <w:pStyle w:val="16"/>
              <w:spacing w:line="400" w:lineRule="exact"/>
              <w:rPr>
                <w:rFonts w:ascii="Times New Roman" w:hAnsi="Times New Roman"/>
                <w:b/>
                <w:bCs/>
                <w:sz w:val="21"/>
                <w:lang w:val="zh-CN"/>
              </w:rPr>
            </w:pPr>
          </w:p>
        </w:tc>
        <w:tc>
          <w:tcPr>
            <w:tcW w:w="1042" w:type="pct"/>
            <w:vMerge w:val="continue"/>
            <w:tcBorders>
              <w:tl2br w:val="nil"/>
              <w:tr2bl w:val="nil"/>
            </w:tcBorders>
            <w:vAlign w:val="center"/>
          </w:tcPr>
          <w:p>
            <w:pPr>
              <w:pStyle w:val="16"/>
              <w:spacing w:line="400" w:lineRule="exact"/>
              <w:rPr>
                <w:rFonts w:ascii="Times New Roman" w:hAnsi="Times New Roman"/>
                <w:b/>
                <w:bCs/>
                <w:sz w:val="21"/>
                <w:lang w:val="zh-CN"/>
              </w:rPr>
            </w:pPr>
          </w:p>
        </w:tc>
        <w:tc>
          <w:tcPr>
            <w:tcW w:w="377" w:type="pct"/>
            <w:tcBorders>
              <w:tl2br w:val="nil"/>
              <w:tr2bl w:val="nil"/>
            </w:tcBorders>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D,m</w:t>
            </w:r>
          </w:p>
        </w:tc>
        <w:tc>
          <w:tcPr>
            <w:tcW w:w="409" w:type="pct"/>
            <w:tcBorders>
              <w:tl2br w:val="nil"/>
              <w:tr2bl w:val="nil"/>
            </w:tcBorders>
            <w:vAlign w:val="center"/>
          </w:tcPr>
          <w:p>
            <w:pPr>
              <w:pStyle w:val="16"/>
              <w:spacing w:line="400" w:lineRule="exact"/>
              <w:rPr>
                <w:rFonts w:ascii="Times New Roman" w:hAnsi="Times New Roman"/>
                <w:b/>
                <w:bCs/>
                <w:sz w:val="21"/>
                <w:lang w:val="zh-CN"/>
              </w:rPr>
            </w:pPr>
            <w:r>
              <w:rPr>
                <w:rFonts w:ascii="Times New Roman" w:hAnsi="Times New Roman"/>
                <w:b/>
                <w:bCs/>
                <w:sz w:val="21"/>
                <w:lang w:val="zh-CN"/>
              </w:rPr>
              <w:t>H,m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695" w:type="pct"/>
            <w:vMerge w:val="restart"/>
            <w:tcBorders>
              <w:tl2br w:val="nil"/>
              <w:tr2bl w:val="nil"/>
            </w:tcBorders>
            <w:vAlign w:val="center"/>
          </w:tcPr>
          <w:p>
            <w:pPr>
              <w:widowControl/>
              <w:spacing w:line="400" w:lineRule="exact"/>
              <w:ind w:firstLine="0" w:firstLineChars="0"/>
              <w:jc w:val="center"/>
              <w:rPr>
                <w:rFonts w:cs="Times New Roman"/>
                <w:sz w:val="21"/>
                <w:szCs w:val="21"/>
                <w:lang w:val="zh-CN"/>
              </w:rPr>
            </w:pPr>
            <w:r>
              <w:rPr>
                <w:rFonts w:cs="Times New Roman"/>
                <w:sz w:val="21"/>
                <w:szCs w:val="21"/>
                <w:lang w:eastAsia="zh-CN"/>
              </w:rPr>
              <w:t>沈阳浑南热力有限责任公司第三热源厂</w:t>
            </w:r>
          </w:p>
        </w:tc>
        <w:tc>
          <w:tcPr>
            <w:tcW w:w="730" w:type="pct"/>
            <w:vMerge w:val="restart"/>
            <w:tcBorders>
              <w:tl2br w:val="nil"/>
              <w:tr2bl w:val="nil"/>
            </w:tcBorders>
            <w:vAlign w:val="center"/>
          </w:tcPr>
          <w:p>
            <w:pPr>
              <w:pStyle w:val="16"/>
              <w:spacing w:line="400" w:lineRule="exact"/>
              <w:rPr>
                <w:rFonts w:ascii="Times New Roman" w:hAnsi="Times New Roman"/>
                <w:sz w:val="21"/>
                <w:lang w:val="zh-CN"/>
              </w:rPr>
            </w:pPr>
            <w:r>
              <w:rPr>
                <w:rFonts w:ascii="Times New Roman" w:hAnsi="Times New Roman"/>
                <w:color w:val="000000"/>
                <w:sz w:val="21"/>
                <w:lang w:bidi="ar"/>
              </w:rPr>
              <w:t>5×85MW（120t/h）的热水锅炉、1x90t/h的蒸汽锅炉</w:t>
            </w:r>
          </w:p>
        </w:tc>
        <w:tc>
          <w:tcPr>
            <w:tcW w:w="703" w:type="pct"/>
            <w:vMerge w:val="restart"/>
            <w:tcBorders>
              <w:tl2br w:val="nil"/>
              <w:tr2bl w:val="nil"/>
            </w:tcBorders>
            <w:vAlign w:val="center"/>
          </w:tcPr>
          <w:p>
            <w:pPr>
              <w:widowControl/>
              <w:spacing w:line="400" w:lineRule="exact"/>
              <w:ind w:firstLine="0" w:firstLineChars="0"/>
              <w:jc w:val="center"/>
              <w:rPr>
                <w:rFonts w:cs="Times New Roman"/>
                <w:sz w:val="21"/>
                <w:szCs w:val="21"/>
                <w:lang w:val="zh-CN" w:eastAsia="zh-CN"/>
              </w:rPr>
            </w:pPr>
            <w:r>
              <w:rPr>
                <w:rFonts w:cs="Times New Roman"/>
                <w:color w:val="000000"/>
                <w:sz w:val="21"/>
                <w:szCs w:val="21"/>
                <w:lang w:eastAsia="zh-CN" w:bidi="ar"/>
              </w:rPr>
              <w:t>电袋复合式除尘</w:t>
            </w:r>
            <w:r>
              <w:rPr>
                <w:rFonts w:cs="Times New Roman"/>
                <w:sz w:val="21"/>
                <w:szCs w:val="21"/>
                <w:lang w:val="en-GB" w:eastAsia="zh-CN"/>
              </w:rPr>
              <w:t>+氧化镁法脱硫系统</w:t>
            </w:r>
          </w:p>
        </w:tc>
        <w:tc>
          <w:tcPr>
            <w:tcW w:w="1041" w:type="pct"/>
            <w:vMerge w:val="restart"/>
            <w:tcBorders>
              <w:tl2br w:val="nil"/>
              <w:tr2bl w:val="nil"/>
            </w:tcBorders>
            <w:vAlign w:val="center"/>
          </w:tcPr>
          <w:p>
            <w:pPr>
              <w:pStyle w:val="16"/>
              <w:spacing w:line="400" w:lineRule="exact"/>
              <w:rPr>
                <w:rFonts w:ascii="Times New Roman" w:hAnsi="Times New Roman"/>
                <w:sz w:val="21"/>
              </w:rPr>
            </w:pPr>
            <w:r>
              <w:rPr>
                <w:rFonts w:ascii="Times New Roman" w:hAnsi="Times New Roman"/>
                <w:color w:val="000000"/>
                <w:sz w:val="21"/>
                <w:lang w:bidi="ar"/>
              </w:rPr>
              <w:t>5×85MW（120t/h）的热水锅炉、1x90t/h的蒸汽锅炉</w:t>
            </w:r>
          </w:p>
        </w:tc>
        <w:tc>
          <w:tcPr>
            <w:tcW w:w="1042" w:type="pct"/>
            <w:vMerge w:val="restart"/>
            <w:tcBorders>
              <w:tl2br w:val="nil"/>
              <w:tr2bl w:val="nil"/>
            </w:tcBorders>
            <w:vAlign w:val="center"/>
          </w:tcPr>
          <w:p>
            <w:pPr>
              <w:widowControl/>
              <w:spacing w:line="400" w:lineRule="exact"/>
              <w:ind w:firstLine="0" w:firstLineChars="0"/>
              <w:jc w:val="center"/>
              <w:rPr>
                <w:rFonts w:cs="Times New Roman"/>
                <w:sz w:val="21"/>
                <w:szCs w:val="21"/>
                <w:lang w:eastAsia="zh-CN"/>
              </w:rPr>
            </w:pPr>
            <w:r>
              <w:rPr>
                <w:rFonts w:cs="Times New Roman"/>
                <w:color w:val="000000"/>
                <w:sz w:val="21"/>
                <w:szCs w:val="21"/>
                <w:lang w:eastAsia="zh-CN" w:bidi="ar"/>
              </w:rPr>
              <w:t>电袋复合式除尘</w:t>
            </w:r>
            <w:r>
              <w:rPr>
                <w:rFonts w:cs="Times New Roman"/>
                <w:sz w:val="21"/>
                <w:szCs w:val="21"/>
                <w:lang w:val="en-GB" w:eastAsia="zh-CN"/>
              </w:rPr>
              <w:t>+氧化镁法脱硫</w:t>
            </w:r>
            <w:r>
              <w:rPr>
                <w:rFonts w:hint="eastAsia" w:cs="Times New Roman"/>
                <w:sz w:val="21"/>
                <w:szCs w:val="21"/>
                <w:lang w:eastAsia="zh-CN"/>
              </w:rPr>
              <w:t>+1#、2#、</w:t>
            </w:r>
            <w:r>
              <w:rPr>
                <w:rFonts w:cs="Times New Roman"/>
                <w:color w:val="000000"/>
                <w:sz w:val="21"/>
                <w:szCs w:val="21"/>
                <w:lang w:eastAsia="zh-CN" w:bidi="ar"/>
              </w:rPr>
              <w:t>3#、4#锅炉采用SNCR工艺脱硝，5#、6#锅炉采用SCR脱硝</w:t>
            </w:r>
          </w:p>
        </w:tc>
        <w:tc>
          <w:tcPr>
            <w:tcW w:w="377" w:type="pct"/>
            <w:vMerge w:val="restar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8.15</w:t>
            </w:r>
          </w:p>
        </w:tc>
        <w:tc>
          <w:tcPr>
            <w:tcW w:w="409" w:type="pct"/>
            <w:vMerge w:val="restar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lang w:val="zh-CN"/>
              </w:rPr>
              <w:t>1</w:t>
            </w:r>
            <w:r>
              <w:rPr>
                <w:rFonts w:hint="eastAsia" w:ascii="Times New Roman" w:hAnsi="Times New Roman"/>
                <w:sz w:val="21"/>
              </w:rPr>
              <w:t>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695"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730"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703"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1041"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1042"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377"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409" w:type="pct"/>
            <w:vMerge w:val="continue"/>
            <w:tcBorders>
              <w:tl2br w:val="nil"/>
              <w:tr2bl w:val="nil"/>
            </w:tcBorders>
            <w:vAlign w:val="center"/>
          </w:tcPr>
          <w:p>
            <w:pPr>
              <w:pStyle w:val="16"/>
              <w:spacing w:line="400" w:lineRule="exact"/>
              <w:rPr>
                <w:rFonts w:ascii="Times New Roman" w:hAnsi="Times New Roman"/>
                <w:sz w:val="21"/>
                <w:lang w:val="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95"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730"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703"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1041"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1042"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377"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409" w:type="pct"/>
            <w:vMerge w:val="continue"/>
            <w:tcBorders>
              <w:tl2br w:val="nil"/>
              <w:tr2bl w:val="nil"/>
            </w:tcBorders>
            <w:vAlign w:val="center"/>
          </w:tcPr>
          <w:p>
            <w:pPr>
              <w:pStyle w:val="16"/>
              <w:spacing w:line="400" w:lineRule="exact"/>
              <w:rPr>
                <w:rFonts w:ascii="Times New Roman" w:hAnsi="Times New Roman"/>
                <w:sz w:val="21"/>
                <w:lang w:val="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695"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730"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703"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1041"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1042"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377"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409" w:type="pct"/>
            <w:vMerge w:val="continue"/>
            <w:tcBorders>
              <w:tl2br w:val="nil"/>
              <w:tr2bl w:val="nil"/>
            </w:tcBorders>
            <w:vAlign w:val="center"/>
          </w:tcPr>
          <w:p>
            <w:pPr>
              <w:pStyle w:val="16"/>
              <w:spacing w:line="400" w:lineRule="exact"/>
              <w:rPr>
                <w:rFonts w:ascii="Times New Roman" w:hAnsi="Times New Roman"/>
                <w:sz w:val="21"/>
                <w:lang w:val="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95"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730"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703"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1041"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1042"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377" w:type="pct"/>
            <w:vMerge w:val="continue"/>
            <w:tcBorders>
              <w:tl2br w:val="nil"/>
              <w:tr2bl w:val="nil"/>
            </w:tcBorders>
            <w:vAlign w:val="center"/>
          </w:tcPr>
          <w:p>
            <w:pPr>
              <w:pStyle w:val="16"/>
              <w:spacing w:line="400" w:lineRule="exact"/>
              <w:rPr>
                <w:rFonts w:ascii="Times New Roman" w:hAnsi="Times New Roman"/>
                <w:sz w:val="21"/>
                <w:lang w:val="zh-CN"/>
              </w:rPr>
            </w:pPr>
          </w:p>
        </w:tc>
        <w:tc>
          <w:tcPr>
            <w:tcW w:w="409" w:type="pct"/>
            <w:vMerge w:val="continue"/>
            <w:tcBorders>
              <w:tl2br w:val="nil"/>
              <w:tr2bl w:val="nil"/>
            </w:tcBorders>
            <w:vAlign w:val="center"/>
          </w:tcPr>
          <w:p>
            <w:pPr>
              <w:pStyle w:val="16"/>
              <w:spacing w:line="400" w:lineRule="exact"/>
              <w:rPr>
                <w:rFonts w:ascii="Times New Roman" w:hAnsi="Times New Roman"/>
                <w:sz w:val="21"/>
                <w:lang w:val="zh-CN"/>
              </w:rPr>
            </w:pPr>
          </w:p>
        </w:tc>
      </w:tr>
    </w:tbl>
    <w:p>
      <w:pPr>
        <w:keepNext w:val="0"/>
        <w:keepLines w:val="0"/>
        <w:pageBreakBefore w:val="0"/>
        <w:widowControl/>
        <w:kinsoku/>
        <w:wordWrap/>
        <w:overflowPunct/>
        <w:topLinePunct w:val="0"/>
        <w:autoSpaceDE/>
        <w:autoSpaceDN/>
        <w:bidi w:val="0"/>
        <w:adjustRightInd/>
        <w:snapToGrid/>
        <w:ind w:firstLine="480"/>
        <w:jc w:val="both"/>
        <w:textAlignment w:val="auto"/>
        <w:rPr>
          <w:rFonts w:cs="Times New Roman"/>
          <w:lang w:eastAsia="zh-CN"/>
        </w:rPr>
      </w:pPr>
      <w:r>
        <w:rPr>
          <w:rFonts w:hint="eastAsia" w:ascii="宋体" w:hAnsi="宋体" w:cs="宋体"/>
          <w:color w:val="000000"/>
          <w:lang w:eastAsia="zh-CN" w:bidi="ar"/>
        </w:rPr>
        <w:t>沈阳浑南热力有限公司</w:t>
      </w:r>
      <w:r>
        <w:rPr>
          <w:rFonts w:cs="Times New Roman"/>
          <w:color w:val="000000"/>
          <w:lang w:eastAsia="zh-CN" w:bidi="ar"/>
        </w:rPr>
        <w:t>3#</w:t>
      </w:r>
      <w:r>
        <w:rPr>
          <w:rFonts w:hint="eastAsia" w:ascii="宋体" w:hAnsi="宋体" w:cs="宋体"/>
          <w:color w:val="000000"/>
          <w:lang w:eastAsia="zh-CN" w:bidi="ar"/>
        </w:rPr>
        <w:t>热源项目于</w:t>
      </w:r>
      <w:r>
        <w:rPr>
          <w:rFonts w:cs="Times New Roman"/>
          <w:color w:val="000000"/>
          <w:lang w:eastAsia="zh-CN" w:bidi="ar"/>
        </w:rPr>
        <w:t>2010</w:t>
      </w:r>
      <w:r>
        <w:rPr>
          <w:rFonts w:hint="eastAsia" w:ascii="宋体" w:hAnsi="宋体" w:cs="宋体"/>
          <w:color w:val="000000"/>
          <w:lang w:eastAsia="zh-CN" w:bidi="ar"/>
        </w:rPr>
        <w:t>年通过沈阳市环境保护局审批，批复文号为沈环保审字</w:t>
      </w:r>
      <w:r>
        <w:rPr>
          <w:rFonts w:cs="Times New Roman"/>
          <w:color w:val="000000"/>
          <w:lang w:eastAsia="zh-CN" w:bidi="ar"/>
        </w:rPr>
        <w:t>[2010]465</w:t>
      </w:r>
      <w:r>
        <w:rPr>
          <w:rFonts w:hint="eastAsia" w:ascii="宋体" w:hAnsi="宋体" w:cs="宋体"/>
          <w:color w:val="000000"/>
          <w:lang w:eastAsia="zh-CN" w:bidi="ar"/>
        </w:rPr>
        <w:t>号；</w:t>
      </w:r>
      <w:r>
        <w:rPr>
          <w:rFonts w:cs="Times New Roman"/>
          <w:color w:val="000000"/>
          <w:lang w:eastAsia="zh-CN" w:bidi="ar"/>
        </w:rPr>
        <w:t>2015</w:t>
      </w:r>
      <w:r>
        <w:rPr>
          <w:rFonts w:hint="eastAsia" w:ascii="宋体" w:hAnsi="宋体" w:cs="宋体"/>
          <w:color w:val="000000"/>
          <w:lang w:eastAsia="zh-CN" w:bidi="ar"/>
        </w:rPr>
        <w:t>年，沈阳浑南热力有限公司对锅炉除尘、脱硫工艺及设施进行环保设备升级改造，该项目已于</w:t>
      </w:r>
      <w:r>
        <w:rPr>
          <w:rFonts w:cs="Times New Roman"/>
          <w:color w:val="000000"/>
          <w:lang w:eastAsia="zh-CN" w:bidi="ar"/>
        </w:rPr>
        <w:t>2016</w:t>
      </w:r>
      <w:r>
        <w:rPr>
          <w:rFonts w:hint="eastAsia" w:ascii="宋体" w:hAnsi="宋体" w:cs="宋体"/>
          <w:color w:val="000000"/>
          <w:lang w:eastAsia="zh-CN" w:bidi="ar"/>
        </w:rPr>
        <w:t>年</w:t>
      </w:r>
      <w:r>
        <w:rPr>
          <w:rFonts w:cs="Times New Roman"/>
          <w:color w:val="000000"/>
          <w:lang w:eastAsia="zh-CN" w:bidi="ar"/>
        </w:rPr>
        <w:t>8</w:t>
      </w:r>
      <w:r>
        <w:rPr>
          <w:rFonts w:hint="eastAsia" w:ascii="宋体" w:hAnsi="宋体" w:cs="宋体"/>
          <w:color w:val="000000"/>
          <w:lang w:eastAsia="zh-CN" w:bidi="ar"/>
        </w:rPr>
        <w:t>月</w:t>
      </w:r>
      <w:r>
        <w:rPr>
          <w:rFonts w:cs="Times New Roman"/>
          <w:color w:val="000000"/>
          <w:lang w:eastAsia="zh-CN" w:bidi="ar"/>
        </w:rPr>
        <w:t>30</w:t>
      </w:r>
      <w:r>
        <w:rPr>
          <w:rFonts w:hint="eastAsia" w:ascii="宋体" w:hAnsi="宋体" w:cs="宋体"/>
          <w:color w:val="000000"/>
          <w:lang w:eastAsia="zh-CN" w:bidi="ar"/>
        </w:rPr>
        <w:t>日通过沈阳市环境保护局浑南分局审批，批复文号为</w:t>
      </w:r>
      <w:r>
        <w:rPr>
          <w:rFonts w:hint="eastAsia" w:cs="Times New Roman"/>
          <w:color w:val="000000"/>
          <w:lang w:eastAsia="zh-CN" w:bidi="ar"/>
        </w:rPr>
        <w:t>“</w:t>
      </w:r>
      <w:r>
        <w:rPr>
          <w:rFonts w:hint="eastAsia" w:ascii="宋体" w:hAnsi="宋体" w:cs="宋体"/>
          <w:color w:val="000000"/>
          <w:lang w:eastAsia="zh-CN" w:bidi="ar"/>
        </w:rPr>
        <w:t>沈环保浑南审字</w:t>
      </w:r>
      <w:r>
        <w:rPr>
          <w:rFonts w:cs="Times New Roman"/>
          <w:color w:val="000000"/>
          <w:lang w:eastAsia="zh-CN" w:bidi="ar"/>
        </w:rPr>
        <w:t>[2016]95</w:t>
      </w:r>
      <w:r>
        <w:rPr>
          <w:rFonts w:hint="eastAsia" w:ascii="宋体" w:hAnsi="宋体" w:cs="宋体"/>
          <w:color w:val="000000"/>
          <w:lang w:eastAsia="zh-CN" w:bidi="ar"/>
        </w:rPr>
        <w:t>号</w:t>
      </w:r>
      <w:r>
        <w:rPr>
          <w:rFonts w:hint="eastAsia" w:cs="Times New Roman"/>
          <w:color w:val="000000"/>
          <w:lang w:eastAsia="zh-CN" w:bidi="ar"/>
        </w:rPr>
        <w:t>”</w:t>
      </w:r>
      <w:r>
        <w:rPr>
          <w:rFonts w:hint="eastAsia" w:ascii="宋体" w:hAnsi="宋体" w:cs="宋体"/>
          <w:color w:val="000000"/>
          <w:lang w:eastAsia="zh-CN" w:bidi="ar"/>
        </w:rPr>
        <w:t>；</w:t>
      </w:r>
      <w:r>
        <w:rPr>
          <w:rFonts w:cs="Times New Roman"/>
          <w:color w:val="000000"/>
          <w:lang w:eastAsia="zh-CN" w:bidi="ar"/>
        </w:rPr>
        <w:t>2019</w:t>
      </w:r>
      <w:r>
        <w:rPr>
          <w:rFonts w:hint="eastAsia" w:ascii="宋体" w:hAnsi="宋体" w:cs="宋体"/>
          <w:color w:val="000000"/>
          <w:lang w:eastAsia="zh-CN" w:bidi="ar"/>
        </w:rPr>
        <w:t>年</w:t>
      </w:r>
      <w:r>
        <w:rPr>
          <w:rFonts w:cs="Times New Roman"/>
          <w:color w:val="000000"/>
          <w:lang w:eastAsia="zh-CN" w:bidi="ar"/>
        </w:rPr>
        <w:t>3</w:t>
      </w:r>
      <w:r>
        <w:rPr>
          <w:rFonts w:hint="eastAsia" w:ascii="宋体" w:hAnsi="宋体" w:cs="宋体"/>
          <w:color w:val="000000"/>
          <w:lang w:eastAsia="zh-CN" w:bidi="ar"/>
        </w:rPr>
        <w:t>月编制了《</w:t>
      </w:r>
      <w:r>
        <w:rPr>
          <w:rFonts w:cs="Times New Roman"/>
          <w:color w:val="000000"/>
          <w:lang w:eastAsia="zh-CN" w:bidi="ar"/>
        </w:rPr>
        <w:t>2019</w:t>
      </w:r>
      <w:r>
        <w:rPr>
          <w:rFonts w:hint="eastAsia" w:ascii="宋体" w:hAnsi="宋体" w:cs="宋体"/>
          <w:color w:val="000000"/>
          <w:lang w:eastAsia="zh-CN" w:bidi="ar"/>
        </w:rPr>
        <w:t>年浑南热力有限责任公司三号热源脱硝改造工程环境影响报告表》，建设内容为</w:t>
      </w:r>
      <w:r>
        <w:rPr>
          <w:rFonts w:cs="Times New Roman"/>
          <w:color w:val="000000"/>
          <w:lang w:eastAsia="zh-CN" w:bidi="ar"/>
        </w:rPr>
        <w:t>1#</w:t>
      </w:r>
      <w:r>
        <w:rPr>
          <w:rFonts w:hint="eastAsia" w:ascii="宋体" w:hAnsi="宋体" w:cs="宋体"/>
          <w:color w:val="000000"/>
          <w:lang w:eastAsia="zh-CN" w:bidi="ar"/>
        </w:rPr>
        <w:t>和</w:t>
      </w:r>
      <w:r>
        <w:rPr>
          <w:rFonts w:cs="Times New Roman"/>
          <w:color w:val="000000"/>
          <w:lang w:eastAsia="zh-CN" w:bidi="ar"/>
        </w:rPr>
        <w:t>2#</w:t>
      </w:r>
      <w:r>
        <w:rPr>
          <w:rFonts w:hint="eastAsia" w:ascii="宋体" w:hAnsi="宋体" w:cs="宋体"/>
          <w:color w:val="000000"/>
          <w:lang w:eastAsia="zh-CN" w:bidi="ar"/>
        </w:rPr>
        <w:t>锅炉</w:t>
      </w:r>
      <w:r>
        <w:rPr>
          <w:rFonts w:cs="Times New Roman"/>
          <w:color w:val="000000"/>
          <w:lang w:eastAsia="zh-CN" w:bidi="ar"/>
        </w:rPr>
        <w:t>SNCR</w:t>
      </w:r>
      <w:r>
        <w:rPr>
          <w:rFonts w:hint="eastAsia" w:ascii="宋体" w:hAnsi="宋体" w:cs="宋体"/>
          <w:color w:val="000000"/>
          <w:lang w:eastAsia="zh-CN" w:bidi="ar"/>
        </w:rPr>
        <w:t>工艺脱硝</w:t>
      </w:r>
      <w:r>
        <w:rPr>
          <w:rFonts w:cs="Times New Roman"/>
          <w:lang w:eastAsia="zh-CN"/>
        </w:rPr>
        <w:t>》。</w:t>
      </w:r>
    </w:p>
    <w:p>
      <w:pPr>
        <w:widowControl/>
        <w:ind w:firstLine="480"/>
        <w:jc w:val="left"/>
        <w:rPr>
          <w:lang w:eastAsia="zh-CN"/>
        </w:rPr>
      </w:pPr>
      <w:r>
        <w:rPr>
          <w:rFonts w:hint="eastAsia" w:ascii="宋体" w:hAnsi="宋体" w:cs="宋体"/>
          <w:color w:val="000000" w:themeColor="text1"/>
          <w:lang w:eastAsia="zh-CN" w:bidi="ar"/>
          <w14:textFill>
            <w14:solidFill>
              <w14:schemeClr w14:val="tx1"/>
            </w14:solidFill>
          </w14:textFill>
        </w:rPr>
        <w:t>规划基础设施用地即为浑南</w:t>
      </w:r>
      <w:r>
        <w:rPr>
          <w:rFonts w:cs="Times New Roman"/>
          <w:color w:val="000000" w:themeColor="text1"/>
          <w:lang w:eastAsia="zh-CN" w:bidi="ar"/>
          <w14:textFill>
            <w14:solidFill>
              <w14:schemeClr w14:val="tx1"/>
            </w14:solidFill>
          </w14:textFill>
        </w:rPr>
        <w:t>3#</w:t>
      </w:r>
      <w:r>
        <w:rPr>
          <w:rFonts w:hint="eastAsia" w:ascii="宋体" w:hAnsi="宋体" w:cs="宋体"/>
          <w:color w:val="000000" w:themeColor="text1"/>
          <w:lang w:eastAsia="zh-CN" w:bidi="ar"/>
          <w14:textFill>
            <w14:solidFill>
              <w14:schemeClr w14:val="tx1"/>
            </w14:solidFill>
          </w14:textFill>
        </w:rPr>
        <w:t>热源厂，区域供热设施符合《沈阳市城市热电发展总体规划（</w:t>
      </w:r>
      <w:r>
        <w:rPr>
          <w:rFonts w:cs="Times New Roman"/>
          <w:color w:val="000000" w:themeColor="text1"/>
          <w:lang w:eastAsia="zh-CN" w:bidi="ar"/>
          <w14:textFill>
            <w14:solidFill>
              <w14:schemeClr w14:val="tx1"/>
            </w14:solidFill>
          </w14:textFill>
        </w:rPr>
        <w:t xml:space="preserve">2017-2020 </w:t>
      </w:r>
      <w:r>
        <w:rPr>
          <w:rFonts w:hint="eastAsia" w:ascii="宋体" w:hAnsi="宋体" w:cs="宋体"/>
          <w:color w:val="000000" w:themeColor="text1"/>
          <w:lang w:eastAsia="zh-CN" w:bidi="ar"/>
          <w14:textFill>
            <w14:solidFill>
              <w14:schemeClr w14:val="tx1"/>
            </w14:solidFill>
          </w14:textFill>
        </w:rPr>
        <w:t>年）》及其规划环评要求。</w:t>
      </w:r>
      <w:r>
        <w:rPr>
          <w:rFonts w:hint="eastAsia" w:ascii="宋体" w:hAnsi="宋体" w:cs="宋体"/>
          <w:color w:val="FF0000"/>
          <w:lang w:eastAsia="zh-CN" w:bidi="ar"/>
        </w:rPr>
        <w:t xml:space="preserve"> </w:t>
      </w:r>
    </w:p>
    <w:p>
      <w:pPr>
        <w:ind w:firstLine="480"/>
        <w:rPr>
          <w:rFonts w:cs="Times New Roman"/>
          <w:highlight w:val="yellow"/>
          <w:lang w:eastAsia="zh-CN"/>
        </w:rPr>
      </w:pPr>
      <w:r>
        <w:rPr>
          <w:rFonts w:cs="Times New Roman"/>
          <w:highlight w:val="yellow"/>
          <w:lang w:eastAsia="zh-CN"/>
        </w:rPr>
        <w:t>区域现状供热情况详见图2-</w:t>
      </w:r>
      <w:r>
        <w:rPr>
          <w:rFonts w:hint="eastAsia" w:cs="Times New Roman"/>
          <w:highlight w:val="yellow"/>
          <w:lang w:eastAsia="zh-CN"/>
        </w:rPr>
        <w:t>10</w:t>
      </w:r>
      <w:r>
        <w:rPr>
          <w:rFonts w:cs="Times New Roman"/>
          <w:highlight w:val="yellow"/>
          <w:lang w:eastAsia="zh-CN"/>
        </w:rPr>
        <w:t>。</w:t>
      </w:r>
    </w:p>
    <w:p>
      <w:pPr>
        <w:pStyle w:val="10"/>
        <w:rPr>
          <w:rFonts w:cs="Times New Roman"/>
          <w:lang w:eastAsia="zh-CN"/>
        </w:rPr>
      </w:pPr>
      <w:r>
        <w:rPr>
          <w:rFonts w:cs="Times New Roman"/>
          <w:b/>
          <w:bCs/>
          <w:lang w:eastAsia="zh-CN"/>
        </w:rPr>
        <w:t>2.3.4.4电力</w:t>
      </w:r>
      <w:r>
        <w:rPr>
          <w:rFonts w:cs="Times New Roman"/>
          <w:lang w:eastAsia="zh-CN"/>
        </w:rPr>
        <w:t xml:space="preserve"> </w:t>
      </w:r>
    </w:p>
    <w:p>
      <w:pPr>
        <w:pStyle w:val="25"/>
        <w:spacing w:after="0"/>
        <w:ind w:firstLine="480"/>
        <w:rPr>
          <w:rFonts w:cs="Times New Roman"/>
          <w:color w:val="000000" w:themeColor="text1"/>
          <w:lang w:eastAsia="zh-CN"/>
          <w14:textFill>
            <w14:solidFill>
              <w14:schemeClr w14:val="tx1"/>
            </w14:solidFill>
          </w14:textFill>
        </w:rPr>
      </w:pPr>
      <w:bookmarkStart w:id="88" w:name="_Hlk55158720"/>
      <w:r>
        <w:rPr>
          <w:rFonts w:hint="eastAsia" w:cs="Times New Roman"/>
          <w:color w:val="000000" w:themeColor="text1"/>
          <w:lang w:eastAsia="zh-CN"/>
          <w14:textFill>
            <w14:solidFill>
              <w14:schemeClr w14:val="tx1"/>
            </w14:solidFill>
          </w14:textFill>
        </w:rPr>
        <w:t>原规划：规划220kV养竹变电所一座，容量为240MVA×2，占地1.0hm</w:t>
      </w:r>
      <w:r>
        <w:rPr>
          <w:rFonts w:hint="eastAsia" w:cs="Times New Roman"/>
          <w:color w:val="000000" w:themeColor="text1"/>
          <w:vertAlign w:val="superscript"/>
          <w:lang w:eastAsia="zh-CN"/>
          <w14:textFill>
            <w14:solidFill>
              <w14:schemeClr w14:val="tx1"/>
            </w14:solidFill>
          </w14:textFill>
        </w:rPr>
        <w:t>2</w:t>
      </w:r>
      <w:r>
        <w:rPr>
          <w:rFonts w:hint="eastAsia" w:cs="Times New Roman"/>
          <w:color w:val="000000" w:themeColor="text1"/>
          <w:lang w:eastAsia="zh-CN"/>
          <w14:textFill>
            <w14:solidFill>
              <w14:schemeClr w14:val="tx1"/>
            </w14:solidFill>
          </w14:textFill>
        </w:rPr>
        <w:t>。规划区规划66kV变电所8座。规划66kV变电所容量均为50MVA×3，占地均为0.24hm</w:t>
      </w:r>
      <w:r>
        <w:rPr>
          <w:rFonts w:hint="eastAsia" w:cs="Times New Roman"/>
          <w:color w:val="000000" w:themeColor="text1"/>
          <w:vertAlign w:val="superscript"/>
          <w:lang w:eastAsia="zh-CN"/>
          <w14:textFill>
            <w14:solidFill>
              <w14:schemeClr w14:val="tx1"/>
            </w14:solidFill>
          </w14:textFill>
        </w:rPr>
        <w:t>2</w:t>
      </w:r>
      <w:r>
        <w:rPr>
          <w:rFonts w:hint="eastAsia" w:cs="Times New Roman"/>
          <w:color w:val="000000" w:themeColor="text1"/>
          <w:lang w:eastAsia="zh-CN"/>
          <w14:textFill>
            <w14:solidFill>
              <w14:schemeClr w14:val="tx1"/>
            </w14:solidFill>
          </w14:textFill>
        </w:rPr>
        <w:t>。</w:t>
      </w:r>
    </w:p>
    <w:p>
      <w:pPr>
        <w:ind w:firstLine="480"/>
        <w:rPr>
          <w:rFonts w:cs="Times New Roman"/>
          <w:color w:val="000000" w:themeColor="text1"/>
          <w:lang w:eastAsia="zh-CN"/>
          <w14:textFill>
            <w14:solidFill>
              <w14:schemeClr w14:val="tx1"/>
            </w14:solidFill>
          </w14:textFill>
        </w:rPr>
      </w:pPr>
      <w:r>
        <w:rPr>
          <w:rFonts w:hint="eastAsia" w:cs="Times New Roman"/>
          <w:color w:val="000000" w:themeColor="text1"/>
          <w:kern w:val="2"/>
          <w:lang w:eastAsia="zh-CN"/>
          <w14:textFill>
            <w14:solidFill>
              <w14:schemeClr w14:val="tx1"/>
            </w14:solidFill>
          </w14:textFill>
        </w:rPr>
        <w:t>落实情况：李巴彦单元</w:t>
      </w:r>
      <w:r>
        <w:rPr>
          <w:rFonts w:hint="eastAsia" w:ascii="宋体" w:hAnsi="宋体" w:cs="宋体"/>
          <w:color w:val="000000" w:themeColor="text1"/>
          <w:lang w:eastAsia="zh-CN" w:bidi="ar"/>
          <w14:textFill>
            <w14:solidFill>
              <w14:schemeClr w14:val="tx1"/>
            </w14:solidFill>
          </w14:textFill>
        </w:rPr>
        <w:t>为规划</w:t>
      </w:r>
      <w:r>
        <w:rPr>
          <w:rFonts w:cs="Times New Roman"/>
          <w:color w:val="000000" w:themeColor="text1"/>
          <w:lang w:eastAsia="zh-CN" w:bidi="ar"/>
          <w14:textFill>
            <w14:solidFill>
              <w14:schemeClr w14:val="tx1"/>
            </w14:solidFill>
          </w14:textFill>
        </w:rPr>
        <w:t>66kV</w:t>
      </w:r>
      <w:r>
        <w:rPr>
          <w:rFonts w:hint="eastAsia" w:ascii="宋体" w:hAnsi="宋体" w:cs="宋体"/>
          <w:color w:val="000000" w:themeColor="text1"/>
          <w:lang w:eastAsia="zh-CN" w:bidi="ar"/>
          <w14:textFill>
            <w14:solidFill>
              <w14:schemeClr w14:val="tx1"/>
            </w14:solidFill>
          </w14:textFill>
        </w:rPr>
        <w:t>牛相变电所，规模</w:t>
      </w:r>
      <w:r>
        <w:rPr>
          <w:rFonts w:cs="Times New Roman"/>
          <w:color w:val="000000" w:themeColor="text1"/>
          <w:lang w:eastAsia="zh-CN" w:bidi="ar"/>
          <w14:textFill>
            <w14:solidFill>
              <w14:schemeClr w14:val="tx1"/>
            </w14:solidFill>
          </w14:textFill>
        </w:rPr>
        <w:t>2×40</w:t>
      </w:r>
      <w:r>
        <w:rPr>
          <w:rFonts w:hint="eastAsia" w:ascii="宋体" w:hAnsi="宋体" w:cs="宋体"/>
          <w:color w:val="000000" w:themeColor="text1"/>
          <w:lang w:eastAsia="zh-CN" w:bidi="ar"/>
          <w14:textFill>
            <w14:solidFill>
              <w14:schemeClr w14:val="tx1"/>
            </w14:solidFill>
          </w14:textFill>
        </w:rPr>
        <w:t>兆瓦，用地</w:t>
      </w:r>
      <w:r>
        <w:rPr>
          <w:rFonts w:cs="Times New Roman"/>
          <w:color w:val="000000" w:themeColor="text1"/>
          <w:lang w:eastAsia="zh-CN" w:bidi="ar"/>
          <w14:textFill>
            <w14:solidFill>
              <w14:schemeClr w14:val="tx1"/>
            </w14:solidFill>
          </w14:textFill>
        </w:rPr>
        <w:t>0.2</w:t>
      </w:r>
      <w:r>
        <w:rPr>
          <w:rFonts w:hint="eastAsia" w:ascii="宋体" w:hAnsi="宋体" w:cs="宋体"/>
          <w:color w:val="000000" w:themeColor="text1"/>
          <w:lang w:eastAsia="zh-CN" w:bidi="ar"/>
          <w14:textFill>
            <w14:solidFill>
              <w14:schemeClr w14:val="tx1"/>
            </w14:solidFill>
          </w14:textFill>
        </w:rPr>
        <w:t>公顷。麦子屯单元为规划6</w:t>
      </w:r>
      <w:r>
        <w:rPr>
          <w:rFonts w:cs="Times New Roman"/>
          <w:color w:val="000000" w:themeColor="text1"/>
          <w:lang w:eastAsia="zh-CN" w:bidi="ar"/>
          <w14:textFill>
            <w14:solidFill>
              <w14:schemeClr w14:val="tx1"/>
            </w14:solidFill>
          </w14:textFill>
        </w:rPr>
        <w:t>6kV</w:t>
      </w:r>
      <w:r>
        <w:rPr>
          <w:rFonts w:hint="eastAsia" w:ascii="宋体" w:hAnsi="宋体" w:cs="宋体"/>
          <w:color w:val="000000" w:themeColor="text1"/>
          <w:lang w:eastAsia="zh-CN" w:bidi="ar"/>
          <w14:textFill>
            <w14:solidFill>
              <w14:schemeClr w14:val="tx1"/>
            </w14:solidFill>
          </w14:textFill>
        </w:rPr>
        <w:t>变电所，规模</w:t>
      </w:r>
      <w:r>
        <w:rPr>
          <w:rFonts w:cs="Times New Roman"/>
          <w:color w:val="000000" w:themeColor="text1"/>
          <w:lang w:eastAsia="zh-CN" w:bidi="ar"/>
          <w14:textFill>
            <w14:solidFill>
              <w14:schemeClr w14:val="tx1"/>
            </w14:solidFill>
          </w14:textFill>
        </w:rPr>
        <w:t>2</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40</w:t>
      </w:r>
      <w:r>
        <w:rPr>
          <w:rFonts w:hint="eastAsia" w:ascii="宋体" w:hAnsi="宋体" w:cs="宋体"/>
          <w:color w:val="000000" w:themeColor="text1"/>
          <w:lang w:eastAsia="zh-CN" w:bidi="ar"/>
          <w14:textFill>
            <w14:solidFill>
              <w14:schemeClr w14:val="tx1"/>
            </w14:solidFill>
          </w14:textFill>
        </w:rPr>
        <w:t>兆瓦，用地</w:t>
      </w:r>
      <w:r>
        <w:rPr>
          <w:rFonts w:cs="Times New Roman"/>
          <w:color w:val="000000" w:themeColor="text1"/>
          <w:lang w:eastAsia="zh-CN" w:bidi="ar"/>
          <w14:textFill>
            <w14:solidFill>
              <w14:schemeClr w14:val="tx1"/>
            </w14:solidFill>
          </w14:textFill>
        </w:rPr>
        <w:t>0.2</w:t>
      </w:r>
      <w:r>
        <w:rPr>
          <w:rFonts w:hint="eastAsia" w:ascii="宋体" w:hAnsi="宋体" w:cs="宋体"/>
          <w:color w:val="000000" w:themeColor="text1"/>
          <w:lang w:eastAsia="zh-CN" w:bidi="ar"/>
          <w14:textFill>
            <w14:solidFill>
              <w14:schemeClr w14:val="tx1"/>
            </w14:solidFill>
          </w14:textFill>
        </w:rPr>
        <w:t>公顷。石庙子单元为</w:t>
      </w:r>
      <w:r>
        <w:rPr>
          <w:rFonts w:cs="Times New Roman"/>
          <w:color w:val="000000" w:themeColor="text1"/>
          <w:lang w:eastAsia="zh-CN" w:bidi="ar"/>
          <w14:textFill>
            <w14:solidFill>
              <w14:schemeClr w14:val="tx1"/>
            </w14:solidFill>
          </w14:textFill>
        </w:rPr>
        <w:t>1</w:t>
      </w:r>
      <w:r>
        <w:rPr>
          <w:rFonts w:hint="eastAsia" w:ascii="宋体" w:hAnsi="宋体" w:cs="宋体"/>
          <w:color w:val="000000" w:themeColor="text1"/>
          <w:lang w:eastAsia="zh-CN" w:bidi="ar"/>
          <w14:textFill>
            <w14:solidFill>
              <w14:schemeClr w14:val="tx1"/>
            </w14:solidFill>
          </w14:textFill>
        </w:rPr>
        <w:t>处有轨电车变电站，用地面积</w:t>
      </w:r>
      <w:r>
        <w:rPr>
          <w:rFonts w:cs="Times New Roman"/>
          <w:color w:val="000000" w:themeColor="text1"/>
          <w:lang w:eastAsia="zh-CN" w:bidi="ar"/>
          <w14:textFill>
            <w14:solidFill>
              <w14:schemeClr w14:val="tx1"/>
            </w14:solidFill>
          </w14:textFill>
        </w:rPr>
        <w:t>0.2</w:t>
      </w:r>
      <w:r>
        <w:rPr>
          <w:rFonts w:hint="eastAsia" w:ascii="宋体" w:hAnsi="宋体" w:cs="宋体"/>
          <w:color w:val="000000" w:themeColor="text1"/>
          <w:lang w:eastAsia="zh-CN" w:bidi="ar"/>
          <w14:textFill>
            <w14:solidFill>
              <w14:schemeClr w14:val="tx1"/>
            </w14:solidFill>
          </w14:textFill>
        </w:rPr>
        <w:t>公顷；王家湾单元为规划</w:t>
      </w:r>
      <w:r>
        <w:rPr>
          <w:rFonts w:cs="Times New Roman"/>
          <w:color w:val="000000" w:themeColor="text1"/>
          <w:lang w:eastAsia="zh-CN" w:bidi="ar"/>
          <w14:textFill>
            <w14:solidFill>
              <w14:schemeClr w14:val="tx1"/>
            </w14:solidFill>
          </w14:textFill>
        </w:rPr>
        <w:t>66kV</w:t>
      </w:r>
      <w:r>
        <w:rPr>
          <w:rFonts w:hint="eastAsia" w:ascii="宋体" w:hAnsi="宋体" w:cs="宋体"/>
          <w:color w:val="000000" w:themeColor="text1"/>
          <w:lang w:eastAsia="zh-CN" w:bidi="ar"/>
          <w14:textFill>
            <w14:solidFill>
              <w14:schemeClr w14:val="tx1"/>
            </w14:solidFill>
          </w14:textFill>
        </w:rPr>
        <w:t>巴彦变电所，规模</w:t>
      </w:r>
      <w:r>
        <w:rPr>
          <w:rFonts w:cs="Times New Roman"/>
          <w:color w:val="000000" w:themeColor="text1"/>
          <w:lang w:eastAsia="zh-CN" w:bidi="ar"/>
          <w14:textFill>
            <w14:solidFill>
              <w14:schemeClr w14:val="tx1"/>
            </w14:solidFill>
          </w14:textFill>
        </w:rPr>
        <w:t>2</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40</w:t>
      </w:r>
      <w:r>
        <w:rPr>
          <w:rFonts w:hint="eastAsia" w:ascii="宋体" w:hAnsi="宋体" w:cs="宋体"/>
          <w:color w:val="000000" w:themeColor="text1"/>
          <w:lang w:eastAsia="zh-CN" w:bidi="ar"/>
          <w14:textFill>
            <w14:solidFill>
              <w14:schemeClr w14:val="tx1"/>
            </w14:solidFill>
          </w14:textFill>
        </w:rPr>
        <w:t>兆瓦，用地</w:t>
      </w:r>
      <w:r>
        <w:rPr>
          <w:rFonts w:cs="Times New Roman"/>
          <w:color w:val="000000" w:themeColor="text1"/>
          <w:lang w:eastAsia="zh-CN" w:bidi="ar"/>
          <w14:textFill>
            <w14:solidFill>
              <w14:schemeClr w14:val="tx1"/>
            </w14:solidFill>
          </w14:textFill>
        </w:rPr>
        <w:t>0.2</w:t>
      </w:r>
      <w:r>
        <w:rPr>
          <w:rFonts w:hint="eastAsia" w:ascii="宋体" w:hAnsi="宋体" w:cs="宋体"/>
          <w:color w:val="000000" w:themeColor="text1"/>
          <w:lang w:eastAsia="zh-CN" w:bidi="ar"/>
          <w14:textFill>
            <w14:solidFill>
              <w14:schemeClr w14:val="tx1"/>
            </w14:solidFill>
          </w14:textFill>
        </w:rPr>
        <w:t>公顷；杨官单元分别为现状张官变电所，规模</w:t>
      </w:r>
      <w:r>
        <w:rPr>
          <w:rFonts w:cs="Times New Roman"/>
          <w:color w:val="000000" w:themeColor="text1"/>
          <w:lang w:eastAsia="zh-CN" w:bidi="ar"/>
          <w14:textFill>
            <w14:solidFill>
              <w14:schemeClr w14:val="tx1"/>
            </w14:solidFill>
          </w14:textFill>
        </w:rPr>
        <w:t>2</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240</w:t>
      </w:r>
      <w:r>
        <w:rPr>
          <w:rFonts w:hint="eastAsia" w:ascii="宋体" w:hAnsi="宋体" w:cs="宋体"/>
          <w:color w:val="000000" w:themeColor="text1"/>
          <w:lang w:eastAsia="zh-CN" w:bidi="ar"/>
          <w14:textFill>
            <w14:solidFill>
              <w14:schemeClr w14:val="tx1"/>
            </w14:solidFill>
          </w14:textFill>
        </w:rPr>
        <w:t>兆瓦，用地</w:t>
      </w:r>
      <w:r>
        <w:rPr>
          <w:rFonts w:cs="Times New Roman"/>
          <w:color w:val="000000" w:themeColor="text1"/>
          <w:lang w:eastAsia="zh-CN" w:bidi="ar"/>
          <w14:textFill>
            <w14:solidFill>
              <w14:schemeClr w14:val="tx1"/>
            </w14:solidFill>
          </w14:textFill>
        </w:rPr>
        <w:t>4.4</w:t>
      </w:r>
      <w:r>
        <w:rPr>
          <w:rFonts w:hint="eastAsia" w:ascii="宋体" w:hAnsi="宋体" w:cs="宋体"/>
          <w:color w:val="000000" w:themeColor="text1"/>
          <w:lang w:eastAsia="zh-CN" w:bidi="ar"/>
          <w14:textFill>
            <w14:solidFill>
              <w14:schemeClr w14:val="tx1"/>
            </w14:solidFill>
          </w14:textFill>
        </w:rPr>
        <w:t>公顷；有轨电车变电所，用地</w:t>
      </w:r>
      <w:r>
        <w:rPr>
          <w:rFonts w:cs="Times New Roman"/>
          <w:color w:val="000000" w:themeColor="text1"/>
          <w:lang w:eastAsia="zh-CN" w:bidi="ar"/>
          <w14:textFill>
            <w14:solidFill>
              <w14:schemeClr w14:val="tx1"/>
            </w14:solidFill>
          </w14:textFill>
        </w:rPr>
        <w:t>0.02</w:t>
      </w:r>
      <w:r>
        <w:rPr>
          <w:rFonts w:hint="eastAsia" w:ascii="宋体" w:hAnsi="宋体" w:cs="宋体"/>
          <w:color w:val="000000" w:themeColor="text1"/>
          <w:lang w:eastAsia="zh-CN" w:bidi="ar"/>
          <w14:textFill>
            <w14:solidFill>
              <w14:schemeClr w14:val="tx1"/>
            </w14:solidFill>
          </w14:textFill>
        </w:rPr>
        <w:t>公顷；现状杨官变电所，规模</w:t>
      </w:r>
      <w:r>
        <w:rPr>
          <w:rFonts w:cs="Times New Roman"/>
          <w:color w:val="000000" w:themeColor="text1"/>
          <w:lang w:eastAsia="zh-CN" w:bidi="ar"/>
          <w14:textFill>
            <w14:solidFill>
              <w14:schemeClr w14:val="tx1"/>
            </w14:solidFill>
          </w14:textFill>
        </w:rPr>
        <w:t>3</w:t>
      </w:r>
      <w:r>
        <w:rPr>
          <w:rFonts w:hint="eastAsia" w:ascii="宋体" w:hAnsi="宋体" w:cs="宋体"/>
          <w:color w:val="000000" w:themeColor="text1"/>
          <w:lang w:eastAsia="zh-CN" w:bidi="ar"/>
          <w14:textFill>
            <w14:solidFill>
              <w14:schemeClr w14:val="tx1"/>
            </w14:solidFill>
          </w14:textFill>
        </w:rPr>
        <w:t>×</w:t>
      </w:r>
      <w:r>
        <w:rPr>
          <w:rFonts w:cs="Times New Roman"/>
          <w:color w:val="000000" w:themeColor="text1"/>
          <w:lang w:eastAsia="zh-CN" w:bidi="ar"/>
          <w14:textFill>
            <w14:solidFill>
              <w14:schemeClr w14:val="tx1"/>
            </w14:solidFill>
          </w14:textFill>
        </w:rPr>
        <w:t>50</w:t>
      </w:r>
      <w:r>
        <w:rPr>
          <w:rFonts w:hint="eastAsia" w:ascii="宋体" w:hAnsi="宋体" w:cs="宋体"/>
          <w:color w:val="000000" w:themeColor="text1"/>
          <w:lang w:eastAsia="zh-CN" w:bidi="ar"/>
          <w14:textFill>
            <w14:solidFill>
              <w14:schemeClr w14:val="tx1"/>
            </w14:solidFill>
          </w14:textFill>
        </w:rPr>
        <w:t>兆瓦，用地</w:t>
      </w:r>
      <w:r>
        <w:rPr>
          <w:rFonts w:cs="Times New Roman"/>
          <w:color w:val="000000" w:themeColor="text1"/>
          <w:lang w:eastAsia="zh-CN" w:bidi="ar"/>
          <w14:textFill>
            <w14:solidFill>
              <w14:schemeClr w14:val="tx1"/>
            </w14:solidFill>
          </w14:textFill>
        </w:rPr>
        <w:t>0.02</w:t>
      </w:r>
      <w:r>
        <w:rPr>
          <w:rFonts w:hint="eastAsia" w:ascii="宋体" w:hAnsi="宋体" w:cs="宋体"/>
          <w:color w:val="000000" w:themeColor="text1"/>
          <w:lang w:eastAsia="zh-CN" w:bidi="ar"/>
          <w14:textFill>
            <w14:solidFill>
              <w14:schemeClr w14:val="tx1"/>
            </w14:solidFill>
          </w14:textFill>
        </w:rPr>
        <w:t>公顷。</w:t>
      </w:r>
      <w:r>
        <w:rPr>
          <w:rFonts w:cs="Times New Roman"/>
          <w:color w:val="000000" w:themeColor="text1"/>
          <w:lang w:eastAsia="zh-CN"/>
          <w14:textFill>
            <w14:solidFill>
              <w14:schemeClr w14:val="tx1"/>
            </w14:solidFill>
          </w14:textFill>
        </w:rPr>
        <w:t>满足</w:t>
      </w:r>
      <w:r>
        <w:rPr>
          <w:rFonts w:hint="eastAsia" w:cs="Times New Roman"/>
          <w:color w:val="000000" w:themeColor="text1"/>
          <w:lang w:eastAsia="zh-CN"/>
          <w14:textFill>
            <w14:solidFill>
              <w14:schemeClr w14:val="tx1"/>
            </w14:solidFill>
          </w14:textFill>
        </w:rPr>
        <w:t>国际新兴产业园区</w:t>
      </w:r>
      <w:r>
        <w:rPr>
          <w:rFonts w:cs="Times New Roman"/>
          <w:color w:val="000000" w:themeColor="text1"/>
          <w:lang w:eastAsia="zh-CN"/>
          <w14:textFill>
            <w14:solidFill>
              <w14:schemeClr w14:val="tx1"/>
            </w14:solidFill>
          </w14:textFill>
        </w:rPr>
        <w:t>用电需求。</w:t>
      </w:r>
      <w:bookmarkEnd w:id="88"/>
    </w:p>
    <w:p>
      <w:pPr>
        <w:pStyle w:val="10"/>
        <w:rPr>
          <w:rFonts w:cs="Times New Roman"/>
          <w:b/>
          <w:bCs/>
          <w:lang w:eastAsia="zh-CN"/>
        </w:rPr>
      </w:pPr>
      <w:r>
        <w:rPr>
          <w:rFonts w:cs="Times New Roman"/>
          <w:b/>
          <w:bCs/>
          <w:lang w:eastAsia="zh-CN"/>
        </w:rPr>
        <w:t xml:space="preserve">2.3.4.5燃气 </w:t>
      </w:r>
    </w:p>
    <w:p>
      <w:pPr>
        <w:ind w:firstLine="480"/>
        <w:rPr>
          <w:rFonts w:cs="Times New Roman"/>
          <w:lang w:eastAsia="zh-CN"/>
        </w:rPr>
      </w:pPr>
      <w:bookmarkStart w:id="89" w:name="_Hlk55158952"/>
      <w:r>
        <w:rPr>
          <w:rFonts w:cs="Times New Roman"/>
          <w:lang w:eastAsia="zh-CN"/>
        </w:rPr>
        <w:t>规划区现有燃气管道基本普及，居民住宅及部分企业均实现了燃气的供应，气源主要引自</w:t>
      </w:r>
      <w:r>
        <w:rPr>
          <w:rFonts w:hint="eastAsia" w:cs="Times New Roman"/>
          <w:lang w:eastAsia="zh-CN"/>
        </w:rPr>
        <w:t>国际新兴产业园区</w:t>
      </w:r>
      <w:r>
        <w:rPr>
          <w:rFonts w:cs="Times New Roman"/>
          <w:lang w:eastAsia="zh-CN"/>
        </w:rPr>
        <w:t xml:space="preserve">内次高压中压燃气管线。 </w:t>
      </w:r>
    </w:p>
    <w:p>
      <w:pPr>
        <w:pStyle w:val="10"/>
        <w:rPr>
          <w:rFonts w:cs="Times New Roman"/>
          <w:lang w:eastAsia="zh-CN"/>
        </w:rPr>
      </w:pPr>
      <w:r>
        <w:rPr>
          <w:rFonts w:cs="Times New Roman"/>
          <w:b/>
          <w:bCs/>
          <w:lang w:eastAsia="zh-CN"/>
        </w:rPr>
        <w:t>2.3.4.6环卫</w:t>
      </w:r>
      <w:r>
        <w:rPr>
          <w:rFonts w:cs="Times New Roman"/>
          <w:lang w:eastAsia="zh-CN"/>
        </w:rPr>
        <w:t xml:space="preserve"> </w:t>
      </w:r>
    </w:p>
    <w:p>
      <w:pPr>
        <w:ind w:firstLine="480"/>
        <w:rPr>
          <w:rFonts w:cs="Times New Roman"/>
          <w:lang w:eastAsia="zh-CN"/>
        </w:rPr>
      </w:pPr>
      <w:r>
        <w:rPr>
          <w:rFonts w:cs="Times New Roman"/>
          <w:lang w:eastAsia="zh-CN"/>
        </w:rPr>
        <w:t>目前</w:t>
      </w:r>
      <w:r>
        <w:rPr>
          <w:rFonts w:hint="eastAsia" w:cs="Times New Roman"/>
          <w:lang w:eastAsia="zh-CN"/>
        </w:rPr>
        <w:t>国际新兴产业园区</w:t>
      </w:r>
      <w:r>
        <w:rPr>
          <w:rFonts w:cs="Times New Roman"/>
          <w:lang w:eastAsia="zh-CN"/>
        </w:rPr>
        <w:t>城镇生活垃圾的容器化收集率达100%；城区粪便纳入污水处理系统；垃圾、粪便的无害化处理率达到100%；公共厕所数量、分布符合国家规范，水冲率达100%。</w:t>
      </w:r>
      <w:bookmarkEnd w:id="89"/>
      <w:r>
        <w:rPr>
          <w:rFonts w:cs="Times New Roman"/>
          <w:lang w:eastAsia="zh-CN"/>
        </w:rPr>
        <w:t xml:space="preserve"> </w:t>
      </w:r>
    </w:p>
    <w:p>
      <w:pPr>
        <w:pStyle w:val="9"/>
        <w:rPr>
          <w:rFonts w:ascii="Times New Roman" w:hAnsi="Times New Roman"/>
        </w:rPr>
      </w:pPr>
      <w:bookmarkStart w:id="90" w:name="_Toc14511"/>
      <w:r>
        <w:rPr>
          <w:rFonts w:ascii="Times New Roman" w:hAnsi="Times New Roman"/>
        </w:rPr>
        <w:t>2.3.5  污染物排放情况</w:t>
      </w:r>
      <w:bookmarkEnd w:id="90"/>
    </w:p>
    <w:p>
      <w:pPr>
        <w:pStyle w:val="10"/>
        <w:rPr>
          <w:rFonts w:cs="Times New Roman"/>
          <w:b/>
          <w:bCs/>
          <w:lang w:eastAsia="zh-CN"/>
        </w:rPr>
      </w:pPr>
      <w:r>
        <w:rPr>
          <w:rFonts w:cs="Times New Roman"/>
          <w:b/>
          <w:bCs/>
          <w:lang w:eastAsia="zh-CN"/>
        </w:rPr>
        <w:t>2.3.5.1废气</w:t>
      </w:r>
    </w:p>
    <w:p>
      <w:pPr>
        <w:ind w:firstLine="480"/>
        <w:rPr>
          <w:rFonts w:cs="Times New Roman"/>
          <w:lang w:eastAsia="zh-CN"/>
        </w:rPr>
      </w:pPr>
      <w:r>
        <w:rPr>
          <w:rFonts w:hint="eastAsia" w:cs="Times New Roman"/>
          <w:lang w:eastAsia="zh-CN"/>
        </w:rPr>
        <w:t>国际新兴产业园区</w:t>
      </w:r>
      <w:r>
        <w:rPr>
          <w:rFonts w:cs="Times New Roman"/>
          <w:lang w:eastAsia="zh-CN"/>
        </w:rPr>
        <w:t>内企业大气污染物排放情况详见表2.3-7，企业数据采用全国第二次污染源普查数据。</w:t>
      </w:r>
    </w:p>
    <w:p>
      <w:pPr>
        <w:pStyle w:val="20"/>
        <w:spacing w:line="240" w:lineRule="auto"/>
        <w:jc w:val="center"/>
        <w:rPr>
          <w:rFonts w:ascii="Times New Roman" w:hAnsi="Times New Roman" w:eastAsia="宋体" w:cs="Times New Roman"/>
          <w:b/>
          <w:bCs/>
          <w:sz w:val="21"/>
          <w:szCs w:val="21"/>
          <w:lang w:eastAsia="zh-CN"/>
        </w:rPr>
        <w:sectPr>
          <w:footerReference r:id="rId15" w:type="default"/>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20"/>
        <w:spacing w:line="240" w:lineRule="auto"/>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 xml:space="preserve">表2.3-7   </w:t>
      </w:r>
      <w:r>
        <w:rPr>
          <w:rFonts w:hint="eastAsia" w:ascii="Times New Roman" w:hAnsi="Times New Roman" w:eastAsia="宋体" w:cs="Times New Roman"/>
          <w:b/>
          <w:bCs/>
          <w:sz w:val="21"/>
          <w:szCs w:val="21"/>
          <w:lang w:eastAsia="zh-CN"/>
        </w:rPr>
        <w:t>国际新兴产业园区</w:t>
      </w:r>
      <w:r>
        <w:rPr>
          <w:rFonts w:ascii="Times New Roman" w:hAnsi="Times New Roman" w:eastAsia="宋体" w:cs="Times New Roman"/>
          <w:b/>
          <w:bCs/>
          <w:sz w:val="21"/>
          <w:szCs w:val="21"/>
          <w:lang w:eastAsia="zh-CN"/>
        </w:rPr>
        <w:t>内企业大气污染物排放情况污染物排放情况</w:t>
      </w:r>
    </w:p>
    <w:tbl>
      <w:tblPr>
        <w:tblStyle w:val="64"/>
        <w:tblpPr w:leftFromText="180" w:rightFromText="180" w:vertAnchor="text" w:horzAnchor="page" w:tblpX="1541" w:tblpY="129"/>
        <w:tblOverlap w:val="never"/>
        <w:tblW w:w="4996"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3"/>
        <w:gridCol w:w="6232"/>
        <w:gridCol w:w="1683"/>
        <w:gridCol w:w="1754"/>
        <w:gridCol w:w="1547"/>
        <w:gridCol w:w="180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90" w:hRule="atLeast"/>
        </w:trPr>
        <w:tc>
          <w:tcPr>
            <w:tcW w:w="420" w:type="pct"/>
            <w:shd w:val="clear" w:color="auto" w:fill="auto"/>
            <w:vAlign w:val="center"/>
          </w:tcPr>
          <w:p>
            <w:pPr>
              <w:pStyle w:val="16"/>
              <w:spacing w:line="400" w:lineRule="exact"/>
              <w:rPr>
                <w:rFonts w:ascii="Times New Roman" w:hAnsi="Times New Roman"/>
                <w:b/>
                <w:bCs/>
                <w:sz w:val="21"/>
              </w:rPr>
            </w:pPr>
            <w:r>
              <w:rPr>
                <w:rFonts w:ascii="Times New Roman" w:hAnsi="Times New Roman"/>
                <w:b/>
                <w:bCs/>
                <w:sz w:val="21"/>
              </w:rPr>
              <w:t>序号</w:t>
            </w:r>
          </w:p>
        </w:tc>
        <w:tc>
          <w:tcPr>
            <w:tcW w:w="2191" w:type="pct"/>
            <w:shd w:val="clear" w:color="auto" w:fill="auto"/>
            <w:vAlign w:val="center"/>
          </w:tcPr>
          <w:p>
            <w:pPr>
              <w:pStyle w:val="16"/>
              <w:spacing w:line="400" w:lineRule="exact"/>
              <w:rPr>
                <w:rFonts w:ascii="Times New Roman" w:hAnsi="Times New Roman"/>
                <w:b/>
                <w:bCs/>
                <w:sz w:val="21"/>
              </w:rPr>
            </w:pPr>
            <w:r>
              <w:rPr>
                <w:rFonts w:ascii="Times New Roman" w:hAnsi="Times New Roman"/>
                <w:b/>
                <w:bCs/>
                <w:sz w:val="21"/>
              </w:rPr>
              <w:t>企业（项目）名称</w:t>
            </w:r>
          </w:p>
        </w:tc>
        <w:tc>
          <w:tcPr>
            <w:tcW w:w="592" w:type="pct"/>
            <w:vAlign w:val="center"/>
          </w:tcPr>
          <w:p>
            <w:pPr>
              <w:pStyle w:val="16"/>
              <w:spacing w:line="400" w:lineRule="exact"/>
              <w:rPr>
                <w:rFonts w:ascii="Times New Roman" w:hAnsi="Times New Roman"/>
                <w:b/>
                <w:bCs/>
                <w:sz w:val="21"/>
              </w:rPr>
            </w:pPr>
            <w:r>
              <w:rPr>
                <w:rFonts w:ascii="Times New Roman" w:hAnsi="Times New Roman"/>
                <w:b/>
                <w:bCs/>
                <w:sz w:val="21"/>
              </w:rPr>
              <w:t>SO</w:t>
            </w:r>
            <w:r>
              <w:rPr>
                <w:rFonts w:ascii="Times New Roman" w:hAnsi="Times New Roman"/>
                <w:b/>
                <w:bCs/>
                <w:sz w:val="21"/>
                <w:vertAlign w:val="subscript"/>
              </w:rPr>
              <w:t>2</w:t>
            </w:r>
            <w:r>
              <w:rPr>
                <w:rFonts w:ascii="Times New Roman" w:hAnsi="Times New Roman"/>
                <w:b/>
                <w:bCs/>
                <w:sz w:val="21"/>
              </w:rPr>
              <w:t>/t/a</w:t>
            </w:r>
          </w:p>
        </w:tc>
        <w:tc>
          <w:tcPr>
            <w:tcW w:w="617" w:type="pct"/>
            <w:vAlign w:val="center"/>
          </w:tcPr>
          <w:p>
            <w:pPr>
              <w:pStyle w:val="16"/>
              <w:spacing w:line="400" w:lineRule="exact"/>
              <w:rPr>
                <w:rFonts w:ascii="Times New Roman" w:hAnsi="Times New Roman"/>
                <w:b/>
                <w:bCs/>
                <w:sz w:val="21"/>
              </w:rPr>
            </w:pPr>
            <w:r>
              <w:rPr>
                <w:rFonts w:ascii="Times New Roman" w:hAnsi="Times New Roman"/>
                <w:b/>
                <w:bCs/>
                <w:sz w:val="21"/>
              </w:rPr>
              <w:t>NOx/t/a</w:t>
            </w:r>
          </w:p>
        </w:tc>
        <w:tc>
          <w:tcPr>
            <w:tcW w:w="544" w:type="pct"/>
            <w:vAlign w:val="center"/>
          </w:tcPr>
          <w:p>
            <w:pPr>
              <w:pStyle w:val="16"/>
              <w:spacing w:line="400" w:lineRule="exact"/>
              <w:rPr>
                <w:rFonts w:ascii="Times New Roman" w:hAnsi="Times New Roman"/>
                <w:b/>
                <w:bCs/>
                <w:sz w:val="21"/>
              </w:rPr>
            </w:pPr>
            <w:r>
              <w:rPr>
                <w:rFonts w:ascii="Times New Roman" w:hAnsi="Times New Roman"/>
                <w:b/>
                <w:bCs/>
                <w:sz w:val="21"/>
              </w:rPr>
              <w:t>颗粒物/t/a</w:t>
            </w:r>
          </w:p>
        </w:tc>
        <w:tc>
          <w:tcPr>
            <w:tcW w:w="633" w:type="pct"/>
            <w:vAlign w:val="center"/>
          </w:tcPr>
          <w:p>
            <w:pPr>
              <w:pStyle w:val="16"/>
              <w:spacing w:line="400" w:lineRule="exact"/>
              <w:rPr>
                <w:rFonts w:ascii="Times New Roman" w:hAnsi="Times New Roman"/>
                <w:b/>
                <w:bCs/>
                <w:sz w:val="21"/>
              </w:rPr>
            </w:pPr>
            <w:r>
              <w:rPr>
                <w:rFonts w:ascii="Times New Roman" w:hAnsi="Times New Roman"/>
                <w:b/>
                <w:bCs/>
                <w:sz w:val="21"/>
              </w:rPr>
              <w:t>VOC/</w:t>
            </w:r>
            <w:r>
              <w:rPr>
                <w:rFonts w:hint="eastAsia" w:ascii="Times New Roman" w:hAnsi="Times New Roman"/>
                <w:b/>
                <w:bCs/>
                <w:sz w:val="21"/>
              </w:rPr>
              <w:t>kg/a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1</w:t>
            </w:r>
          </w:p>
        </w:tc>
        <w:tc>
          <w:tcPr>
            <w:tcW w:w="2191" w:type="pct"/>
            <w:shd w:val="clear" w:color="auto" w:fill="auto"/>
            <w:vAlign w:val="center"/>
          </w:tcPr>
          <w:p>
            <w:pPr>
              <w:widowControl/>
              <w:spacing w:line="400" w:lineRule="exact"/>
              <w:ind w:firstLine="0" w:firstLineChars="0"/>
              <w:jc w:val="center"/>
              <w:rPr>
                <w:sz w:val="21"/>
                <w:szCs w:val="21"/>
                <w:lang w:eastAsia="zh-CN"/>
              </w:rPr>
            </w:pPr>
            <w:r>
              <w:rPr>
                <w:rFonts w:cs="Times New Roman"/>
                <w:color w:val="000000" w:themeColor="text1"/>
                <w:sz w:val="21"/>
                <w:szCs w:val="21"/>
                <w:lang w:eastAsia="zh-CN" w:bidi="ar"/>
                <w14:textFill>
                  <w14:solidFill>
                    <w14:schemeClr w14:val="tx1"/>
                  </w14:solidFill>
                </w14:textFill>
              </w:rPr>
              <w:t>沈阳金纳新材料股份有限公司</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0.07</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0.395775</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4.373507</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29.4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2</w:t>
            </w:r>
          </w:p>
        </w:tc>
        <w:tc>
          <w:tcPr>
            <w:tcW w:w="2191" w:type="pct"/>
            <w:shd w:val="clear" w:color="auto" w:fill="auto"/>
            <w:vAlign w:val="center"/>
          </w:tcPr>
          <w:p>
            <w:pPr>
              <w:widowControl/>
              <w:spacing w:line="400" w:lineRule="exact"/>
              <w:ind w:firstLine="0" w:firstLineChars="0"/>
              <w:jc w:val="center"/>
              <w:rPr>
                <w:sz w:val="21"/>
                <w:szCs w:val="21"/>
                <w:lang w:eastAsia="zh-CN"/>
              </w:rPr>
            </w:pPr>
            <w:r>
              <w:rPr>
                <w:rFonts w:cs="Times New Roman"/>
                <w:color w:val="000000" w:themeColor="text1"/>
                <w:sz w:val="21"/>
                <w:szCs w:val="21"/>
                <w:lang w:eastAsia="zh-CN" w:bidi="ar"/>
                <w14:textFill>
                  <w14:solidFill>
                    <w14:schemeClr w14:val="tx1"/>
                  </w14:solidFill>
                </w14:textFill>
              </w:rPr>
              <w:t>沈阳浑南热力有限责任公司（第三热源厂)</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269.41585</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379.8274</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142.1036</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3</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沈阳和泰筛分机械设备有限公司</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0.12</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4</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沈阳盛飞达市政工程有限公司</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0.93</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165.41</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78.64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ascii="Times New Roman" w:hAnsi="Times New Roman"/>
                <w:sz w:val="21"/>
              </w:rPr>
              <w:t>5</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沈阳杨猛包装制造有限公司</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0.12</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0.32</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7.88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6</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沈阳凯翔包装制造有限公司</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0.64</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7</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沈阳市东陵区汪石水泥制管厂</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0.25</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0.33</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15.75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8</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沈阳永旺混凝土有限公司</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1.86</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14.59</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157.28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9</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辽宁沈石机械设备制造有限公司</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0.04</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10</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沈阳市浑南区祥盛源工艺品厂</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spacing w:line="400" w:lineRule="exact"/>
              <w:ind w:firstLine="0" w:firstLineChars="0"/>
              <w:jc w:val="center"/>
              <w:rPr>
                <w:sz w:val="21"/>
                <w:szCs w:val="21"/>
                <w:lang w:eastAsia="zh-CN"/>
              </w:rPr>
            </w:pPr>
            <w:r>
              <w:rPr>
                <w:rFonts w:hint="eastAsia"/>
                <w:sz w:val="21"/>
                <w:szCs w:val="21"/>
                <w:lang w:eastAsia="zh-CN"/>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13.50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11</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沈阳市大天九塑料厂</w:t>
            </w:r>
          </w:p>
        </w:tc>
        <w:tc>
          <w:tcPr>
            <w:tcW w:w="592"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spacing w:line="400" w:lineRule="exact"/>
              <w:ind w:firstLine="0" w:firstLineChars="0"/>
              <w:jc w:val="center"/>
              <w:rPr>
                <w:sz w:val="21"/>
                <w:szCs w:val="21"/>
              </w:rPr>
            </w:pPr>
            <w:r>
              <w:rPr>
                <w:rFonts w:hint="eastAsia"/>
                <w:sz w:val="21"/>
                <w:szCs w:val="21"/>
                <w:lang w:eastAsia="zh-CN"/>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17.55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12</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沈阳市东风发动机配件厂</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spacing w:line="400" w:lineRule="exact"/>
              <w:ind w:firstLine="0" w:firstLineChars="0"/>
              <w:jc w:val="center"/>
              <w:rPr>
                <w:sz w:val="21"/>
                <w:szCs w:val="21"/>
              </w:rPr>
            </w:pPr>
            <w:r>
              <w:rPr>
                <w:rFonts w:hint="eastAsia"/>
                <w:sz w:val="21"/>
                <w:szCs w:val="21"/>
                <w:lang w:eastAsia="zh-CN"/>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0.90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13</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沈阳东强机械零部件有限公司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spacing w:line="400" w:lineRule="exact"/>
              <w:ind w:firstLine="0" w:firstLineChars="0"/>
              <w:jc w:val="center"/>
              <w:rPr>
                <w:sz w:val="21"/>
                <w:szCs w:val="21"/>
              </w:rPr>
            </w:pPr>
            <w:r>
              <w:rPr>
                <w:rFonts w:hint="eastAsia"/>
                <w:sz w:val="21"/>
                <w:szCs w:val="21"/>
                <w:lang w:eastAsia="zh-CN"/>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14</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沈阳市华缙精密配件厂</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spacing w:line="400" w:lineRule="exact"/>
              <w:ind w:firstLine="0" w:firstLineChars="0"/>
              <w:jc w:val="center"/>
              <w:rPr>
                <w:sz w:val="21"/>
                <w:szCs w:val="21"/>
              </w:rPr>
            </w:pPr>
            <w:r>
              <w:rPr>
                <w:rFonts w:hint="eastAsia"/>
                <w:sz w:val="21"/>
                <w:szCs w:val="21"/>
                <w:lang w:eastAsia="zh-CN"/>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0.85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15</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沈阳凌空翱翔聚氨酯橡胶制品厂</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0.03</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3.69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16</w:t>
            </w:r>
          </w:p>
        </w:tc>
        <w:tc>
          <w:tcPr>
            <w:tcW w:w="2191" w:type="pct"/>
            <w:shd w:val="clear" w:color="auto" w:fill="auto"/>
            <w:vAlign w:val="center"/>
          </w:tcPr>
          <w:p>
            <w:pPr>
              <w:pStyle w:val="16"/>
              <w:spacing w:line="400" w:lineRule="exact"/>
              <w:rPr>
                <w:rFonts w:ascii="Times New Roman" w:hAnsi="Times New Roman"/>
                <w:sz w:val="21"/>
              </w:rPr>
            </w:pPr>
            <w:r>
              <w:rPr>
                <w:rFonts w:ascii="Times New Roman" w:hAnsi="Times New Roman"/>
                <w:color w:val="000000" w:themeColor="text1"/>
                <w:sz w:val="21"/>
                <w14:textFill>
                  <w14:solidFill>
                    <w14:schemeClr w14:val="tx1"/>
                  </w14:solidFill>
                </w14:textFill>
              </w:rPr>
              <w:t>沈阳春硕建材有限公司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0.47</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17</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沈阳金通创业建筑材料有限公司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2970.0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18</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沈阳高新区中泰成套电器开关厂</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0.03</w:t>
            </w:r>
          </w:p>
        </w:tc>
        <w:tc>
          <w:tcPr>
            <w:tcW w:w="633" w:type="pct"/>
            <w:vAlign w:val="center"/>
          </w:tcPr>
          <w:p>
            <w:pPr>
              <w:spacing w:line="400" w:lineRule="exact"/>
              <w:ind w:firstLine="0" w:firstLineChars="0"/>
              <w:jc w:val="center"/>
              <w:rPr>
                <w:sz w:val="21"/>
                <w:szCs w:val="21"/>
                <w:lang w:eastAsia="zh-CN"/>
              </w:rPr>
            </w:pPr>
            <w:r>
              <w:rPr>
                <w:rFonts w:hint="eastAsia"/>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19</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沈阳东方路通公路材料有限公司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3.90</w:t>
            </w:r>
          </w:p>
        </w:tc>
        <w:tc>
          <w:tcPr>
            <w:tcW w:w="633" w:type="pct"/>
            <w:vAlign w:val="center"/>
          </w:tcPr>
          <w:p>
            <w:pPr>
              <w:spacing w:line="400" w:lineRule="exact"/>
              <w:ind w:firstLine="0" w:firstLineChars="0"/>
              <w:jc w:val="center"/>
              <w:rPr>
                <w:sz w:val="21"/>
                <w:szCs w:val="21"/>
                <w:lang w:eastAsia="zh-CN"/>
              </w:rPr>
            </w:pPr>
            <w:r>
              <w:rPr>
                <w:rFonts w:hint="eastAsia"/>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20</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沈阳天星试验仪器有限公司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6.00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21</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沈阳汇博热能设备有限公司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0.01</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0.37</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1.16</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84.33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22</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沈阳鞍东混凝土产业有限公司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1.86</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0.13</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157.28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23</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辽宁金帆标识有限公司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0.01</w:t>
            </w:r>
          </w:p>
        </w:tc>
        <w:tc>
          <w:tcPr>
            <w:tcW w:w="633" w:type="pct"/>
            <w:vAlign w:val="center"/>
          </w:tcPr>
          <w:p>
            <w:pPr>
              <w:spacing w:line="400" w:lineRule="exact"/>
              <w:ind w:firstLine="0" w:firstLineChars="0"/>
              <w:jc w:val="center"/>
              <w:rPr>
                <w:sz w:val="21"/>
                <w:szCs w:val="21"/>
              </w:rPr>
            </w:pPr>
            <w:r>
              <w:rPr>
                <w:rFonts w:hint="eastAsia"/>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24</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沈阳市东陵区伟涛铁艺加工部</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0.01</w:t>
            </w:r>
          </w:p>
        </w:tc>
        <w:tc>
          <w:tcPr>
            <w:tcW w:w="633" w:type="pct"/>
            <w:vAlign w:val="center"/>
          </w:tcPr>
          <w:p>
            <w:pPr>
              <w:spacing w:line="400" w:lineRule="exact"/>
              <w:ind w:firstLine="0" w:firstLineChars="0"/>
              <w:jc w:val="center"/>
              <w:rPr>
                <w:sz w:val="21"/>
                <w:szCs w:val="21"/>
              </w:rPr>
            </w:pPr>
            <w:r>
              <w:rPr>
                <w:rFonts w:hint="eastAsia"/>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25</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沈阳市同泰印刷有限公司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color w:val="000000" w:themeColor="text1"/>
                <w:sz w:val="21"/>
                <w14:textFill>
                  <w14:solidFill>
                    <w14:schemeClr w14:val="tx1"/>
                  </w14:solidFill>
                </w14:textFill>
              </w:rPr>
              <w:t>2.80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26</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沈阳赛利肯集成电路装备有限公司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0.02</w:t>
            </w:r>
          </w:p>
        </w:tc>
        <w:tc>
          <w:tcPr>
            <w:tcW w:w="633" w:type="pct"/>
            <w:vAlign w:val="center"/>
          </w:tcPr>
          <w:p>
            <w:pPr>
              <w:pStyle w:val="16"/>
              <w:spacing w:line="400" w:lineRule="exact"/>
              <w:rPr>
                <w:rFonts w:ascii="Times New Roman" w:hAnsi="Times New Roman"/>
                <w:sz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27</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沈阳海为电力装备股份有限公司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0.03</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434.01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28</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沈阳长新金属制品有限公司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0.12</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13.80</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7.88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29</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沈阳天之美印务有限公司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spacing w:line="400" w:lineRule="exact"/>
              <w:ind w:firstLine="0" w:firstLineChars="0"/>
              <w:jc w:val="center"/>
              <w:rPr>
                <w:sz w:val="21"/>
                <w:szCs w:val="21"/>
              </w:rPr>
            </w:pPr>
            <w:r>
              <w:rPr>
                <w:rFonts w:hint="eastAsia"/>
                <w:sz w:val="21"/>
                <w:szCs w:val="21"/>
                <w:lang w:eastAsia="zh-CN"/>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3.50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30</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沈阳晟新钛金制品有限公司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spacing w:line="400" w:lineRule="exact"/>
              <w:ind w:firstLine="0" w:firstLineChars="0"/>
              <w:jc w:val="center"/>
              <w:rPr>
                <w:sz w:val="21"/>
                <w:szCs w:val="21"/>
              </w:rPr>
            </w:pPr>
            <w:r>
              <w:rPr>
                <w:rFonts w:hint="eastAsia"/>
                <w:sz w:val="21"/>
                <w:szCs w:val="21"/>
                <w:lang w:eastAsia="zh-CN"/>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31</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辽宁远大诺康生物制药有限公司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spacing w:line="400" w:lineRule="exact"/>
              <w:ind w:firstLine="0" w:firstLineChars="0"/>
              <w:jc w:val="center"/>
              <w:rPr>
                <w:sz w:val="21"/>
                <w:szCs w:val="21"/>
              </w:rPr>
            </w:pPr>
            <w:r>
              <w:rPr>
                <w:rFonts w:hint="eastAsia"/>
                <w:sz w:val="21"/>
                <w:szCs w:val="21"/>
                <w:lang w:eastAsia="zh-CN"/>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2.69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32</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沈阳华强机电设备制造有限公司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0.95</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33</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辽宁远东新型管业发展有限公司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17" w:type="pct"/>
            <w:vAlign w:val="center"/>
          </w:tcPr>
          <w:p>
            <w:pPr>
              <w:pStyle w:val="16"/>
              <w:spacing w:line="400" w:lineRule="exact"/>
              <w:rPr>
                <w:rFonts w:ascii="Times New Roman" w:hAnsi="Times New Roman"/>
                <w:sz w:val="21"/>
              </w:rPr>
            </w:pPr>
            <w:r>
              <w:rPr>
                <w:rFonts w:hint="eastAsia" w:ascii="Times New Roman" w:hAnsi="Times New Roman"/>
                <w:sz w:val="21"/>
              </w:rPr>
              <w:t>0.12</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1.33</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339.38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34</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沈阳益普应用技术研究所</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0.01</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0.23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35</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沈阳市华缙精密配件厂</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547"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0.85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36</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沈阳维持自动化设备有限公司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547"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800" w:type="dxa"/>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37</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沈阳市沈城标准件厂</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547"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800" w:type="dxa"/>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38</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沈阳天贺新材料开发有限公司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547"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0.03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39</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沈阳市方胜兴业热风幕制造有限公司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0.19</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20" w:type="pct"/>
            <w:shd w:val="clear" w:color="auto" w:fill="auto"/>
            <w:vAlign w:val="center"/>
          </w:tcPr>
          <w:p>
            <w:pPr>
              <w:pStyle w:val="16"/>
              <w:spacing w:line="400" w:lineRule="exact"/>
              <w:rPr>
                <w:rFonts w:ascii="Times New Roman" w:hAnsi="Times New Roman"/>
                <w:sz w:val="21"/>
              </w:rPr>
            </w:pPr>
            <w:r>
              <w:rPr>
                <w:rFonts w:hint="eastAsia" w:ascii="Times New Roman" w:hAnsi="Times New Roman"/>
                <w:sz w:val="21"/>
              </w:rPr>
              <w:t>40</w:t>
            </w:r>
          </w:p>
        </w:tc>
        <w:tc>
          <w:tcPr>
            <w:tcW w:w="2191" w:type="pct"/>
            <w:shd w:val="clear" w:color="auto" w:fill="auto"/>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沈阳蓝英工业自动化装备股份有限公司</w:t>
            </w:r>
          </w:p>
        </w:tc>
        <w:tc>
          <w:tcPr>
            <w:tcW w:w="1683"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1754" w:type="dxa"/>
            <w:vAlign w:val="center"/>
          </w:tcPr>
          <w:p>
            <w:pPr>
              <w:pStyle w:val="16"/>
              <w:spacing w:line="400" w:lineRule="exact"/>
              <w:rPr>
                <w:rFonts w:ascii="Times New Roman" w:hAnsi="Times New Roman"/>
                <w:sz w:val="21"/>
              </w:rPr>
            </w:pPr>
            <w:r>
              <w:rPr>
                <w:rFonts w:hint="eastAsia" w:ascii="Times New Roman" w:hAnsi="Times New Roman"/>
                <w:sz w:val="21"/>
              </w:rPr>
              <w:t>/</w:t>
            </w:r>
          </w:p>
        </w:tc>
        <w:tc>
          <w:tcPr>
            <w:tcW w:w="544" w:type="pct"/>
            <w:vAlign w:val="center"/>
          </w:tcPr>
          <w:p>
            <w:pPr>
              <w:pStyle w:val="16"/>
              <w:spacing w:line="400" w:lineRule="exact"/>
              <w:rPr>
                <w:rFonts w:ascii="Times New Roman" w:hAnsi="Times New Roman"/>
                <w:sz w:val="21"/>
              </w:rPr>
            </w:pPr>
            <w:r>
              <w:rPr>
                <w:rFonts w:hint="eastAsia" w:ascii="Times New Roman" w:hAnsi="Times New Roman"/>
                <w:sz w:val="21"/>
              </w:rPr>
              <w:t>2.57</w:t>
            </w:r>
          </w:p>
        </w:tc>
        <w:tc>
          <w:tcPr>
            <w:tcW w:w="633" w:type="pct"/>
            <w:vAlign w:val="center"/>
          </w:tcPr>
          <w:p>
            <w:pPr>
              <w:pStyle w:val="16"/>
              <w:spacing w:line="400" w:lineRule="exact"/>
              <w:rPr>
                <w:rFonts w:ascii="Times New Roman" w:hAnsi="Times New Roman"/>
                <w:sz w:val="21"/>
              </w:rPr>
            </w:pPr>
            <w:r>
              <w:rPr>
                <w:rFonts w:hint="eastAsia" w:ascii="Times New Roman" w:hAnsi="Times New Roman"/>
                <w:sz w:val="21"/>
              </w:rPr>
              <w:t>9.02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2612" w:type="pct"/>
            <w:gridSpan w:val="2"/>
            <w:shd w:val="clear" w:color="auto" w:fill="auto"/>
            <w:vAlign w:val="center"/>
          </w:tcPr>
          <w:p>
            <w:pPr>
              <w:pStyle w:val="16"/>
              <w:spacing w:line="400" w:lineRule="exact"/>
              <w:rPr>
                <w:rFonts w:ascii="Times New Roman" w:hAnsi="Times New Roman"/>
                <w:sz w:val="21"/>
              </w:rPr>
            </w:pPr>
            <w:r>
              <w:rPr>
                <w:rFonts w:ascii="Times New Roman" w:hAnsi="Times New Roman"/>
                <w:sz w:val="21"/>
              </w:rPr>
              <w:t>合计</w:t>
            </w:r>
          </w:p>
        </w:tc>
        <w:tc>
          <w:tcPr>
            <w:tcW w:w="1683" w:type="dxa"/>
            <w:vAlign w:val="center"/>
          </w:tcPr>
          <w:p>
            <w:pPr>
              <w:widowControl/>
              <w:spacing w:line="400" w:lineRule="exact"/>
              <w:ind w:firstLine="0" w:firstLineChars="0"/>
              <w:jc w:val="center"/>
              <w:textAlignment w:val="center"/>
              <w:rPr>
                <w:rFonts w:cs="Times New Roman"/>
                <w:sz w:val="21"/>
                <w:szCs w:val="21"/>
                <w:lang w:eastAsia="zh-CN"/>
              </w:rPr>
            </w:pPr>
            <w:r>
              <w:rPr>
                <w:rFonts w:cs="Times New Roman"/>
                <w:sz w:val="21"/>
                <w:szCs w:val="21"/>
                <w:lang w:eastAsia="zh-CN"/>
              </w:rPr>
              <w:t>269.4</w:t>
            </w:r>
            <w:r>
              <w:rPr>
                <w:rFonts w:hint="eastAsia" w:cs="Times New Roman"/>
                <w:sz w:val="21"/>
                <w:szCs w:val="21"/>
                <w:lang w:eastAsia="zh-CN"/>
              </w:rPr>
              <w:t>9</w:t>
            </w:r>
            <w:r>
              <w:rPr>
                <w:rFonts w:cs="Times New Roman"/>
                <w:sz w:val="21"/>
                <w:szCs w:val="21"/>
                <w:lang w:eastAsia="zh-CN"/>
              </w:rPr>
              <w:t>585</w:t>
            </w:r>
          </w:p>
        </w:tc>
        <w:tc>
          <w:tcPr>
            <w:tcW w:w="1754" w:type="dxa"/>
            <w:vAlign w:val="center"/>
          </w:tcPr>
          <w:p>
            <w:pPr>
              <w:widowControl/>
              <w:spacing w:line="400" w:lineRule="exact"/>
              <w:ind w:firstLine="0" w:firstLineChars="0"/>
              <w:jc w:val="center"/>
              <w:textAlignment w:val="center"/>
              <w:rPr>
                <w:rFonts w:cs="Times New Roman"/>
                <w:sz w:val="21"/>
                <w:szCs w:val="21"/>
                <w:lang w:eastAsia="zh-CN"/>
              </w:rPr>
            </w:pPr>
            <w:r>
              <w:rPr>
                <w:rFonts w:cs="Times New Roman"/>
                <w:sz w:val="21"/>
                <w:szCs w:val="21"/>
                <w:lang w:eastAsia="zh-CN"/>
              </w:rPr>
              <w:t>385.853175</w:t>
            </w:r>
          </w:p>
        </w:tc>
        <w:tc>
          <w:tcPr>
            <w:tcW w:w="1547" w:type="dxa"/>
            <w:vAlign w:val="center"/>
          </w:tcPr>
          <w:p>
            <w:pPr>
              <w:widowControl/>
              <w:spacing w:line="400" w:lineRule="exact"/>
              <w:ind w:firstLine="0" w:firstLineChars="0"/>
              <w:jc w:val="center"/>
              <w:textAlignment w:val="center"/>
              <w:rPr>
                <w:rFonts w:cs="Times New Roman"/>
                <w:sz w:val="21"/>
                <w:szCs w:val="21"/>
                <w:lang w:eastAsia="zh-CN"/>
              </w:rPr>
            </w:pPr>
            <w:r>
              <w:rPr>
                <w:rFonts w:cs="Times New Roman"/>
                <w:sz w:val="21"/>
                <w:szCs w:val="21"/>
                <w:lang w:eastAsia="zh-CN"/>
              </w:rPr>
              <w:t>352.567107</w:t>
            </w:r>
          </w:p>
        </w:tc>
        <w:tc>
          <w:tcPr>
            <w:tcW w:w="1800" w:type="dxa"/>
            <w:vAlign w:val="center"/>
          </w:tcPr>
          <w:p>
            <w:pPr>
              <w:widowControl/>
              <w:spacing w:line="400" w:lineRule="exact"/>
              <w:ind w:firstLine="0" w:firstLineChars="0"/>
              <w:jc w:val="center"/>
              <w:textAlignment w:val="center"/>
              <w:rPr>
                <w:rFonts w:cs="Times New Roman"/>
                <w:sz w:val="21"/>
                <w:szCs w:val="21"/>
                <w:lang w:eastAsia="zh-CN"/>
              </w:rPr>
            </w:pPr>
            <w:r>
              <w:rPr>
                <w:rFonts w:hint="eastAsia" w:cs="Times New Roman"/>
                <w:sz w:val="21"/>
                <w:szCs w:val="21"/>
                <w:lang w:eastAsia="zh-CN"/>
              </w:rPr>
              <w:t>4343.44</w:t>
            </w:r>
          </w:p>
        </w:tc>
      </w:tr>
    </w:tbl>
    <w:p>
      <w:pPr>
        <w:ind w:firstLine="480"/>
        <w:sectPr>
          <w:pgSz w:w="16840" w:h="11910" w:orient="landscape"/>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ind w:firstLine="480"/>
        <w:rPr>
          <w:color w:val="000000" w:themeColor="text1"/>
          <w:lang w:eastAsia="zh-CN"/>
          <w14:textFill>
            <w14:solidFill>
              <w14:schemeClr w14:val="tx1"/>
            </w14:solidFill>
          </w14:textFill>
        </w:rPr>
      </w:pPr>
      <w:r>
        <w:rPr>
          <w:color w:val="000000" w:themeColor="text1"/>
          <w:lang w:eastAsia="zh-CN"/>
          <w14:textFill>
            <w14:solidFill>
              <w14:schemeClr w14:val="tx1"/>
            </w14:solidFill>
          </w14:textFill>
        </w:rPr>
        <w:t>由上表可知，2019年开发区SO</w:t>
      </w:r>
      <w:r>
        <w:rPr>
          <w:color w:val="000000" w:themeColor="text1"/>
          <w:vertAlign w:val="subscript"/>
          <w:lang w:eastAsia="zh-CN"/>
          <w14:textFill>
            <w14:solidFill>
              <w14:schemeClr w14:val="tx1"/>
            </w14:solidFill>
          </w14:textFill>
        </w:rPr>
        <w:t>2</w:t>
      </w:r>
      <w:r>
        <w:rPr>
          <w:color w:val="000000" w:themeColor="text1"/>
          <w:lang w:eastAsia="zh-CN"/>
          <w14:textFill>
            <w14:solidFill>
              <w14:schemeClr w14:val="tx1"/>
            </w14:solidFill>
          </w14:textFill>
        </w:rPr>
        <w:t>的年排放总量为</w:t>
      </w:r>
      <w:r>
        <w:rPr>
          <w:rFonts w:hint="eastAsia"/>
          <w:color w:val="000000" w:themeColor="text1"/>
          <w:lang w:eastAsia="zh-CN"/>
          <w14:textFill>
            <w14:solidFill>
              <w14:schemeClr w14:val="tx1"/>
            </w14:solidFill>
          </w14:textFill>
        </w:rPr>
        <w:t>269.50</w:t>
      </w:r>
      <w:r>
        <w:rPr>
          <w:color w:val="000000" w:themeColor="text1"/>
          <w:lang w:eastAsia="zh-CN"/>
          <w14:textFill>
            <w14:solidFill>
              <w14:schemeClr w14:val="tx1"/>
            </w14:solidFill>
          </w14:textFill>
        </w:rPr>
        <w:t>t，NO</w:t>
      </w:r>
      <w:r>
        <w:rPr>
          <w:color w:val="000000" w:themeColor="text1"/>
          <w:vertAlign w:val="subscript"/>
          <w:lang w:eastAsia="zh-CN"/>
          <w14:textFill>
            <w14:solidFill>
              <w14:schemeClr w14:val="tx1"/>
            </w14:solidFill>
          </w14:textFill>
        </w:rPr>
        <w:t>X</w:t>
      </w:r>
      <w:r>
        <w:rPr>
          <w:color w:val="000000" w:themeColor="text1"/>
          <w:lang w:eastAsia="zh-CN"/>
          <w14:textFill>
            <w14:solidFill>
              <w14:schemeClr w14:val="tx1"/>
            </w14:solidFill>
          </w14:textFill>
        </w:rPr>
        <w:t>的年排放总量为</w:t>
      </w:r>
      <w:r>
        <w:rPr>
          <w:rFonts w:hint="eastAsia"/>
          <w:color w:val="000000" w:themeColor="text1"/>
          <w:lang w:eastAsia="zh-CN"/>
          <w14:textFill>
            <w14:solidFill>
              <w14:schemeClr w14:val="tx1"/>
            </w14:solidFill>
          </w14:textFill>
        </w:rPr>
        <w:t>385.85</w:t>
      </w:r>
      <w:r>
        <w:rPr>
          <w:color w:val="000000" w:themeColor="text1"/>
          <w:lang w:eastAsia="zh-CN"/>
          <w14:textFill>
            <w14:solidFill>
              <w14:schemeClr w14:val="tx1"/>
            </w14:solidFill>
          </w14:textFill>
        </w:rPr>
        <w:t>t，</w:t>
      </w:r>
      <w:r>
        <w:rPr>
          <w:rFonts w:hint="eastAsia"/>
          <w:color w:val="000000" w:themeColor="text1"/>
          <w:lang w:eastAsia="zh-CN"/>
          <w14:textFill>
            <w14:solidFill>
              <w14:schemeClr w14:val="tx1"/>
            </w14:solidFill>
          </w14:textFill>
        </w:rPr>
        <w:t>颗粒物</w:t>
      </w:r>
      <w:r>
        <w:rPr>
          <w:color w:val="000000" w:themeColor="text1"/>
          <w:lang w:eastAsia="zh-CN"/>
          <w14:textFill>
            <w14:solidFill>
              <w14:schemeClr w14:val="tx1"/>
            </w14:solidFill>
          </w14:textFill>
        </w:rPr>
        <w:t>的年排放总量为</w:t>
      </w:r>
      <w:r>
        <w:rPr>
          <w:rFonts w:hint="eastAsia"/>
          <w:color w:val="000000" w:themeColor="text1"/>
          <w:lang w:eastAsia="zh-CN"/>
          <w14:textFill>
            <w14:solidFill>
              <w14:schemeClr w14:val="tx1"/>
            </w14:solidFill>
          </w14:textFill>
        </w:rPr>
        <w:t>352.56</w:t>
      </w:r>
      <w:r>
        <w:rPr>
          <w:color w:val="000000" w:themeColor="text1"/>
          <w:lang w:eastAsia="zh-CN"/>
          <w14:textFill>
            <w14:solidFill>
              <w14:schemeClr w14:val="tx1"/>
            </w14:solidFill>
          </w14:textFill>
        </w:rPr>
        <w:t>t</w:t>
      </w:r>
      <w:r>
        <w:rPr>
          <w:rFonts w:hint="eastAsia"/>
          <w:color w:val="000000" w:themeColor="text1"/>
          <w:lang w:eastAsia="zh-CN"/>
          <w14:textFill>
            <w14:solidFill>
              <w14:schemeClr w14:val="tx1"/>
            </w14:solidFill>
          </w14:textFill>
        </w:rPr>
        <w:t>，VOCs年排放总量为4.34t</w:t>
      </w:r>
      <w:r>
        <w:rPr>
          <w:color w:val="000000" w:themeColor="text1"/>
          <w:lang w:eastAsia="zh-CN"/>
          <w14:textFill>
            <w14:solidFill>
              <w14:schemeClr w14:val="tx1"/>
            </w14:solidFill>
          </w14:textFill>
        </w:rPr>
        <w:t>。</w:t>
      </w:r>
    </w:p>
    <w:p>
      <w:pPr>
        <w:ind w:firstLine="480"/>
        <w:jc w:val="left"/>
        <w:rPr>
          <w:bCs/>
          <w:color w:val="000000" w:themeColor="text1"/>
          <w:lang w:eastAsia="zh-CN"/>
          <w14:textFill>
            <w14:solidFill>
              <w14:schemeClr w14:val="tx1"/>
            </w14:solidFill>
          </w14:textFill>
        </w:rPr>
      </w:pPr>
      <w:r>
        <w:rPr>
          <w:bCs/>
          <w:color w:val="000000" w:themeColor="text1"/>
          <w:lang w:eastAsia="zh-CN"/>
          <w14:textFill>
            <w14:solidFill>
              <w14:schemeClr w14:val="tx1"/>
            </w14:solidFill>
          </w14:textFill>
        </w:rPr>
        <w:t>常规废气污染物排放主要来自非主导行业企业，</w:t>
      </w:r>
      <w:r>
        <w:rPr>
          <w:color w:val="000000" w:themeColor="text1"/>
          <w:lang w:eastAsia="zh-CN"/>
          <w14:textFill>
            <w14:solidFill>
              <w14:schemeClr w14:val="tx1"/>
            </w14:solidFill>
          </w14:textFill>
        </w:rPr>
        <w:t>主要原因是非主导行业中</w:t>
      </w:r>
      <w:r>
        <w:rPr>
          <w:rFonts w:cs="Times New Roman"/>
          <w:color w:val="000000" w:themeColor="text1"/>
          <w:lang w:eastAsia="zh-CN" w:bidi="ar"/>
          <w14:textFill>
            <w14:solidFill>
              <w14:schemeClr w14:val="tx1"/>
            </w14:solidFill>
          </w14:textFill>
        </w:rPr>
        <w:t>沈阳浑南热力有限责任公司（第三热源厂)</w:t>
      </w:r>
      <w:r>
        <w:rPr>
          <w:rFonts w:hint="eastAsia" w:cs="Times New Roman"/>
          <w:color w:val="000000" w:themeColor="text1"/>
          <w:lang w:eastAsia="zh-CN" w:bidi="ar"/>
          <w14:textFill>
            <w14:solidFill>
              <w14:schemeClr w14:val="tx1"/>
            </w14:solidFill>
          </w14:textFill>
        </w:rPr>
        <w:t>供暖锅炉</w:t>
      </w:r>
      <w:r>
        <w:rPr>
          <w:color w:val="000000" w:themeColor="text1"/>
          <w:lang w:eastAsia="zh-CN"/>
          <w14:textFill>
            <w14:solidFill>
              <w14:schemeClr w14:val="tx1"/>
            </w14:solidFill>
          </w14:textFill>
        </w:rPr>
        <w:t>所致。</w:t>
      </w:r>
    </w:p>
    <w:p>
      <w:pPr>
        <w:pStyle w:val="10"/>
        <w:rPr>
          <w:rFonts w:cs="Times New Roman"/>
          <w:b/>
          <w:bCs/>
          <w:lang w:eastAsia="zh-CN"/>
        </w:rPr>
      </w:pPr>
      <w:r>
        <w:rPr>
          <w:rFonts w:cs="Times New Roman"/>
          <w:b/>
          <w:bCs/>
          <w:lang w:eastAsia="zh-CN"/>
        </w:rPr>
        <w:t>2.3.5.2废水</w:t>
      </w:r>
    </w:p>
    <w:p>
      <w:pPr>
        <w:widowControl/>
        <w:ind w:firstLine="480"/>
        <w:rPr>
          <w:lang w:eastAsia="zh-CN"/>
        </w:rPr>
      </w:pPr>
      <w:r>
        <w:rPr>
          <w:rFonts w:hint="eastAsia" w:ascii="宋体" w:hAnsi="宋体" w:cs="宋体"/>
          <w:color w:val="000000"/>
          <w:lang w:eastAsia="zh-CN" w:bidi="ar"/>
        </w:rPr>
        <w:t xml:space="preserve">①生活源和农业源 </w:t>
      </w:r>
    </w:p>
    <w:p>
      <w:pPr>
        <w:widowControl/>
        <w:ind w:firstLine="480"/>
        <w:rPr>
          <w:lang w:eastAsia="zh-CN"/>
        </w:rPr>
      </w:pPr>
      <w:r>
        <w:rPr>
          <w:rFonts w:hint="eastAsia" w:ascii="宋体" w:hAnsi="宋体" w:cs="宋体"/>
          <w:color w:val="000000"/>
          <w:lang w:eastAsia="zh-CN" w:bidi="ar"/>
        </w:rPr>
        <w:t>规划区内的水污染源主要是养竹村居民生活产生的水污染物排放和已建成的居住小区水污染排放，区域内没有畜禽养殖存在，详细情况排放情况见表</w:t>
      </w:r>
      <w:r>
        <w:rPr>
          <w:rFonts w:hint="eastAsia" w:cs="Times New Roman"/>
          <w:color w:val="000000"/>
          <w:lang w:eastAsia="zh-CN" w:bidi="ar"/>
        </w:rPr>
        <w:t>2.3-8</w:t>
      </w:r>
      <w:r>
        <w:rPr>
          <w:rFonts w:hint="eastAsia" w:ascii="宋体" w:hAnsi="宋体" w:cs="宋体"/>
          <w:color w:val="000000"/>
          <w:lang w:eastAsia="zh-CN" w:bidi="ar"/>
        </w:rPr>
        <w:t>。</w:t>
      </w:r>
    </w:p>
    <w:p>
      <w:pPr>
        <w:widowControl/>
        <w:spacing w:line="240" w:lineRule="auto"/>
        <w:ind w:firstLine="0" w:firstLineChars="0"/>
        <w:jc w:val="center"/>
        <w:rPr>
          <w:rFonts w:cs="Times New Roman"/>
          <w:b/>
          <w:bCs/>
          <w:color w:val="000000"/>
          <w:sz w:val="21"/>
          <w:szCs w:val="21"/>
          <w:lang w:eastAsia="zh-CN" w:bidi="ar"/>
        </w:rPr>
      </w:pPr>
      <w:r>
        <w:rPr>
          <w:rFonts w:cs="Times New Roman"/>
          <w:b/>
          <w:bCs/>
          <w:color w:val="000000"/>
          <w:sz w:val="21"/>
          <w:szCs w:val="21"/>
          <w:lang w:eastAsia="zh-CN" w:bidi="ar"/>
        </w:rPr>
        <w:t>表2.3-8  规划区域内居民生活污水排放情况</w:t>
      </w:r>
    </w:p>
    <w:tbl>
      <w:tblPr>
        <w:tblStyle w:val="65"/>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1091"/>
        <w:gridCol w:w="1268"/>
        <w:gridCol w:w="1336"/>
        <w:gridCol w:w="1349"/>
        <w:gridCol w:w="1349"/>
        <w:gridCol w:w="134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名称</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总户数/户</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农村总人口/人</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废水排放量/10</w:t>
            </w:r>
            <w:r>
              <w:rPr>
                <w:rFonts w:hint="eastAsia" w:cs="Times New Roman"/>
                <w:color w:val="000000"/>
                <w:sz w:val="21"/>
                <w:szCs w:val="21"/>
                <w:vertAlign w:val="superscript"/>
                <w:lang w:eastAsia="zh-CN" w:bidi="ar"/>
              </w:rPr>
              <w:t>4</w:t>
            </w:r>
            <w:r>
              <w:rPr>
                <w:rFonts w:hint="eastAsia" w:cs="Times New Roman"/>
                <w:color w:val="000000"/>
                <w:sz w:val="21"/>
                <w:szCs w:val="21"/>
                <w:lang w:eastAsia="zh-CN" w:bidi="ar"/>
              </w:rPr>
              <w:t>t/a</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COD/t/a</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NH</w:t>
            </w:r>
            <w:r>
              <w:rPr>
                <w:rFonts w:hint="eastAsia" w:cs="Times New Roman"/>
                <w:color w:val="000000"/>
                <w:sz w:val="21"/>
                <w:szCs w:val="21"/>
                <w:vertAlign w:val="subscript"/>
                <w:lang w:eastAsia="zh-CN" w:bidi="ar"/>
              </w:rPr>
              <w:t>3</w:t>
            </w:r>
            <w:r>
              <w:rPr>
                <w:rFonts w:hint="eastAsia" w:cs="Times New Roman"/>
                <w:color w:val="000000"/>
                <w:sz w:val="21"/>
                <w:szCs w:val="21"/>
                <w:lang w:eastAsia="zh-CN" w:bidi="ar"/>
              </w:rPr>
              <w:t>-N/t/a</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排放去向</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养竹村委会</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516</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1940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10.40</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31.20</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2.91</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紫提东郡</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4000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9000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33.51</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16.75</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0.84</w:t>
            </w:r>
          </w:p>
        </w:tc>
        <w:tc>
          <w:tcPr>
            <w:tcW w:w="1349" w:type="dxa"/>
            <w:vMerge w:val="restart"/>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上夹河污水处理厂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荣盛锦绣观邸</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2400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4100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15.26</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7.63</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0.38</w:t>
            </w:r>
          </w:p>
        </w:tc>
        <w:tc>
          <w:tcPr>
            <w:tcW w:w="1349" w:type="dxa"/>
            <w:vMerge w:val="continue"/>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温馨港湾</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2000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5000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18.62</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9.31</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0.47</w:t>
            </w:r>
          </w:p>
        </w:tc>
        <w:tc>
          <w:tcPr>
            <w:tcW w:w="1349" w:type="dxa"/>
            <w:vMerge w:val="continue"/>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牛相村</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420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1630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9.52</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28.56</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2.67</w:t>
            </w:r>
          </w:p>
        </w:tc>
        <w:tc>
          <w:tcPr>
            <w:tcW w:w="1349" w:type="dxa"/>
            <w:tcBorders>
              <w:tl2br w:val="nil"/>
              <w:tr2bl w:val="nil"/>
            </w:tcBorders>
            <w:vAlign w:val="center"/>
          </w:tcPr>
          <w:p>
            <w:pPr>
              <w:widowControl/>
              <w:spacing w:line="400" w:lineRule="exact"/>
              <w:ind w:firstLine="0" w:firstLineChars="0"/>
              <w:jc w:val="center"/>
              <w:rPr>
                <w:rFonts w:hint="default" w:cs="Times New Roman"/>
                <w:color w:val="000000"/>
                <w:sz w:val="21"/>
                <w:szCs w:val="21"/>
                <w:lang w:val="en-US" w:eastAsia="zh-CN" w:bidi="ar"/>
              </w:rPr>
            </w:pPr>
            <w:r>
              <w:rPr>
                <w:rFonts w:hint="eastAsia" w:cs="Times New Roman"/>
                <w:color w:val="00000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水家村</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350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1500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8.76</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26.28</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2.45</w:t>
            </w:r>
          </w:p>
        </w:tc>
        <w:tc>
          <w:tcPr>
            <w:tcW w:w="1349" w:type="dxa"/>
            <w:tcBorders>
              <w:tl2br w:val="nil"/>
              <w:tr2bl w:val="nil"/>
            </w:tcBorders>
            <w:vAlign w:val="center"/>
          </w:tcPr>
          <w:p>
            <w:pPr>
              <w:widowControl/>
              <w:spacing w:line="400" w:lineRule="exact"/>
              <w:ind w:firstLine="0" w:firstLineChars="0"/>
              <w:jc w:val="center"/>
              <w:rPr>
                <w:rFonts w:hint="default" w:cs="Times New Roman"/>
                <w:color w:val="000000"/>
                <w:sz w:val="21"/>
                <w:szCs w:val="21"/>
                <w:lang w:val="en-US" w:eastAsia="zh-CN" w:bidi="ar"/>
              </w:rPr>
            </w:pPr>
            <w:r>
              <w:rPr>
                <w:rFonts w:hint="eastAsia" w:cs="Times New Roman"/>
                <w:color w:val="00000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恒大滨江左岸</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5000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12000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44.68</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22.34</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1.12</w:t>
            </w:r>
          </w:p>
        </w:tc>
        <w:tc>
          <w:tcPr>
            <w:tcW w:w="1349" w:type="dxa"/>
            <w:tcBorders>
              <w:tl2br w:val="nil"/>
              <w:tr2bl w:val="nil"/>
            </w:tcBorders>
            <w:vAlign w:val="center"/>
          </w:tcPr>
          <w:p>
            <w:pPr>
              <w:widowControl/>
              <w:spacing w:line="400" w:lineRule="exact"/>
              <w:ind w:firstLine="0" w:firstLineChars="0"/>
              <w:jc w:val="center"/>
              <w:rPr>
                <w:rFonts w:hint="default" w:cs="Times New Roman"/>
                <w:color w:val="000000"/>
                <w:sz w:val="21"/>
                <w:szCs w:val="21"/>
                <w:lang w:val="en-US" w:eastAsia="zh-CN" w:bidi="ar"/>
              </w:rPr>
            </w:pPr>
            <w:r>
              <w:rPr>
                <w:rFonts w:hint="eastAsia" w:cs="Times New Roman"/>
                <w:color w:val="00000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石庙子村委会</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645</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2568</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15</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44.99</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4.20</w:t>
            </w:r>
          </w:p>
        </w:tc>
        <w:tc>
          <w:tcPr>
            <w:tcW w:w="1349" w:type="dxa"/>
            <w:tcBorders>
              <w:tl2br w:val="nil"/>
              <w:tr2bl w:val="nil"/>
            </w:tcBorders>
            <w:vAlign w:val="center"/>
          </w:tcPr>
          <w:p>
            <w:pPr>
              <w:widowControl/>
              <w:spacing w:line="400" w:lineRule="exact"/>
              <w:ind w:firstLine="0" w:firstLineChars="0"/>
              <w:jc w:val="center"/>
              <w:rPr>
                <w:rFonts w:hint="default" w:cs="Times New Roman"/>
                <w:color w:val="000000"/>
                <w:sz w:val="21"/>
                <w:szCs w:val="21"/>
                <w:lang w:val="en-US" w:eastAsia="zh-CN" w:bidi="ar"/>
              </w:rPr>
            </w:pPr>
            <w:r>
              <w:rPr>
                <w:rFonts w:hint="eastAsia" w:cs="Times New Roman"/>
                <w:color w:val="00000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刘付屯村委会</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386</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1266</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7</w:t>
            </w:r>
            <w:r>
              <w:rPr>
                <w:rFonts w:hint="eastAsia" w:cs="Times New Roman"/>
                <w:color w:val="000000"/>
                <w:sz w:val="21"/>
                <w:szCs w:val="21"/>
                <w:lang w:val="en-US" w:eastAsia="zh-CN" w:bidi="ar"/>
              </w:rPr>
              <w:t>.</w:t>
            </w:r>
            <w:r>
              <w:rPr>
                <w:rFonts w:hint="eastAsia" w:cs="Times New Roman"/>
                <w:color w:val="000000"/>
                <w:sz w:val="21"/>
                <w:szCs w:val="21"/>
                <w:lang w:eastAsia="zh-CN" w:bidi="ar"/>
              </w:rPr>
              <w:t>39</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22.18</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2.07</w:t>
            </w:r>
          </w:p>
        </w:tc>
        <w:tc>
          <w:tcPr>
            <w:tcW w:w="1349" w:type="dxa"/>
            <w:tcBorders>
              <w:tl2br w:val="nil"/>
              <w:tr2bl w:val="nil"/>
            </w:tcBorders>
            <w:vAlign w:val="center"/>
          </w:tcPr>
          <w:p>
            <w:pPr>
              <w:widowControl/>
              <w:spacing w:line="400" w:lineRule="exact"/>
              <w:ind w:firstLine="0" w:firstLineChars="0"/>
              <w:jc w:val="center"/>
              <w:rPr>
                <w:rFonts w:hint="default" w:cs="Times New Roman"/>
                <w:color w:val="000000"/>
                <w:sz w:val="21"/>
                <w:szCs w:val="21"/>
                <w:lang w:val="en-US" w:eastAsia="zh-CN" w:bidi="ar"/>
              </w:rPr>
            </w:pPr>
            <w:r>
              <w:rPr>
                <w:rFonts w:hint="eastAsia" w:cs="Times New Roman"/>
                <w:color w:val="00000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东岗子村委会</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110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384</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w:t>
            </w:r>
            <w:r>
              <w:rPr>
                <w:rFonts w:hint="eastAsia" w:cs="Times New Roman"/>
                <w:color w:val="000000"/>
                <w:sz w:val="21"/>
                <w:szCs w:val="21"/>
                <w:lang w:val="en-US" w:eastAsia="zh-CN" w:bidi="ar"/>
              </w:rPr>
              <w:t>.</w:t>
            </w:r>
            <w:r>
              <w:rPr>
                <w:rFonts w:hint="eastAsia" w:cs="Times New Roman"/>
                <w:color w:val="000000"/>
                <w:sz w:val="21"/>
                <w:szCs w:val="21"/>
                <w:lang w:eastAsia="zh-CN" w:bidi="ar"/>
              </w:rPr>
              <w:t>24</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6.73</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0.63</w:t>
            </w:r>
          </w:p>
        </w:tc>
        <w:tc>
          <w:tcPr>
            <w:tcW w:w="1349" w:type="dxa"/>
            <w:tcBorders>
              <w:tl2br w:val="nil"/>
              <w:tr2bl w:val="nil"/>
            </w:tcBorders>
            <w:vAlign w:val="center"/>
          </w:tcPr>
          <w:p>
            <w:pPr>
              <w:widowControl/>
              <w:spacing w:line="400" w:lineRule="exact"/>
              <w:ind w:firstLine="0" w:firstLineChars="0"/>
              <w:jc w:val="center"/>
              <w:rPr>
                <w:rFonts w:hint="default" w:cs="Times New Roman"/>
                <w:color w:val="000000"/>
                <w:sz w:val="21"/>
                <w:szCs w:val="21"/>
                <w:lang w:val="en-US" w:eastAsia="zh-CN" w:bidi="ar"/>
              </w:rPr>
            </w:pPr>
            <w:r>
              <w:rPr>
                <w:rFonts w:hint="eastAsia" w:cs="Times New Roman"/>
                <w:color w:val="00000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金地艺境</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4954</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11000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40</w:t>
            </w:r>
            <w:r>
              <w:rPr>
                <w:rFonts w:hint="eastAsia" w:cs="Times New Roman"/>
                <w:color w:val="000000"/>
                <w:sz w:val="21"/>
                <w:szCs w:val="21"/>
                <w:lang w:val="en-US" w:eastAsia="zh-CN" w:bidi="ar"/>
              </w:rPr>
              <w:t>.</w:t>
            </w:r>
            <w:r>
              <w:rPr>
                <w:rFonts w:hint="eastAsia" w:cs="Times New Roman"/>
                <w:color w:val="000000"/>
                <w:sz w:val="21"/>
                <w:szCs w:val="21"/>
                <w:lang w:eastAsia="zh-CN" w:bidi="ar"/>
              </w:rPr>
              <w:t>95</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20.48</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1.02</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上夹河污水处理厂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 xml:space="preserve">麦子屯村 </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cs="Times New Roman"/>
                <w:color w:val="000000"/>
                <w:sz w:val="21"/>
                <w:szCs w:val="21"/>
                <w:lang w:eastAsia="zh-CN" w:bidi="ar"/>
              </w:rPr>
              <w:t xml:space="preserve">1258 </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cs="Times New Roman"/>
                <w:color w:val="000000"/>
                <w:sz w:val="21"/>
                <w:szCs w:val="21"/>
                <w:lang w:eastAsia="zh-CN" w:bidi="ar"/>
              </w:rPr>
              <w:t xml:space="preserve">4599 </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cs="Times New Roman"/>
                <w:color w:val="000000"/>
                <w:sz w:val="21"/>
                <w:szCs w:val="21"/>
                <w:lang w:eastAsia="zh-CN" w:bidi="ar"/>
              </w:rPr>
              <w:t>20</w:t>
            </w:r>
            <w:r>
              <w:rPr>
                <w:rFonts w:hint="eastAsia" w:cs="Times New Roman"/>
                <w:color w:val="000000"/>
                <w:sz w:val="21"/>
                <w:szCs w:val="21"/>
                <w:lang w:val="en-US" w:eastAsia="zh-CN" w:bidi="ar"/>
              </w:rPr>
              <w:t>.</w:t>
            </w:r>
            <w:r>
              <w:rPr>
                <w:rFonts w:cs="Times New Roman"/>
                <w:color w:val="000000"/>
                <w:sz w:val="21"/>
                <w:szCs w:val="21"/>
                <w:lang w:eastAsia="zh-CN" w:bidi="ar"/>
              </w:rPr>
              <w:t>43</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cs="Times New Roman"/>
                <w:color w:val="000000"/>
                <w:sz w:val="21"/>
                <w:szCs w:val="21"/>
                <w:lang w:eastAsia="zh-CN" w:bidi="ar"/>
              </w:rPr>
              <w:t>61.39</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cs="Times New Roman"/>
                <w:color w:val="000000"/>
                <w:sz w:val="21"/>
                <w:szCs w:val="21"/>
                <w:lang w:eastAsia="zh-CN" w:bidi="ar"/>
              </w:rPr>
              <w:t xml:space="preserve">5.68 </w:t>
            </w:r>
          </w:p>
        </w:tc>
        <w:tc>
          <w:tcPr>
            <w:tcW w:w="1349" w:type="dxa"/>
            <w:tcBorders>
              <w:tl2br w:val="nil"/>
              <w:tr2bl w:val="nil"/>
            </w:tcBorders>
            <w:vAlign w:val="center"/>
          </w:tcPr>
          <w:p>
            <w:pPr>
              <w:widowControl/>
              <w:spacing w:line="400" w:lineRule="exact"/>
              <w:ind w:firstLine="0" w:firstLineChars="0"/>
              <w:jc w:val="center"/>
              <w:rPr>
                <w:rFonts w:hint="default" w:cs="Times New Roman"/>
                <w:color w:val="000000"/>
                <w:sz w:val="21"/>
                <w:szCs w:val="21"/>
                <w:lang w:val="en-US" w:eastAsia="zh-CN" w:bidi="ar"/>
              </w:rPr>
            </w:pPr>
            <w:r>
              <w:rPr>
                <w:rFonts w:hint="eastAsia" w:cs="Times New Roman"/>
                <w:color w:val="00000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王家湾村委会</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191</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759</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4.1</w:t>
            </w:r>
          </w:p>
        </w:tc>
        <w:tc>
          <w:tcPr>
            <w:tcW w:w="1349" w:type="dxa"/>
            <w:tcBorders>
              <w:tl2br w:val="nil"/>
              <w:tr2bl w:val="nil"/>
            </w:tcBorders>
            <w:vAlign w:val="center"/>
          </w:tcPr>
          <w:p>
            <w:pPr>
              <w:widowControl/>
              <w:spacing w:line="400" w:lineRule="exact"/>
              <w:ind w:firstLine="0" w:firstLineChars="0"/>
              <w:jc w:val="center"/>
              <w:rPr>
                <w:rFonts w:hint="default" w:cs="Times New Roman"/>
                <w:color w:val="000000"/>
                <w:sz w:val="21"/>
                <w:szCs w:val="21"/>
                <w:lang w:val="en-US" w:eastAsia="zh-CN" w:bidi="ar"/>
              </w:rPr>
            </w:pPr>
            <w:r>
              <w:rPr>
                <w:rFonts w:hint="eastAsia" w:cs="Times New Roman"/>
                <w:color w:val="000000"/>
                <w:sz w:val="21"/>
                <w:szCs w:val="21"/>
                <w:lang w:eastAsia="zh-CN" w:bidi="ar"/>
              </w:rPr>
              <w:t>1</w:t>
            </w:r>
            <w:r>
              <w:rPr>
                <w:rFonts w:hint="eastAsia" w:cs="Times New Roman"/>
                <w:color w:val="000000"/>
                <w:sz w:val="21"/>
                <w:szCs w:val="21"/>
                <w:lang w:val="en-US" w:eastAsia="zh-CN" w:bidi="ar"/>
              </w:rPr>
              <w:t>7.7</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2.6</w:t>
            </w:r>
          </w:p>
        </w:tc>
        <w:tc>
          <w:tcPr>
            <w:tcW w:w="1349" w:type="dxa"/>
            <w:tcBorders>
              <w:tl2br w:val="nil"/>
              <w:tr2bl w:val="nil"/>
            </w:tcBorders>
            <w:vAlign w:val="center"/>
          </w:tcPr>
          <w:p>
            <w:pPr>
              <w:widowControl/>
              <w:spacing w:line="400" w:lineRule="exact"/>
              <w:ind w:firstLine="0" w:firstLineChars="0"/>
              <w:jc w:val="center"/>
              <w:rPr>
                <w:rFonts w:hint="default" w:cs="Times New Roman"/>
                <w:color w:val="000000"/>
                <w:sz w:val="21"/>
                <w:szCs w:val="21"/>
                <w:lang w:val="en-US" w:eastAsia="zh-CN" w:bidi="ar"/>
              </w:rPr>
            </w:pPr>
            <w:r>
              <w:rPr>
                <w:rFonts w:hint="eastAsia" w:cs="Times New Roman"/>
                <w:color w:val="00000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文欣苑</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2996</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7500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27.92</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13.96</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0.70</w:t>
            </w:r>
          </w:p>
        </w:tc>
        <w:tc>
          <w:tcPr>
            <w:tcW w:w="1349" w:type="dxa"/>
            <w:vMerge w:val="restart"/>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上夹河污水处理厂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其仕盛和祥</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2530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6200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23.08</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11.54</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0.58</w:t>
            </w:r>
          </w:p>
        </w:tc>
        <w:tc>
          <w:tcPr>
            <w:tcW w:w="1349" w:type="dxa"/>
            <w:vMerge w:val="continue"/>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恒大江湾</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1500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3900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14.52</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7.26</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0.36</w:t>
            </w:r>
          </w:p>
        </w:tc>
        <w:tc>
          <w:tcPr>
            <w:tcW w:w="1349" w:type="dxa"/>
            <w:vMerge w:val="continue"/>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格林阳光城</w:t>
            </w:r>
          </w:p>
        </w:tc>
        <w:tc>
          <w:tcPr>
            <w:tcW w:w="1091"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2100</w:t>
            </w:r>
          </w:p>
        </w:tc>
        <w:tc>
          <w:tcPr>
            <w:tcW w:w="1268"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5200</w:t>
            </w:r>
          </w:p>
        </w:tc>
        <w:tc>
          <w:tcPr>
            <w:tcW w:w="1336"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19.36</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9.68</w:t>
            </w:r>
          </w:p>
        </w:tc>
        <w:tc>
          <w:tcPr>
            <w:tcW w:w="1349" w:type="dxa"/>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0.48</w:t>
            </w:r>
          </w:p>
        </w:tc>
        <w:tc>
          <w:tcPr>
            <w:tcW w:w="1349" w:type="dxa"/>
            <w:vMerge w:val="continue"/>
            <w:tcBorders>
              <w:tl2br w:val="nil"/>
              <w:tr2bl w:val="nil"/>
            </w:tcBorders>
            <w:vAlign w:val="center"/>
          </w:tcPr>
          <w:p>
            <w:pPr>
              <w:widowControl/>
              <w:spacing w:line="400" w:lineRule="exact"/>
              <w:ind w:firstLine="0" w:firstLineChars="0"/>
              <w:jc w:val="center"/>
              <w:rPr>
                <w:rFonts w:cs="Times New Roman"/>
                <w:color w:val="000000"/>
                <w:sz w:val="21"/>
                <w:szCs w:val="21"/>
                <w:lang w:eastAsia="zh-CN" w:bidi="ar"/>
              </w:rPr>
            </w:pPr>
          </w:p>
        </w:tc>
      </w:tr>
    </w:tbl>
    <w:p>
      <w:pPr>
        <w:widowControl/>
        <w:ind w:firstLine="480"/>
      </w:pPr>
      <w:r>
        <w:rPr>
          <w:rFonts w:hint="eastAsia" w:ascii="宋体" w:hAnsi="宋体" w:cs="宋体"/>
          <w:color w:val="000000"/>
          <w:lang w:eastAsia="zh-CN" w:bidi="ar"/>
        </w:rPr>
        <w:t xml:space="preserve">②工业源 </w:t>
      </w:r>
    </w:p>
    <w:p>
      <w:pPr>
        <w:widowControl/>
        <w:ind w:firstLine="480"/>
        <w:rPr>
          <w:lang w:eastAsia="zh-CN"/>
        </w:rPr>
      </w:pPr>
      <w:r>
        <w:rPr>
          <w:rFonts w:hint="eastAsia" w:ascii="宋体" w:hAnsi="宋体" w:cs="宋体"/>
          <w:color w:val="000000"/>
          <w:lang w:eastAsia="zh-CN" w:bidi="ar"/>
        </w:rPr>
        <w:t>根据</w:t>
      </w:r>
      <w:r>
        <w:rPr>
          <w:rFonts w:cs="Times New Roman"/>
          <w:color w:val="000000"/>
          <w:lang w:eastAsia="zh-CN" w:bidi="ar"/>
        </w:rPr>
        <w:t>2018</w:t>
      </w:r>
      <w:r>
        <w:rPr>
          <w:rFonts w:hint="eastAsia" w:ascii="宋体" w:hAnsi="宋体" w:cs="宋体"/>
          <w:color w:val="000000"/>
          <w:lang w:eastAsia="zh-CN" w:bidi="ar"/>
        </w:rPr>
        <w:t>年环境统计数据和第二次污染源普查数据，规划区内重点工业废水污染源排放情况见表</w:t>
      </w:r>
      <w:r>
        <w:rPr>
          <w:rFonts w:hint="eastAsia" w:cs="Times New Roman"/>
          <w:color w:val="000000"/>
          <w:lang w:eastAsia="zh-CN" w:bidi="ar"/>
        </w:rPr>
        <w:t>2.3-9。</w:t>
      </w:r>
    </w:p>
    <w:p>
      <w:pPr>
        <w:pStyle w:val="20"/>
        <w:spacing w:line="240" w:lineRule="auto"/>
        <w:jc w:val="center"/>
        <w:rPr>
          <w:rFonts w:ascii="Times New Roman" w:hAnsi="Times New Roman" w:eastAsia="宋体" w:cs="Times New Roman"/>
          <w:b/>
          <w:bCs/>
          <w:sz w:val="21"/>
          <w:szCs w:val="21"/>
          <w:lang w:eastAsia="zh-CN"/>
        </w:rPr>
      </w:pPr>
    </w:p>
    <w:p>
      <w:pPr>
        <w:pStyle w:val="20"/>
        <w:spacing w:line="240" w:lineRule="auto"/>
        <w:jc w:val="cente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表2.3-9</w:t>
      </w:r>
      <w:r>
        <w:rPr>
          <w:rFonts w:ascii="Times New Roman" w:hAnsi="Times New Roman" w:eastAsia="宋体" w:cs="Times New Roman"/>
          <w:b/>
          <w:bCs/>
          <w:sz w:val="21"/>
          <w:szCs w:val="21"/>
          <w:lang w:eastAsia="zh-CN"/>
        </w:rPr>
        <w:tab/>
      </w:r>
      <w:r>
        <w:rPr>
          <w:rFonts w:ascii="Times New Roman" w:hAnsi="Times New Roman" w:eastAsia="宋体" w:cs="Times New Roman"/>
          <w:b/>
          <w:bCs/>
          <w:sz w:val="21"/>
          <w:szCs w:val="21"/>
          <w:lang w:eastAsia="zh-CN"/>
        </w:rPr>
        <w:t xml:space="preserve">  区域工业源污染物排放一览表</w:t>
      </w:r>
    </w:p>
    <w:tbl>
      <w:tblPr>
        <w:tblStyle w:val="64"/>
        <w:tblW w:w="4949" w:type="pct"/>
        <w:jc w:val="center"/>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238"/>
        <w:gridCol w:w="1520"/>
        <w:gridCol w:w="1698"/>
        <w:gridCol w:w="1739"/>
      </w:tblGrid>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9" w:hRule="atLeast"/>
          <w:jc w:val="center"/>
        </w:trPr>
        <w:tc>
          <w:tcPr>
            <w:tcW w:w="2303" w:type="pct"/>
            <w:vAlign w:val="center"/>
          </w:tcPr>
          <w:p>
            <w:pPr>
              <w:pStyle w:val="16"/>
              <w:spacing w:line="400" w:lineRule="exact"/>
              <w:rPr>
                <w:rFonts w:ascii="Times New Roman" w:hAnsi="Times New Roman"/>
                <w:b/>
                <w:bCs/>
                <w:sz w:val="21"/>
              </w:rPr>
            </w:pPr>
            <w:r>
              <w:rPr>
                <w:rFonts w:ascii="Times New Roman" w:hAnsi="Times New Roman"/>
                <w:b/>
                <w:bCs/>
                <w:sz w:val="21"/>
              </w:rPr>
              <w:t>污染来源</w:t>
            </w:r>
          </w:p>
        </w:tc>
        <w:tc>
          <w:tcPr>
            <w:tcW w:w="826" w:type="pct"/>
            <w:vAlign w:val="center"/>
          </w:tcPr>
          <w:p>
            <w:pPr>
              <w:widowControl/>
              <w:spacing w:line="400" w:lineRule="exact"/>
              <w:ind w:firstLine="0" w:firstLineChars="0"/>
              <w:jc w:val="center"/>
              <w:rPr>
                <w:b/>
                <w:bCs/>
                <w:sz w:val="21"/>
                <w:szCs w:val="21"/>
              </w:rPr>
            </w:pPr>
            <w:r>
              <w:rPr>
                <w:b/>
                <w:bCs/>
                <w:sz w:val="21"/>
                <w:szCs w:val="21"/>
              </w:rPr>
              <w:t>废水量</w:t>
            </w:r>
            <w:r>
              <w:rPr>
                <w:rFonts w:cs="Times New Roman"/>
                <w:color w:val="000000"/>
                <w:sz w:val="21"/>
                <w:szCs w:val="21"/>
                <w:lang w:eastAsia="zh-CN" w:bidi="ar"/>
              </w:rPr>
              <w:t>t/a</w:t>
            </w:r>
          </w:p>
        </w:tc>
        <w:tc>
          <w:tcPr>
            <w:tcW w:w="923" w:type="pct"/>
            <w:vAlign w:val="center"/>
          </w:tcPr>
          <w:p>
            <w:pPr>
              <w:pStyle w:val="16"/>
              <w:spacing w:line="400" w:lineRule="exact"/>
              <w:rPr>
                <w:rFonts w:ascii="Times New Roman" w:hAnsi="Times New Roman"/>
                <w:b/>
                <w:bCs/>
                <w:sz w:val="21"/>
              </w:rPr>
            </w:pPr>
            <w:r>
              <w:rPr>
                <w:rFonts w:ascii="Times New Roman" w:hAnsi="Times New Roman"/>
                <w:b/>
                <w:bCs/>
                <w:sz w:val="21"/>
              </w:rPr>
              <w:t>COD</w:t>
            </w:r>
            <w:r>
              <w:rPr>
                <w:rFonts w:hint="eastAsia" w:ascii="Times New Roman" w:hAnsi="Times New Roman"/>
                <w:b/>
                <w:bCs/>
                <w:sz w:val="21"/>
              </w:rPr>
              <w:t>t/a</w:t>
            </w:r>
          </w:p>
        </w:tc>
        <w:tc>
          <w:tcPr>
            <w:tcW w:w="946" w:type="pct"/>
            <w:vAlign w:val="center"/>
          </w:tcPr>
          <w:p>
            <w:pPr>
              <w:pStyle w:val="16"/>
              <w:spacing w:line="400" w:lineRule="exact"/>
              <w:rPr>
                <w:rFonts w:ascii="Times New Roman" w:hAnsi="Times New Roman"/>
                <w:b/>
                <w:bCs/>
                <w:sz w:val="21"/>
              </w:rPr>
            </w:pPr>
            <w:r>
              <w:rPr>
                <w:rFonts w:ascii="Times New Roman" w:hAnsi="Times New Roman"/>
                <w:b/>
                <w:bCs/>
                <w:sz w:val="21"/>
              </w:rPr>
              <w:t>NH</w:t>
            </w:r>
            <w:r>
              <w:rPr>
                <w:rFonts w:ascii="Times New Roman" w:hAnsi="Times New Roman"/>
                <w:b/>
                <w:bCs/>
                <w:sz w:val="21"/>
                <w:vertAlign w:val="subscript"/>
              </w:rPr>
              <w:t>3</w:t>
            </w:r>
            <w:r>
              <w:rPr>
                <w:rFonts w:ascii="Times New Roman" w:hAnsi="Times New Roman"/>
                <w:b/>
                <w:bCs/>
                <w:sz w:val="21"/>
              </w:rPr>
              <w:t>-N</w:t>
            </w:r>
            <w:r>
              <w:rPr>
                <w:rFonts w:hint="eastAsia" w:ascii="Times New Roman" w:hAnsi="Times New Roman"/>
                <w:b/>
                <w:bCs/>
                <w:sz w:val="21"/>
              </w:rPr>
              <w:t>t/a</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5" w:hRule="atLeast"/>
          <w:jc w:val="center"/>
        </w:trPr>
        <w:tc>
          <w:tcPr>
            <w:tcW w:w="2303" w:type="pct"/>
            <w:vAlign w:val="center"/>
          </w:tcPr>
          <w:p>
            <w:pPr>
              <w:widowControl/>
              <w:adjustRightInd w:val="0"/>
              <w:spacing w:line="400" w:lineRule="exact"/>
              <w:ind w:firstLine="0" w:firstLineChars="0"/>
              <w:jc w:val="center"/>
              <w:rPr>
                <w:sz w:val="21"/>
                <w:szCs w:val="21"/>
                <w:lang w:eastAsia="zh-CN"/>
              </w:rPr>
            </w:pPr>
            <w:r>
              <w:rPr>
                <w:rFonts w:hint="eastAsia" w:ascii="宋体" w:hAnsi="宋体" w:cs="宋体"/>
                <w:color w:val="000000"/>
                <w:sz w:val="21"/>
                <w:szCs w:val="21"/>
                <w:lang w:eastAsia="zh-CN" w:bidi="ar"/>
              </w:rPr>
              <w:t>沈阳浑南热力有限责任公司</w:t>
            </w:r>
            <w:r>
              <w:rPr>
                <w:rFonts w:cs="Times New Roman"/>
                <w:color w:val="000000"/>
                <w:sz w:val="21"/>
                <w:szCs w:val="21"/>
                <w:lang w:eastAsia="zh-CN" w:bidi="ar"/>
              </w:rPr>
              <w:t>3#</w:t>
            </w:r>
            <w:r>
              <w:rPr>
                <w:rFonts w:hint="eastAsia" w:ascii="宋体" w:hAnsi="宋体" w:cs="宋体"/>
                <w:color w:val="000000"/>
                <w:sz w:val="21"/>
                <w:szCs w:val="21"/>
                <w:lang w:eastAsia="zh-CN" w:bidi="ar"/>
              </w:rPr>
              <w:t>热源厂</w:t>
            </w:r>
          </w:p>
        </w:tc>
        <w:tc>
          <w:tcPr>
            <w:tcW w:w="826" w:type="pct"/>
            <w:vAlign w:val="center"/>
          </w:tcPr>
          <w:p>
            <w:pPr>
              <w:pStyle w:val="16"/>
              <w:adjustRightInd w:val="0"/>
              <w:spacing w:line="400" w:lineRule="exact"/>
              <w:rPr>
                <w:rFonts w:ascii="Times New Roman" w:hAnsi="Times New Roman"/>
                <w:sz w:val="21"/>
              </w:rPr>
            </w:pPr>
            <w:r>
              <w:rPr>
                <w:rFonts w:hint="eastAsia" w:ascii="Times New Roman" w:hAnsi="Times New Roman"/>
                <w:sz w:val="21"/>
              </w:rPr>
              <w:t>32200</w:t>
            </w:r>
          </w:p>
        </w:tc>
        <w:tc>
          <w:tcPr>
            <w:tcW w:w="923" w:type="pct"/>
            <w:vAlign w:val="center"/>
          </w:tcPr>
          <w:p>
            <w:pPr>
              <w:widowControl/>
              <w:adjustRightInd w:val="0"/>
              <w:spacing w:line="400" w:lineRule="exact"/>
              <w:ind w:firstLine="0" w:firstLineChars="0"/>
              <w:jc w:val="center"/>
              <w:rPr>
                <w:sz w:val="21"/>
                <w:szCs w:val="21"/>
              </w:rPr>
            </w:pPr>
            <w:r>
              <w:rPr>
                <w:rFonts w:cs="Times New Roman"/>
                <w:color w:val="000000"/>
                <w:sz w:val="21"/>
                <w:szCs w:val="21"/>
                <w:lang w:eastAsia="zh-CN" w:bidi="ar"/>
              </w:rPr>
              <w:t>0.99</w:t>
            </w:r>
          </w:p>
        </w:tc>
        <w:tc>
          <w:tcPr>
            <w:tcW w:w="946" w:type="pct"/>
            <w:vAlign w:val="center"/>
          </w:tcPr>
          <w:p>
            <w:pPr>
              <w:widowControl/>
              <w:adjustRightInd w:val="0"/>
              <w:spacing w:line="400" w:lineRule="exact"/>
              <w:ind w:firstLine="0" w:firstLineChars="0"/>
              <w:jc w:val="center"/>
              <w:rPr>
                <w:sz w:val="21"/>
                <w:szCs w:val="21"/>
              </w:rPr>
            </w:pPr>
            <w:r>
              <w:rPr>
                <w:rFonts w:cs="Times New Roman"/>
                <w:color w:val="000000"/>
                <w:sz w:val="21"/>
                <w:szCs w:val="21"/>
                <w:lang w:eastAsia="zh-CN" w:bidi="ar"/>
              </w:rPr>
              <w:t>0.11</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5" w:hRule="atLeast"/>
          <w:jc w:val="center"/>
        </w:trPr>
        <w:tc>
          <w:tcPr>
            <w:tcW w:w="2303" w:type="pct"/>
            <w:vAlign w:val="center"/>
          </w:tcPr>
          <w:p>
            <w:pPr>
              <w:widowControl/>
              <w:adjustRightInd w:val="0"/>
              <w:spacing w:line="400" w:lineRule="exact"/>
              <w:ind w:firstLine="0" w:firstLineChars="0"/>
              <w:jc w:val="center"/>
              <w:rPr>
                <w:rFonts w:ascii="宋体" w:hAnsi="宋体" w:cs="宋体"/>
                <w:color w:val="000000"/>
                <w:sz w:val="21"/>
                <w:szCs w:val="21"/>
                <w:lang w:eastAsia="zh-CN" w:bidi="ar"/>
              </w:rPr>
            </w:pPr>
            <w:r>
              <w:rPr>
                <w:rFonts w:hint="eastAsia" w:ascii="宋体" w:hAnsi="宋体" w:cs="宋体"/>
                <w:color w:val="000000"/>
                <w:sz w:val="21"/>
                <w:szCs w:val="21"/>
                <w:lang w:eastAsia="zh-CN" w:bidi="ar"/>
              </w:rPr>
              <w:t>沈阳天之美印务有限公司</w:t>
            </w:r>
          </w:p>
        </w:tc>
        <w:tc>
          <w:tcPr>
            <w:tcW w:w="826" w:type="pct"/>
            <w:vAlign w:val="center"/>
          </w:tcPr>
          <w:p>
            <w:pPr>
              <w:pStyle w:val="16"/>
              <w:adjustRightInd w:val="0"/>
              <w:spacing w:line="400" w:lineRule="exact"/>
              <w:rPr>
                <w:rFonts w:ascii="Times New Roman" w:hAnsi="Times New Roman"/>
                <w:sz w:val="21"/>
              </w:rPr>
            </w:pPr>
            <w:r>
              <w:rPr>
                <w:rFonts w:hint="eastAsia" w:ascii="Times New Roman" w:hAnsi="Times New Roman"/>
                <w:sz w:val="21"/>
              </w:rPr>
              <w:t>230</w:t>
            </w:r>
          </w:p>
        </w:tc>
        <w:tc>
          <w:tcPr>
            <w:tcW w:w="923"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0.94</w:t>
            </w:r>
          </w:p>
        </w:tc>
        <w:tc>
          <w:tcPr>
            <w:tcW w:w="946"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0.094</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5" w:hRule="atLeast"/>
          <w:jc w:val="center"/>
        </w:trPr>
        <w:tc>
          <w:tcPr>
            <w:tcW w:w="2303" w:type="pct"/>
            <w:vAlign w:val="center"/>
          </w:tcPr>
          <w:p>
            <w:pPr>
              <w:widowControl/>
              <w:adjustRightInd w:val="0"/>
              <w:spacing w:line="400" w:lineRule="exact"/>
              <w:ind w:firstLine="0" w:firstLineChars="0"/>
              <w:jc w:val="center"/>
              <w:rPr>
                <w:rFonts w:ascii="宋体" w:hAnsi="宋体" w:cs="宋体"/>
                <w:color w:val="000000"/>
                <w:sz w:val="21"/>
                <w:szCs w:val="21"/>
                <w:lang w:eastAsia="zh-CN" w:bidi="ar"/>
              </w:rPr>
            </w:pPr>
            <w:r>
              <w:rPr>
                <w:rFonts w:hint="eastAsia" w:ascii="宋体" w:hAnsi="宋体" w:cs="宋体"/>
                <w:color w:val="000000"/>
                <w:sz w:val="21"/>
                <w:szCs w:val="21"/>
                <w:lang w:eastAsia="zh-CN" w:bidi="ar"/>
              </w:rPr>
              <w:t>沈阳拓荆科技有限公司</w:t>
            </w:r>
          </w:p>
        </w:tc>
        <w:tc>
          <w:tcPr>
            <w:tcW w:w="826" w:type="pct"/>
            <w:vAlign w:val="center"/>
          </w:tcPr>
          <w:p>
            <w:pPr>
              <w:pStyle w:val="16"/>
              <w:adjustRightInd w:val="0"/>
              <w:spacing w:line="400" w:lineRule="exact"/>
              <w:rPr>
                <w:rFonts w:ascii="Times New Roman" w:hAnsi="Times New Roman"/>
                <w:sz w:val="21"/>
              </w:rPr>
            </w:pPr>
            <w:r>
              <w:rPr>
                <w:rFonts w:hint="eastAsia" w:ascii="Times New Roman" w:hAnsi="Times New Roman"/>
                <w:sz w:val="21"/>
              </w:rPr>
              <w:t>30600</w:t>
            </w:r>
          </w:p>
        </w:tc>
        <w:tc>
          <w:tcPr>
            <w:tcW w:w="923"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0.09</w:t>
            </w:r>
          </w:p>
        </w:tc>
        <w:tc>
          <w:tcPr>
            <w:tcW w:w="946"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0.01</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5" w:hRule="atLeast"/>
          <w:jc w:val="center"/>
        </w:trPr>
        <w:tc>
          <w:tcPr>
            <w:tcW w:w="2303" w:type="pct"/>
            <w:vAlign w:val="center"/>
          </w:tcPr>
          <w:p>
            <w:pPr>
              <w:widowControl/>
              <w:adjustRightInd w:val="0"/>
              <w:spacing w:line="400" w:lineRule="exact"/>
              <w:ind w:firstLine="0" w:firstLineChars="0"/>
              <w:jc w:val="center"/>
              <w:rPr>
                <w:rFonts w:ascii="宋体" w:hAnsi="宋体" w:cs="宋体"/>
                <w:color w:val="000000"/>
                <w:sz w:val="21"/>
                <w:szCs w:val="21"/>
                <w:lang w:eastAsia="zh-CN" w:bidi="ar"/>
              </w:rPr>
            </w:pPr>
            <w:r>
              <w:rPr>
                <w:rFonts w:hint="eastAsia" w:ascii="宋体" w:hAnsi="宋体" w:cs="宋体"/>
                <w:color w:val="000000"/>
                <w:sz w:val="21"/>
                <w:szCs w:val="21"/>
                <w:lang w:eastAsia="zh-CN" w:bidi="ar"/>
              </w:rPr>
              <w:t>辽宁晟启昊天生物医药科技有限公司</w:t>
            </w:r>
          </w:p>
        </w:tc>
        <w:tc>
          <w:tcPr>
            <w:tcW w:w="826" w:type="pct"/>
            <w:vAlign w:val="center"/>
          </w:tcPr>
          <w:p>
            <w:pPr>
              <w:pStyle w:val="16"/>
              <w:adjustRightInd w:val="0"/>
              <w:spacing w:line="400" w:lineRule="exact"/>
              <w:rPr>
                <w:rFonts w:ascii="Times New Roman" w:hAnsi="Times New Roman"/>
                <w:sz w:val="21"/>
              </w:rPr>
            </w:pPr>
            <w:r>
              <w:rPr>
                <w:rFonts w:hint="eastAsia" w:ascii="Times New Roman" w:hAnsi="Times New Roman"/>
                <w:sz w:val="21"/>
              </w:rPr>
              <w:t>2789</w:t>
            </w:r>
          </w:p>
        </w:tc>
        <w:tc>
          <w:tcPr>
            <w:tcW w:w="923"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0.01</w:t>
            </w:r>
          </w:p>
        </w:tc>
        <w:tc>
          <w:tcPr>
            <w:tcW w:w="946"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0.001</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5" w:hRule="atLeast"/>
          <w:jc w:val="center"/>
        </w:trPr>
        <w:tc>
          <w:tcPr>
            <w:tcW w:w="2303" w:type="pct"/>
            <w:vAlign w:val="center"/>
          </w:tcPr>
          <w:p>
            <w:pPr>
              <w:widowControl/>
              <w:adjustRightInd w:val="0"/>
              <w:spacing w:line="400" w:lineRule="exact"/>
              <w:ind w:firstLine="0" w:firstLineChars="0"/>
              <w:jc w:val="center"/>
              <w:rPr>
                <w:rFonts w:ascii="宋体" w:hAnsi="宋体" w:cs="宋体"/>
                <w:color w:val="000000"/>
                <w:sz w:val="21"/>
                <w:szCs w:val="21"/>
                <w:lang w:eastAsia="zh-CN" w:bidi="ar"/>
              </w:rPr>
            </w:pPr>
            <w:r>
              <w:rPr>
                <w:rFonts w:hint="eastAsia" w:ascii="宋体" w:hAnsi="宋体" w:cs="宋体"/>
                <w:color w:val="000000"/>
                <w:sz w:val="21"/>
                <w:szCs w:val="21"/>
                <w:lang w:eastAsia="zh-CN" w:bidi="ar"/>
              </w:rPr>
              <w:t>沈阳晟新钛金制品有限公司</w:t>
            </w:r>
          </w:p>
        </w:tc>
        <w:tc>
          <w:tcPr>
            <w:tcW w:w="826" w:type="pct"/>
            <w:vAlign w:val="center"/>
          </w:tcPr>
          <w:p>
            <w:pPr>
              <w:pStyle w:val="16"/>
              <w:adjustRightInd w:val="0"/>
              <w:spacing w:line="400" w:lineRule="exact"/>
              <w:rPr>
                <w:rFonts w:ascii="Times New Roman" w:hAnsi="Times New Roman"/>
                <w:sz w:val="21"/>
              </w:rPr>
            </w:pPr>
            <w:r>
              <w:rPr>
                <w:rFonts w:hint="eastAsia" w:ascii="Times New Roman" w:hAnsi="Times New Roman"/>
                <w:sz w:val="21"/>
              </w:rPr>
              <w:t>850</w:t>
            </w:r>
          </w:p>
        </w:tc>
        <w:tc>
          <w:tcPr>
            <w:tcW w:w="923"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0.26</w:t>
            </w:r>
          </w:p>
        </w:tc>
        <w:tc>
          <w:tcPr>
            <w:tcW w:w="946"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0.026</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5" w:hRule="atLeast"/>
          <w:jc w:val="center"/>
        </w:trPr>
        <w:tc>
          <w:tcPr>
            <w:tcW w:w="2303" w:type="pct"/>
            <w:vAlign w:val="center"/>
          </w:tcPr>
          <w:p>
            <w:pPr>
              <w:widowControl/>
              <w:spacing w:line="400" w:lineRule="exact"/>
              <w:ind w:firstLine="0" w:firstLineChars="0"/>
              <w:jc w:val="center"/>
              <w:rPr>
                <w:rFonts w:ascii="宋体" w:hAnsi="宋体" w:cs="宋体"/>
                <w:color w:val="000000"/>
                <w:sz w:val="21"/>
                <w:szCs w:val="21"/>
                <w:lang w:eastAsia="zh-CN" w:bidi="ar"/>
              </w:rPr>
            </w:pPr>
            <w:r>
              <w:rPr>
                <w:rFonts w:hint="eastAsia" w:ascii="宋体" w:hAnsi="宋体" w:cs="宋体"/>
                <w:color w:val="000000"/>
                <w:sz w:val="21"/>
                <w:szCs w:val="21"/>
                <w:lang w:eastAsia="zh-CN" w:bidi="ar"/>
              </w:rPr>
              <w:t>沈阳市浑南区鑫航油坊</w:t>
            </w:r>
          </w:p>
        </w:tc>
        <w:tc>
          <w:tcPr>
            <w:tcW w:w="826" w:type="pct"/>
            <w:vAlign w:val="center"/>
          </w:tcPr>
          <w:p>
            <w:pPr>
              <w:pStyle w:val="16"/>
              <w:adjustRightInd w:val="0"/>
              <w:spacing w:line="400" w:lineRule="exact"/>
              <w:rPr>
                <w:rFonts w:ascii="Times New Roman" w:hAnsi="Times New Roman"/>
                <w:sz w:val="21"/>
              </w:rPr>
            </w:pPr>
            <w:r>
              <w:rPr>
                <w:rFonts w:hint="eastAsia" w:ascii="Times New Roman" w:hAnsi="Times New Roman"/>
                <w:sz w:val="21"/>
              </w:rPr>
              <w:t>2448</w:t>
            </w:r>
          </w:p>
        </w:tc>
        <w:tc>
          <w:tcPr>
            <w:tcW w:w="923"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0.07</w:t>
            </w:r>
          </w:p>
        </w:tc>
        <w:tc>
          <w:tcPr>
            <w:tcW w:w="946"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5" w:hRule="atLeast"/>
          <w:jc w:val="center"/>
        </w:trPr>
        <w:tc>
          <w:tcPr>
            <w:tcW w:w="2303" w:type="pct"/>
            <w:vAlign w:val="center"/>
          </w:tcPr>
          <w:p>
            <w:pPr>
              <w:widowControl/>
              <w:spacing w:line="400" w:lineRule="exact"/>
              <w:ind w:firstLine="0" w:firstLineChars="0"/>
              <w:jc w:val="center"/>
              <w:rPr>
                <w:rFonts w:ascii="宋体" w:hAnsi="宋体" w:cs="宋体"/>
                <w:color w:val="000000"/>
                <w:sz w:val="21"/>
                <w:szCs w:val="21"/>
                <w:lang w:eastAsia="zh-CN" w:bidi="ar"/>
              </w:rPr>
            </w:pPr>
            <w:r>
              <w:rPr>
                <w:rFonts w:hint="eastAsia" w:ascii="宋体" w:hAnsi="宋体" w:cs="宋体"/>
                <w:color w:val="000000"/>
                <w:sz w:val="21"/>
                <w:szCs w:val="21"/>
                <w:lang w:eastAsia="zh-CN" w:bidi="ar"/>
              </w:rPr>
              <w:t>沈阳市浑南区世宏酒坊</w:t>
            </w:r>
          </w:p>
        </w:tc>
        <w:tc>
          <w:tcPr>
            <w:tcW w:w="826" w:type="pct"/>
            <w:vAlign w:val="center"/>
          </w:tcPr>
          <w:p>
            <w:pPr>
              <w:pStyle w:val="16"/>
              <w:adjustRightInd w:val="0"/>
              <w:spacing w:line="400" w:lineRule="exact"/>
              <w:rPr>
                <w:rFonts w:ascii="Times New Roman" w:hAnsi="Times New Roman"/>
                <w:sz w:val="21"/>
              </w:rPr>
            </w:pPr>
            <w:r>
              <w:rPr>
                <w:rFonts w:hint="eastAsia" w:ascii="Times New Roman" w:hAnsi="Times New Roman"/>
                <w:sz w:val="21"/>
              </w:rPr>
              <w:t>210</w:t>
            </w:r>
          </w:p>
        </w:tc>
        <w:tc>
          <w:tcPr>
            <w:tcW w:w="923"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0.10</w:t>
            </w:r>
          </w:p>
        </w:tc>
        <w:tc>
          <w:tcPr>
            <w:tcW w:w="946"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5" w:hRule="atLeast"/>
          <w:jc w:val="center"/>
        </w:trPr>
        <w:tc>
          <w:tcPr>
            <w:tcW w:w="2303" w:type="pct"/>
            <w:vAlign w:val="center"/>
          </w:tcPr>
          <w:p>
            <w:pPr>
              <w:widowControl/>
              <w:spacing w:line="400" w:lineRule="exact"/>
              <w:ind w:firstLine="0" w:firstLineChars="0"/>
              <w:jc w:val="center"/>
              <w:rPr>
                <w:rFonts w:ascii="宋体" w:hAnsi="宋体" w:cs="宋体"/>
                <w:color w:val="000000"/>
                <w:sz w:val="21"/>
                <w:szCs w:val="21"/>
                <w:lang w:eastAsia="zh-CN" w:bidi="ar"/>
              </w:rPr>
            </w:pPr>
            <w:r>
              <w:rPr>
                <w:rFonts w:hint="eastAsia" w:ascii="宋体" w:hAnsi="宋体" w:cs="宋体"/>
                <w:color w:val="000000"/>
                <w:sz w:val="21"/>
                <w:szCs w:val="21"/>
                <w:lang w:eastAsia="zh-CN" w:bidi="ar"/>
              </w:rPr>
              <w:t>合计</w:t>
            </w:r>
          </w:p>
        </w:tc>
        <w:tc>
          <w:tcPr>
            <w:tcW w:w="826" w:type="pct"/>
            <w:vAlign w:val="center"/>
          </w:tcPr>
          <w:p>
            <w:pPr>
              <w:pStyle w:val="16"/>
              <w:adjustRightInd w:val="0"/>
              <w:spacing w:line="400" w:lineRule="exact"/>
              <w:rPr>
                <w:rFonts w:ascii="Times New Roman" w:hAnsi="Times New Roman"/>
                <w:sz w:val="21"/>
              </w:rPr>
            </w:pPr>
            <w:r>
              <w:rPr>
                <w:rFonts w:hint="eastAsia" w:ascii="Times New Roman" w:hAnsi="Times New Roman"/>
                <w:sz w:val="21"/>
              </w:rPr>
              <w:t>69327</w:t>
            </w:r>
          </w:p>
        </w:tc>
        <w:tc>
          <w:tcPr>
            <w:tcW w:w="923"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2.46</w:t>
            </w:r>
          </w:p>
        </w:tc>
        <w:tc>
          <w:tcPr>
            <w:tcW w:w="946" w:type="pct"/>
            <w:vAlign w:val="center"/>
          </w:tcPr>
          <w:p>
            <w:pPr>
              <w:widowControl/>
              <w:adjustRightInd w:val="0"/>
              <w:spacing w:line="400" w:lineRule="exact"/>
              <w:ind w:firstLine="0" w:firstLineChars="0"/>
              <w:jc w:val="center"/>
              <w:rPr>
                <w:rFonts w:cs="Times New Roman"/>
                <w:color w:val="000000"/>
                <w:sz w:val="21"/>
                <w:szCs w:val="21"/>
                <w:lang w:eastAsia="zh-CN" w:bidi="ar"/>
              </w:rPr>
            </w:pPr>
            <w:r>
              <w:rPr>
                <w:rFonts w:hint="eastAsia" w:cs="Times New Roman"/>
                <w:color w:val="000000"/>
                <w:sz w:val="21"/>
                <w:szCs w:val="21"/>
                <w:lang w:eastAsia="zh-CN" w:bidi="ar"/>
              </w:rPr>
              <w:t>0.241</w:t>
            </w:r>
          </w:p>
        </w:tc>
      </w:tr>
    </w:tbl>
    <w:p>
      <w:pPr>
        <w:keepNext w:val="0"/>
        <w:keepLines w:val="0"/>
        <w:pageBreakBefore w:val="0"/>
        <w:widowControl w:val="0"/>
        <w:kinsoku/>
        <w:wordWrap/>
        <w:overflowPunct/>
        <w:topLinePunct w:val="0"/>
        <w:autoSpaceDE/>
        <w:autoSpaceDN/>
        <w:bidi w:val="0"/>
        <w:adjustRightInd/>
        <w:snapToGrid/>
        <w:ind w:firstLine="480"/>
        <w:textAlignment w:val="auto"/>
        <w:rPr>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辽宁远大诺康生物制药有限公司处于停产状态，无废水排放。</w:t>
      </w:r>
    </w:p>
    <w:p>
      <w:pPr>
        <w:keepNext w:val="0"/>
        <w:keepLines w:val="0"/>
        <w:pageBreakBefore w:val="0"/>
        <w:widowControl w:val="0"/>
        <w:kinsoku/>
        <w:wordWrap/>
        <w:overflowPunct/>
        <w:topLinePunct w:val="0"/>
        <w:autoSpaceDE/>
        <w:autoSpaceDN/>
        <w:bidi w:val="0"/>
        <w:adjustRightInd/>
        <w:snapToGrid/>
        <w:ind w:firstLine="480"/>
        <w:textAlignment w:val="auto"/>
        <w:rPr>
          <w:color w:val="000000" w:themeColor="text1"/>
          <w:highlight w:val="yellow"/>
          <w:lang w:eastAsia="zh-CN"/>
          <w14:textFill>
            <w14:solidFill>
              <w14:schemeClr w14:val="tx1"/>
            </w14:solidFill>
          </w14:textFill>
        </w:rPr>
      </w:pPr>
      <w:r>
        <w:rPr>
          <w:color w:val="000000" w:themeColor="text1"/>
          <w:lang w:eastAsia="zh-CN"/>
          <w14:textFill>
            <w14:solidFill>
              <w14:schemeClr w14:val="tx1"/>
            </w14:solidFill>
          </w14:textFill>
        </w:rPr>
        <w:t>由</w:t>
      </w:r>
      <w:r>
        <w:rPr>
          <w:rFonts w:hint="eastAsia"/>
          <w:color w:val="000000" w:themeColor="text1"/>
          <w:lang w:eastAsia="zh-CN"/>
          <w14:textFill>
            <w14:solidFill>
              <w14:schemeClr w14:val="tx1"/>
            </w14:solidFill>
          </w14:textFill>
        </w:rPr>
        <w:t>上表</w:t>
      </w:r>
      <w:r>
        <w:rPr>
          <w:color w:val="000000" w:themeColor="text1"/>
          <w:lang w:eastAsia="zh-CN"/>
          <w14:textFill>
            <w14:solidFill>
              <w14:schemeClr w14:val="tx1"/>
            </w14:solidFill>
          </w14:textFill>
        </w:rPr>
        <w:t>可知，</w:t>
      </w:r>
      <w:r>
        <w:rPr>
          <w:rFonts w:hint="eastAsia"/>
          <w:color w:val="000000" w:themeColor="text1"/>
          <w:lang w:eastAsia="zh-CN"/>
          <w14:textFill>
            <w14:solidFill>
              <w14:schemeClr w14:val="tx1"/>
            </w14:solidFill>
          </w14:textFill>
        </w:rPr>
        <w:t>产业园</w:t>
      </w:r>
      <w:r>
        <w:rPr>
          <w:color w:val="000000" w:themeColor="text1"/>
          <w:lang w:eastAsia="zh-CN"/>
          <w14:textFill>
            <w14:solidFill>
              <w14:schemeClr w14:val="tx1"/>
            </w14:solidFill>
          </w14:textFill>
        </w:rPr>
        <w:t>主要企业排水总量约为</w:t>
      </w:r>
      <w:r>
        <w:rPr>
          <w:rFonts w:hint="eastAsia"/>
          <w:color w:val="000000" w:themeColor="text1"/>
          <w:lang w:eastAsia="zh-CN"/>
          <w14:textFill>
            <w14:solidFill>
              <w14:schemeClr w14:val="tx1"/>
            </w14:solidFill>
          </w14:textFill>
        </w:rPr>
        <w:t>69327</w:t>
      </w:r>
      <w:r>
        <w:rPr>
          <w:color w:val="000000" w:themeColor="text1"/>
          <w:lang w:eastAsia="zh-CN"/>
          <w14:textFill>
            <w14:solidFill>
              <w14:schemeClr w14:val="tx1"/>
            </w14:solidFill>
          </w14:textFill>
        </w:rPr>
        <w:t>t/a，化学需氧量排放量约为2</w:t>
      </w:r>
      <w:r>
        <w:rPr>
          <w:rFonts w:hint="eastAsia"/>
          <w:color w:val="000000" w:themeColor="text1"/>
          <w:lang w:eastAsia="zh-CN"/>
          <w14:textFill>
            <w14:solidFill>
              <w14:schemeClr w14:val="tx1"/>
            </w14:solidFill>
          </w14:textFill>
        </w:rPr>
        <w:t>.46</w:t>
      </w:r>
      <w:r>
        <w:rPr>
          <w:color w:val="000000" w:themeColor="text1"/>
          <w:lang w:eastAsia="zh-CN"/>
          <w14:textFill>
            <w14:solidFill>
              <w14:schemeClr w14:val="tx1"/>
            </w14:solidFill>
          </w14:textFill>
        </w:rPr>
        <w:t>t/a，氨氮排放量约为</w:t>
      </w:r>
      <w:r>
        <w:rPr>
          <w:rFonts w:hint="eastAsia"/>
          <w:color w:val="000000" w:themeColor="text1"/>
          <w:lang w:eastAsia="zh-CN"/>
          <w14:textFill>
            <w14:solidFill>
              <w14:schemeClr w14:val="tx1"/>
            </w14:solidFill>
          </w14:textFill>
        </w:rPr>
        <w:t>0.241</w:t>
      </w:r>
      <w:r>
        <w:rPr>
          <w:color w:val="000000" w:themeColor="text1"/>
          <w:lang w:eastAsia="zh-CN"/>
          <w14:textFill>
            <w14:solidFill>
              <w14:schemeClr w14:val="tx1"/>
            </w14:solidFill>
          </w14:textFill>
        </w:rPr>
        <w:t>t/a。</w:t>
      </w:r>
    </w:p>
    <w:p>
      <w:pPr>
        <w:pStyle w:val="10"/>
        <w:rPr>
          <w:rFonts w:cs="Times New Roman"/>
          <w:b/>
          <w:bCs/>
          <w:lang w:eastAsia="zh-CN"/>
        </w:rPr>
      </w:pPr>
      <w:r>
        <w:rPr>
          <w:rFonts w:cs="Times New Roman"/>
          <w:b/>
          <w:bCs/>
          <w:lang w:eastAsia="zh-CN"/>
        </w:rPr>
        <w:t>2.3.5.3固体废物</w:t>
      </w:r>
    </w:p>
    <w:p>
      <w:pPr>
        <w:ind w:firstLine="480"/>
        <w:rPr>
          <w:rFonts w:cs="Times New Roman"/>
          <w:lang w:eastAsia="zh-CN"/>
        </w:rPr>
      </w:pPr>
      <w:r>
        <w:rPr>
          <w:rFonts w:cs="Times New Roman"/>
          <w:lang w:eastAsia="zh-CN"/>
        </w:rPr>
        <w:t>1、生活源</w:t>
      </w:r>
    </w:p>
    <w:p>
      <w:pPr>
        <w:ind w:firstLine="480"/>
        <w:rPr>
          <w:rFonts w:cs="Times New Roman"/>
          <w:lang w:eastAsia="zh-CN"/>
        </w:rPr>
      </w:pPr>
      <w:r>
        <w:rPr>
          <w:rFonts w:cs="Times New Roman"/>
          <w:lang w:eastAsia="zh-CN"/>
        </w:rPr>
        <w:t>规划区域内产生的生活源固废主要为居民生活垃圾，按1.0kg/d·人进行计算，</w:t>
      </w:r>
      <w:r>
        <w:rPr>
          <w:rFonts w:hint="eastAsia" w:cs="Times New Roman"/>
          <w:lang w:eastAsia="zh-CN"/>
        </w:rPr>
        <w:t>李巴彦单元</w:t>
      </w:r>
      <w:r>
        <w:rPr>
          <w:rFonts w:cs="Times New Roman"/>
          <w:lang w:eastAsia="zh-CN"/>
        </w:rPr>
        <w:t>生活垃圾产生量为</w:t>
      </w:r>
      <w:r>
        <w:rPr>
          <w:rFonts w:hint="eastAsia" w:cs="Times New Roman"/>
          <w:lang w:eastAsia="zh-CN"/>
        </w:rPr>
        <w:t>7325.19</w:t>
      </w:r>
      <w:r>
        <w:rPr>
          <w:rFonts w:cs="Times New Roman"/>
          <w:lang w:eastAsia="zh-CN"/>
        </w:rPr>
        <w:t>t/a</w:t>
      </w:r>
      <w:r>
        <w:rPr>
          <w:rFonts w:hint="eastAsia" w:cs="Times New Roman"/>
          <w:lang w:eastAsia="zh-CN"/>
        </w:rPr>
        <w:t>；麦屯子单元生活垃圾产生量为1655.6t/a；石庙子单元生活垃圾产生量为5554.57t/a；王家湾单元生活垃圾产生量为8559.0t/a；杨官单元生活垃圾产生量为5522.45t/a。规划区域生活垃圾产生量为28616.81t/a，</w:t>
      </w:r>
      <w:r>
        <w:rPr>
          <w:rFonts w:cs="Times New Roman"/>
          <w:lang w:eastAsia="zh-CN"/>
        </w:rPr>
        <w:t>均送</w:t>
      </w:r>
      <w:r>
        <w:rPr>
          <w:rFonts w:hint="eastAsia" w:cs="Times New Roman"/>
          <w:lang w:eastAsia="zh-CN"/>
        </w:rPr>
        <w:t>老虎冲</w:t>
      </w:r>
      <w:r>
        <w:rPr>
          <w:rFonts w:cs="Times New Roman"/>
          <w:lang w:eastAsia="zh-CN"/>
        </w:rPr>
        <w:t>生活垃圾</w:t>
      </w:r>
      <w:r>
        <w:rPr>
          <w:rFonts w:hint="eastAsia" w:cs="Times New Roman"/>
          <w:lang w:eastAsia="zh-CN"/>
        </w:rPr>
        <w:t>填埋场进行无害化处置</w:t>
      </w:r>
      <w:r>
        <w:rPr>
          <w:rFonts w:cs="Times New Roman"/>
          <w:lang w:eastAsia="zh-CN"/>
        </w:rPr>
        <w:t>。</w:t>
      </w:r>
    </w:p>
    <w:p>
      <w:pPr>
        <w:ind w:firstLine="480"/>
        <w:rPr>
          <w:rFonts w:cs="Times New Roman"/>
          <w:lang w:eastAsia="zh-CN"/>
        </w:rPr>
      </w:pPr>
      <w:r>
        <w:rPr>
          <w:rFonts w:cs="Times New Roman"/>
          <w:lang w:eastAsia="zh-CN"/>
        </w:rPr>
        <w:t>2、工业源</w:t>
      </w:r>
    </w:p>
    <w:p>
      <w:pPr>
        <w:ind w:firstLine="480"/>
        <w:rPr>
          <w:rFonts w:cs="Times New Roman"/>
          <w:lang w:eastAsia="zh-CN"/>
        </w:rPr>
      </w:pPr>
      <w:r>
        <w:rPr>
          <w:rFonts w:cs="Times New Roman"/>
          <w:lang w:eastAsia="zh-CN"/>
        </w:rPr>
        <w:t>规划区域目前现状工业固废产生如下表。</w:t>
      </w:r>
    </w:p>
    <w:p>
      <w:pPr>
        <w:pStyle w:val="20"/>
        <w:spacing w:line="240" w:lineRule="auto"/>
        <w:ind w:firstLine="414"/>
        <w:jc w:val="center"/>
        <w:rPr>
          <w:rFonts w:ascii="Times New Roman" w:hAnsi="Times New Roman" w:eastAsia="宋体" w:cs="Times New Roman"/>
          <w:b/>
          <w:bCs/>
          <w:spacing w:val="-2"/>
          <w:sz w:val="21"/>
          <w:szCs w:val="21"/>
          <w:lang w:eastAsia="zh-CN"/>
        </w:rPr>
      </w:pPr>
      <w:r>
        <w:rPr>
          <w:rFonts w:hint="eastAsia" w:ascii="Times New Roman" w:hAnsi="Times New Roman" w:eastAsia="宋体" w:cs="Times New Roman"/>
          <w:b/>
          <w:bCs/>
          <w:spacing w:val="-2"/>
          <w:sz w:val="21"/>
          <w:szCs w:val="21"/>
          <w:lang w:eastAsia="zh-CN"/>
        </w:rPr>
        <w:t>表</w:t>
      </w:r>
      <w:r>
        <w:rPr>
          <w:rFonts w:ascii="Times New Roman" w:hAnsi="Times New Roman" w:eastAsia="宋体" w:cs="Times New Roman"/>
          <w:b/>
          <w:bCs/>
          <w:spacing w:val="-2"/>
          <w:sz w:val="21"/>
          <w:szCs w:val="21"/>
          <w:lang w:eastAsia="zh-CN"/>
        </w:rPr>
        <w:t>2.3-10   规划区内</w:t>
      </w:r>
      <w:r>
        <w:rPr>
          <w:rFonts w:hint="eastAsia" w:ascii="Times New Roman" w:hAnsi="Times New Roman" w:eastAsia="宋体" w:cs="Times New Roman"/>
          <w:b/>
          <w:bCs/>
          <w:spacing w:val="-2"/>
          <w:sz w:val="21"/>
          <w:szCs w:val="21"/>
          <w:lang w:eastAsia="zh-CN"/>
        </w:rPr>
        <w:t>一般</w:t>
      </w:r>
      <w:r>
        <w:rPr>
          <w:rFonts w:ascii="Times New Roman" w:hAnsi="Times New Roman" w:eastAsia="宋体" w:cs="Times New Roman"/>
          <w:b/>
          <w:bCs/>
          <w:spacing w:val="-2"/>
          <w:sz w:val="21"/>
          <w:szCs w:val="21"/>
          <w:lang w:eastAsia="zh-CN"/>
        </w:rPr>
        <w:t>固体废物排放情况</w:t>
      </w:r>
    </w:p>
    <w:tbl>
      <w:tblPr>
        <w:tblStyle w:val="64"/>
        <w:tblW w:w="4998"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745"/>
        <w:gridCol w:w="2064"/>
        <w:gridCol w:w="2477"/>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60" w:hRule="atLeast"/>
          <w:jc w:val="center"/>
        </w:trPr>
        <w:tc>
          <w:tcPr>
            <w:tcW w:w="2554" w:type="pct"/>
            <w:tcBorders>
              <w:tl2br w:val="nil"/>
              <w:tr2bl w:val="nil"/>
            </w:tcBorders>
            <w:noWrap/>
            <w:vAlign w:val="center"/>
          </w:tcPr>
          <w:p>
            <w:pPr>
              <w:pStyle w:val="16"/>
              <w:spacing w:line="400" w:lineRule="exact"/>
              <w:rPr>
                <w:rFonts w:ascii="Times New Roman" w:hAnsi="Times New Roman"/>
                <w:b/>
                <w:bCs/>
                <w:sz w:val="21"/>
              </w:rPr>
            </w:pPr>
            <w:r>
              <w:rPr>
                <w:rFonts w:ascii="Times New Roman" w:hAnsi="Times New Roman"/>
                <w:b/>
                <w:bCs/>
                <w:sz w:val="21"/>
              </w:rPr>
              <w:t>名称</w:t>
            </w:r>
          </w:p>
        </w:tc>
        <w:tc>
          <w:tcPr>
            <w:tcW w:w="1111"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一般固废/t/a</w:t>
            </w:r>
          </w:p>
        </w:tc>
        <w:tc>
          <w:tcPr>
            <w:tcW w:w="1333"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一</w:t>
            </w:r>
            <w:r>
              <w:rPr>
                <w:rFonts w:hint="eastAsia" w:ascii="Times New Roman" w:hAnsi="Times New Roman"/>
                <w:b/>
                <w:bCs/>
                <w:sz w:val="21"/>
              </w:rPr>
              <w:t>综合利用量/t/a</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沈阳金纳新材料股份有限公司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13.0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13.0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沈阳海为电力装备股份有限公司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0.8</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0.8</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沈阳浑南热力有限责任公司（第三热源厂）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20900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20900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沈阳市浑南区世宏酒坊</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8</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8</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沈阳市浑南区美诺达橱柜厂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5</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沈阳和泰筛分机械设备有限公司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沈阳奥林特电气线束有限公司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0.2</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0.2</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沈阳高新区中泰成套电气开关厂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沈阳杨猛建材有限公司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5</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沈阳市浑南区鑫航油坊</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32.5</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32.5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沈阳凯翔包装制造有限公司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5</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沈阳金通创业建筑材料有限公司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沈阳春硕建材有限公司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5</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沈阳东强机械零部件有限公司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3.5</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沈阳永旺混凝土有限公司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150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150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沈阳市浑南区晟阳棉服加工厂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0.02</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0.02</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沈阳市大天九塑料厂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沈阳凌空翱翔聚氨酯橡胶制品厂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0.05</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辽宁沈石机械设备制造有限公司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辽宁昌盛纸塑包装有限公司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0.7</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0.7</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辽宁晟启昊天生物医药科技有限公司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400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400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沈阳长新金属制品有限公司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21.2</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21.2</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沈阳市东风发动机配件厂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沈阳市浑南祥盛源工艺品厂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0.1</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0.1</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沈阳市华缙精密配件厂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沈阳天星试验仪器有限公司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沈阳汇博热能设备有限公司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28.0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28.0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沈阳蓝英工业自动化装备股份有限公司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87.0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87.0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辽宁金帆标识有限公司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沈阳高新区汪家镇东源橡塑加工点</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辽宁远东新型管业发展有限公司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沈阳深潜泵业有限公司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4.0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4.0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沈阳市冶金石墨厂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沈阳市沈城标准件厂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沈阳弘鼎康医疗器械有限公司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沈阳市方胜兴业热风幕制造有限公司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0.2</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0.2</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沈阳市东陵区伟涛铁艺加工部</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0.2</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0.2</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沈阳科晶自动化设备有限公司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1.5</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沈阳益普应用技术研究所</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沈阳天之美印务有限公司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20.0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沈阳拓荆科技有限公司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沈阳高精数控智能技术股份有限公司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0.1</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0.1</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沈阳百安达特种劳动防护用品有限公司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0.9</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0.9</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沈阳中科博微科技股份有限公司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1.0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沈阳新松数字驱动有限公司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0.3</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0.3</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沈阳市同泰印刷有限公司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沈阳维特自动化设备有限公司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沈阳市广联服装厂</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沈阳赛利肯集成电路装备有限公司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40.0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40.0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沈阳海为电力装备股份有限公司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0.8</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0.8</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沈阳晟新钛制品有限公司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0.1</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0.1</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沈阳新松医疗科技股份有限公司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0.1</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0.1</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沈阳华强机电设备制造有限公司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30.0</w:t>
            </w:r>
          </w:p>
        </w:tc>
        <w:tc>
          <w:tcPr>
            <w:tcW w:w="2477" w:type="dxa"/>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30.0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沈阳上方电子有限公司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沈阳天贺新材料开发有限公司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hint="eastAsia" w:cs="宋体"/>
                <w:color w:val="000000"/>
                <w:sz w:val="21"/>
                <w:lang w:bidi="ar"/>
              </w:rPr>
              <w:t>辽宁远大诺康生物制药有限公司</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0.0</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4" w:type="pct"/>
            <w:tcBorders>
              <w:tl2br w:val="nil"/>
              <w:tr2bl w:val="nil"/>
            </w:tcBorders>
            <w:noWrap/>
            <w:vAlign w:val="center"/>
          </w:tcPr>
          <w:p>
            <w:pPr>
              <w:pStyle w:val="16"/>
              <w:spacing w:line="400" w:lineRule="exact"/>
              <w:rPr>
                <w:rFonts w:ascii="Times New Roman" w:hAnsi="Times New Roman"/>
                <w:sz w:val="21"/>
              </w:rPr>
            </w:pPr>
            <w:r>
              <w:rPr>
                <w:rFonts w:ascii="Times New Roman" w:hAnsi="Times New Roman"/>
                <w:sz w:val="21"/>
              </w:rPr>
              <w:t>合计</w:t>
            </w:r>
          </w:p>
        </w:tc>
        <w:tc>
          <w:tcPr>
            <w:tcW w:w="1111"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21812.27</w:t>
            </w:r>
          </w:p>
        </w:tc>
        <w:tc>
          <w:tcPr>
            <w:tcW w:w="1333" w:type="pct"/>
            <w:tcBorders>
              <w:tl2br w:val="nil"/>
              <w:tr2bl w:val="nil"/>
            </w:tcBorders>
            <w:noWrap/>
            <w:vAlign w:val="center"/>
          </w:tcPr>
          <w:p>
            <w:pPr>
              <w:pStyle w:val="16"/>
              <w:spacing w:line="400" w:lineRule="exact"/>
              <w:rPr>
                <w:rFonts w:ascii="Times New Roman" w:hAnsi="Times New Roman"/>
                <w:sz w:val="21"/>
              </w:rPr>
            </w:pPr>
            <w:r>
              <w:rPr>
                <w:rFonts w:hint="eastAsia" w:ascii="Times New Roman" w:hAnsi="Times New Roman"/>
                <w:sz w:val="21"/>
              </w:rPr>
              <w:t>21812.27</w:t>
            </w:r>
          </w:p>
        </w:tc>
      </w:tr>
    </w:tbl>
    <w:p>
      <w:pPr>
        <w:pStyle w:val="20"/>
        <w:spacing w:line="240" w:lineRule="auto"/>
        <w:ind w:firstLine="414"/>
        <w:jc w:val="center"/>
        <w:rPr>
          <w:rFonts w:ascii="Times New Roman" w:hAnsi="Times New Roman" w:eastAsia="宋体" w:cs="Times New Roman"/>
          <w:b/>
          <w:bCs/>
          <w:spacing w:val="-2"/>
          <w:sz w:val="21"/>
          <w:szCs w:val="21"/>
          <w:lang w:eastAsia="zh-CN"/>
        </w:rPr>
      </w:pPr>
      <w:r>
        <w:rPr>
          <w:rFonts w:hint="eastAsia" w:ascii="Times New Roman" w:hAnsi="Times New Roman" w:eastAsia="宋体" w:cs="Times New Roman"/>
          <w:b/>
          <w:bCs/>
          <w:spacing w:val="-2"/>
          <w:sz w:val="21"/>
          <w:szCs w:val="21"/>
          <w:lang w:eastAsia="zh-CN"/>
        </w:rPr>
        <w:t>表</w:t>
      </w:r>
      <w:r>
        <w:rPr>
          <w:rFonts w:ascii="Times New Roman" w:hAnsi="Times New Roman" w:eastAsia="宋体" w:cs="Times New Roman"/>
          <w:b/>
          <w:bCs/>
          <w:spacing w:val="-2"/>
          <w:sz w:val="21"/>
          <w:szCs w:val="21"/>
          <w:lang w:eastAsia="zh-CN"/>
        </w:rPr>
        <w:t>2.3-10   规划区内</w:t>
      </w:r>
      <w:r>
        <w:rPr>
          <w:rFonts w:hint="eastAsia" w:ascii="Times New Roman" w:hAnsi="Times New Roman" w:eastAsia="宋体" w:cs="Times New Roman"/>
          <w:b/>
          <w:bCs/>
          <w:spacing w:val="-2"/>
          <w:sz w:val="21"/>
          <w:szCs w:val="21"/>
          <w:lang w:eastAsia="zh-CN"/>
        </w:rPr>
        <w:t>危险</w:t>
      </w:r>
      <w:r>
        <w:rPr>
          <w:rFonts w:ascii="Times New Roman" w:hAnsi="Times New Roman" w:eastAsia="宋体" w:cs="Times New Roman"/>
          <w:b/>
          <w:bCs/>
          <w:spacing w:val="-2"/>
          <w:sz w:val="21"/>
          <w:szCs w:val="21"/>
          <w:lang w:eastAsia="zh-CN"/>
        </w:rPr>
        <w:t>废物排放情况</w:t>
      </w:r>
    </w:p>
    <w:tbl>
      <w:tblPr>
        <w:tblStyle w:val="64"/>
        <w:tblW w:w="4996"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737"/>
        <w:gridCol w:w="1765"/>
        <w:gridCol w:w="2781"/>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60" w:hRule="atLeast"/>
          <w:jc w:val="center"/>
        </w:trPr>
        <w:tc>
          <w:tcPr>
            <w:tcW w:w="2551" w:type="pct"/>
            <w:tcBorders>
              <w:tl2br w:val="nil"/>
              <w:tr2bl w:val="nil"/>
            </w:tcBorders>
            <w:noWrap/>
            <w:vAlign w:val="center"/>
          </w:tcPr>
          <w:p>
            <w:pPr>
              <w:pStyle w:val="16"/>
              <w:spacing w:line="400" w:lineRule="exact"/>
              <w:rPr>
                <w:rFonts w:ascii="Times New Roman" w:hAnsi="Times New Roman"/>
                <w:b/>
                <w:bCs/>
                <w:color w:val="000000" w:themeColor="text1"/>
                <w:sz w:val="21"/>
                <w14:textFill>
                  <w14:solidFill>
                    <w14:schemeClr w14:val="tx1"/>
                  </w14:solidFill>
                </w14:textFill>
              </w:rPr>
            </w:pPr>
            <w:r>
              <w:rPr>
                <w:rFonts w:ascii="Times New Roman" w:hAnsi="Times New Roman"/>
                <w:b/>
                <w:bCs/>
                <w:color w:val="000000" w:themeColor="text1"/>
                <w:sz w:val="21"/>
                <w14:textFill>
                  <w14:solidFill>
                    <w14:schemeClr w14:val="tx1"/>
                  </w14:solidFill>
                </w14:textFill>
              </w:rPr>
              <w:t>名称</w:t>
            </w:r>
          </w:p>
        </w:tc>
        <w:tc>
          <w:tcPr>
            <w:tcW w:w="950" w:type="pct"/>
            <w:tcBorders>
              <w:tl2br w:val="nil"/>
              <w:tr2bl w:val="nil"/>
            </w:tcBorders>
            <w:vAlign w:val="center"/>
          </w:tcPr>
          <w:p>
            <w:pPr>
              <w:pStyle w:val="16"/>
              <w:spacing w:line="400" w:lineRule="exact"/>
              <w:rPr>
                <w:rFonts w:ascii="Times New Roman" w:hAnsi="Times New Roman"/>
                <w:b/>
                <w:bCs/>
                <w:color w:val="000000" w:themeColor="text1"/>
                <w:sz w:val="21"/>
                <w14:textFill>
                  <w14:solidFill>
                    <w14:schemeClr w14:val="tx1"/>
                  </w14:solidFill>
                </w14:textFill>
              </w:rPr>
            </w:pPr>
            <w:r>
              <w:rPr>
                <w:rFonts w:ascii="Times New Roman" w:hAnsi="Times New Roman"/>
                <w:b/>
                <w:bCs/>
                <w:color w:val="000000" w:themeColor="text1"/>
                <w:sz w:val="21"/>
                <w14:textFill>
                  <w14:solidFill>
                    <w14:schemeClr w14:val="tx1"/>
                  </w14:solidFill>
                </w14:textFill>
              </w:rPr>
              <w:t>危险废物/t/a</w:t>
            </w:r>
          </w:p>
        </w:tc>
        <w:tc>
          <w:tcPr>
            <w:tcW w:w="1497" w:type="pct"/>
            <w:tcBorders>
              <w:tl2br w:val="nil"/>
              <w:tr2bl w:val="nil"/>
            </w:tcBorders>
            <w:vAlign w:val="center"/>
          </w:tcPr>
          <w:p>
            <w:pPr>
              <w:pStyle w:val="16"/>
              <w:spacing w:line="400" w:lineRule="exact"/>
              <w:rPr>
                <w:rFonts w:ascii="Times New Roman" w:hAnsi="Times New Roman"/>
                <w:b/>
                <w:bCs/>
                <w:color w:val="000000" w:themeColor="text1"/>
                <w:sz w:val="21"/>
                <w14:textFill>
                  <w14:solidFill>
                    <w14:schemeClr w14:val="tx1"/>
                  </w14:solidFill>
                </w14:textFill>
              </w:rPr>
            </w:pPr>
            <w:r>
              <w:rPr>
                <w:rFonts w:ascii="Times New Roman" w:hAnsi="Times New Roman"/>
                <w:b/>
                <w:bCs/>
                <w:color w:val="000000" w:themeColor="text1"/>
                <w:sz w:val="21"/>
                <w14:textFill>
                  <w14:solidFill>
                    <w14:schemeClr w14:val="tx1"/>
                  </w14:solidFill>
                </w14:textFill>
              </w:rPr>
              <w:t>危险废物处置方式</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沈阳金纳新材料股份有限公司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0.3</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沈阳海为电力装备股份有限公司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0.25</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沈阳天星试验仪器有限公司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0.8</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沈阳汇博热能设备有限公司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0.05</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沈阳蓝英工业自动化装备股份有限公司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1.33</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沈阳益普应用技术研究所</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0.4</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8"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沈阳天之美印务有限公司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0.01</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沈阳拓荆科技有限公司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5</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沈阳市同泰印刷有限公司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0.8</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沈阳海为电力装备股份有限公司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1.0</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沈阳晟新钛制品有限公司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0.04</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cs="宋体"/>
                <w:color w:val="000000" w:themeColor="text1"/>
                <w:sz w:val="21"/>
                <w:lang w:bidi="ar"/>
                <w14:textFill>
                  <w14:solidFill>
                    <w14:schemeClr w14:val="tx1"/>
                  </w14:solidFill>
                </w14:textFill>
              </w:rPr>
              <w:t>辽宁远大诺康生物制药有限公司</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8.14</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委托有资质单位处理</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2551"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ascii="Times New Roman" w:hAnsi="Times New Roman"/>
                <w:color w:val="000000" w:themeColor="text1"/>
                <w:sz w:val="21"/>
                <w14:textFill>
                  <w14:solidFill>
                    <w14:schemeClr w14:val="tx1"/>
                  </w14:solidFill>
                </w14:textFill>
              </w:rPr>
              <w:t>合计</w:t>
            </w:r>
          </w:p>
        </w:tc>
        <w:tc>
          <w:tcPr>
            <w:tcW w:w="950" w:type="pct"/>
            <w:tcBorders>
              <w:tl2br w:val="nil"/>
              <w:tr2bl w:val="nil"/>
            </w:tcBorders>
            <w:noWrap/>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18.12</w:t>
            </w:r>
          </w:p>
        </w:tc>
        <w:tc>
          <w:tcPr>
            <w:tcW w:w="1497" w:type="pct"/>
            <w:tcBorders>
              <w:tl2br w:val="nil"/>
              <w:tr2bl w:val="nil"/>
            </w:tcBorders>
            <w:vAlign w:val="center"/>
          </w:tcPr>
          <w:p>
            <w:pPr>
              <w:pStyle w:val="16"/>
              <w:spacing w:line="400" w:lineRule="exact"/>
              <w:rPr>
                <w:rFonts w:ascii="Times New Roman" w:hAnsi="Times New Roman"/>
                <w:color w:val="000000" w:themeColor="text1"/>
                <w:sz w:val="21"/>
                <w14:textFill>
                  <w14:solidFill>
                    <w14:schemeClr w14:val="tx1"/>
                  </w14:solidFill>
                </w14:textFill>
              </w:rPr>
            </w:pPr>
            <w:r>
              <w:rPr>
                <w:rFonts w:hint="eastAsia" w:ascii="Times New Roman" w:hAnsi="Times New Roman"/>
                <w:color w:val="000000" w:themeColor="text1"/>
                <w:sz w:val="21"/>
                <w14:textFill>
                  <w14:solidFill>
                    <w14:schemeClr w14:val="tx1"/>
                  </w14:solidFill>
                </w14:textFill>
              </w:rPr>
              <w:t>/</w:t>
            </w:r>
          </w:p>
        </w:tc>
      </w:tr>
    </w:tbl>
    <w:p>
      <w:pPr>
        <w:autoSpaceDE w:val="0"/>
        <w:autoSpaceDN w:val="0"/>
        <w:ind w:firstLine="480"/>
        <w:jc w:val="left"/>
        <w:rPr>
          <w:color w:val="000000"/>
        </w:rPr>
      </w:pPr>
      <w:r>
        <w:rPr>
          <w:color w:val="000000"/>
        </w:rPr>
        <w:t>由上表可知：</w:t>
      </w:r>
    </w:p>
    <w:p>
      <w:pPr>
        <w:ind w:firstLine="480"/>
        <w:rPr>
          <w:color w:val="000000"/>
          <w:lang w:eastAsia="zh-CN"/>
        </w:rPr>
      </w:pPr>
      <w:r>
        <w:rPr>
          <w:color w:val="000000"/>
          <w:lang w:eastAsia="zh-CN"/>
        </w:rPr>
        <w:t>（1）区内主要企业一般固体废物产生量为</w:t>
      </w:r>
      <w:r>
        <w:rPr>
          <w:rFonts w:hint="eastAsia"/>
          <w:color w:val="000000"/>
          <w:lang w:eastAsia="zh-CN"/>
        </w:rPr>
        <w:t>21812.27</w:t>
      </w:r>
      <w:r>
        <w:rPr>
          <w:color w:val="000000"/>
          <w:lang w:eastAsia="zh-CN"/>
        </w:rPr>
        <w:t>吨，利用量为</w:t>
      </w:r>
      <w:r>
        <w:rPr>
          <w:rFonts w:hint="eastAsia"/>
          <w:color w:val="000000"/>
          <w:lang w:eastAsia="zh-CN"/>
        </w:rPr>
        <w:t>21812.27</w:t>
      </w:r>
      <w:r>
        <w:rPr>
          <w:color w:val="000000"/>
          <w:lang w:eastAsia="zh-CN"/>
        </w:rPr>
        <w:t>吨，综合利用率为</w:t>
      </w:r>
      <w:r>
        <w:rPr>
          <w:rFonts w:hint="eastAsia"/>
          <w:color w:val="000000"/>
          <w:lang w:eastAsia="zh-CN"/>
        </w:rPr>
        <w:t>100</w:t>
      </w:r>
      <w:r>
        <w:rPr>
          <w:color w:val="000000"/>
          <w:lang w:eastAsia="zh-CN"/>
        </w:rPr>
        <w:t>%。</w:t>
      </w:r>
    </w:p>
    <w:p>
      <w:pPr>
        <w:ind w:firstLine="480"/>
        <w:rPr>
          <w:color w:val="000000"/>
          <w:lang w:eastAsia="zh-CN"/>
        </w:rPr>
      </w:pPr>
      <w:r>
        <w:rPr>
          <w:color w:val="000000"/>
          <w:lang w:eastAsia="zh-CN"/>
        </w:rPr>
        <w:t>（2）区内主要企业危险废物产生量为</w:t>
      </w:r>
      <w:r>
        <w:rPr>
          <w:rFonts w:hint="eastAsia"/>
          <w:color w:val="000000"/>
          <w:lang w:eastAsia="zh-CN"/>
        </w:rPr>
        <w:t>18.12</w:t>
      </w:r>
      <w:r>
        <w:rPr>
          <w:color w:val="000000"/>
          <w:lang w:eastAsia="zh-CN"/>
        </w:rPr>
        <w:t>吨，处置量为</w:t>
      </w:r>
      <w:r>
        <w:rPr>
          <w:rFonts w:hint="eastAsia"/>
          <w:color w:val="000000"/>
          <w:lang w:eastAsia="zh-CN"/>
        </w:rPr>
        <w:t>18.12</w:t>
      </w:r>
      <w:r>
        <w:rPr>
          <w:color w:val="000000"/>
          <w:lang w:eastAsia="zh-CN"/>
        </w:rPr>
        <w:t>吨，无害化处理率为100%。区内企业危险废物主要为</w:t>
      </w:r>
      <w:r>
        <w:rPr>
          <w:rFonts w:hint="eastAsia"/>
          <w:color w:val="000000"/>
          <w:lang w:eastAsia="zh-CN"/>
        </w:rPr>
        <w:t>隔油池油渣、废润滑油、废机油等</w:t>
      </w:r>
      <w:r>
        <w:rPr>
          <w:color w:val="000000"/>
          <w:lang w:eastAsia="zh-CN"/>
        </w:rPr>
        <w:t>，均由具备危险废物处置资质的企业进行再生和资源化利用或处置。</w:t>
      </w:r>
    </w:p>
    <w:p>
      <w:pPr>
        <w:ind w:firstLine="480"/>
        <w:rPr>
          <w:color w:val="000000"/>
          <w:lang w:eastAsia="zh-CN"/>
        </w:rPr>
      </w:pPr>
      <w:r>
        <w:rPr>
          <w:color w:val="000000"/>
          <w:lang w:eastAsia="zh-CN"/>
        </w:rPr>
        <w:t>总体上，园区工业固体废物综合利用率为</w:t>
      </w:r>
      <w:r>
        <w:rPr>
          <w:rFonts w:hint="eastAsia"/>
          <w:color w:val="000000"/>
          <w:lang w:eastAsia="zh-CN"/>
        </w:rPr>
        <w:t>100</w:t>
      </w:r>
      <w:r>
        <w:rPr>
          <w:color w:val="000000"/>
          <w:lang w:eastAsia="zh-CN"/>
        </w:rPr>
        <w:t>%，危险废物无害化处理率为100%。</w:t>
      </w:r>
    </w:p>
    <w:p>
      <w:pPr>
        <w:pStyle w:val="10"/>
        <w:rPr>
          <w:rFonts w:cs="Times New Roman"/>
          <w:b/>
          <w:bCs/>
          <w:lang w:eastAsia="zh-CN"/>
        </w:rPr>
      </w:pPr>
      <w:r>
        <w:rPr>
          <w:rFonts w:cs="Times New Roman"/>
          <w:b/>
          <w:bCs/>
          <w:lang w:eastAsia="zh-CN"/>
        </w:rPr>
        <w:t xml:space="preserve">2.3.5.4 </w:t>
      </w:r>
      <w:r>
        <w:rPr>
          <w:rFonts w:hint="eastAsia" w:cs="Times New Roman"/>
          <w:b/>
          <w:bCs/>
          <w:lang w:eastAsia="zh-CN"/>
        </w:rPr>
        <w:t>国际新兴产业园区</w:t>
      </w:r>
      <w:r>
        <w:rPr>
          <w:rFonts w:cs="Times New Roman"/>
          <w:b/>
          <w:bCs/>
          <w:lang w:eastAsia="zh-CN"/>
        </w:rPr>
        <w:t>排污总量分析</w:t>
      </w:r>
    </w:p>
    <w:p>
      <w:pPr>
        <w:overflowPunct w:val="0"/>
        <w:autoSpaceDE w:val="0"/>
        <w:autoSpaceDN w:val="0"/>
        <w:ind w:firstLine="480"/>
        <w:textAlignment w:val="baseline"/>
        <w:rPr>
          <w:rFonts w:cs="Times New Roman"/>
          <w:lang w:eastAsia="zh-CN"/>
        </w:rPr>
      </w:pPr>
      <w:r>
        <w:rPr>
          <w:rFonts w:cs="Times New Roman"/>
          <w:lang w:eastAsia="zh-CN"/>
        </w:rPr>
        <w:t>目前规划</w:t>
      </w:r>
      <w:r>
        <w:rPr>
          <w:rFonts w:hint="eastAsia" w:cs="Times New Roman"/>
          <w:lang w:eastAsia="zh-CN"/>
        </w:rPr>
        <w:t>国际新兴产业园区</w:t>
      </w:r>
      <w:r>
        <w:rPr>
          <w:rFonts w:cs="Times New Roman"/>
          <w:lang w:eastAsia="zh-CN"/>
        </w:rPr>
        <w:t>未单独分配总量，总量由</w:t>
      </w:r>
      <w:r>
        <w:rPr>
          <w:rFonts w:hint="eastAsia" w:cs="Times New Roman"/>
          <w:lang w:eastAsia="zh-CN"/>
        </w:rPr>
        <w:t>浑南</w:t>
      </w:r>
      <w:r>
        <w:rPr>
          <w:rFonts w:cs="Times New Roman"/>
          <w:lang w:eastAsia="zh-CN"/>
        </w:rPr>
        <w:t>调剂，各企业在环评阶段均落实了总量控制制度。</w:t>
      </w:r>
      <w:r>
        <w:rPr>
          <w:rFonts w:hint="eastAsia" w:cs="Times New Roman"/>
          <w:lang w:eastAsia="zh-CN"/>
        </w:rPr>
        <w:t>根据《建设项目主要污染物排放总量指标审核及管理暂行办法》（环发﹝</w:t>
      </w:r>
      <w:r>
        <w:rPr>
          <w:rFonts w:cs="Times New Roman"/>
          <w:lang w:eastAsia="zh-CN"/>
        </w:rPr>
        <w:t>2014</w:t>
      </w:r>
      <w:r>
        <w:rPr>
          <w:rFonts w:hint="eastAsia" w:cs="Times New Roman"/>
          <w:lang w:eastAsia="zh-CN"/>
        </w:rPr>
        <w:t>﹞</w:t>
      </w:r>
      <w:r>
        <w:rPr>
          <w:rFonts w:cs="Times New Roman"/>
          <w:lang w:eastAsia="zh-CN"/>
        </w:rPr>
        <w:t xml:space="preserve">197 </w:t>
      </w:r>
      <w:r>
        <w:rPr>
          <w:rFonts w:hint="eastAsia" w:cs="Times New Roman"/>
          <w:lang w:eastAsia="zh-CN"/>
        </w:rPr>
        <w:t>号）、《辽宁省环境保护厅关于贯彻执行环保部建设项目主要污染物排放总量指标审核及管理暂行办法的通知》（辽环发</w:t>
      </w:r>
      <w:r>
        <w:rPr>
          <w:rFonts w:cs="Times New Roman"/>
          <w:lang w:eastAsia="zh-CN"/>
        </w:rPr>
        <w:t>[2015]17</w:t>
      </w:r>
      <w:r>
        <w:rPr>
          <w:rFonts w:hint="eastAsia" w:cs="Times New Roman"/>
          <w:lang w:eastAsia="zh-CN"/>
        </w:rPr>
        <w:t>号）、《辽宁省生态环境厅关于进一步加强建设项目主要污染物排放总量指标审核和管理的通知》（辽环综函（</w:t>
      </w:r>
      <w:r>
        <w:rPr>
          <w:rFonts w:cs="Times New Roman"/>
          <w:lang w:eastAsia="zh-CN"/>
        </w:rPr>
        <w:t>2020</w:t>
      </w:r>
      <w:r>
        <w:rPr>
          <w:rFonts w:hint="eastAsia" w:cs="Times New Roman"/>
          <w:lang w:eastAsia="zh-CN"/>
        </w:rPr>
        <w:t>）</w:t>
      </w:r>
      <w:r>
        <w:rPr>
          <w:rFonts w:cs="Times New Roman"/>
          <w:lang w:eastAsia="zh-CN"/>
        </w:rPr>
        <w:t>380号</w:t>
      </w:r>
      <w:r>
        <w:rPr>
          <w:rFonts w:hint="eastAsia" w:cs="Times New Roman"/>
          <w:lang w:eastAsia="zh-CN"/>
        </w:rPr>
        <w:t>），综合考虑本项目的工艺和排污特点，结合所在区域环境质量现状以及当地环境管理部门的要求。</w:t>
      </w:r>
      <w:r>
        <w:rPr>
          <w:rFonts w:cs="Times New Roman"/>
          <w:lang w:eastAsia="zh-CN"/>
        </w:rPr>
        <w:t>主要水污染物控制指标为COD、氨氮；废气污染物控制指标为SO</w:t>
      </w:r>
      <w:r>
        <w:rPr>
          <w:rFonts w:cs="Times New Roman"/>
          <w:vertAlign w:val="subscript"/>
          <w:lang w:eastAsia="zh-CN"/>
        </w:rPr>
        <w:t>2</w:t>
      </w:r>
      <w:r>
        <w:rPr>
          <w:rFonts w:cs="Times New Roman"/>
          <w:lang w:eastAsia="zh-CN"/>
        </w:rPr>
        <w:t>、NO</w:t>
      </w:r>
      <w:r>
        <w:rPr>
          <w:rFonts w:cs="Times New Roman"/>
          <w:vertAlign w:val="subscript"/>
          <w:lang w:eastAsia="zh-CN"/>
        </w:rPr>
        <w:t>X</w:t>
      </w:r>
      <w:r>
        <w:rPr>
          <w:rFonts w:hint="eastAsia" w:cs="Times New Roman"/>
          <w:lang w:eastAsia="zh-CN"/>
        </w:rPr>
        <w:t>和</w:t>
      </w:r>
      <w:r>
        <w:rPr>
          <w:rFonts w:cs="Times New Roman"/>
          <w:lang w:eastAsia="zh-CN"/>
        </w:rPr>
        <w:t>VOC。</w:t>
      </w:r>
    </w:p>
    <w:p>
      <w:pPr>
        <w:spacing w:line="240" w:lineRule="auto"/>
        <w:ind w:firstLine="422"/>
        <w:jc w:val="center"/>
        <w:rPr>
          <w:rFonts w:cs="Times New Roman"/>
          <w:b/>
          <w:sz w:val="21"/>
          <w:szCs w:val="21"/>
          <w:lang w:eastAsia="zh-CN"/>
        </w:rPr>
      </w:pPr>
      <w:r>
        <w:rPr>
          <w:rFonts w:cs="Times New Roman"/>
          <w:b/>
          <w:sz w:val="21"/>
          <w:szCs w:val="21"/>
          <w:lang w:eastAsia="zh-CN"/>
        </w:rPr>
        <w:t xml:space="preserve">表2.3-13 </w:t>
      </w:r>
      <w:r>
        <w:rPr>
          <w:rFonts w:hint="eastAsia" w:cs="Times New Roman"/>
          <w:b/>
          <w:sz w:val="21"/>
          <w:szCs w:val="21"/>
          <w:lang w:eastAsia="zh-CN"/>
        </w:rPr>
        <w:t>国际新兴产业园区</w:t>
      </w:r>
      <w:r>
        <w:rPr>
          <w:rFonts w:cs="Times New Roman"/>
          <w:b/>
          <w:sz w:val="21"/>
          <w:szCs w:val="21"/>
          <w:lang w:eastAsia="zh-CN"/>
        </w:rPr>
        <w:t>总量控制指标分析    单位：t/a</w:t>
      </w:r>
    </w:p>
    <w:tbl>
      <w:tblPr>
        <w:tblStyle w:val="64"/>
        <w:tblW w:w="472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9"/>
        <w:gridCol w:w="1403"/>
        <w:gridCol w:w="2577"/>
        <w:gridCol w:w="2208"/>
        <w:gridCol w:w="119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分类</w:t>
            </w:r>
          </w:p>
        </w:tc>
        <w:tc>
          <w:tcPr>
            <w:tcW w:w="798"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污染物种类</w:t>
            </w:r>
          </w:p>
        </w:tc>
        <w:tc>
          <w:tcPr>
            <w:tcW w:w="1466"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规划环评核定量（2030年）</w:t>
            </w:r>
          </w:p>
        </w:tc>
        <w:tc>
          <w:tcPr>
            <w:tcW w:w="1256"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2020年实际排放量</w:t>
            </w:r>
          </w:p>
        </w:tc>
        <w:tc>
          <w:tcPr>
            <w:tcW w:w="681" w:type="pct"/>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Merge w:val="restar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废气污染物</w:t>
            </w:r>
          </w:p>
        </w:tc>
        <w:tc>
          <w:tcPr>
            <w:tcW w:w="79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SO</w:t>
            </w:r>
            <w:r>
              <w:rPr>
                <w:rFonts w:ascii="Times New Roman" w:hAnsi="Times New Roman"/>
                <w:sz w:val="21"/>
                <w:vertAlign w:val="subscript"/>
              </w:rPr>
              <w:t>2</w:t>
            </w:r>
          </w:p>
        </w:tc>
        <w:tc>
          <w:tcPr>
            <w:tcW w:w="1466" w:type="pct"/>
            <w:tcBorders>
              <w:tl2br w:val="nil"/>
              <w:tr2bl w:val="nil"/>
            </w:tcBorders>
            <w:vAlign w:val="center"/>
          </w:tcPr>
          <w:p>
            <w:pPr>
              <w:pStyle w:val="16"/>
              <w:spacing w:line="400" w:lineRule="exact"/>
              <w:rPr>
                <w:rFonts w:ascii="Times New Roman" w:hAnsi="Times New Roman"/>
                <w:sz w:val="21"/>
              </w:rPr>
            </w:pPr>
            <w:r>
              <w:rPr>
                <w:rFonts w:ascii="Times New Roman"/>
                <w:sz w:val="21"/>
              </w:rPr>
              <w:t>9672</w:t>
            </w:r>
          </w:p>
        </w:tc>
        <w:tc>
          <w:tcPr>
            <w:tcW w:w="125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269.50</w:t>
            </w:r>
          </w:p>
        </w:tc>
        <w:tc>
          <w:tcPr>
            <w:tcW w:w="681"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pStyle w:val="16"/>
              <w:spacing w:line="400" w:lineRule="exact"/>
              <w:rPr>
                <w:rFonts w:ascii="Times New Roman" w:hAnsi="Times New Roman"/>
                <w:sz w:val="21"/>
              </w:rPr>
            </w:pPr>
          </w:p>
        </w:tc>
        <w:tc>
          <w:tcPr>
            <w:tcW w:w="79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NO</w:t>
            </w:r>
            <w:r>
              <w:rPr>
                <w:rFonts w:ascii="Times New Roman" w:hAnsi="Times New Roman"/>
                <w:sz w:val="21"/>
                <w:vertAlign w:val="subscript"/>
              </w:rPr>
              <w:t>X</w:t>
            </w:r>
          </w:p>
        </w:tc>
        <w:tc>
          <w:tcPr>
            <w:tcW w:w="146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无</w:t>
            </w:r>
          </w:p>
        </w:tc>
        <w:tc>
          <w:tcPr>
            <w:tcW w:w="125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285.85</w:t>
            </w:r>
          </w:p>
        </w:tc>
        <w:tc>
          <w:tcPr>
            <w:tcW w:w="681"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pStyle w:val="16"/>
              <w:spacing w:line="400" w:lineRule="exact"/>
              <w:rPr>
                <w:rFonts w:ascii="Times New Roman" w:hAnsi="Times New Roman"/>
                <w:sz w:val="21"/>
              </w:rPr>
            </w:pPr>
          </w:p>
        </w:tc>
        <w:tc>
          <w:tcPr>
            <w:tcW w:w="79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颗粒物</w:t>
            </w:r>
          </w:p>
        </w:tc>
        <w:tc>
          <w:tcPr>
            <w:tcW w:w="2577"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无</w:t>
            </w:r>
          </w:p>
        </w:tc>
        <w:tc>
          <w:tcPr>
            <w:tcW w:w="2208"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352.56</w:t>
            </w:r>
          </w:p>
        </w:tc>
        <w:tc>
          <w:tcPr>
            <w:tcW w:w="681"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pStyle w:val="16"/>
              <w:spacing w:line="400" w:lineRule="exact"/>
              <w:rPr>
                <w:rFonts w:ascii="Times New Roman" w:hAnsi="Times New Roman"/>
                <w:sz w:val="21"/>
              </w:rPr>
            </w:pPr>
          </w:p>
        </w:tc>
        <w:tc>
          <w:tcPr>
            <w:tcW w:w="79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VOC</w:t>
            </w:r>
          </w:p>
        </w:tc>
        <w:tc>
          <w:tcPr>
            <w:tcW w:w="146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无</w:t>
            </w:r>
          </w:p>
        </w:tc>
        <w:tc>
          <w:tcPr>
            <w:tcW w:w="125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4.34</w:t>
            </w:r>
          </w:p>
        </w:tc>
        <w:tc>
          <w:tcPr>
            <w:tcW w:w="681" w:type="pct"/>
            <w:tcBorders>
              <w:tl2br w:val="nil"/>
              <w:tr2bl w:val="nil"/>
            </w:tcBorders>
            <w:vAlign w:val="center"/>
          </w:tcPr>
          <w:p>
            <w:pPr>
              <w:pStyle w:val="16"/>
              <w:spacing w:line="400" w:lineRule="exact"/>
              <w:rPr>
                <w:rFonts w:ascii="Times New Roman" w:hAnsi="Times New Roman"/>
                <w:sz w:val="21"/>
                <w:lang w:eastAsia="en-US"/>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Merge w:val="restar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废水污染物</w:t>
            </w:r>
          </w:p>
        </w:tc>
        <w:tc>
          <w:tcPr>
            <w:tcW w:w="79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COD</w:t>
            </w:r>
          </w:p>
        </w:tc>
        <w:tc>
          <w:tcPr>
            <w:tcW w:w="1466" w:type="pct"/>
            <w:tcBorders>
              <w:tl2br w:val="nil"/>
              <w:tr2bl w:val="nil"/>
            </w:tcBorders>
            <w:vAlign w:val="center"/>
          </w:tcPr>
          <w:p>
            <w:pPr>
              <w:pStyle w:val="16"/>
              <w:spacing w:line="400" w:lineRule="exact"/>
              <w:rPr>
                <w:rFonts w:ascii="Times New Roman" w:hAnsi="Times New Roman"/>
                <w:sz w:val="21"/>
              </w:rPr>
            </w:pPr>
            <w:r>
              <w:rPr>
                <w:rFonts w:ascii="Times New Roman"/>
                <w:sz w:val="21"/>
              </w:rPr>
              <w:t>78</w:t>
            </w:r>
            <w:r>
              <w:rPr>
                <w:rFonts w:hint="eastAsia" w:ascii="Times New Roman"/>
                <w:sz w:val="21"/>
              </w:rPr>
              <w:t>.</w:t>
            </w:r>
            <w:r>
              <w:rPr>
                <w:rFonts w:ascii="Times New Roman"/>
                <w:sz w:val="21"/>
              </w:rPr>
              <w:t>506</w:t>
            </w:r>
          </w:p>
        </w:tc>
        <w:tc>
          <w:tcPr>
            <w:tcW w:w="125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2.46</w:t>
            </w:r>
          </w:p>
        </w:tc>
        <w:tc>
          <w:tcPr>
            <w:tcW w:w="681"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pStyle w:val="16"/>
              <w:spacing w:line="400" w:lineRule="exact"/>
              <w:rPr>
                <w:rFonts w:ascii="Times New Roman" w:hAnsi="Times New Roman"/>
                <w:sz w:val="21"/>
              </w:rPr>
            </w:pPr>
          </w:p>
        </w:tc>
        <w:tc>
          <w:tcPr>
            <w:tcW w:w="798"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氨氮</w:t>
            </w:r>
          </w:p>
        </w:tc>
        <w:tc>
          <w:tcPr>
            <w:tcW w:w="1466" w:type="pct"/>
            <w:tcBorders>
              <w:tl2br w:val="nil"/>
              <w:tr2bl w:val="nil"/>
            </w:tcBorders>
            <w:vAlign w:val="center"/>
          </w:tcPr>
          <w:p>
            <w:pPr>
              <w:pStyle w:val="16"/>
              <w:spacing w:line="400" w:lineRule="exact"/>
              <w:rPr>
                <w:rFonts w:ascii="Times New Roman" w:hAnsi="Times New Roman"/>
                <w:sz w:val="21"/>
              </w:rPr>
            </w:pPr>
            <w:r>
              <w:rPr>
                <w:rFonts w:ascii="Times New Roman"/>
                <w:sz w:val="21"/>
              </w:rPr>
              <w:t>7</w:t>
            </w:r>
            <w:r>
              <w:rPr>
                <w:rFonts w:hint="eastAsia" w:ascii="Times New Roman"/>
                <w:sz w:val="21"/>
              </w:rPr>
              <w:t>.</w:t>
            </w:r>
            <w:r>
              <w:rPr>
                <w:rFonts w:ascii="Times New Roman"/>
                <w:sz w:val="21"/>
              </w:rPr>
              <w:t>677</w:t>
            </w:r>
          </w:p>
        </w:tc>
        <w:tc>
          <w:tcPr>
            <w:tcW w:w="1256" w:type="pct"/>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0.241</w:t>
            </w:r>
          </w:p>
        </w:tc>
        <w:tc>
          <w:tcPr>
            <w:tcW w:w="681" w:type="pct"/>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符合</w:t>
            </w:r>
          </w:p>
        </w:tc>
      </w:tr>
    </w:tbl>
    <w:p>
      <w:pPr>
        <w:ind w:firstLine="480"/>
        <w:rPr>
          <w:color w:val="000000"/>
          <w:lang w:eastAsia="zh-CN"/>
        </w:rPr>
      </w:pPr>
      <w:r>
        <w:rPr>
          <w:color w:val="000000"/>
          <w:lang w:eastAsia="zh-CN"/>
        </w:rPr>
        <w:t>根据规划环评：</w:t>
      </w:r>
      <w:r>
        <w:rPr>
          <w:lang w:eastAsia="zh-CN"/>
        </w:rPr>
        <w:t>SO</w:t>
      </w:r>
      <w:r>
        <w:rPr>
          <w:vertAlign w:val="subscript"/>
          <w:lang w:eastAsia="zh-CN"/>
        </w:rPr>
        <w:t>2</w:t>
      </w:r>
      <w:r>
        <w:rPr>
          <w:rFonts w:hint="eastAsia"/>
          <w:lang w:eastAsia="zh-CN"/>
        </w:rPr>
        <w:t>、</w:t>
      </w:r>
      <w:r>
        <w:rPr>
          <w:rFonts w:hint="eastAsia" w:hAnsi="宋体"/>
          <w:snapToGrid w:val="0"/>
          <w:color w:val="000000"/>
          <w:lang w:eastAsia="zh-CN"/>
        </w:rPr>
        <w:t>NO</w:t>
      </w:r>
      <w:r>
        <w:rPr>
          <w:rFonts w:hint="eastAsia" w:hAnsi="宋体"/>
          <w:snapToGrid w:val="0"/>
          <w:color w:val="000000"/>
          <w:vertAlign w:val="subscript"/>
          <w:lang w:eastAsia="zh-CN"/>
        </w:rPr>
        <w:t>x</w:t>
      </w:r>
      <w:r>
        <w:rPr>
          <w:rFonts w:hint="eastAsia" w:hAnsi="宋体"/>
          <w:snapToGrid w:val="0"/>
          <w:color w:val="000000"/>
          <w:lang w:eastAsia="zh-CN"/>
        </w:rPr>
        <w:t>环境容量尚可。根据《规划》对开发区的定位，</w:t>
      </w:r>
      <w:r>
        <w:rPr>
          <w:spacing w:val="-10"/>
          <w:lang w:eastAsia="zh-CN"/>
        </w:rPr>
        <w:t>以节能环保、新能源、生物医药、电子商务、现代物流产业为主导，以先进装备制造、汽车零部件生产产业为延伸</w:t>
      </w:r>
      <w:r>
        <w:rPr>
          <w:color w:val="000000"/>
          <w:lang w:eastAsia="zh-CN"/>
        </w:rPr>
        <w:t>，</w:t>
      </w:r>
      <w:r>
        <w:rPr>
          <w:bCs/>
          <w:color w:val="000000" w:themeColor="text1"/>
          <w:lang w:eastAsia="zh-CN"/>
          <w14:textFill>
            <w14:solidFill>
              <w14:schemeClr w14:val="tx1"/>
            </w14:solidFill>
          </w14:textFill>
        </w:rPr>
        <w:t>常规废气污染物排放主要来自非主导行业企业，</w:t>
      </w:r>
      <w:r>
        <w:rPr>
          <w:color w:val="000000" w:themeColor="text1"/>
          <w:lang w:eastAsia="zh-CN"/>
          <w14:textFill>
            <w14:solidFill>
              <w14:schemeClr w14:val="tx1"/>
            </w14:solidFill>
          </w14:textFill>
        </w:rPr>
        <w:t>主要原因是非主导行业中</w:t>
      </w:r>
      <w:r>
        <w:rPr>
          <w:rFonts w:cs="Times New Roman"/>
          <w:color w:val="000000" w:themeColor="text1"/>
          <w:lang w:eastAsia="zh-CN" w:bidi="ar"/>
          <w14:textFill>
            <w14:solidFill>
              <w14:schemeClr w14:val="tx1"/>
            </w14:solidFill>
          </w14:textFill>
        </w:rPr>
        <w:t>沈阳浑南热力有限责任公司（第三热源厂)</w:t>
      </w:r>
      <w:r>
        <w:rPr>
          <w:rFonts w:hint="eastAsia" w:cs="Times New Roman"/>
          <w:color w:val="000000" w:themeColor="text1"/>
          <w:lang w:eastAsia="zh-CN" w:bidi="ar"/>
          <w14:textFill>
            <w14:solidFill>
              <w14:schemeClr w14:val="tx1"/>
            </w14:solidFill>
          </w14:textFill>
        </w:rPr>
        <w:t>供暖锅炉</w:t>
      </w:r>
      <w:r>
        <w:rPr>
          <w:color w:val="000000" w:themeColor="text1"/>
          <w:lang w:eastAsia="zh-CN"/>
          <w14:textFill>
            <w14:solidFill>
              <w14:schemeClr w14:val="tx1"/>
            </w14:solidFill>
          </w14:textFill>
        </w:rPr>
        <w:t>所致</w:t>
      </w:r>
      <w:r>
        <w:rPr>
          <w:rFonts w:hint="eastAsia"/>
          <w:color w:val="000000"/>
          <w:lang w:eastAsia="zh-CN"/>
        </w:rPr>
        <w:t>。</w:t>
      </w:r>
    </w:p>
    <w:p>
      <w:pPr>
        <w:ind w:firstLine="480"/>
        <w:rPr>
          <w:color w:val="000000"/>
          <w:lang w:eastAsia="zh-CN"/>
        </w:rPr>
      </w:pPr>
      <w:r>
        <w:rPr>
          <w:color w:val="000000"/>
          <w:lang w:eastAsia="zh-CN"/>
        </w:rPr>
        <w:t>（2）废水排放总量控制措施跟踪评价</w:t>
      </w:r>
    </w:p>
    <w:p>
      <w:pPr>
        <w:ind w:firstLine="480"/>
        <w:rPr>
          <w:color w:val="000000"/>
          <w:lang w:eastAsia="zh-CN"/>
        </w:rPr>
      </w:pPr>
      <w:r>
        <w:rPr>
          <w:color w:val="000000"/>
          <w:lang w:eastAsia="zh-CN"/>
        </w:rPr>
        <w:t>根据扩区规划环评：</w:t>
      </w:r>
    </w:p>
    <w:p>
      <w:pPr>
        <w:ind w:firstLine="480"/>
        <w:rPr>
          <w:lang w:eastAsia="zh-CN"/>
        </w:rPr>
      </w:pPr>
      <w:r>
        <w:rPr>
          <w:rFonts w:hint="eastAsia"/>
          <w:lang w:eastAsia="zh-CN"/>
        </w:rPr>
        <w:t>产业区</w:t>
      </w:r>
      <w:r>
        <w:rPr>
          <w:lang w:eastAsia="zh-CN"/>
        </w:rPr>
        <w:t>水环境总量控制指标为COD</w:t>
      </w:r>
      <w:r>
        <w:rPr>
          <w:rFonts w:hint="eastAsia"/>
          <w:lang w:eastAsia="zh-CN"/>
        </w:rPr>
        <w:t>78.506</w:t>
      </w:r>
      <w:r>
        <w:rPr>
          <w:lang w:eastAsia="zh-CN"/>
        </w:rPr>
        <w:t>t/a</w:t>
      </w:r>
      <w:r>
        <w:rPr>
          <w:rFonts w:hint="eastAsia"/>
          <w:lang w:eastAsia="zh-CN"/>
        </w:rPr>
        <w:t>，NH</w:t>
      </w:r>
      <w:r>
        <w:rPr>
          <w:vertAlign w:val="subscript"/>
          <w:lang w:eastAsia="zh-CN"/>
        </w:rPr>
        <w:t>3</w:t>
      </w:r>
      <w:r>
        <w:rPr>
          <w:lang w:eastAsia="zh-CN"/>
        </w:rPr>
        <w:t xml:space="preserve">-N </w:t>
      </w:r>
      <w:r>
        <w:rPr>
          <w:rFonts w:hint="eastAsia"/>
          <w:lang w:eastAsia="zh-CN"/>
        </w:rPr>
        <w:t>7.677t/a</w:t>
      </w:r>
      <w:r>
        <w:rPr>
          <w:lang w:eastAsia="zh-CN"/>
        </w:rPr>
        <w:t>。鉴于</w:t>
      </w:r>
      <w:r>
        <w:rPr>
          <w:color w:val="000000"/>
          <w:lang w:eastAsia="zh-CN"/>
        </w:rPr>
        <w:t>区内废水收集后统一</w:t>
      </w:r>
      <w:r>
        <w:rPr>
          <w:rFonts w:hint="eastAsia"/>
          <w:color w:val="000000"/>
          <w:lang w:eastAsia="zh-CN"/>
        </w:rPr>
        <w:t>由上夹河</w:t>
      </w:r>
      <w:r>
        <w:rPr>
          <w:color w:val="000000"/>
          <w:lang w:eastAsia="zh-CN"/>
        </w:rPr>
        <w:t>污水处理厂进行处理。</w:t>
      </w:r>
    </w:p>
    <w:p>
      <w:pPr>
        <w:ind w:firstLine="480"/>
        <w:rPr>
          <w:highlight w:val="yellow"/>
          <w:lang w:eastAsia="zh-CN"/>
        </w:rPr>
      </w:pPr>
      <w:r>
        <w:rPr>
          <w:lang w:eastAsia="zh-CN"/>
        </w:rPr>
        <w:t>截止20</w:t>
      </w:r>
      <w:r>
        <w:rPr>
          <w:rFonts w:hint="eastAsia"/>
          <w:lang w:eastAsia="zh-CN"/>
        </w:rPr>
        <w:t>21</w:t>
      </w:r>
      <w:r>
        <w:rPr>
          <w:lang w:eastAsia="zh-CN"/>
        </w:rPr>
        <w:t>年，开发区COD、氨氮排放总量分别控制在</w:t>
      </w:r>
      <w:r>
        <w:rPr>
          <w:rFonts w:hint="eastAsia"/>
          <w:lang w:eastAsia="zh-CN"/>
        </w:rPr>
        <w:t>2.46</w:t>
      </w:r>
      <w:r>
        <w:rPr>
          <w:lang w:eastAsia="zh-CN"/>
        </w:rPr>
        <w:t>t/a和</w:t>
      </w:r>
      <w:r>
        <w:rPr>
          <w:rFonts w:hint="eastAsia"/>
          <w:lang w:eastAsia="zh-CN"/>
        </w:rPr>
        <w:t>0.241</w:t>
      </w:r>
      <w:r>
        <w:rPr>
          <w:lang w:eastAsia="zh-CN"/>
        </w:rPr>
        <w:t>t/a，满足总量控制要求。</w:t>
      </w:r>
    </w:p>
    <w:p>
      <w:pPr>
        <w:pStyle w:val="9"/>
        <w:rPr>
          <w:rFonts w:ascii="Times New Roman" w:hAnsi="Times New Roman"/>
          <w:color w:val="auto"/>
        </w:rPr>
      </w:pPr>
      <w:bookmarkStart w:id="91" w:name="_Toc9349"/>
      <w:r>
        <w:rPr>
          <w:rFonts w:ascii="Times New Roman" w:hAnsi="Times New Roman"/>
          <w:color w:val="auto"/>
        </w:rPr>
        <w:t>2.3.6指标体系</w:t>
      </w:r>
      <w:bookmarkEnd w:id="91"/>
    </w:p>
    <w:p>
      <w:pPr>
        <w:snapToGrid w:val="0"/>
        <w:ind w:firstLine="480"/>
        <w:rPr>
          <w:rFonts w:cs="Times New Roman"/>
          <w:szCs w:val="28"/>
          <w:lang w:eastAsia="zh-CN"/>
        </w:rPr>
      </w:pPr>
      <w:r>
        <w:rPr>
          <w:rFonts w:cs="Times New Roman"/>
          <w:szCs w:val="28"/>
          <w:lang w:eastAsia="zh-CN"/>
        </w:rPr>
        <w:t>2019年，</w:t>
      </w:r>
      <w:r>
        <w:rPr>
          <w:rFonts w:hint="eastAsia" w:cs="Times New Roman"/>
          <w:lang w:eastAsia="zh-CN"/>
        </w:rPr>
        <w:t>国际新兴产业园区</w:t>
      </w:r>
      <w:r>
        <w:rPr>
          <w:rFonts w:cs="Times New Roman"/>
          <w:lang w:eastAsia="zh-CN"/>
        </w:rPr>
        <w:t>评价指标与规划指标对比情况详见表2.3-14</w:t>
      </w:r>
      <w:r>
        <w:rPr>
          <w:rFonts w:cs="Times New Roman"/>
          <w:szCs w:val="28"/>
          <w:lang w:eastAsia="zh-CN"/>
        </w:rPr>
        <w:t>。</w:t>
      </w:r>
    </w:p>
    <w:p>
      <w:pPr>
        <w:spacing w:line="240" w:lineRule="auto"/>
        <w:ind w:firstLine="422"/>
        <w:jc w:val="center"/>
        <w:rPr>
          <w:rFonts w:cs="Times New Roman" w:eastAsiaTheme="minorEastAsia"/>
          <w:lang w:eastAsia="zh-CN"/>
        </w:rPr>
      </w:pPr>
      <w:r>
        <w:rPr>
          <w:rFonts w:cs="Times New Roman"/>
          <w:b/>
          <w:sz w:val="21"/>
          <w:szCs w:val="21"/>
          <w:lang w:eastAsia="zh-CN"/>
        </w:rPr>
        <w:t>表2.3-14 跟踪评价阶段评价指标一览表</w:t>
      </w:r>
    </w:p>
    <w:tbl>
      <w:tblPr>
        <w:tblStyle w:val="64"/>
        <w:tblW w:w="899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59"/>
        <w:gridCol w:w="1367"/>
        <w:gridCol w:w="2981"/>
        <w:gridCol w:w="1215"/>
        <w:gridCol w:w="1479"/>
        <w:gridCol w:w="128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vMerge w:val="restart"/>
            <w:tcBorders>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序号</w:t>
            </w:r>
          </w:p>
        </w:tc>
        <w:tc>
          <w:tcPr>
            <w:tcW w:w="1367" w:type="dxa"/>
            <w:vMerge w:val="restart"/>
            <w:tcBorders>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指标类别</w:t>
            </w:r>
          </w:p>
        </w:tc>
        <w:tc>
          <w:tcPr>
            <w:tcW w:w="2981" w:type="dxa"/>
            <w:vMerge w:val="restart"/>
            <w:tcBorders>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评价指标</w:t>
            </w:r>
          </w:p>
        </w:tc>
        <w:tc>
          <w:tcPr>
            <w:tcW w:w="1215" w:type="dxa"/>
            <w:vMerge w:val="restart"/>
            <w:tcBorders>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单位</w:t>
            </w:r>
          </w:p>
        </w:tc>
        <w:tc>
          <w:tcPr>
            <w:tcW w:w="2768" w:type="dxa"/>
            <w:gridSpan w:val="2"/>
            <w:tcBorders>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评价时段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2" w:hRule="atLeast"/>
          <w:jc w:val="center"/>
        </w:trPr>
        <w:tc>
          <w:tcPr>
            <w:tcW w:w="659" w:type="dxa"/>
            <w:vMerge w:val="continue"/>
            <w:tcBorders>
              <w:top w:val="nil"/>
              <w:left w:val="nil"/>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1215"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2030年</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lang w:eastAsia="zh-CN"/>
              </w:rPr>
            </w:pPr>
            <w:r>
              <w:rPr>
                <w:rFonts w:hint="eastAsia" w:cs="Times New Roman" w:eastAsiaTheme="minorEastAsia"/>
                <w:sz w:val="21"/>
                <w:szCs w:val="21"/>
                <w:lang w:eastAsia="zh-CN"/>
              </w:rPr>
              <w:t>2020年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w:t>
            </w:r>
          </w:p>
        </w:tc>
        <w:tc>
          <w:tcPr>
            <w:tcW w:w="1367" w:type="dxa"/>
            <w:vMerge w:val="restart"/>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自然环境良好</w:t>
            </w: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lang w:eastAsia="zh-CN"/>
              </w:rPr>
            </w:pPr>
            <w:r>
              <w:rPr>
                <w:rFonts w:cs="Times New Roman" w:eastAsiaTheme="minorEastAsia"/>
                <w:sz w:val="21"/>
                <w:szCs w:val="21"/>
                <w:lang w:eastAsia="zh-CN"/>
              </w:rPr>
              <w:t>区域环境空气质量达标天数</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天</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330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lang w:eastAsia="zh-CN"/>
              </w:rPr>
            </w:pPr>
            <w:r>
              <w:rPr>
                <w:rFonts w:hint="eastAsia" w:cs="Times New Roman" w:eastAsiaTheme="minorEastAsia"/>
                <w:sz w:val="21"/>
                <w:szCs w:val="21"/>
                <w:lang w:eastAsia="zh-CN"/>
              </w:rPr>
              <w:t>286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区域地表水环境质量</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Ⅲ类</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Ⅲ类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3</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水喉水达标率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4</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噪声达标率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5</w:t>
            </w:r>
          </w:p>
        </w:tc>
        <w:tc>
          <w:tcPr>
            <w:tcW w:w="1367" w:type="dxa"/>
            <w:vMerge w:val="restart"/>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lang w:eastAsia="zh-CN"/>
              </w:rPr>
            </w:pPr>
            <w:r>
              <w:rPr>
                <w:rFonts w:cs="Times New Roman" w:eastAsiaTheme="minorEastAsia"/>
                <w:sz w:val="21"/>
                <w:szCs w:val="21"/>
                <w:lang w:eastAsia="zh-CN"/>
              </w:rPr>
              <w:t>产业发展和资源能源利用水平较高</w:t>
            </w: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总产值</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万元</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410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lang w:eastAsia="zh-CN"/>
              </w:rPr>
            </w:pPr>
            <w:r>
              <w:rPr>
                <w:rFonts w:hint="eastAsia" w:cs="Times New Roman" w:eastAsiaTheme="minorEastAsia"/>
                <w:sz w:val="21"/>
                <w:szCs w:val="21"/>
                <w:lang w:eastAsia="zh-CN"/>
              </w:rPr>
              <w:t>579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6</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工业经济密度</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万元/hm</w:t>
            </w:r>
            <w:r>
              <w:rPr>
                <w:rFonts w:cs="Times New Roman" w:eastAsiaTheme="minorEastAsia"/>
                <w:sz w:val="21"/>
                <w:szCs w:val="21"/>
                <w:vertAlign w:val="superscript"/>
              </w:rPr>
              <w:t>2</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1864</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sz w:val="21"/>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7</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单位GDP能耗</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tce/万元</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0.164</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0.1</w:t>
            </w:r>
            <w:r>
              <w:rPr>
                <w:rFonts w:hint="eastAsia" w:cs="Times New Roman" w:eastAsiaTheme="minorEastAsia"/>
                <w:sz w:val="21"/>
                <w:szCs w:val="21"/>
                <w:lang w:eastAsia="zh-CN"/>
              </w:rPr>
              <w:t>2</w:t>
            </w:r>
            <w:r>
              <w:rPr>
                <w:rFonts w:cs="Times New Roman" w:eastAsiaTheme="minorEastAsia"/>
                <w:sz w:val="21"/>
                <w:szCs w:val="21"/>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8</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单位GDP水耗</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t/万元</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7.5</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hint="eastAsia" w:cs="Times New Roman" w:eastAsiaTheme="minorEastAsia"/>
                <w:sz w:val="21"/>
                <w:szCs w:val="21"/>
                <w:lang w:eastAsia="zh-CN"/>
              </w:rPr>
              <w:t>5</w:t>
            </w:r>
            <w:r>
              <w:rPr>
                <w:rFonts w:cs="Times New Roman" w:eastAsiaTheme="minorEastAsia"/>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9</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单位GDP碳排放量</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t_C/万元</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1.116</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lang w:eastAsia="zh-CN"/>
              </w:rPr>
            </w:pPr>
            <w:r>
              <w:rPr>
                <w:rFonts w:hint="eastAsia" w:cs="Times New Roman" w:eastAsiaTheme="minorEastAsia"/>
                <w:sz w:val="21"/>
                <w:szCs w:val="21"/>
                <w:lang w:eastAsia="zh-CN"/>
              </w:rPr>
              <w:t>0.099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可再生能源使用率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30%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lang w:eastAsia="zh-CN"/>
              </w:rPr>
            </w:pPr>
            <w:r>
              <w:rPr>
                <w:rFonts w:hint="eastAsia" w:cs="Times New Roman" w:eastAsiaTheme="minorEastAsia"/>
                <w:sz w:val="21"/>
                <w:szCs w:val="21"/>
                <w:lang w:eastAsia="zh-CN"/>
              </w:rPr>
              <w:t>30%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11</w:t>
            </w:r>
          </w:p>
        </w:tc>
        <w:tc>
          <w:tcPr>
            <w:tcW w:w="1367" w:type="dxa"/>
            <w:vMerge w:val="restart"/>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lang w:eastAsia="zh-CN"/>
              </w:rPr>
            </w:pPr>
            <w:r>
              <w:rPr>
                <w:rFonts w:cs="Times New Roman" w:eastAsiaTheme="minorEastAsia"/>
                <w:sz w:val="21"/>
                <w:szCs w:val="21"/>
                <w:lang w:eastAsia="zh-CN"/>
              </w:rPr>
              <w:t>污染防治措施和企业管理高效</w:t>
            </w: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lang w:eastAsia="zh-CN"/>
              </w:rPr>
            </w:pPr>
            <w:r>
              <w:rPr>
                <w:rFonts w:cs="Times New Roman" w:eastAsiaTheme="minorEastAsia"/>
                <w:sz w:val="21"/>
                <w:szCs w:val="21"/>
                <w:lang w:eastAsia="zh-CN"/>
              </w:rPr>
              <w:t>规模化企业清洁生产水平</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一级</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一级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12</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lang w:eastAsia="zh-CN"/>
              </w:rPr>
            </w:pPr>
            <w:r>
              <w:rPr>
                <w:rFonts w:cs="Times New Roman" w:eastAsiaTheme="minorEastAsia"/>
                <w:sz w:val="21"/>
                <w:szCs w:val="21"/>
                <w:lang w:eastAsia="zh-CN"/>
              </w:rPr>
              <w:t>规模化企业通过ISO-14000认证比例</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lang w:eastAsia="zh-CN"/>
              </w:rPr>
            </w:pPr>
            <w:r>
              <w:rPr>
                <w:rFonts w:hint="eastAsia" w:cs="Times New Roman" w:eastAsiaTheme="minorEastAsia"/>
                <w:sz w:val="21"/>
                <w:szCs w:val="21"/>
                <w:lang w:eastAsia="zh-CN"/>
              </w:rPr>
              <w:t>90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13</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lang w:eastAsia="zh-CN"/>
              </w:rPr>
            </w:pPr>
            <w:r>
              <w:rPr>
                <w:rFonts w:cs="Times New Roman" w:eastAsiaTheme="minorEastAsia"/>
                <w:sz w:val="21"/>
                <w:szCs w:val="21"/>
                <w:lang w:eastAsia="zh-CN"/>
              </w:rPr>
              <w:t>单位GDP烟尘排放量</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kg/万元</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0.046</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0.046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14</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单位GDPSO</w:t>
            </w:r>
            <w:r>
              <w:rPr>
                <w:rFonts w:cs="Times New Roman" w:eastAsiaTheme="minorEastAsia"/>
                <w:sz w:val="21"/>
                <w:szCs w:val="21"/>
                <w:vertAlign w:val="subscript"/>
              </w:rPr>
              <w:t>2</w:t>
            </w:r>
            <w:r>
              <w:rPr>
                <w:rFonts w:cs="Times New Roman" w:eastAsiaTheme="minorEastAsia"/>
                <w:sz w:val="21"/>
                <w:szCs w:val="21"/>
              </w:rPr>
              <w:t>排放量</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kg/万元</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0.194</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0.194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15</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lang w:eastAsia="zh-CN"/>
              </w:rPr>
            </w:pPr>
            <w:r>
              <w:rPr>
                <w:rFonts w:cs="Times New Roman" w:eastAsiaTheme="minorEastAsia"/>
                <w:sz w:val="21"/>
                <w:szCs w:val="21"/>
                <w:lang w:eastAsia="zh-CN"/>
              </w:rPr>
              <w:t>单位GDP废水排放量</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t/万元</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4.7</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4.7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16</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单位GDP COD排放量</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kg/万元</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0.23</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0.23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17</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工业用水循环利用率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90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lang w:eastAsia="zh-CN"/>
              </w:rPr>
            </w:pPr>
            <w:r>
              <w:rPr>
                <w:rFonts w:hint="eastAsia" w:cs="Times New Roman" w:eastAsiaTheme="minorEastAsia"/>
                <w:sz w:val="21"/>
                <w:szCs w:val="21"/>
                <w:lang w:eastAsia="zh-CN"/>
              </w:rPr>
              <w:t>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18</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中水回用率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60%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lang w:eastAsia="zh-CN"/>
              </w:rPr>
            </w:pPr>
            <w:r>
              <w:rPr>
                <w:rFonts w:hint="eastAsia" w:cs="Times New Roman" w:eastAsiaTheme="minorEastAsia"/>
                <w:sz w:val="21"/>
                <w:szCs w:val="21"/>
                <w:lang w:eastAsia="zh-CN"/>
              </w:rPr>
              <w:t>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19</w:t>
            </w:r>
          </w:p>
        </w:tc>
        <w:tc>
          <w:tcPr>
            <w:tcW w:w="1367" w:type="dxa"/>
            <w:vMerge w:val="restart"/>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生活模式健康</w:t>
            </w: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日人均生活耗水量</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L</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150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150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20</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日人均垃圾产生量</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kg</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color w:val="000000" w:themeColor="text1"/>
                <w:sz w:val="21"/>
                <w:szCs w:val="21"/>
                <w14:textFill>
                  <w14:solidFill>
                    <w14:schemeClr w14:val="tx1"/>
                  </w14:solidFill>
                </w14:textFill>
              </w:rPr>
            </w:pPr>
            <w:r>
              <w:rPr>
                <w:rFonts w:cs="Times New Roman" w:eastAsiaTheme="minorEastAsia"/>
                <w:color w:val="000000" w:themeColor="text1"/>
                <w:sz w:val="21"/>
                <w:szCs w:val="21"/>
                <w14:textFill>
                  <w14:solidFill>
                    <w14:schemeClr w14:val="tx1"/>
                  </w14:solidFill>
                </w14:textFill>
              </w:rPr>
              <w:t>1.5</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color w:val="000000" w:themeColor="text1"/>
                <w:sz w:val="21"/>
                <w:szCs w:val="21"/>
                <w14:textFill>
                  <w14:solidFill>
                    <w14:schemeClr w14:val="tx1"/>
                  </w14:solidFill>
                </w14:textFill>
              </w:rPr>
            </w:pPr>
            <w:r>
              <w:rPr>
                <w:rFonts w:cs="Times New Roman" w:eastAsiaTheme="minorEastAsia"/>
                <w:color w:val="000000" w:themeColor="text1"/>
                <w:sz w:val="21"/>
                <w:szCs w:val="21"/>
                <w14:textFill>
                  <w14:solidFill>
                    <w14:schemeClr w14:val="tx1"/>
                  </w14:solidFill>
                </w14:textFill>
              </w:rPr>
              <w:t>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21</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绿色出行比率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90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90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22</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垃圾回收利用率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70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23</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lang w:eastAsia="zh-CN"/>
              </w:rPr>
            </w:pPr>
            <w:r>
              <w:rPr>
                <w:rFonts w:cs="Times New Roman" w:eastAsiaTheme="minorEastAsia"/>
                <w:sz w:val="21"/>
                <w:szCs w:val="21"/>
                <w:lang w:eastAsia="zh-CN"/>
              </w:rPr>
              <w:t>危废和生活垃圾无害化处置率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24</w:t>
            </w:r>
          </w:p>
        </w:tc>
        <w:tc>
          <w:tcPr>
            <w:tcW w:w="1367" w:type="dxa"/>
            <w:vMerge w:val="continue"/>
            <w:tcBorders>
              <w:top w:val="nil"/>
              <w:left w:val="single" w:color="000000" w:sz="8" w:space="0"/>
              <w:bottom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市政管网普及率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7"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25</w:t>
            </w:r>
          </w:p>
        </w:tc>
        <w:tc>
          <w:tcPr>
            <w:tcW w:w="1367" w:type="dxa"/>
            <w:vMerge w:val="restart"/>
            <w:tcBorders>
              <w:top w:val="single" w:color="000000" w:sz="8" w:space="0"/>
              <w:left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人工环境协调</w:t>
            </w: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绿色建筑比例</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26</w:t>
            </w:r>
          </w:p>
        </w:tc>
        <w:tc>
          <w:tcPr>
            <w:tcW w:w="1367" w:type="dxa"/>
            <w:vMerge w:val="continue"/>
            <w:tcBorders>
              <w:top w:val="nil"/>
              <w:left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本底植物指数</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70</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jc w:val="center"/>
        </w:trPr>
        <w:tc>
          <w:tcPr>
            <w:tcW w:w="659" w:type="dxa"/>
            <w:tcBorders>
              <w:top w:val="single" w:color="000000" w:sz="8" w:space="0"/>
              <w:left w:val="nil"/>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27</w:t>
            </w:r>
          </w:p>
        </w:tc>
        <w:tc>
          <w:tcPr>
            <w:tcW w:w="1367" w:type="dxa"/>
            <w:vMerge w:val="continue"/>
            <w:tcBorders>
              <w:top w:val="nil"/>
              <w:left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绿化率</w:t>
            </w:r>
          </w:p>
        </w:tc>
        <w:tc>
          <w:tcPr>
            <w:tcW w:w="1215" w:type="dxa"/>
            <w:tcBorders>
              <w:top w:val="single" w:color="000000" w:sz="8" w:space="0"/>
              <w:left w:val="single" w:color="000000" w:sz="8" w:space="0"/>
              <w:bottom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w:t>
            </w:r>
          </w:p>
        </w:tc>
        <w:tc>
          <w:tcPr>
            <w:tcW w:w="147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27.8</w:t>
            </w:r>
          </w:p>
        </w:tc>
        <w:tc>
          <w:tcPr>
            <w:tcW w:w="1289" w:type="dxa"/>
            <w:tcBorders>
              <w:top w:val="single" w:color="000000" w:sz="8" w:space="0"/>
              <w:left w:val="single" w:color="000000" w:sz="8" w:space="0"/>
              <w:bottom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27.8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7" w:hRule="atLeast"/>
          <w:jc w:val="center"/>
        </w:trPr>
        <w:tc>
          <w:tcPr>
            <w:tcW w:w="659" w:type="dxa"/>
            <w:tcBorders>
              <w:top w:val="single" w:color="000000" w:sz="8" w:space="0"/>
              <w:left w:val="nil"/>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28</w:t>
            </w:r>
          </w:p>
        </w:tc>
        <w:tc>
          <w:tcPr>
            <w:tcW w:w="1367" w:type="dxa"/>
            <w:vMerge w:val="continue"/>
            <w:tcBorders>
              <w:top w:val="nil"/>
              <w:left w:val="single" w:color="000000" w:sz="8" w:space="0"/>
              <w:right w:val="single" w:color="000000" w:sz="8" w:space="0"/>
            </w:tcBorders>
            <w:vAlign w:val="center"/>
          </w:tcPr>
          <w:p>
            <w:pPr>
              <w:spacing w:line="400" w:lineRule="exact"/>
              <w:ind w:firstLine="0" w:firstLineChars="0"/>
              <w:jc w:val="center"/>
              <w:rPr>
                <w:rFonts w:cs="Times New Roman" w:eastAsiaTheme="minorEastAsia"/>
                <w:sz w:val="21"/>
                <w:szCs w:val="21"/>
              </w:rPr>
            </w:pPr>
          </w:p>
        </w:tc>
        <w:tc>
          <w:tcPr>
            <w:tcW w:w="2981" w:type="dxa"/>
            <w:tcBorders>
              <w:top w:val="single" w:color="000000" w:sz="8" w:space="0"/>
              <w:left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人均公共绿地</w:t>
            </w:r>
          </w:p>
        </w:tc>
        <w:tc>
          <w:tcPr>
            <w:tcW w:w="1215" w:type="dxa"/>
            <w:tcBorders>
              <w:top w:val="single" w:color="000000" w:sz="8" w:space="0"/>
              <w:left w:val="single" w:color="000000" w:sz="8" w:space="0"/>
              <w:right w:val="single" w:color="000000" w:sz="8" w:space="0"/>
            </w:tcBorders>
            <w:vAlign w:val="center"/>
          </w:tcPr>
          <w:p>
            <w:pPr>
              <w:pStyle w:val="119"/>
              <w:spacing w:line="400" w:lineRule="exact"/>
              <w:ind w:firstLine="0" w:firstLineChars="0"/>
              <w:jc w:val="center"/>
              <w:rPr>
                <w:rFonts w:cs="Times New Roman" w:eastAsiaTheme="minorEastAsia"/>
                <w:sz w:val="21"/>
                <w:szCs w:val="21"/>
                <w:lang w:eastAsia="zh-CN"/>
              </w:rPr>
            </w:pPr>
            <w:r>
              <w:rPr>
                <w:rFonts w:hint="eastAsia" w:cs="Times New Roman" w:eastAsiaTheme="minorEastAsia"/>
                <w:sz w:val="21"/>
                <w:szCs w:val="21"/>
                <w:lang w:eastAsia="zh-CN"/>
              </w:rPr>
              <w:t>m</w:t>
            </w:r>
            <w:r>
              <w:rPr>
                <w:rFonts w:hint="eastAsia" w:cs="Times New Roman" w:eastAsiaTheme="minorEastAsia"/>
                <w:sz w:val="21"/>
                <w:szCs w:val="21"/>
                <w:vertAlign w:val="superscript"/>
                <w:lang w:eastAsia="zh-CN"/>
              </w:rPr>
              <w:t>2</w:t>
            </w:r>
          </w:p>
        </w:tc>
        <w:tc>
          <w:tcPr>
            <w:tcW w:w="1479" w:type="dxa"/>
            <w:tcBorders>
              <w:top w:val="single" w:color="000000" w:sz="8" w:space="0"/>
              <w:left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16</w:t>
            </w:r>
          </w:p>
        </w:tc>
        <w:tc>
          <w:tcPr>
            <w:tcW w:w="1289" w:type="dxa"/>
            <w:tcBorders>
              <w:top w:val="single" w:color="000000" w:sz="8" w:space="0"/>
              <w:left w:val="single" w:color="000000" w:sz="8" w:space="0"/>
              <w:right w:val="nil"/>
            </w:tcBorders>
            <w:vAlign w:val="center"/>
          </w:tcPr>
          <w:p>
            <w:pPr>
              <w:pStyle w:val="119"/>
              <w:spacing w:line="400" w:lineRule="exact"/>
              <w:ind w:firstLine="0" w:firstLineChars="0"/>
              <w:jc w:val="center"/>
              <w:rPr>
                <w:rFonts w:cs="Times New Roman" w:eastAsiaTheme="minorEastAsia"/>
                <w:sz w:val="21"/>
                <w:szCs w:val="21"/>
              </w:rPr>
            </w:pPr>
            <w:r>
              <w:rPr>
                <w:rFonts w:cs="Times New Roman" w:eastAsiaTheme="minorEastAsia"/>
                <w:sz w:val="21"/>
                <w:szCs w:val="21"/>
              </w:rPr>
              <w:t>16</w:t>
            </w:r>
          </w:p>
        </w:tc>
      </w:tr>
    </w:tbl>
    <w:p>
      <w:pPr>
        <w:ind w:firstLine="480"/>
        <w:rPr>
          <w:lang w:eastAsia="zh-CN"/>
        </w:rPr>
      </w:pPr>
      <w:r>
        <w:rPr>
          <w:lang w:eastAsia="zh-CN"/>
        </w:rPr>
        <w:t>由</w:t>
      </w:r>
      <w:r>
        <w:rPr>
          <w:rFonts w:hint="eastAsia"/>
          <w:lang w:eastAsia="zh-CN"/>
        </w:rPr>
        <w:t>上</w:t>
      </w:r>
      <w:r>
        <w:rPr>
          <w:lang w:eastAsia="zh-CN"/>
        </w:rPr>
        <w:t>表可以看出，</w:t>
      </w:r>
      <w:r>
        <w:rPr>
          <w:rFonts w:hint="eastAsia"/>
          <w:lang w:eastAsia="zh-CN"/>
        </w:rPr>
        <w:t>国际新兴产业园区</w:t>
      </w:r>
      <w:r>
        <w:rPr>
          <w:lang w:eastAsia="zh-CN"/>
        </w:rPr>
        <w:t>2019年评价指标中单位GDP能耗、水耗、SO</w:t>
      </w:r>
      <w:r>
        <w:rPr>
          <w:vertAlign w:val="subscript"/>
          <w:lang w:eastAsia="zh-CN"/>
        </w:rPr>
        <w:t>2</w:t>
      </w:r>
      <w:r>
        <w:rPr>
          <w:lang w:eastAsia="zh-CN"/>
        </w:rPr>
        <w:t>、废水、COD产生量指标均较规划时段2030年制定指标相差较大，主要由于区域工业企业发展规模较原规划相差较大造成，用原指标体系考核整个</w:t>
      </w:r>
      <w:r>
        <w:rPr>
          <w:rFonts w:hint="eastAsia"/>
          <w:lang w:eastAsia="zh-CN"/>
        </w:rPr>
        <w:t>国际新兴产业园区</w:t>
      </w:r>
      <w:r>
        <w:rPr>
          <w:lang w:eastAsia="zh-CN"/>
        </w:rPr>
        <w:t>已不太适宜。</w:t>
      </w:r>
    </w:p>
    <w:p>
      <w:pPr>
        <w:ind w:firstLine="480"/>
        <w:rPr>
          <w:lang w:eastAsia="zh-CN"/>
        </w:rPr>
      </w:pPr>
      <w:r>
        <w:rPr>
          <w:lang w:eastAsia="zh-CN"/>
        </w:rPr>
        <w:t>同时，规划区域内无工业用水循环利用和中水回用，因此，能耗、水耗较高。</w:t>
      </w:r>
    </w:p>
    <w:p>
      <w:pPr>
        <w:pStyle w:val="9"/>
        <w:rPr>
          <w:rFonts w:ascii="Times New Roman" w:hAnsi="Times New Roman"/>
          <w:color w:val="auto"/>
        </w:rPr>
      </w:pPr>
      <w:bookmarkStart w:id="92" w:name="_Toc21476"/>
      <w:r>
        <w:rPr>
          <w:rFonts w:ascii="Times New Roman" w:hAnsi="Times New Roman"/>
          <w:color w:val="auto"/>
        </w:rPr>
        <w:t>2.3.7</w:t>
      </w:r>
      <w:r>
        <w:rPr>
          <w:rFonts w:hint="eastAsia" w:ascii="Times New Roman" w:hAnsi="Times New Roman"/>
          <w:color w:val="auto"/>
        </w:rPr>
        <w:t>国际新兴产业园区</w:t>
      </w:r>
      <w:r>
        <w:rPr>
          <w:rFonts w:ascii="Times New Roman" w:hAnsi="Times New Roman"/>
          <w:color w:val="auto"/>
        </w:rPr>
        <w:t>突发环境事件回顾性评价</w:t>
      </w:r>
      <w:bookmarkEnd w:id="92"/>
    </w:p>
    <w:p>
      <w:pPr>
        <w:pStyle w:val="10"/>
        <w:rPr>
          <w:rFonts w:cs="Times New Roman"/>
          <w:bCs/>
          <w:szCs w:val="24"/>
          <w:lang w:eastAsia="zh-CN"/>
        </w:rPr>
      </w:pPr>
      <w:bookmarkStart w:id="93" w:name="_Toc22792445"/>
      <w:r>
        <w:rPr>
          <w:rFonts w:cs="Times New Roman"/>
          <w:bCs/>
          <w:szCs w:val="24"/>
          <w:lang w:eastAsia="zh-CN"/>
        </w:rPr>
        <w:t>2.3.7.1</w:t>
      </w:r>
      <w:r>
        <w:rPr>
          <w:rFonts w:hint="eastAsia" w:cs="Times New Roman"/>
          <w:bCs/>
          <w:szCs w:val="24"/>
          <w:lang w:eastAsia="zh-CN"/>
        </w:rPr>
        <w:t>国际新兴产业园区</w:t>
      </w:r>
      <w:r>
        <w:rPr>
          <w:rFonts w:cs="Times New Roman"/>
          <w:bCs/>
          <w:szCs w:val="24"/>
          <w:lang w:eastAsia="zh-CN"/>
        </w:rPr>
        <w:t>环境风险管理体系</w:t>
      </w:r>
      <w:bookmarkEnd w:id="93"/>
      <w:r>
        <w:rPr>
          <w:rFonts w:cs="Times New Roman"/>
          <w:bCs/>
          <w:szCs w:val="24"/>
          <w:lang w:eastAsia="zh-CN"/>
        </w:rPr>
        <w:t>及事故发生情况</w:t>
      </w:r>
    </w:p>
    <w:p>
      <w:pPr>
        <w:ind w:firstLine="480"/>
        <w:rPr>
          <w:lang w:eastAsia="zh-CN"/>
        </w:rPr>
      </w:pPr>
      <w:r>
        <w:rPr>
          <w:lang w:eastAsia="zh-CN"/>
        </w:rPr>
        <w:t>根据现场走访、调查，结合去管理部门咨询，</w:t>
      </w:r>
      <w:r>
        <w:rPr>
          <w:rFonts w:hint="eastAsia"/>
          <w:lang w:eastAsia="zh-CN"/>
        </w:rPr>
        <w:t>国际新兴产业园区</w:t>
      </w:r>
      <w:r>
        <w:rPr>
          <w:lang w:eastAsia="zh-CN"/>
        </w:rPr>
        <w:t>自建成以来，</w:t>
      </w:r>
      <w:r>
        <w:rPr>
          <w:rFonts w:hint="eastAsia"/>
          <w:lang w:eastAsia="zh-CN"/>
        </w:rPr>
        <w:t>国际新兴产业园区</w:t>
      </w:r>
      <w:r>
        <w:rPr>
          <w:lang w:eastAsia="zh-CN"/>
        </w:rPr>
        <w:t>未发生火灾、爆炸、泄漏及毒性气体环境污染事故。根据对部分企业的环境风险防范措施与应急预案的调查分析可知，发生环境风险事故均可得到及时妥善处理。</w:t>
      </w:r>
    </w:p>
    <w:p>
      <w:pPr>
        <w:ind w:firstLine="480"/>
        <w:rPr>
          <w:lang w:eastAsia="zh-CN"/>
        </w:rPr>
      </w:pPr>
      <w:r>
        <w:rPr>
          <w:lang w:eastAsia="zh-CN"/>
        </w:rPr>
        <w:t>目前，受</w:t>
      </w:r>
      <w:r>
        <w:rPr>
          <w:rFonts w:hint="eastAsia"/>
          <w:lang w:eastAsia="zh-CN"/>
        </w:rPr>
        <w:t>国际新兴产业园区</w:t>
      </w:r>
      <w:r>
        <w:rPr>
          <w:lang w:eastAsia="zh-CN"/>
        </w:rPr>
        <w:t>产业发展规模限制，</w:t>
      </w:r>
      <w:r>
        <w:rPr>
          <w:rFonts w:hint="eastAsia"/>
          <w:lang w:eastAsia="zh-CN"/>
        </w:rPr>
        <w:t>国际新兴产业园区</w:t>
      </w:r>
      <w:r>
        <w:rPr>
          <w:lang w:eastAsia="zh-CN"/>
        </w:rPr>
        <w:t>未编制突发环境事件应急预案，未建设应急管理体系。建议区政府结合</w:t>
      </w:r>
      <w:r>
        <w:rPr>
          <w:rFonts w:hint="eastAsia"/>
          <w:lang w:eastAsia="zh-CN"/>
        </w:rPr>
        <w:t>国际新兴产业园区</w:t>
      </w:r>
      <w:r>
        <w:rPr>
          <w:lang w:eastAsia="zh-CN"/>
        </w:rPr>
        <w:t>及周边情况，统一编制</w:t>
      </w:r>
      <w:r>
        <w:rPr>
          <w:rFonts w:hint="eastAsia"/>
          <w:lang w:eastAsia="zh-CN"/>
        </w:rPr>
        <w:t>浑南</w:t>
      </w:r>
      <w:r>
        <w:rPr>
          <w:lang w:eastAsia="zh-CN"/>
        </w:rPr>
        <w:t>区应急预案，应急预案应与沈阳市突发环境事件应急预案及企业应急预案相衔接。</w:t>
      </w:r>
    </w:p>
    <w:p>
      <w:pPr>
        <w:pStyle w:val="10"/>
        <w:rPr>
          <w:rFonts w:cs="Times New Roman"/>
          <w:bCs/>
          <w:szCs w:val="24"/>
          <w:lang w:eastAsia="zh-CN"/>
        </w:rPr>
      </w:pPr>
      <w:bookmarkStart w:id="94" w:name="_Toc22792446"/>
      <w:r>
        <w:rPr>
          <w:rFonts w:cs="Times New Roman"/>
          <w:bCs/>
          <w:szCs w:val="24"/>
          <w:lang w:eastAsia="zh-CN"/>
        </w:rPr>
        <w:t>2.3.7.2</w:t>
      </w:r>
      <w:r>
        <w:rPr>
          <w:rFonts w:hint="eastAsia" w:cs="Times New Roman"/>
          <w:bCs/>
          <w:szCs w:val="24"/>
          <w:lang w:eastAsia="zh-CN"/>
        </w:rPr>
        <w:t>国际新兴产业园区</w:t>
      </w:r>
      <w:r>
        <w:rPr>
          <w:rFonts w:cs="Times New Roman"/>
          <w:bCs/>
          <w:szCs w:val="24"/>
          <w:lang w:eastAsia="zh-CN"/>
        </w:rPr>
        <w:t>地表水风险防范措施</w:t>
      </w:r>
      <w:bookmarkEnd w:id="94"/>
    </w:p>
    <w:p>
      <w:pPr>
        <w:ind w:firstLine="480"/>
        <w:rPr>
          <w:rFonts w:eastAsiaTheme="minorEastAsia"/>
          <w:lang w:eastAsia="zh-CN"/>
        </w:rPr>
      </w:pPr>
      <w:r>
        <w:rPr>
          <w:rFonts w:hint="eastAsia"/>
          <w:lang w:eastAsia="zh-CN"/>
        </w:rPr>
        <w:t>国际新兴产业园区</w:t>
      </w:r>
      <w:r>
        <w:rPr>
          <w:lang w:eastAsia="zh-CN"/>
        </w:rPr>
        <w:t>内无重大风险企业，区域内实行雨污分流、清污分流。</w:t>
      </w:r>
    </w:p>
    <w:p>
      <w:pPr>
        <w:pStyle w:val="10"/>
        <w:rPr>
          <w:rFonts w:cs="Times New Roman"/>
          <w:bCs/>
          <w:szCs w:val="24"/>
          <w:lang w:eastAsia="zh-CN"/>
        </w:rPr>
      </w:pPr>
      <w:bookmarkStart w:id="95" w:name="_Toc22792447"/>
      <w:r>
        <w:rPr>
          <w:rFonts w:cs="Times New Roman"/>
          <w:bCs/>
          <w:szCs w:val="24"/>
          <w:lang w:eastAsia="zh-CN"/>
        </w:rPr>
        <w:t>2.3.7.3</w:t>
      </w:r>
      <w:r>
        <w:rPr>
          <w:rFonts w:hint="eastAsia" w:cs="Times New Roman"/>
          <w:bCs/>
          <w:szCs w:val="24"/>
          <w:lang w:eastAsia="zh-CN"/>
        </w:rPr>
        <w:t>国际新兴产业园区</w:t>
      </w:r>
      <w:r>
        <w:rPr>
          <w:rFonts w:cs="Times New Roman"/>
          <w:bCs/>
          <w:szCs w:val="24"/>
          <w:lang w:eastAsia="zh-CN"/>
        </w:rPr>
        <w:t>地下水风险防范措施</w:t>
      </w:r>
      <w:bookmarkEnd w:id="95"/>
    </w:p>
    <w:p>
      <w:pPr>
        <w:ind w:firstLine="480"/>
        <w:rPr>
          <w:lang w:eastAsia="zh-CN"/>
        </w:rPr>
      </w:pPr>
      <w:r>
        <w:rPr>
          <w:rFonts w:hint="eastAsia"/>
          <w:lang w:eastAsia="zh-CN"/>
        </w:rPr>
        <w:t>国际新兴产业园区</w:t>
      </w:r>
      <w:r>
        <w:rPr>
          <w:lang w:eastAsia="zh-CN"/>
        </w:rPr>
        <w:t>内主要企业生产区和贮存区地面均按照环评要求满足防渗要求，且四周设有防渗处理的地沟，地面冲洗废水均能通过地沟及时收集起来，送污水处理厂集中处理；</w:t>
      </w:r>
      <w:r>
        <w:rPr>
          <w:rFonts w:hint="eastAsia"/>
          <w:lang w:eastAsia="zh-CN"/>
        </w:rPr>
        <w:t>国际新兴产业园区</w:t>
      </w:r>
      <w:r>
        <w:rPr>
          <w:lang w:eastAsia="zh-CN"/>
        </w:rPr>
        <w:t>加强对各企业厂区地坪破裂及厂外污水管线密封性的检查和监控，以杜绝污水渗漏。</w:t>
      </w:r>
    </w:p>
    <w:p>
      <w:pPr>
        <w:pStyle w:val="10"/>
        <w:rPr>
          <w:rFonts w:cs="Times New Roman"/>
          <w:bCs/>
          <w:szCs w:val="24"/>
          <w:lang w:eastAsia="zh-CN"/>
        </w:rPr>
      </w:pPr>
      <w:r>
        <w:rPr>
          <w:rFonts w:cs="Times New Roman"/>
          <w:bCs/>
          <w:szCs w:val="24"/>
          <w:lang w:eastAsia="zh-CN"/>
        </w:rPr>
        <w:t>2.3.7.4</w:t>
      </w:r>
      <w:r>
        <w:rPr>
          <w:rFonts w:hint="eastAsia" w:cs="Times New Roman"/>
          <w:bCs/>
          <w:szCs w:val="24"/>
          <w:lang w:eastAsia="zh-CN"/>
        </w:rPr>
        <w:t>国际新兴产业园区</w:t>
      </w:r>
      <w:r>
        <w:rPr>
          <w:rFonts w:cs="Times New Roman"/>
          <w:bCs/>
          <w:szCs w:val="24"/>
          <w:lang w:eastAsia="zh-CN"/>
        </w:rPr>
        <w:t>固废风险防范措施</w:t>
      </w:r>
    </w:p>
    <w:p>
      <w:pPr>
        <w:ind w:firstLine="480"/>
        <w:rPr>
          <w:lang w:eastAsia="zh-CN"/>
        </w:rPr>
      </w:pPr>
      <w:r>
        <w:rPr>
          <w:rFonts w:hint="eastAsia"/>
          <w:lang w:eastAsia="zh-CN"/>
        </w:rPr>
        <w:t>国际新兴产业园区</w:t>
      </w:r>
      <w:r>
        <w:rPr>
          <w:lang w:eastAsia="zh-CN"/>
        </w:rPr>
        <w:t>内企业一般固废优先综合利用，危险废物委托有资质单位进行处理。对于固体废物可能造成的危害，</w:t>
      </w:r>
      <w:r>
        <w:rPr>
          <w:rFonts w:hint="eastAsia"/>
          <w:lang w:eastAsia="zh-CN"/>
        </w:rPr>
        <w:t>国际新兴产业园区</w:t>
      </w:r>
      <w:r>
        <w:rPr>
          <w:lang w:eastAsia="zh-CN"/>
        </w:rPr>
        <w:t>加强对各企业固体废弃物存放的管理，企业危废暂存场所按照规范采取防风、防晒、防雨、防渗漏措施，按照固废储存设置标准要求进行设置。</w:t>
      </w:r>
    </w:p>
    <w:p>
      <w:pPr>
        <w:pStyle w:val="10"/>
        <w:rPr>
          <w:rFonts w:cs="Times New Roman"/>
          <w:lang w:eastAsia="zh-CN"/>
        </w:rPr>
      </w:pPr>
      <w:bookmarkStart w:id="96" w:name="_Toc22792448"/>
      <w:r>
        <w:rPr>
          <w:rFonts w:cs="Times New Roman"/>
          <w:lang w:eastAsia="zh-CN"/>
        </w:rPr>
        <w:t>2.3.7.5</w:t>
      </w:r>
      <w:r>
        <w:rPr>
          <w:rFonts w:hint="eastAsia" w:cs="Times New Roman"/>
          <w:lang w:eastAsia="zh-CN"/>
        </w:rPr>
        <w:t>国际新兴产业园区</w:t>
      </w:r>
      <w:r>
        <w:rPr>
          <w:rFonts w:cs="Times New Roman"/>
          <w:lang w:eastAsia="zh-CN"/>
        </w:rPr>
        <w:t>大气风险防范措施</w:t>
      </w:r>
      <w:bookmarkEnd w:id="96"/>
    </w:p>
    <w:p>
      <w:pPr>
        <w:ind w:firstLine="480"/>
        <w:rPr>
          <w:lang w:eastAsia="zh-CN"/>
        </w:rPr>
      </w:pPr>
      <w:r>
        <w:rPr>
          <w:rFonts w:hint="eastAsia"/>
          <w:lang w:eastAsia="zh-CN"/>
        </w:rPr>
        <w:t>国际新兴产业园区</w:t>
      </w:r>
      <w:r>
        <w:rPr>
          <w:lang w:eastAsia="zh-CN"/>
        </w:rPr>
        <w:t>内各企业、各生产单体，其相邻建筑物的防火间距、安全卫生间距以及安全疏散通道等符合《建筑设计防火规范》（GB50016-2014）等相关设计规定要求，满足产品生产、物料储存的安全技术规定，并有利于区内各企业之间，厂内各车间之间的协作和联系。园区和各企业内设有足够的消防环形通道，并保持消防、气防、急救车辆等到达该区域畅通无阻。厂房建设等根据需要按照防火、防爆、防毒、防噪等规范，满足安全生产要求。</w:t>
      </w:r>
    </w:p>
    <w:p>
      <w:pPr>
        <w:pStyle w:val="9"/>
        <w:rPr>
          <w:rFonts w:ascii="Times New Roman" w:hAnsi="Times New Roman"/>
        </w:rPr>
      </w:pPr>
      <w:bookmarkStart w:id="97" w:name="_Toc7894"/>
      <w:r>
        <w:rPr>
          <w:rFonts w:ascii="Times New Roman" w:hAnsi="Times New Roman"/>
        </w:rPr>
        <w:t>2.3.8 环境监测计划落实情况</w:t>
      </w:r>
      <w:bookmarkEnd w:id="97"/>
    </w:p>
    <w:p>
      <w:pPr>
        <w:pStyle w:val="25"/>
        <w:ind w:firstLine="480"/>
        <w:rPr>
          <w:lang w:eastAsia="zh-CN"/>
        </w:rPr>
      </w:pPr>
      <w:r>
        <w:rPr>
          <w:lang w:eastAsia="zh-CN"/>
        </w:rPr>
        <w:t>原规划环评制定的</w:t>
      </w:r>
      <w:r>
        <w:rPr>
          <w:rFonts w:hint="eastAsia"/>
          <w:lang w:eastAsia="zh-CN"/>
        </w:rPr>
        <w:t>国际新兴产业园区</w:t>
      </w:r>
      <w:r>
        <w:rPr>
          <w:lang w:eastAsia="zh-CN"/>
        </w:rPr>
        <w:t>环境监测体系为</w:t>
      </w:r>
      <w:r>
        <w:rPr>
          <w:rFonts w:hint="eastAsia"/>
          <w:lang w:eastAsia="zh-CN"/>
        </w:rPr>
        <w:t>国际新兴产业园区</w:t>
      </w:r>
      <w:r>
        <w:rPr>
          <w:lang w:eastAsia="zh-CN"/>
        </w:rPr>
        <w:t>例行监测，根据此次跟踪评价现状调查发现，</w:t>
      </w:r>
      <w:r>
        <w:rPr>
          <w:rFonts w:hint="eastAsia"/>
          <w:lang w:eastAsia="zh-CN"/>
        </w:rPr>
        <w:t>国际新兴产业园区</w:t>
      </w:r>
      <w:r>
        <w:rPr>
          <w:lang w:eastAsia="zh-CN"/>
        </w:rPr>
        <w:t>企业重点企业已实现在线监测，但</w:t>
      </w:r>
      <w:r>
        <w:rPr>
          <w:rFonts w:hint="eastAsia"/>
          <w:lang w:eastAsia="zh-CN"/>
        </w:rPr>
        <w:t>国际新兴产业园区</w:t>
      </w:r>
      <w:r>
        <w:rPr>
          <w:lang w:eastAsia="zh-CN"/>
        </w:rPr>
        <w:t>未按照上轮规划环评中提出的监测计划开展</w:t>
      </w:r>
      <w:r>
        <w:rPr>
          <w:rFonts w:hint="eastAsia"/>
          <w:lang w:eastAsia="zh-CN"/>
        </w:rPr>
        <w:t>国际新兴产业园区</w:t>
      </w:r>
      <w:r>
        <w:rPr>
          <w:lang w:eastAsia="zh-CN"/>
        </w:rPr>
        <w:t>内大气、地下水、噪声等定期监测，考虑到</w:t>
      </w:r>
      <w:r>
        <w:rPr>
          <w:rFonts w:hint="eastAsia"/>
          <w:lang w:eastAsia="zh-CN"/>
        </w:rPr>
        <w:t>国际新兴产业园区</w:t>
      </w:r>
      <w:r>
        <w:rPr>
          <w:lang w:eastAsia="zh-CN"/>
        </w:rPr>
        <w:t>企业规模情况，建议</w:t>
      </w:r>
      <w:r>
        <w:rPr>
          <w:rFonts w:hint="eastAsia"/>
          <w:lang w:eastAsia="zh-CN"/>
        </w:rPr>
        <w:t>国际新兴产业园区</w:t>
      </w:r>
      <w:r>
        <w:rPr>
          <w:lang w:eastAsia="zh-CN"/>
        </w:rPr>
        <w:t>结合</w:t>
      </w:r>
      <w:r>
        <w:rPr>
          <w:rFonts w:hint="eastAsia"/>
          <w:lang w:eastAsia="zh-CN"/>
        </w:rPr>
        <w:t>浑南</w:t>
      </w:r>
      <w:r>
        <w:rPr>
          <w:lang w:eastAsia="zh-CN"/>
        </w:rPr>
        <w:t>区及周边</w:t>
      </w:r>
      <w:r>
        <w:rPr>
          <w:rFonts w:hint="eastAsia"/>
          <w:lang w:eastAsia="zh-CN"/>
        </w:rPr>
        <w:t>国际新兴产业园区</w:t>
      </w:r>
      <w:r>
        <w:rPr>
          <w:lang w:eastAsia="zh-CN"/>
        </w:rPr>
        <w:t>统筹设置监测方案进行例行监测。</w:t>
      </w:r>
    </w:p>
    <w:p>
      <w:pPr>
        <w:pStyle w:val="8"/>
        <w:rPr>
          <w:rFonts w:ascii="Times New Roman" w:hAnsi="Times New Roman" w:cs="Times New Roman"/>
          <w:lang w:eastAsia="zh-CN"/>
        </w:rPr>
      </w:pPr>
      <w:bookmarkStart w:id="98" w:name="_Toc16006"/>
      <w:bookmarkStart w:id="99" w:name="_Toc24005"/>
      <w:bookmarkStart w:id="100" w:name="_Hlk56846500"/>
      <w:r>
        <w:rPr>
          <w:rFonts w:ascii="Times New Roman" w:hAnsi="Times New Roman" w:cs="Times New Roman"/>
          <w:lang w:eastAsia="zh-CN"/>
        </w:rPr>
        <w:t>2.4 与现行规划协调性分析及实施情况分析</w:t>
      </w:r>
      <w:bookmarkEnd w:id="98"/>
      <w:bookmarkEnd w:id="99"/>
    </w:p>
    <w:bookmarkEnd w:id="100"/>
    <w:p>
      <w:pPr>
        <w:pStyle w:val="9"/>
        <w:rPr>
          <w:rFonts w:ascii="Times New Roman" w:hAnsi="Times New Roman"/>
        </w:rPr>
      </w:pPr>
      <w:bookmarkStart w:id="101" w:name="_Toc31355"/>
      <w:r>
        <w:rPr>
          <w:rFonts w:ascii="Times New Roman" w:hAnsi="Times New Roman"/>
        </w:rPr>
        <w:t>2.4.</w:t>
      </w:r>
      <w:r>
        <w:rPr>
          <w:rFonts w:hint="eastAsia" w:ascii="Times New Roman" w:hAnsi="Times New Roman"/>
        </w:rPr>
        <w:t>1</w:t>
      </w:r>
      <w:r>
        <w:rPr>
          <w:rFonts w:ascii="Times New Roman" w:hAnsi="Times New Roman"/>
        </w:rPr>
        <w:t xml:space="preserve"> 与上级规划协调性分析</w:t>
      </w:r>
      <w:bookmarkEnd w:id="101"/>
    </w:p>
    <w:p>
      <w:pPr>
        <w:pStyle w:val="25"/>
        <w:ind w:firstLine="480"/>
        <w:rPr>
          <w:lang w:eastAsia="zh-CN"/>
        </w:rPr>
        <w:sectPr>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r>
        <w:rPr>
          <w:lang w:eastAsia="zh-CN"/>
        </w:rPr>
        <w:t>根据国家、辽宁省、沈阳市相关规划，结合</w:t>
      </w:r>
      <w:r>
        <w:rPr>
          <w:rFonts w:hint="eastAsia"/>
          <w:lang w:eastAsia="zh-CN"/>
        </w:rPr>
        <w:t>国际新兴产业园区</w:t>
      </w:r>
      <w:r>
        <w:rPr>
          <w:lang w:eastAsia="zh-CN"/>
        </w:rPr>
        <w:t>发展规划内容，分析其与现行相关规划的协调性，由于规划变更，变更后正开展规划环评工作，因此本次跟踪评价仅</w:t>
      </w:r>
      <w:r>
        <w:rPr>
          <w:rFonts w:hint="eastAsia"/>
          <w:lang w:eastAsia="zh-CN"/>
        </w:rPr>
        <w:t>针对规划实施的情况进行对比分析，</w:t>
      </w:r>
      <w:r>
        <w:rPr>
          <w:lang w:eastAsia="zh-CN"/>
        </w:rPr>
        <w:t>重点分析环保规划及基础设施规划的协调性，详见表2.4-2。</w:t>
      </w:r>
    </w:p>
    <w:p>
      <w:pPr>
        <w:pStyle w:val="20"/>
        <w:jc w:val="center"/>
        <w:rPr>
          <w:rFonts w:ascii="Times New Roman" w:hAnsi="Times New Roman" w:cs="Times New Roman"/>
          <w:b/>
          <w:bCs/>
          <w:spacing w:val="-1"/>
          <w:sz w:val="21"/>
          <w:szCs w:val="21"/>
          <w:lang w:eastAsia="zh-CN"/>
        </w:rPr>
      </w:pPr>
      <w:r>
        <w:rPr>
          <w:rFonts w:ascii="Times New Roman" w:hAnsi="Times New Roman" w:cs="Times New Roman"/>
          <w:b/>
          <w:bCs/>
          <w:sz w:val="21"/>
          <w:szCs w:val="21"/>
          <w:lang w:eastAsia="zh-CN"/>
        </w:rPr>
        <w:t>表2.4-2</w:t>
      </w:r>
      <w:r>
        <w:rPr>
          <w:rFonts w:ascii="Times New Roman" w:hAnsi="Times New Roman" w:cs="Times New Roman"/>
          <w:b/>
          <w:bCs/>
          <w:spacing w:val="-1"/>
          <w:sz w:val="21"/>
          <w:szCs w:val="21"/>
          <w:lang w:eastAsia="zh-CN"/>
        </w:rPr>
        <w:tab/>
      </w:r>
      <w:r>
        <w:rPr>
          <w:rFonts w:ascii="Times New Roman" w:hAnsi="Times New Roman" w:cs="Times New Roman"/>
          <w:b/>
          <w:bCs/>
          <w:spacing w:val="-1"/>
          <w:sz w:val="21"/>
          <w:szCs w:val="21"/>
          <w:lang w:eastAsia="zh-CN"/>
        </w:rPr>
        <w:t>发展规划协调性分析</w:t>
      </w:r>
    </w:p>
    <w:tbl>
      <w:tblPr>
        <w:tblStyle w:val="64"/>
        <w:tblW w:w="474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5"/>
        <w:gridCol w:w="7693"/>
        <w:gridCol w:w="3083"/>
        <w:gridCol w:w="110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5" w:type="pct"/>
            <w:vAlign w:val="center"/>
          </w:tcPr>
          <w:p>
            <w:pPr>
              <w:pStyle w:val="16"/>
              <w:spacing w:line="400" w:lineRule="exact"/>
              <w:rPr>
                <w:rFonts w:ascii="Times New Roman" w:hAnsi="Times New Roman"/>
                <w:b/>
                <w:bCs/>
                <w:sz w:val="21"/>
              </w:rPr>
            </w:pPr>
            <w:r>
              <w:rPr>
                <w:rFonts w:ascii="Times New Roman" w:hAnsi="Times New Roman"/>
                <w:b/>
                <w:bCs/>
                <w:sz w:val="21"/>
              </w:rPr>
              <w:t>规划名称</w:t>
            </w:r>
          </w:p>
        </w:tc>
        <w:tc>
          <w:tcPr>
            <w:tcW w:w="2852" w:type="pct"/>
            <w:vAlign w:val="center"/>
          </w:tcPr>
          <w:p>
            <w:pPr>
              <w:pStyle w:val="16"/>
              <w:spacing w:line="400" w:lineRule="exact"/>
              <w:rPr>
                <w:rFonts w:ascii="Times New Roman" w:hAnsi="Times New Roman"/>
                <w:b/>
                <w:bCs/>
                <w:sz w:val="21"/>
              </w:rPr>
            </w:pPr>
            <w:r>
              <w:rPr>
                <w:rFonts w:ascii="Times New Roman" w:hAnsi="Times New Roman"/>
                <w:b/>
                <w:bCs/>
                <w:sz w:val="21"/>
              </w:rPr>
              <w:t>与本</w:t>
            </w:r>
            <w:r>
              <w:rPr>
                <w:rFonts w:hint="eastAsia" w:ascii="Times New Roman" w:hAnsi="Times New Roman"/>
                <w:b/>
                <w:bCs/>
                <w:sz w:val="21"/>
              </w:rPr>
              <w:t>国际新兴产业园区</w:t>
            </w:r>
            <w:r>
              <w:rPr>
                <w:rFonts w:ascii="Times New Roman" w:hAnsi="Times New Roman"/>
                <w:b/>
                <w:bCs/>
                <w:sz w:val="21"/>
              </w:rPr>
              <w:t>相关的内容</w:t>
            </w:r>
          </w:p>
        </w:tc>
        <w:tc>
          <w:tcPr>
            <w:tcW w:w="1143" w:type="pct"/>
            <w:vAlign w:val="center"/>
          </w:tcPr>
          <w:p>
            <w:pPr>
              <w:pStyle w:val="16"/>
              <w:spacing w:line="400" w:lineRule="exact"/>
              <w:rPr>
                <w:rFonts w:ascii="Times New Roman" w:hAnsi="Times New Roman"/>
                <w:b/>
                <w:bCs/>
                <w:sz w:val="21"/>
              </w:rPr>
            </w:pPr>
            <w:r>
              <w:rPr>
                <w:rFonts w:ascii="Times New Roman" w:hAnsi="Times New Roman"/>
                <w:b/>
                <w:bCs/>
                <w:sz w:val="21"/>
              </w:rPr>
              <w:t>规划协调性分析</w:t>
            </w:r>
          </w:p>
        </w:tc>
        <w:tc>
          <w:tcPr>
            <w:tcW w:w="408" w:type="pct"/>
            <w:vAlign w:val="center"/>
          </w:tcPr>
          <w:p>
            <w:pPr>
              <w:pStyle w:val="16"/>
              <w:spacing w:line="400" w:lineRule="exact"/>
              <w:rPr>
                <w:rFonts w:ascii="Times New Roman" w:hAnsi="Times New Roman"/>
                <w:b/>
                <w:bCs/>
                <w:sz w:val="21"/>
              </w:rPr>
            </w:pPr>
            <w:r>
              <w:rPr>
                <w:rFonts w:ascii="Times New Roman" w:hAnsi="Times New Roman"/>
                <w:b/>
                <w:bCs/>
                <w:sz w:val="21"/>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595" w:type="pct"/>
            <w:vAlign w:val="center"/>
          </w:tcPr>
          <w:p>
            <w:pPr>
              <w:widowControl/>
              <w:spacing w:line="400" w:lineRule="exact"/>
              <w:ind w:firstLine="0" w:firstLineChars="0"/>
              <w:jc w:val="center"/>
              <w:rPr>
                <w:sz w:val="21"/>
                <w:szCs w:val="21"/>
              </w:rPr>
            </w:pPr>
            <w:r>
              <w:rPr>
                <w:rFonts w:hint="eastAsia" w:cs="Times New Roman"/>
                <w:sz w:val="21"/>
                <w:szCs w:val="21"/>
                <w:lang w:eastAsia="zh-CN"/>
              </w:rPr>
              <w:t>《全国主体功能区划》</w:t>
            </w:r>
          </w:p>
          <w:p>
            <w:pPr>
              <w:pStyle w:val="16"/>
              <w:spacing w:line="400" w:lineRule="exact"/>
              <w:rPr>
                <w:rFonts w:ascii="Times New Roman" w:hAnsi="Times New Roman"/>
                <w:sz w:val="21"/>
              </w:rPr>
            </w:pPr>
          </w:p>
        </w:tc>
        <w:tc>
          <w:tcPr>
            <w:tcW w:w="2852" w:type="pct"/>
            <w:vAlign w:val="center"/>
          </w:tcPr>
          <w:p>
            <w:pPr>
              <w:pStyle w:val="16"/>
              <w:spacing w:line="400" w:lineRule="exact"/>
              <w:rPr>
                <w:rFonts w:ascii="Times New Roman" w:hAnsi="Times New Roman"/>
                <w:sz w:val="21"/>
              </w:rPr>
            </w:pPr>
            <w:r>
              <w:rPr>
                <w:rFonts w:hint="eastAsia" w:ascii="Times New Roman" w:hAnsi="Times New Roman"/>
                <w:sz w:val="21"/>
              </w:rPr>
              <w:t xml:space="preserve">第二节 </w:t>
            </w:r>
          </w:p>
          <w:p>
            <w:pPr>
              <w:pStyle w:val="16"/>
              <w:spacing w:line="400" w:lineRule="exact"/>
              <w:rPr>
                <w:rFonts w:ascii="Times New Roman" w:hAnsi="Times New Roman"/>
                <w:sz w:val="21"/>
              </w:rPr>
            </w:pPr>
            <w:r>
              <w:rPr>
                <w:rFonts w:hint="eastAsia" w:ascii="Times New Roman" w:hAnsi="Times New Roman"/>
                <w:sz w:val="21"/>
              </w:rPr>
              <w:t xml:space="preserve">国家层面的优化开发区域 </w:t>
            </w:r>
          </w:p>
          <w:p>
            <w:pPr>
              <w:pStyle w:val="16"/>
              <w:spacing w:line="400" w:lineRule="exact"/>
              <w:rPr>
                <w:rFonts w:ascii="Times New Roman" w:hAnsi="Times New Roman"/>
                <w:sz w:val="21"/>
              </w:rPr>
            </w:pPr>
            <w:r>
              <w:rPr>
                <w:rFonts w:hint="eastAsia" w:ascii="Times New Roman" w:hAnsi="Times New Roman"/>
                <w:sz w:val="21"/>
              </w:rPr>
              <w:t xml:space="preserve">（二）辽中南地区。 </w:t>
            </w:r>
          </w:p>
          <w:p>
            <w:pPr>
              <w:pStyle w:val="16"/>
              <w:spacing w:line="400" w:lineRule="exact"/>
              <w:rPr>
                <w:rFonts w:ascii="Times New Roman" w:hAnsi="Times New Roman"/>
                <w:sz w:val="21"/>
              </w:rPr>
            </w:pPr>
            <w:r>
              <w:rPr>
                <w:rFonts w:hint="eastAsia" w:ascii="Times New Roman" w:hAnsi="Times New Roman"/>
                <w:sz w:val="21"/>
              </w:rPr>
              <w:t xml:space="preserve">该区域位于环渤海地区的北翼，包括辽宁省中部和南部的部分地区。 </w:t>
            </w:r>
          </w:p>
          <w:p>
            <w:pPr>
              <w:pStyle w:val="16"/>
              <w:spacing w:line="400" w:lineRule="exact"/>
              <w:rPr>
                <w:rFonts w:ascii="Times New Roman" w:hAnsi="Times New Roman"/>
                <w:sz w:val="21"/>
              </w:rPr>
            </w:pPr>
            <w:r>
              <w:rPr>
                <w:rFonts w:hint="eastAsia" w:ascii="Times New Roman" w:hAnsi="Times New Roman"/>
                <w:sz w:val="21"/>
              </w:rPr>
              <w:t xml:space="preserve">该区域的功能定位是：东北地区对外开放的重要门户和陆海交通 </w:t>
            </w:r>
          </w:p>
          <w:p>
            <w:pPr>
              <w:pStyle w:val="16"/>
              <w:spacing w:line="400" w:lineRule="exact"/>
              <w:rPr>
                <w:rFonts w:ascii="Times New Roman" w:hAnsi="Times New Roman"/>
                <w:sz w:val="21"/>
              </w:rPr>
            </w:pPr>
            <w:r>
              <w:rPr>
                <w:rFonts w:hint="eastAsia" w:ascii="Times New Roman" w:hAnsi="Times New Roman"/>
                <w:sz w:val="21"/>
              </w:rPr>
              <w:t xml:space="preserve">走廊，全国先进装备制造业和新型原材料基地，重要的科技创新与技 </w:t>
            </w:r>
          </w:p>
          <w:p>
            <w:pPr>
              <w:pStyle w:val="16"/>
              <w:spacing w:line="400" w:lineRule="exact"/>
              <w:rPr>
                <w:rFonts w:ascii="Times New Roman" w:hAnsi="Times New Roman"/>
                <w:sz w:val="21"/>
              </w:rPr>
            </w:pPr>
            <w:r>
              <w:rPr>
                <w:rFonts w:hint="eastAsia" w:ascii="Times New Roman" w:hAnsi="Times New Roman"/>
                <w:sz w:val="21"/>
              </w:rPr>
              <w:t xml:space="preserve">术研发基地，辐射带动东北地区发展的龙头。 </w:t>
            </w:r>
          </w:p>
          <w:p>
            <w:pPr>
              <w:pStyle w:val="16"/>
              <w:spacing w:line="400" w:lineRule="exact"/>
              <w:rPr>
                <w:rFonts w:ascii="Times New Roman" w:hAnsi="Times New Roman"/>
                <w:sz w:val="21"/>
              </w:rPr>
            </w:pPr>
            <w:r>
              <w:rPr>
                <w:rFonts w:ascii="Times New Roman" w:hAnsi="Times New Roman"/>
                <w:sz w:val="21"/>
              </w:rPr>
              <w:t>——</w:t>
            </w:r>
            <w:r>
              <w:rPr>
                <w:rFonts w:hint="eastAsia" w:ascii="Times New Roman" w:hAnsi="Times New Roman"/>
                <w:sz w:val="21"/>
              </w:rPr>
              <w:t xml:space="preserve">发展辽宁沿海经济带，统筹发展具有国际竞争力的临港产业， </w:t>
            </w:r>
          </w:p>
          <w:p>
            <w:pPr>
              <w:pStyle w:val="16"/>
              <w:spacing w:line="400" w:lineRule="exact"/>
              <w:rPr>
                <w:rFonts w:ascii="Times New Roman" w:hAnsi="Times New Roman"/>
                <w:sz w:val="21"/>
              </w:rPr>
            </w:pPr>
            <w:r>
              <w:rPr>
                <w:rFonts w:hint="eastAsia" w:ascii="Times New Roman" w:hAnsi="Times New Roman"/>
                <w:sz w:val="21"/>
              </w:rPr>
              <w:t xml:space="preserve">强化科技创新与技术研发功能，建设成为东北地区对外开放的重要平 </w:t>
            </w:r>
          </w:p>
          <w:p>
            <w:pPr>
              <w:pStyle w:val="16"/>
              <w:spacing w:line="400" w:lineRule="exact"/>
              <w:rPr>
                <w:rFonts w:ascii="Times New Roman" w:hAnsi="Times New Roman"/>
                <w:sz w:val="21"/>
              </w:rPr>
            </w:pPr>
            <w:r>
              <w:rPr>
                <w:rFonts w:hint="eastAsia" w:ascii="Times New Roman" w:hAnsi="Times New Roman"/>
                <w:sz w:val="21"/>
              </w:rPr>
              <w:t xml:space="preserve">台，我国沿海地区新的经济增长极。 </w:t>
            </w:r>
          </w:p>
          <w:p>
            <w:pPr>
              <w:pStyle w:val="16"/>
              <w:spacing w:line="400" w:lineRule="exact"/>
              <w:rPr>
                <w:rFonts w:ascii="Times New Roman" w:hAnsi="Times New Roman"/>
                <w:sz w:val="21"/>
              </w:rPr>
            </w:pPr>
            <w:r>
              <w:rPr>
                <w:rFonts w:ascii="Times New Roman" w:hAnsi="Times New Roman"/>
                <w:sz w:val="21"/>
              </w:rPr>
              <w:t>——</w:t>
            </w:r>
            <w:r>
              <w:rPr>
                <w:rFonts w:hint="eastAsia" w:ascii="Times New Roman" w:hAnsi="Times New Roman"/>
                <w:sz w:val="21"/>
              </w:rPr>
              <w:t xml:space="preserve">增强沈阳经济区整体竞争力，促进区域一体化。加强城市间 </w:t>
            </w:r>
          </w:p>
          <w:p>
            <w:pPr>
              <w:pStyle w:val="16"/>
              <w:spacing w:line="400" w:lineRule="exact"/>
              <w:rPr>
                <w:rFonts w:ascii="Times New Roman" w:hAnsi="Times New Roman"/>
                <w:sz w:val="21"/>
              </w:rPr>
            </w:pPr>
            <w:r>
              <w:rPr>
                <w:rFonts w:hint="eastAsia" w:ascii="Times New Roman" w:hAnsi="Times New Roman"/>
                <w:sz w:val="21"/>
              </w:rPr>
              <w:t xml:space="preserve">分工协作和功能互补，促进产业转型和空间重组，提升产业的整体竞 </w:t>
            </w:r>
          </w:p>
          <w:p>
            <w:pPr>
              <w:pStyle w:val="16"/>
              <w:spacing w:line="400" w:lineRule="exact"/>
              <w:rPr>
                <w:rFonts w:ascii="Times New Roman" w:hAnsi="Times New Roman"/>
                <w:sz w:val="21"/>
              </w:rPr>
            </w:pPr>
            <w:r>
              <w:rPr>
                <w:rFonts w:hint="eastAsia" w:ascii="Times New Roman" w:hAnsi="Times New Roman"/>
                <w:sz w:val="21"/>
              </w:rPr>
              <w:t xml:space="preserve">争力，建设先进装备制造业、重要原材料和高新技术产业基地。 </w:t>
            </w:r>
          </w:p>
          <w:p>
            <w:pPr>
              <w:pStyle w:val="16"/>
              <w:spacing w:line="400" w:lineRule="exact"/>
              <w:rPr>
                <w:rFonts w:ascii="Times New Roman" w:hAnsi="Times New Roman"/>
                <w:sz w:val="21"/>
              </w:rPr>
            </w:pPr>
            <w:r>
              <w:rPr>
                <w:rFonts w:ascii="Times New Roman" w:hAnsi="Times New Roman"/>
                <w:sz w:val="21"/>
              </w:rPr>
              <w:t>——</w:t>
            </w:r>
            <w:r>
              <w:rPr>
                <w:rFonts w:hint="eastAsia" w:ascii="Times New Roman" w:hAnsi="Times New Roman"/>
                <w:sz w:val="21"/>
              </w:rPr>
              <w:t xml:space="preserve">强化沈阳、大连中心城市功能，加强综合服务功能和辐射带 </w:t>
            </w:r>
          </w:p>
          <w:p>
            <w:pPr>
              <w:pStyle w:val="16"/>
              <w:spacing w:line="400" w:lineRule="exact"/>
              <w:rPr>
                <w:rFonts w:ascii="Times New Roman" w:hAnsi="Times New Roman"/>
                <w:sz w:val="21"/>
              </w:rPr>
            </w:pPr>
            <w:r>
              <w:rPr>
                <w:rFonts w:hint="eastAsia" w:ascii="Times New Roman" w:hAnsi="Times New Roman"/>
                <w:sz w:val="21"/>
              </w:rPr>
              <w:t xml:space="preserve">动能力，增强节点城市综合实力。沈阳建设成为东北亚商贸物流服务 </w:t>
            </w:r>
          </w:p>
          <w:p>
            <w:pPr>
              <w:pStyle w:val="16"/>
              <w:spacing w:line="400" w:lineRule="exact"/>
              <w:rPr>
                <w:rFonts w:ascii="Times New Roman" w:hAnsi="Times New Roman"/>
                <w:sz w:val="21"/>
              </w:rPr>
            </w:pPr>
            <w:r>
              <w:rPr>
                <w:rFonts w:hint="eastAsia" w:ascii="Times New Roman" w:hAnsi="Times New Roman"/>
                <w:sz w:val="21"/>
              </w:rPr>
              <w:t xml:space="preserve">中心，大连建设成为东北亚国际航运中心和国际物流中心。 </w:t>
            </w:r>
          </w:p>
          <w:p>
            <w:pPr>
              <w:pStyle w:val="16"/>
              <w:spacing w:line="400" w:lineRule="exact"/>
              <w:rPr>
                <w:rFonts w:ascii="Times New Roman" w:hAnsi="Times New Roman"/>
                <w:sz w:val="21"/>
              </w:rPr>
            </w:pPr>
            <w:r>
              <w:rPr>
                <w:rFonts w:ascii="Times New Roman" w:hAnsi="Times New Roman"/>
                <w:sz w:val="21"/>
              </w:rPr>
              <w:t>——</w:t>
            </w:r>
            <w:r>
              <w:rPr>
                <w:rFonts w:hint="eastAsia" w:ascii="Times New Roman" w:hAnsi="Times New Roman"/>
                <w:sz w:val="21"/>
              </w:rPr>
              <w:t xml:space="preserve">加强粮食生产基地建设，稳定特色农产品生产、加工和出口 </w:t>
            </w:r>
          </w:p>
          <w:p>
            <w:pPr>
              <w:pStyle w:val="16"/>
              <w:spacing w:line="400" w:lineRule="exact"/>
              <w:rPr>
                <w:rFonts w:ascii="Times New Roman" w:hAnsi="Times New Roman"/>
                <w:sz w:val="21"/>
              </w:rPr>
            </w:pPr>
            <w:r>
              <w:rPr>
                <w:rFonts w:hint="eastAsia" w:ascii="Times New Roman" w:hAnsi="Times New Roman"/>
                <w:sz w:val="21"/>
              </w:rPr>
              <w:t xml:space="preserve">基地地位，重视海洋渔业经济，推进循环农业发展。 </w:t>
            </w:r>
          </w:p>
          <w:p>
            <w:pPr>
              <w:pStyle w:val="16"/>
              <w:spacing w:line="400" w:lineRule="exact"/>
              <w:rPr>
                <w:rFonts w:ascii="Times New Roman" w:hAnsi="Times New Roman"/>
                <w:sz w:val="21"/>
              </w:rPr>
            </w:pPr>
            <w:r>
              <w:rPr>
                <w:rFonts w:ascii="Times New Roman" w:hAnsi="Times New Roman"/>
                <w:sz w:val="21"/>
              </w:rPr>
              <w:t>——</w:t>
            </w:r>
            <w:r>
              <w:rPr>
                <w:rFonts w:hint="eastAsia" w:ascii="Times New Roman" w:hAnsi="Times New Roman"/>
                <w:sz w:val="21"/>
              </w:rPr>
              <w:t xml:space="preserve">加强东部山地水源涵养区和饮用水源地保护，加快采煤沉陷 </w:t>
            </w:r>
          </w:p>
          <w:p>
            <w:pPr>
              <w:pStyle w:val="16"/>
              <w:spacing w:line="400" w:lineRule="exact"/>
              <w:rPr>
                <w:rFonts w:ascii="Times New Roman" w:hAnsi="Times New Roman"/>
                <w:sz w:val="21"/>
              </w:rPr>
            </w:pPr>
            <w:r>
              <w:rPr>
                <w:rFonts w:hint="eastAsia" w:ascii="Times New Roman" w:hAnsi="Times New Roman"/>
                <w:sz w:val="21"/>
              </w:rPr>
              <w:t xml:space="preserve">区综合治理及矿山生态修复，加强辽河流域和近海海域污染防治，构 </w:t>
            </w:r>
          </w:p>
          <w:p>
            <w:pPr>
              <w:pStyle w:val="16"/>
              <w:spacing w:line="400" w:lineRule="exact"/>
              <w:rPr>
                <w:rFonts w:ascii="Times New Roman" w:hAnsi="Times New Roman"/>
                <w:sz w:val="21"/>
              </w:rPr>
            </w:pPr>
            <w:r>
              <w:rPr>
                <w:rFonts w:hint="eastAsia" w:ascii="Times New Roman" w:hAnsi="Times New Roman"/>
                <w:sz w:val="21"/>
              </w:rPr>
              <w:t xml:space="preserve">建由长白山余脉、辽河、鸭绿江、滨海湿地和沿海防护林构成的生态 </w:t>
            </w:r>
          </w:p>
          <w:p>
            <w:pPr>
              <w:pStyle w:val="16"/>
              <w:spacing w:line="400" w:lineRule="exact"/>
              <w:rPr>
                <w:rFonts w:ascii="Times New Roman" w:hAnsi="Times New Roman"/>
                <w:sz w:val="21"/>
              </w:rPr>
            </w:pPr>
            <w:r>
              <w:rPr>
                <w:rFonts w:hint="eastAsia" w:ascii="Times New Roman" w:hAnsi="Times New Roman"/>
                <w:sz w:val="21"/>
              </w:rPr>
              <w:t xml:space="preserve">廊道。 </w:t>
            </w:r>
          </w:p>
        </w:tc>
        <w:tc>
          <w:tcPr>
            <w:tcW w:w="1143" w:type="pct"/>
            <w:vAlign w:val="center"/>
          </w:tcPr>
          <w:p>
            <w:pPr>
              <w:pStyle w:val="16"/>
              <w:spacing w:line="400" w:lineRule="exact"/>
              <w:rPr>
                <w:rFonts w:ascii="Times New Roman" w:hAnsi="Times New Roman"/>
                <w:sz w:val="21"/>
              </w:rPr>
            </w:pPr>
            <w:r>
              <w:rPr>
                <w:rFonts w:hint="eastAsia" w:ascii="Times New Roman" w:hAnsi="Times New Roman"/>
                <w:sz w:val="21"/>
              </w:rPr>
              <w:t>浑南国际新兴产业园区位于东陵区北部，规划范围东至三环高速，南至规划全运南路，西至沈李公路，北至浑河。</w:t>
            </w:r>
          </w:p>
          <w:p>
            <w:pPr>
              <w:pStyle w:val="16"/>
              <w:spacing w:line="400" w:lineRule="exact"/>
              <w:rPr>
                <w:rFonts w:ascii="Times New Roman" w:hAnsi="Times New Roman"/>
                <w:sz w:val="21"/>
              </w:rPr>
            </w:pPr>
            <w:r>
              <w:rPr>
                <w:rFonts w:hint="eastAsia" w:ascii="Times New Roman" w:hAnsi="Times New Roman"/>
                <w:sz w:val="21"/>
              </w:rPr>
              <w:t>发展定位：（1）以节能环保、新能源、生物医药、电子商务、现代物流产业为主导，以先进装备制造、汽车零部件生产产业为延伸，打造沈阳经济区的生态环保、科技创新、结构优化的龙头产业基地。</w:t>
            </w:r>
          </w:p>
          <w:p>
            <w:pPr>
              <w:pStyle w:val="16"/>
              <w:spacing w:line="400" w:lineRule="exact"/>
              <w:rPr>
                <w:rFonts w:ascii="Times New Roman" w:hAnsi="Times New Roman"/>
                <w:sz w:val="21"/>
              </w:rPr>
            </w:pPr>
            <w:r>
              <w:rPr>
                <w:rFonts w:hint="eastAsia" w:ascii="Times New Roman" w:hAnsi="Times New Roman"/>
                <w:sz w:val="21"/>
              </w:rPr>
              <w:t>（2）园区发展与城市内部的智力资源(科研机构、大学等）建立有效的互动机制，为其提供新型科技产品的生产基地，打造沈阳市的新产业生产中心，实现产-学-研的联合发展。</w:t>
            </w:r>
          </w:p>
          <w:p>
            <w:pPr>
              <w:pStyle w:val="16"/>
              <w:spacing w:line="400" w:lineRule="exact"/>
              <w:rPr>
                <w:rFonts w:ascii="Times New Roman" w:hAnsi="Times New Roman"/>
                <w:sz w:val="21"/>
              </w:rPr>
            </w:pPr>
            <w:r>
              <w:rPr>
                <w:rFonts w:hint="eastAsia" w:ascii="Times New Roman" w:hAnsi="Times New Roman"/>
                <w:sz w:val="21"/>
              </w:rPr>
              <w:t>（3）强调功能的完备性，功能活动的多元化，打造充满活力的城市片区；利用现有自然资源营造良好的生活环境，建设田园形态的、生态友好度较高的城市片区。</w:t>
            </w:r>
          </w:p>
          <w:p>
            <w:pPr>
              <w:pStyle w:val="16"/>
              <w:spacing w:line="400" w:lineRule="exact"/>
              <w:rPr>
                <w:rFonts w:ascii="Times New Roman" w:hAnsi="Times New Roman"/>
                <w:sz w:val="21"/>
              </w:rPr>
            </w:pP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595" w:type="pct"/>
            <w:vAlign w:val="center"/>
          </w:tcPr>
          <w:p>
            <w:pPr>
              <w:pStyle w:val="16"/>
              <w:spacing w:line="400" w:lineRule="exact"/>
              <w:rPr>
                <w:rFonts w:ascii="Times New Roman" w:hAnsi="Times New Roman"/>
                <w:sz w:val="21"/>
              </w:rPr>
            </w:pPr>
            <w:r>
              <w:rPr>
                <w:rFonts w:ascii="Times New Roman" w:hAnsi="Times New Roman"/>
                <w:sz w:val="21"/>
              </w:rPr>
              <w:t>《辽宁省主体功能区规划》</w:t>
            </w:r>
          </w:p>
        </w:tc>
        <w:tc>
          <w:tcPr>
            <w:tcW w:w="2852" w:type="pct"/>
            <w:vAlign w:val="center"/>
          </w:tcPr>
          <w:p>
            <w:pPr>
              <w:pStyle w:val="16"/>
              <w:spacing w:line="400" w:lineRule="exact"/>
              <w:rPr>
                <w:rFonts w:ascii="Times New Roman" w:hAnsi="Times New Roman"/>
                <w:sz w:val="21"/>
              </w:rPr>
            </w:pPr>
            <w:r>
              <w:rPr>
                <w:rFonts w:ascii="Times New Roman" w:hAnsi="Times New Roman"/>
                <w:sz w:val="21"/>
              </w:rPr>
              <w:t>第四章　优化开发区域</w:t>
            </w:r>
          </w:p>
          <w:p>
            <w:pPr>
              <w:pStyle w:val="16"/>
              <w:spacing w:line="400" w:lineRule="exact"/>
              <w:rPr>
                <w:rFonts w:ascii="Times New Roman" w:hAnsi="Times New Roman"/>
                <w:sz w:val="21"/>
              </w:rPr>
            </w:pPr>
            <w:r>
              <w:rPr>
                <w:rFonts w:ascii="Times New Roman" w:hAnsi="Times New Roman"/>
                <w:sz w:val="21"/>
              </w:rPr>
              <w:t>第一节　功能定位和发展方向</w:t>
            </w:r>
          </w:p>
          <w:p>
            <w:pPr>
              <w:pStyle w:val="16"/>
              <w:spacing w:line="400" w:lineRule="exact"/>
              <w:rPr>
                <w:rFonts w:ascii="Times New Roman" w:hAnsi="Times New Roman"/>
                <w:sz w:val="21"/>
              </w:rPr>
            </w:pPr>
            <w:r>
              <w:rPr>
                <w:rFonts w:ascii="Times New Roman" w:hAnsi="Times New Roman"/>
                <w:sz w:val="21"/>
              </w:rPr>
              <w:t>全省国家级优化开发区域包括沈阳、大连、鞍山、抚顺、本溪、营口、辽阳、盘锦等8个市的36个辖区，面积11324平方公里，占全省总面积7.65%。</w:t>
            </w:r>
          </w:p>
          <w:p>
            <w:pPr>
              <w:pStyle w:val="16"/>
              <w:spacing w:line="400" w:lineRule="exact"/>
              <w:rPr>
                <w:rFonts w:ascii="Times New Roman" w:hAnsi="Times New Roman"/>
                <w:sz w:val="21"/>
              </w:rPr>
            </w:pPr>
            <w:r>
              <w:rPr>
                <w:rFonts w:ascii="Times New Roman" w:hAnsi="Times New Roman"/>
                <w:sz w:val="21"/>
              </w:rPr>
              <w:t>——加快沈阳经济区新型工业化城镇化一体化发展步伐，加强城市间分工协作和功能互补，促进产业转型升级，提升产业的整体竞争力，建设先进装备制造业、重要原材料和高新技术产业基地，东北亚地区重要的经济中心。</w:t>
            </w:r>
          </w:p>
          <w:p>
            <w:pPr>
              <w:pStyle w:val="16"/>
              <w:spacing w:line="400" w:lineRule="exact"/>
              <w:rPr>
                <w:rFonts w:ascii="Times New Roman" w:hAnsi="Times New Roman"/>
                <w:sz w:val="21"/>
              </w:rPr>
            </w:pPr>
            <w:r>
              <w:rPr>
                <w:rFonts w:ascii="Times New Roman" w:hAnsi="Times New Roman"/>
                <w:sz w:val="21"/>
              </w:rPr>
              <w:t>第二节　区域发展定位及重点</w:t>
            </w:r>
          </w:p>
          <w:p>
            <w:pPr>
              <w:pStyle w:val="16"/>
              <w:spacing w:line="400" w:lineRule="exact"/>
              <w:rPr>
                <w:rFonts w:ascii="Times New Roman" w:hAnsi="Times New Roman"/>
                <w:sz w:val="21"/>
              </w:rPr>
            </w:pPr>
            <w:r>
              <w:rPr>
                <w:rFonts w:ascii="Times New Roman" w:hAnsi="Times New Roman"/>
                <w:sz w:val="21"/>
              </w:rPr>
              <w:t>一、沈阳市</w:t>
            </w:r>
          </w:p>
          <w:p>
            <w:pPr>
              <w:pStyle w:val="16"/>
              <w:spacing w:line="400" w:lineRule="exact"/>
              <w:rPr>
                <w:rFonts w:ascii="Times New Roman" w:hAnsi="Times New Roman"/>
                <w:sz w:val="21"/>
              </w:rPr>
            </w:pPr>
            <w:r>
              <w:rPr>
                <w:rFonts w:ascii="Times New Roman" w:hAnsi="Times New Roman"/>
                <w:sz w:val="21"/>
              </w:rPr>
              <w:t>沈阳市域优化开发区域包括和平区、沈河区、大东区、皇姑区、铁西区、东陵区（浑南新区）、苏家屯区、沈北新区、于洪区。</w:t>
            </w:r>
          </w:p>
          <w:p>
            <w:pPr>
              <w:pStyle w:val="16"/>
              <w:spacing w:line="400" w:lineRule="exact"/>
              <w:rPr>
                <w:rFonts w:ascii="Times New Roman" w:hAnsi="Times New Roman"/>
                <w:sz w:val="21"/>
              </w:rPr>
            </w:pPr>
            <w:r>
              <w:rPr>
                <w:rFonts w:ascii="Times New Roman" w:hAnsi="Times New Roman"/>
                <w:sz w:val="21"/>
              </w:rPr>
              <w:t>功能定位：国家中心城市，世界级先进装备制造业基地，国家级文化和科技融合示范基地，东北亚商贸物流服务中心，东北区域金融中心，沈阳经济区的核心城市。</w:t>
            </w:r>
          </w:p>
          <w:p>
            <w:pPr>
              <w:pStyle w:val="16"/>
              <w:spacing w:line="400" w:lineRule="exact"/>
              <w:rPr>
                <w:rFonts w:ascii="Times New Roman" w:hAnsi="Times New Roman"/>
                <w:sz w:val="21"/>
              </w:rPr>
            </w:pPr>
            <w:r>
              <w:rPr>
                <w:rFonts w:ascii="Times New Roman" w:hAnsi="Times New Roman"/>
                <w:sz w:val="21"/>
              </w:rPr>
              <w:t>——重点发展战略性新兴产业、先进装备制造业、高加工度原材料工业、现代服务业、高技术产业、文化和科技融合产业、现代农业，建设具有较强国际竞争力的数控机床产业基地、国内最大的民用发动机研发制造基地、具有影响力的“中国软件名城”。</w:t>
            </w:r>
          </w:p>
          <w:p>
            <w:pPr>
              <w:pStyle w:val="16"/>
              <w:spacing w:line="400" w:lineRule="exact"/>
              <w:rPr>
                <w:rFonts w:ascii="Times New Roman" w:hAnsi="Times New Roman"/>
                <w:sz w:val="21"/>
              </w:rPr>
            </w:pPr>
            <w:r>
              <w:rPr>
                <w:rFonts w:ascii="Times New Roman" w:hAnsi="Times New Roman"/>
                <w:sz w:val="21"/>
              </w:rPr>
              <w:t>——充分发挥沈阳市作为区域核心城市的辐射作用，以沈阳市为核心，以周边城市、城镇为支撑，打造辽宁省中部大都市圈，形成合理的人口和经济规模，实现沈阳经济区一体化发展。</w:t>
            </w:r>
          </w:p>
          <w:p>
            <w:pPr>
              <w:pStyle w:val="16"/>
              <w:spacing w:line="400" w:lineRule="exact"/>
              <w:rPr>
                <w:rFonts w:ascii="Times New Roman" w:hAnsi="Times New Roman"/>
                <w:sz w:val="21"/>
              </w:rPr>
            </w:pPr>
            <w:r>
              <w:rPr>
                <w:rFonts w:ascii="Times New Roman" w:hAnsi="Times New Roman"/>
                <w:sz w:val="21"/>
              </w:rPr>
              <w:t>——建设城市生态区，依托高速公路、国道、铁路绿化带构建绿色生态廊道，沿浑河、蒲河构建水体生态廊道，增加城市内部绿色空间。加强细河等小流域综合治理。严格限制开采地下水。</w:t>
            </w:r>
          </w:p>
        </w:tc>
        <w:tc>
          <w:tcPr>
            <w:tcW w:w="1143" w:type="pct"/>
            <w:vAlign w:val="center"/>
          </w:tcPr>
          <w:p>
            <w:pPr>
              <w:pStyle w:val="16"/>
              <w:spacing w:line="400" w:lineRule="exact"/>
              <w:rPr>
                <w:rFonts w:ascii="Times New Roman" w:hAnsi="Times New Roman"/>
                <w:sz w:val="21"/>
              </w:rPr>
            </w:pPr>
            <w:r>
              <w:rPr>
                <w:rFonts w:ascii="Times New Roman" w:hAnsi="Times New Roman"/>
                <w:sz w:val="21"/>
              </w:rPr>
              <w:t>本规划位于沈阳市</w:t>
            </w:r>
            <w:r>
              <w:rPr>
                <w:rFonts w:hint="eastAsia" w:ascii="Times New Roman" w:hAnsi="Times New Roman"/>
                <w:sz w:val="21"/>
              </w:rPr>
              <w:t>浑南</w:t>
            </w:r>
            <w:r>
              <w:rPr>
                <w:rFonts w:ascii="Times New Roman" w:hAnsi="Times New Roman"/>
                <w:sz w:val="21"/>
              </w:rPr>
              <w:t>区，属于优化开发区域，详见图2-1</w:t>
            </w:r>
            <w:r>
              <w:rPr>
                <w:rFonts w:hint="eastAsia" w:ascii="Times New Roman" w:hAnsi="Times New Roman"/>
                <w:sz w:val="21"/>
              </w:rPr>
              <w:t>1</w:t>
            </w:r>
            <w:r>
              <w:rPr>
                <w:rFonts w:ascii="Times New Roman" w:hAnsi="Times New Roman"/>
                <w:sz w:val="21"/>
              </w:rPr>
              <w:t>。</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595" w:type="pct"/>
            <w:vAlign w:val="center"/>
          </w:tcPr>
          <w:p>
            <w:pPr>
              <w:pStyle w:val="16"/>
              <w:spacing w:line="400" w:lineRule="exact"/>
              <w:rPr>
                <w:rFonts w:ascii="Times New Roman" w:hAnsi="Times New Roman"/>
                <w:sz w:val="21"/>
              </w:rPr>
            </w:pPr>
            <w:r>
              <w:rPr>
                <w:rFonts w:ascii="Times New Roman" w:hAnsi="Times New Roman"/>
                <w:sz w:val="21"/>
              </w:rPr>
              <w:t>《辽宁省国民经济和社会发展第十三个五年规划纲要》</w:t>
            </w:r>
          </w:p>
        </w:tc>
        <w:tc>
          <w:tcPr>
            <w:tcW w:w="2852" w:type="pct"/>
            <w:vAlign w:val="center"/>
          </w:tcPr>
          <w:p>
            <w:pPr>
              <w:pStyle w:val="16"/>
              <w:spacing w:line="400" w:lineRule="exact"/>
              <w:rPr>
                <w:rFonts w:ascii="Times New Roman" w:hAnsi="Times New Roman"/>
                <w:sz w:val="21"/>
              </w:rPr>
            </w:pPr>
            <w:r>
              <w:rPr>
                <w:rFonts w:ascii="Times New Roman" w:hAnsi="Times New Roman"/>
                <w:sz w:val="21"/>
              </w:rPr>
              <w:t>——坚持创新发展，明确创新是引领发展的第一动力。“十三五”时期，必须大力推动创新发展，加快实施创新驱动发展战略，让创新贯穿老工业基地振兴发展的各领域、各方面、全过程，让创新在全社会蔚然成风培育发展高新技术企业。完善高新技术企业政策扶持机制，提升高新技术企业规模。支持大型骨干企业建设研究院和产业共性技术研发基地，鼓励推动更多科技型、创新型企业发挥龙头作用。开展中小微企业培育工程，形成一批具有自主核心技术和行业竞争优势的创新型中小微企业。</w:t>
            </w:r>
          </w:p>
          <w:p>
            <w:pPr>
              <w:pStyle w:val="16"/>
              <w:spacing w:line="400" w:lineRule="exact"/>
              <w:rPr>
                <w:rFonts w:ascii="Times New Roman" w:hAnsi="Times New Roman"/>
                <w:sz w:val="21"/>
              </w:rPr>
            </w:pPr>
            <w:r>
              <w:rPr>
                <w:rFonts w:ascii="Times New Roman" w:hAnsi="Times New Roman"/>
                <w:sz w:val="21"/>
              </w:rPr>
              <w:t>加强创新创业公共服务平台建设。依托高新区以及科研机构、龙头企业，打造梯级孵化体系。完善创新创业的服务模式，采取政府购买服务方式，支持中介机构为创业企业提供法律、知识产权、财务等服务，支持创业孵化机构打造“无费区”。重点打造一批“双创”示范基地。以建设沈阳国家全面创新改革试验区、沈大国家自主创新示范区为重要载体，打造创新高地，引领、示范和带动全省加快实现创新驱动发展。</w:t>
            </w:r>
          </w:p>
        </w:tc>
        <w:tc>
          <w:tcPr>
            <w:tcW w:w="1143" w:type="pct"/>
            <w:vAlign w:val="center"/>
          </w:tcPr>
          <w:p>
            <w:pPr>
              <w:pStyle w:val="25"/>
              <w:spacing w:after="0" w:line="400" w:lineRule="exact"/>
              <w:ind w:firstLine="0" w:firstLineChars="0"/>
              <w:jc w:val="center"/>
              <w:rPr>
                <w:sz w:val="21"/>
                <w:szCs w:val="21"/>
                <w:lang w:eastAsia="zh-CN"/>
              </w:rPr>
            </w:pPr>
            <w:r>
              <w:rPr>
                <w:sz w:val="21"/>
                <w:szCs w:val="21"/>
                <w:lang w:eastAsia="zh-CN"/>
              </w:rPr>
              <w:t>以节能环保、新能源、生物医药、电子商务、现代物流产业为主导，以先进装备制造、汽车零部件生产产业为延伸，打造沈阳经济区的生态环保、科技创新、结构优化的龙头产业基地。</w:t>
            </w:r>
          </w:p>
          <w:p>
            <w:pPr>
              <w:pStyle w:val="16"/>
              <w:spacing w:line="400" w:lineRule="exact"/>
              <w:rPr>
                <w:sz w:val="21"/>
              </w:rPr>
            </w:pPr>
            <w:r>
              <w:rPr>
                <w:sz w:val="21"/>
              </w:rPr>
              <w:t>园区发展与城市内部的智力资源(科研机构、大学等）建立有效的互动机制，为其提供新型科技产品的生产基地，打造沈阳市的新产业生产中心，实现产-学-研的联合发展</w:t>
            </w:r>
            <w:r>
              <w:rPr>
                <w:rFonts w:hint="eastAsia"/>
                <w:sz w:val="21"/>
              </w:rPr>
              <w:t>。</w:t>
            </w:r>
          </w:p>
          <w:p>
            <w:pPr>
              <w:pStyle w:val="16"/>
              <w:spacing w:line="400" w:lineRule="exact"/>
              <w:rPr>
                <w:sz w:val="21"/>
              </w:rPr>
            </w:pPr>
            <w:r>
              <w:rPr>
                <w:sz w:val="21"/>
              </w:rPr>
              <w:t>强调功能的完备性，功能活动的多元化，打造充满活力的城市片区；利用现有自然资源营造良好的生活环境，建设田园形态的、生态友好度较高的城市片区</w:t>
            </w:r>
            <w:r>
              <w:rPr>
                <w:rFonts w:hint="eastAsia"/>
                <w:sz w:val="21"/>
              </w:rPr>
              <w:t>。</w:t>
            </w:r>
          </w:p>
          <w:p>
            <w:pPr>
              <w:pStyle w:val="16"/>
              <w:spacing w:line="400" w:lineRule="exact"/>
              <w:rPr>
                <w:rFonts w:ascii="Times New Roman" w:hAnsi="Times New Roman"/>
                <w:sz w:val="21"/>
              </w:rPr>
            </w:pPr>
            <w:r>
              <w:rPr>
                <w:rFonts w:ascii="Times New Roman" w:hAnsi="Times New Roman"/>
                <w:sz w:val="21"/>
              </w:rPr>
              <w:t>与规划协调一致</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5" w:type="pct"/>
            <w:vAlign w:val="center"/>
          </w:tcPr>
          <w:p>
            <w:pPr>
              <w:pStyle w:val="16"/>
              <w:spacing w:line="400" w:lineRule="exact"/>
              <w:rPr>
                <w:rFonts w:ascii="Times New Roman" w:hAnsi="Times New Roman"/>
                <w:sz w:val="21"/>
              </w:rPr>
            </w:pPr>
            <w:r>
              <w:rPr>
                <w:rFonts w:ascii="Times New Roman" w:hAnsi="Times New Roman"/>
                <w:sz w:val="21"/>
              </w:rPr>
              <w:t>《辽宁省水污染防治工作方案》</w:t>
            </w:r>
          </w:p>
        </w:tc>
        <w:tc>
          <w:tcPr>
            <w:tcW w:w="2852" w:type="pct"/>
            <w:vAlign w:val="center"/>
          </w:tcPr>
          <w:p>
            <w:pPr>
              <w:pStyle w:val="16"/>
              <w:spacing w:line="400" w:lineRule="exact"/>
              <w:rPr>
                <w:rFonts w:ascii="Times New Roman" w:hAnsi="Times New Roman"/>
                <w:sz w:val="21"/>
              </w:rPr>
            </w:pPr>
            <w:r>
              <w:rPr>
                <w:rFonts w:ascii="Times New Roman" w:hAnsi="Times New Roman"/>
                <w:sz w:val="21"/>
              </w:rPr>
              <w:t>加强资源管理，节约保护水资源。</w:t>
            </w:r>
          </w:p>
          <w:p>
            <w:pPr>
              <w:pStyle w:val="16"/>
              <w:spacing w:line="400" w:lineRule="exact"/>
              <w:rPr>
                <w:rFonts w:ascii="Times New Roman" w:hAnsi="Times New Roman"/>
                <w:sz w:val="21"/>
              </w:rPr>
            </w:pPr>
            <w:r>
              <w:rPr>
                <w:rFonts w:ascii="Times New Roman" w:hAnsi="Times New Roman"/>
                <w:sz w:val="21"/>
              </w:rPr>
              <w:t>1．控制用水总量。实施最严格水资源管理。健全取用水总量控制指标体系，将全省用水总量控制指标分解到各市，对取用水总量已达到或超过控制指标的市，暂停审批其建设项目新增取水许可。依法开展建设项目水资源论证工作，新建、改建、扩建项目用水要达到行业先进水平，节水设施应与主体工程同时设计、同时施工、同时投运。严控地下水超采。继续实行区域地下水禁采、限采制度，对地下水保护区、城市公共供水管网覆盖区、水库等地表水能够供水的区域和无防止地下水污染措施的地区，停止批建新的地下水取水工程，不再新增地下水取水指标……继续实施封闭地下水取水工程总体方案，对地表水、城市公共供水管网供水能够满足需求的地区，除《辽宁省地下水资源保护条例》允许的地下水取水工程和为保证用水安全转为应急备用水源的地下水取水工程外，已有的其它地下水取水工程均依法予以关停封闭。</w:t>
            </w:r>
          </w:p>
          <w:p>
            <w:pPr>
              <w:pStyle w:val="16"/>
              <w:spacing w:line="400" w:lineRule="exact"/>
              <w:rPr>
                <w:rFonts w:ascii="Times New Roman" w:hAnsi="Times New Roman"/>
                <w:sz w:val="21"/>
              </w:rPr>
            </w:pPr>
            <w:r>
              <w:rPr>
                <w:rFonts w:ascii="Times New Roman" w:hAnsi="Times New Roman"/>
                <w:sz w:val="21"/>
              </w:rPr>
              <w:t>2．集中治理工业集聚区水污染。强化经济技术开发区、高新技术产业开发区、出口加工区等工业集聚区污染治理。集聚区内工业废水必须经预处理达到集中处理要求，方可进入污水集中处理设施。新建、升级工业集聚区应同步规划建设污水、垃圾集中处理污染治理设施。2017年底前，除可依托城镇污水处理厂以外的工业集聚区应全部建成污水集中处理设施，并安装自动在线监控装置；逾期未完成的，一律暂停审批和核准其增加水污染物排放的建设项目，并依照有关规定撤销其</w:t>
            </w:r>
            <w:r>
              <w:rPr>
                <w:rFonts w:hint="eastAsia" w:ascii="Times New Roman" w:hAnsi="Times New Roman"/>
                <w:sz w:val="21"/>
              </w:rPr>
              <w:t>国际新兴产业园区</w:t>
            </w:r>
            <w:r>
              <w:rPr>
                <w:rFonts w:ascii="Times New Roman" w:hAnsi="Times New Roman"/>
                <w:sz w:val="21"/>
              </w:rPr>
              <w:t>资格。</w:t>
            </w:r>
          </w:p>
        </w:tc>
        <w:tc>
          <w:tcPr>
            <w:tcW w:w="1143" w:type="pct"/>
            <w:vAlign w:val="center"/>
          </w:tcPr>
          <w:p>
            <w:pPr>
              <w:pStyle w:val="16"/>
              <w:spacing w:line="400" w:lineRule="exact"/>
              <w:rPr>
                <w:rFonts w:ascii="Times New Roman" w:hAnsi="Times New Roman"/>
                <w:sz w:val="21"/>
              </w:rPr>
            </w:pPr>
            <w:r>
              <w:rPr>
                <w:rFonts w:hint="eastAsia" w:ascii="Times New Roman" w:hAnsi="Times New Roman"/>
                <w:sz w:val="21"/>
              </w:rPr>
              <w:t>国际新兴产业园区</w:t>
            </w:r>
            <w:r>
              <w:rPr>
                <w:rFonts w:ascii="Times New Roman" w:hAnsi="Times New Roman"/>
                <w:sz w:val="21"/>
              </w:rPr>
              <w:t>目前由</w:t>
            </w:r>
            <w:r>
              <w:rPr>
                <w:rFonts w:hint="eastAsia" w:ascii="Times New Roman" w:hAnsi="Times New Roman"/>
                <w:sz w:val="21"/>
              </w:rPr>
              <w:t>浑南配水厂供水及浑南配水厂供水4#</w:t>
            </w:r>
            <w:r>
              <w:rPr>
                <w:rFonts w:ascii="Times New Roman" w:hAnsi="Times New Roman"/>
                <w:sz w:val="21"/>
              </w:rPr>
              <w:t>供水，可以满足</w:t>
            </w:r>
            <w:r>
              <w:rPr>
                <w:rFonts w:hint="eastAsia" w:ascii="Times New Roman" w:hAnsi="Times New Roman"/>
                <w:sz w:val="21"/>
              </w:rPr>
              <w:t>国际新兴产业园区</w:t>
            </w:r>
            <w:r>
              <w:rPr>
                <w:rFonts w:ascii="Times New Roman" w:hAnsi="Times New Roman"/>
                <w:sz w:val="21"/>
              </w:rPr>
              <w:t>供水需求。规划利用区域外的现有污水处理厂进行污水集中处理，与《辽宁省水污染防治工作方案》相符</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5" w:type="pct"/>
            <w:vAlign w:val="center"/>
          </w:tcPr>
          <w:p>
            <w:pPr>
              <w:pStyle w:val="16"/>
              <w:spacing w:line="400" w:lineRule="exact"/>
              <w:rPr>
                <w:rFonts w:ascii="Times New Roman" w:hAnsi="Times New Roman"/>
                <w:sz w:val="21"/>
              </w:rPr>
            </w:pPr>
            <w:r>
              <w:rPr>
                <w:rFonts w:ascii="Times New Roman" w:hAnsi="Times New Roman"/>
                <w:sz w:val="21"/>
              </w:rPr>
              <w:t>《国务院关于印发土壤污染防治行动计划的通知》</w:t>
            </w:r>
          </w:p>
          <w:p>
            <w:pPr>
              <w:pStyle w:val="16"/>
              <w:spacing w:line="400" w:lineRule="exact"/>
              <w:rPr>
                <w:rFonts w:ascii="Times New Roman" w:hAnsi="Times New Roman"/>
                <w:sz w:val="21"/>
              </w:rPr>
            </w:pPr>
            <w:r>
              <w:rPr>
                <w:rFonts w:ascii="Times New Roman" w:hAnsi="Times New Roman"/>
                <w:sz w:val="21"/>
              </w:rPr>
              <w:t>国发〔2016〕31号</w:t>
            </w:r>
          </w:p>
        </w:tc>
        <w:tc>
          <w:tcPr>
            <w:tcW w:w="2852" w:type="pct"/>
            <w:vAlign w:val="center"/>
          </w:tcPr>
          <w:p>
            <w:pPr>
              <w:pStyle w:val="16"/>
              <w:spacing w:line="400" w:lineRule="exact"/>
              <w:rPr>
                <w:rFonts w:ascii="Times New Roman" w:hAnsi="Times New Roman"/>
                <w:sz w:val="21"/>
              </w:rPr>
            </w:pPr>
            <w:r>
              <w:rPr>
                <w:rFonts w:ascii="Times New Roman" w:hAnsi="Times New Roman"/>
                <w:sz w:val="21"/>
              </w:rPr>
              <w:t>到 2020 年，全国土壤污染加重趋势得到初步遏制，土壤环境质量总体保持稳定，农用地和建设用地土壤环境安全得到基本保障，土壤环境风险得到基本管控。</w:t>
            </w:r>
          </w:p>
          <w:p>
            <w:pPr>
              <w:pStyle w:val="16"/>
              <w:spacing w:line="400" w:lineRule="exact"/>
              <w:rPr>
                <w:rFonts w:ascii="Times New Roman" w:hAnsi="Times New Roman"/>
                <w:sz w:val="21"/>
              </w:rPr>
            </w:pPr>
            <w:r>
              <w:rPr>
                <w:rFonts w:ascii="Times New Roman" w:hAnsi="Times New Roman"/>
                <w:sz w:val="21"/>
              </w:rPr>
              <w:t>到2030年，全国土壤环境质量稳中向好，农用地和建设用地土壤环境安全得到有效保障，土壤环境风险得到全面管控。到本世纪中叶，土壤环境质量全面改善，生态系统实现良性循环。</w:t>
            </w:r>
          </w:p>
        </w:tc>
        <w:tc>
          <w:tcPr>
            <w:tcW w:w="1143" w:type="pct"/>
            <w:vAlign w:val="center"/>
          </w:tcPr>
          <w:p>
            <w:pPr>
              <w:pStyle w:val="16"/>
              <w:spacing w:line="400" w:lineRule="exact"/>
              <w:rPr>
                <w:rFonts w:ascii="Times New Roman" w:hAnsi="Times New Roman"/>
                <w:sz w:val="21"/>
              </w:rPr>
            </w:pPr>
            <w:r>
              <w:rPr>
                <w:rFonts w:hint="eastAsia" w:ascii="Times New Roman" w:hAnsi="Times New Roman"/>
                <w:sz w:val="21"/>
              </w:rPr>
              <w:t>国际新兴产业园区</w:t>
            </w:r>
            <w:r>
              <w:rPr>
                <w:rFonts w:ascii="Times New Roman" w:hAnsi="Times New Roman"/>
                <w:sz w:val="21"/>
              </w:rPr>
              <w:t>内无高污染工业企业、垃圾填埋场等土壤高风险行业，根据现状土壤监测数据可知，规划实施以来，</w:t>
            </w:r>
            <w:r>
              <w:rPr>
                <w:rFonts w:hint="eastAsia" w:ascii="Times New Roman" w:hAnsi="Times New Roman"/>
                <w:sz w:val="21"/>
              </w:rPr>
              <w:t>国际新兴产业园区</w:t>
            </w:r>
            <w:r>
              <w:rPr>
                <w:rFonts w:ascii="Times New Roman" w:hAnsi="Times New Roman"/>
                <w:sz w:val="21"/>
              </w:rPr>
              <w:t>所在区域的土壤环境质量良好，满足《土壤环境质量 建设用地土壤污染风险管控标准（试行）》（GB36600-2018）中的筛选值和《土壤环境质量 农用地土壤污染风险管控标准（试行）》(GB15618-2018)中的筛选值要求。</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5" w:type="pct"/>
            <w:vAlign w:val="center"/>
          </w:tcPr>
          <w:p>
            <w:pPr>
              <w:pStyle w:val="16"/>
              <w:spacing w:line="400" w:lineRule="exact"/>
              <w:rPr>
                <w:rFonts w:ascii="Times New Roman" w:hAnsi="Times New Roman"/>
                <w:sz w:val="21"/>
              </w:rPr>
            </w:pPr>
            <w:r>
              <w:rPr>
                <w:rFonts w:ascii="Times New Roman" w:hAnsi="Times New Roman"/>
                <w:sz w:val="21"/>
              </w:rPr>
              <w:t>《沈阳市土地利用总体规划（2006-2020年）》</w:t>
            </w:r>
          </w:p>
        </w:tc>
        <w:tc>
          <w:tcPr>
            <w:tcW w:w="2852" w:type="pct"/>
            <w:vAlign w:val="center"/>
          </w:tcPr>
          <w:p>
            <w:pPr>
              <w:pStyle w:val="16"/>
              <w:spacing w:line="400" w:lineRule="exact"/>
              <w:rPr>
                <w:rFonts w:ascii="Times New Roman" w:hAnsi="Times New Roman"/>
                <w:sz w:val="21"/>
              </w:rPr>
            </w:pPr>
            <w:r>
              <w:rPr>
                <w:rFonts w:ascii="Times New Roman" w:hAnsi="Times New Roman"/>
                <w:sz w:val="21"/>
              </w:rPr>
              <w:t>第七十六条 中心城区控制范围——中心城区规划控制范围北至蒲河、西至于洪区大潘街道界、东至三环绕城高速公路、南至北沙河，面积125500公顷。</w:t>
            </w:r>
          </w:p>
          <w:p>
            <w:pPr>
              <w:pStyle w:val="16"/>
              <w:spacing w:line="400" w:lineRule="exact"/>
              <w:rPr>
                <w:rFonts w:ascii="Times New Roman" w:hAnsi="Times New Roman"/>
                <w:sz w:val="21"/>
              </w:rPr>
            </w:pPr>
            <w:r>
              <w:rPr>
                <w:rFonts w:ascii="Times New Roman" w:hAnsi="Times New Roman"/>
                <w:sz w:val="21"/>
              </w:rPr>
              <w:t>第七十七条 产业和功能布局——以“金廊、银带”为骨架，构建“一主、四副”的城市空间结构。“一主”指城市主城，包括三环内用地及浑南新城，是国家中心城市综合服务职能的集中体现区域。“四副”指主城外围4个副城，分别为铁西产业新城、沈阳辉山经济技术开发区、永安新城和浑河新城，是主城综合服务职能拓展和城市核心生产职能发展的主要区域。通过加快完善综合服务功能，推进优势产业集聚建设，逐步实现副城的协调发展。</w:t>
            </w:r>
          </w:p>
        </w:tc>
        <w:tc>
          <w:tcPr>
            <w:tcW w:w="1143" w:type="pct"/>
            <w:vAlign w:val="center"/>
          </w:tcPr>
          <w:p>
            <w:pPr>
              <w:pStyle w:val="16"/>
              <w:spacing w:line="400" w:lineRule="exact"/>
              <w:rPr>
                <w:rFonts w:ascii="Times New Roman" w:hAnsi="Times New Roman"/>
                <w:sz w:val="21"/>
              </w:rPr>
            </w:pPr>
            <w:r>
              <w:rPr>
                <w:spacing w:val="-6"/>
                <w:sz w:val="21"/>
              </w:rPr>
              <w:t>浑南国际新兴产业园区位于东陵区北部</w:t>
            </w:r>
            <w:r>
              <w:rPr>
                <w:rFonts w:ascii="Times New Roman" w:hAnsi="Times New Roman"/>
                <w:sz w:val="21"/>
              </w:rPr>
              <w:t>，规划面积</w:t>
            </w:r>
            <w:r>
              <w:rPr>
                <w:spacing w:val="-3"/>
                <w:sz w:val="21"/>
              </w:rPr>
              <w:t>规划总用地面积</w:t>
            </w:r>
            <w:r>
              <w:rPr>
                <w:rFonts w:ascii="Times New Roman" w:eastAsia="Times New Roman"/>
                <w:sz w:val="21"/>
              </w:rPr>
              <w:t>51km</w:t>
            </w:r>
            <w:r>
              <w:rPr>
                <w:rFonts w:ascii="Times New Roman" w:eastAsia="Times New Roman"/>
                <w:sz w:val="21"/>
                <w:vertAlign w:val="superscript"/>
              </w:rPr>
              <w:t>2</w:t>
            </w:r>
            <w:r>
              <w:rPr>
                <w:rFonts w:ascii="Times New Roman" w:hAnsi="Times New Roman"/>
                <w:sz w:val="21"/>
              </w:rPr>
              <w:t>。</w:t>
            </w:r>
          </w:p>
          <w:p>
            <w:pPr>
              <w:pStyle w:val="16"/>
              <w:spacing w:line="400" w:lineRule="exact"/>
              <w:rPr>
                <w:rFonts w:ascii="Times New Roman" w:hAnsi="Times New Roman"/>
                <w:sz w:val="21"/>
              </w:rPr>
            </w:pPr>
            <w:r>
              <w:rPr>
                <w:rFonts w:ascii="Times New Roman" w:hAnsi="Times New Roman"/>
                <w:sz w:val="21"/>
              </w:rPr>
              <w:t>区域</w:t>
            </w:r>
            <w:r>
              <w:rPr>
                <w:rFonts w:hint="eastAsia" w:ascii="Times New Roman" w:hAnsi="Times New Roman"/>
                <w:sz w:val="21"/>
              </w:rPr>
              <w:t>发展目标</w:t>
            </w:r>
            <w:r>
              <w:rPr>
                <w:rFonts w:ascii="Times New Roman" w:hAnsi="Times New Roman"/>
                <w:sz w:val="21"/>
              </w:rPr>
              <w:t>为：</w:t>
            </w:r>
            <w:r>
              <w:rPr>
                <w:sz w:val="21"/>
              </w:rPr>
              <w:t>创造一个健康、充满活力和独特城市环境的乐活之城；构建产业、科研、商业、居住融合的现代新兴产业园区</w:t>
            </w:r>
            <w:r>
              <w:rPr>
                <w:rFonts w:ascii="Times New Roman" w:hAnsi="Times New Roman"/>
                <w:sz w:val="21"/>
              </w:rPr>
              <w:t>。</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5" w:type="pct"/>
            <w:vAlign w:val="center"/>
          </w:tcPr>
          <w:p>
            <w:pPr>
              <w:pStyle w:val="16"/>
              <w:spacing w:line="400" w:lineRule="exact"/>
              <w:rPr>
                <w:rFonts w:ascii="Times New Roman" w:hAnsi="Times New Roman"/>
                <w:sz w:val="21"/>
              </w:rPr>
            </w:pPr>
            <w:r>
              <w:rPr>
                <w:rFonts w:ascii="Times New Roman" w:hAnsi="Times New Roman"/>
                <w:sz w:val="21"/>
              </w:rPr>
              <w:t>《沈阳市城市总体规划（2011-2020）》</w:t>
            </w:r>
          </w:p>
        </w:tc>
        <w:tc>
          <w:tcPr>
            <w:tcW w:w="2852" w:type="pct"/>
            <w:vAlign w:val="center"/>
          </w:tcPr>
          <w:p>
            <w:pPr>
              <w:pStyle w:val="16"/>
              <w:spacing w:line="400" w:lineRule="exact"/>
              <w:rPr>
                <w:rFonts w:ascii="Times New Roman" w:hAnsi="Times New Roman"/>
                <w:sz w:val="21"/>
              </w:rPr>
            </w:pPr>
            <w:r>
              <w:rPr>
                <w:rFonts w:hint="eastAsia" w:ascii="Times New Roman" w:hAnsi="Times New Roman"/>
                <w:sz w:val="21"/>
              </w:rPr>
              <w:t>中心城区三环内相对集中发展，三环外通过绿楔隔离，采取分散组团发展，避免城市无序蔓延，构建</w:t>
            </w:r>
            <w:r>
              <w:rPr>
                <w:rFonts w:ascii="Times New Roman" w:hAnsi="Times New Roman"/>
                <w:sz w:val="21"/>
              </w:rPr>
              <w:t>“</w:t>
            </w:r>
            <w:r>
              <w:rPr>
                <w:rFonts w:hint="eastAsia" w:ascii="Times New Roman" w:hAnsi="Times New Roman"/>
                <w:sz w:val="21"/>
              </w:rPr>
              <w:t>一主、四副、多中心</w:t>
            </w:r>
            <w:r>
              <w:rPr>
                <w:rFonts w:ascii="Times New Roman" w:hAnsi="Times New Roman"/>
                <w:sz w:val="21"/>
              </w:rPr>
              <w:t>”</w:t>
            </w:r>
            <w:r>
              <w:rPr>
                <w:rFonts w:hint="eastAsia" w:ascii="Times New Roman" w:hAnsi="Times New Roman"/>
                <w:sz w:val="21"/>
              </w:rPr>
              <w:t>的城市空间结构。</w:t>
            </w:r>
            <w:r>
              <w:rPr>
                <w:rFonts w:ascii="Times New Roman" w:hAnsi="Times New Roman"/>
                <w:sz w:val="21"/>
              </w:rPr>
              <w:t>“</w:t>
            </w:r>
            <w:r>
              <w:rPr>
                <w:rFonts w:hint="eastAsia" w:ascii="Times New Roman" w:hAnsi="Times New Roman"/>
                <w:sz w:val="21"/>
              </w:rPr>
              <w:t>一主</w:t>
            </w:r>
            <w:r>
              <w:rPr>
                <w:rFonts w:ascii="Times New Roman" w:hAnsi="Times New Roman"/>
                <w:sz w:val="21"/>
              </w:rPr>
              <w:t>”</w:t>
            </w:r>
            <w:r>
              <w:rPr>
                <w:rFonts w:hint="eastAsia" w:ascii="Times New Roman" w:hAnsi="Times New Roman"/>
                <w:sz w:val="21"/>
              </w:rPr>
              <w:t>指一个主城，范围包括三环内用地及浑南新城。</w:t>
            </w:r>
            <w:r>
              <w:rPr>
                <w:rFonts w:ascii="Times New Roman" w:hAnsi="Times New Roman"/>
                <w:sz w:val="21"/>
              </w:rPr>
              <w:t>“</w:t>
            </w:r>
            <w:r>
              <w:rPr>
                <w:rFonts w:hint="eastAsia" w:ascii="Times New Roman" w:hAnsi="Times New Roman"/>
                <w:sz w:val="21"/>
              </w:rPr>
              <w:t>四副</w:t>
            </w:r>
            <w:r>
              <w:rPr>
                <w:rFonts w:ascii="Times New Roman" w:hAnsi="Times New Roman"/>
                <w:sz w:val="21"/>
              </w:rPr>
              <w:t>”</w:t>
            </w:r>
            <w:r>
              <w:rPr>
                <w:rFonts w:hint="eastAsia" w:ascii="Times New Roman" w:hAnsi="Times New Roman"/>
                <w:sz w:val="21"/>
              </w:rPr>
              <w:t>指四个副城，具体为铁西产业新城、蒲河新城、永安新城和浑河新城。</w:t>
            </w:r>
            <w:r>
              <w:rPr>
                <w:rFonts w:ascii="Times New Roman" w:hAnsi="Times New Roman"/>
                <w:sz w:val="21"/>
              </w:rPr>
              <w:t>“</w:t>
            </w:r>
            <w:r>
              <w:rPr>
                <w:rFonts w:hint="eastAsia" w:ascii="Times New Roman" w:hAnsi="Times New Roman"/>
                <w:sz w:val="21"/>
              </w:rPr>
              <w:t>多中心</w:t>
            </w:r>
            <w:r>
              <w:rPr>
                <w:rFonts w:ascii="Times New Roman" w:hAnsi="Times New Roman"/>
                <w:sz w:val="21"/>
              </w:rPr>
              <w:t>”</w:t>
            </w:r>
            <w:r>
              <w:rPr>
                <w:rFonts w:hint="eastAsia" w:ascii="Times New Roman" w:hAnsi="Times New Roman"/>
                <w:sz w:val="21"/>
              </w:rPr>
              <w:t>指多层次、网络化的城市中心体系。</w:t>
            </w:r>
          </w:p>
          <w:p>
            <w:pPr>
              <w:pStyle w:val="16"/>
              <w:spacing w:line="400" w:lineRule="exact"/>
              <w:rPr>
                <w:rFonts w:ascii="Times New Roman" w:hAnsi="Times New Roman"/>
                <w:sz w:val="21"/>
              </w:rPr>
            </w:pPr>
          </w:p>
        </w:tc>
        <w:tc>
          <w:tcPr>
            <w:tcW w:w="1143" w:type="pct"/>
            <w:vAlign w:val="center"/>
          </w:tcPr>
          <w:p>
            <w:pPr>
              <w:pStyle w:val="16"/>
              <w:spacing w:line="400" w:lineRule="exact"/>
              <w:rPr>
                <w:rFonts w:ascii="Times New Roman" w:hAnsi="Times New Roman"/>
                <w:sz w:val="21"/>
              </w:rPr>
            </w:pPr>
            <w:r>
              <w:rPr>
                <w:rFonts w:ascii="Times New Roman" w:hAnsi="Times New Roman"/>
                <w:sz w:val="21"/>
              </w:rPr>
              <w:t>规划环评跟踪评价土地利用现状与沈阳市城市总体规划（2011-2020）一致，详见</w:t>
            </w:r>
            <w:r>
              <w:rPr>
                <w:rFonts w:hint="eastAsia" w:ascii="Times New Roman" w:hAnsi="Times New Roman"/>
                <w:sz w:val="21"/>
              </w:rPr>
              <w:t>附</w:t>
            </w:r>
            <w:r>
              <w:rPr>
                <w:rFonts w:ascii="Times New Roman" w:hAnsi="Times New Roman"/>
                <w:sz w:val="21"/>
              </w:rPr>
              <w:t>图2-12。</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6" w:hRule="atLeast"/>
          <w:jc w:val="center"/>
        </w:trPr>
        <w:tc>
          <w:tcPr>
            <w:tcW w:w="595" w:type="pct"/>
            <w:vMerge w:val="restart"/>
            <w:vAlign w:val="center"/>
          </w:tcPr>
          <w:p>
            <w:pPr>
              <w:pStyle w:val="16"/>
              <w:spacing w:line="400" w:lineRule="exact"/>
              <w:rPr>
                <w:rFonts w:ascii="Times New Roman" w:hAnsi="Times New Roman"/>
                <w:sz w:val="21"/>
              </w:rPr>
            </w:pPr>
            <w:r>
              <w:rPr>
                <w:rFonts w:ascii="Times New Roman" w:hAnsi="Times New Roman"/>
                <w:sz w:val="21"/>
              </w:rPr>
              <w:t>“三线一单”</w:t>
            </w:r>
          </w:p>
        </w:tc>
        <w:tc>
          <w:tcPr>
            <w:tcW w:w="2852" w:type="pct"/>
            <w:vMerge w:val="restart"/>
            <w:vAlign w:val="center"/>
          </w:tcPr>
          <w:p>
            <w:pPr>
              <w:widowControl/>
              <w:spacing w:line="400" w:lineRule="exact"/>
              <w:ind w:firstLine="0" w:firstLineChars="0"/>
              <w:jc w:val="center"/>
              <w:rPr>
                <w:rFonts w:cs="Times New Roman"/>
                <w:sz w:val="21"/>
                <w:szCs w:val="21"/>
                <w:lang w:eastAsia="zh-CN"/>
              </w:rPr>
            </w:pPr>
            <w:r>
              <w:rPr>
                <w:rFonts w:cs="Times New Roman"/>
                <w:sz w:val="21"/>
                <w:szCs w:val="21"/>
                <w:lang w:eastAsia="zh-CN"/>
              </w:rPr>
              <w:t>《辽宁省人民政府关于实施“三线一单”生态环境分区管控的意见》辽政发〔2021〕6号意见指出：“按照“守底线、优格局、提质量、保安全”的总体思路，以改善生态环境质量为核心，建立覆盖全省的“三线一单”生态环境分区管控体系，提升生态环境治理体系和治理能力现代化水平，推动全省生态文明建设迈上新台阶，促进经济社会发展全面绿色转型，加快建设人与自然和谐共生的美丽辽宁。”</w:t>
            </w:r>
          </w:p>
          <w:p>
            <w:pPr>
              <w:pStyle w:val="16"/>
              <w:spacing w:line="400" w:lineRule="exact"/>
              <w:rPr>
                <w:rFonts w:ascii="Times New Roman" w:hAnsi="Times New Roman"/>
                <w:sz w:val="21"/>
              </w:rPr>
            </w:pPr>
          </w:p>
        </w:tc>
        <w:tc>
          <w:tcPr>
            <w:tcW w:w="1143" w:type="pct"/>
            <w:vAlign w:val="center"/>
          </w:tcPr>
          <w:p>
            <w:pPr>
              <w:pStyle w:val="16"/>
              <w:spacing w:line="400" w:lineRule="exact"/>
              <w:rPr>
                <w:rFonts w:ascii="Times New Roman" w:hAnsi="Times New Roman"/>
                <w:sz w:val="21"/>
              </w:rPr>
            </w:pPr>
            <w:r>
              <w:rPr>
                <w:rFonts w:hint="eastAsia" w:ascii="Times New Roman" w:hAnsi="Times New Roman"/>
                <w:sz w:val="21"/>
              </w:rPr>
              <w:t>石庙子单元：规划涉及沈阳绕城高速区域绿地保留。王家湾单元：规划涉及浑河南侧区域公园绿地保留。符合《沈阳市生态保护红线》要求，详</w:t>
            </w:r>
            <w:r>
              <w:rPr>
                <w:rFonts w:ascii="Times New Roman" w:hAnsi="Times New Roman"/>
                <w:sz w:val="21"/>
              </w:rPr>
              <w:t>见</w:t>
            </w:r>
            <w:r>
              <w:rPr>
                <w:rFonts w:hint="eastAsia" w:ascii="Times New Roman" w:hAnsi="Times New Roman"/>
                <w:sz w:val="21"/>
              </w:rPr>
              <w:t>附</w:t>
            </w:r>
            <w:r>
              <w:rPr>
                <w:rFonts w:ascii="Times New Roman" w:hAnsi="Times New Roman"/>
                <w:sz w:val="21"/>
              </w:rPr>
              <w:t>图</w:t>
            </w:r>
            <w:r>
              <w:rPr>
                <w:rFonts w:hint="eastAsia" w:ascii="Times New Roman" w:hAnsi="Times New Roman"/>
                <w:sz w:val="21"/>
              </w:rPr>
              <w:t>1-6</w:t>
            </w:r>
            <w:r>
              <w:rPr>
                <w:rFonts w:ascii="Times New Roman" w:hAnsi="Times New Roman"/>
                <w:sz w:val="21"/>
              </w:rPr>
              <w:t>。</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6" w:hRule="atLeast"/>
          <w:jc w:val="center"/>
        </w:trPr>
        <w:tc>
          <w:tcPr>
            <w:tcW w:w="595" w:type="pct"/>
            <w:vMerge w:val="continue"/>
            <w:vAlign w:val="center"/>
          </w:tcPr>
          <w:p>
            <w:pPr>
              <w:pStyle w:val="16"/>
              <w:spacing w:line="400" w:lineRule="exact"/>
              <w:rPr>
                <w:rFonts w:ascii="Times New Roman" w:hAnsi="Times New Roman"/>
                <w:sz w:val="21"/>
              </w:rPr>
            </w:pPr>
          </w:p>
        </w:tc>
        <w:tc>
          <w:tcPr>
            <w:tcW w:w="2852" w:type="pct"/>
            <w:vMerge w:val="continue"/>
            <w:vAlign w:val="center"/>
          </w:tcPr>
          <w:p>
            <w:pPr>
              <w:pStyle w:val="16"/>
              <w:spacing w:line="400" w:lineRule="exact"/>
              <w:rPr>
                <w:rFonts w:ascii="Times New Roman" w:hAnsi="Times New Roman"/>
                <w:sz w:val="21"/>
              </w:rPr>
            </w:pPr>
          </w:p>
        </w:tc>
        <w:tc>
          <w:tcPr>
            <w:tcW w:w="1143" w:type="pct"/>
            <w:vAlign w:val="center"/>
          </w:tcPr>
          <w:p>
            <w:pPr>
              <w:pStyle w:val="16"/>
              <w:spacing w:line="400" w:lineRule="exact"/>
              <w:rPr>
                <w:rFonts w:ascii="Times New Roman" w:hAnsi="Times New Roman"/>
                <w:sz w:val="21"/>
                <w:highlight w:val="yellow"/>
              </w:rPr>
            </w:pPr>
            <w:r>
              <w:rPr>
                <w:rFonts w:hint="eastAsia" w:ascii="Times New Roman" w:hAnsi="Times New Roman"/>
                <w:sz w:val="21"/>
              </w:rPr>
              <w:t>根据《沈阳市浑南环境质量报告书（2020年）》PM2.5的年均值超过了环境空气空气质量二级标准，规划区为不达标区。区域废气、废水均采取相关措施进行减量排放，有利于改善区域环境质量。</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6" w:hRule="atLeast"/>
          <w:jc w:val="center"/>
        </w:trPr>
        <w:tc>
          <w:tcPr>
            <w:tcW w:w="595" w:type="pct"/>
            <w:vMerge w:val="continue"/>
            <w:vAlign w:val="center"/>
          </w:tcPr>
          <w:p>
            <w:pPr>
              <w:pStyle w:val="16"/>
              <w:spacing w:line="400" w:lineRule="exact"/>
              <w:rPr>
                <w:rFonts w:ascii="Times New Roman" w:hAnsi="Times New Roman"/>
                <w:sz w:val="21"/>
              </w:rPr>
            </w:pPr>
          </w:p>
        </w:tc>
        <w:tc>
          <w:tcPr>
            <w:tcW w:w="2852" w:type="pct"/>
            <w:vMerge w:val="continue"/>
            <w:vAlign w:val="center"/>
          </w:tcPr>
          <w:p>
            <w:pPr>
              <w:pStyle w:val="16"/>
              <w:spacing w:line="400" w:lineRule="exact"/>
              <w:rPr>
                <w:rFonts w:ascii="Times New Roman" w:hAnsi="Times New Roman"/>
                <w:sz w:val="21"/>
              </w:rPr>
            </w:pPr>
          </w:p>
        </w:tc>
        <w:tc>
          <w:tcPr>
            <w:tcW w:w="1143" w:type="pct"/>
            <w:vAlign w:val="center"/>
          </w:tcPr>
          <w:p>
            <w:pPr>
              <w:pStyle w:val="16"/>
              <w:spacing w:line="400" w:lineRule="exact"/>
              <w:rPr>
                <w:rFonts w:ascii="Times New Roman" w:hAnsi="Times New Roman"/>
                <w:sz w:val="21"/>
                <w:highlight w:val="yellow"/>
              </w:rPr>
            </w:pPr>
            <w:r>
              <w:rPr>
                <w:rFonts w:hint="eastAsia" w:ascii="Times New Roman" w:hAnsi="Times New Roman"/>
                <w:sz w:val="21"/>
              </w:rPr>
              <w:t>区域</w:t>
            </w:r>
            <w:r>
              <w:rPr>
                <w:rFonts w:ascii="Times New Roman" w:hAnsi="Times New Roman"/>
                <w:sz w:val="21"/>
              </w:rPr>
              <w:t>通过内部管理、废物综合利用、污染治理等多方面采取可行的防治措施，以</w:t>
            </w:r>
            <w:r>
              <w:rPr>
                <w:rFonts w:hint="eastAsia" w:ascii="Times New Roman" w:hAnsi="Times New Roman"/>
                <w:sz w:val="21"/>
              </w:rPr>
              <w:t>“</w:t>
            </w:r>
            <w:r>
              <w:rPr>
                <w:rFonts w:ascii="Times New Roman" w:hAnsi="Times New Roman"/>
                <w:sz w:val="21"/>
              </w:rPr>
              <w:t>节能、降耗、减污</w:t>
            </w:r>
            <w:r>
              <w:rPr>
                <w:rFonts w:hint="eastAsia" w:ascii="Times New Roman" w:hAnsi="Times New Roman"/>
                <w:sz w:val="21"/>
              </w:rPr>
              <w:t>”</w:t>
            </w:r>
            <w:r>
              <w:rPr>
                <w:rFonts w:ascii="Times New Roman" w:hAnsi="Times New Roman"/>
                <w:sz w:val="21"/>
              </w:rPr>
              <w:t>为目标，有效地控制污染，项目的水、电等资源不会突破区域的资源利用上线。</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9" w:hRule="atLeast"/>
          <w:jc w:val="center"/>
        </w:trPr>
        <w:tc>
          <w:tcPr>
            <w:tcW w:w="595" w:type="pct"/>
            <w:vMerge w:val="continue"/>
            <w:vAlign w:val="center"/>
          </w:tcPr>
          <w:p>
            <w:pPr>
              <w:pStyle w:val="16"/>
              <w:spacing w:line="400" w:lineRule="exact"/>
              <w:rPr>
                <w:rFonts w:ascii="Times New Roman" w:hAnsi="Times New Roman"/>
                <w:sz w:val="21"/>
              </w:rPr>
            </w:pPr>
          </w:p>
        </w:tc>
        <w:tc>
          <w:tcPr>
            <w:tcW w:w="2852" w:type="pct"/>
            <w:vMerge w:val="continue"/>
            <w:vAlign w:val="center"/>
          </w:tcPr>
          <w:p>
            <w:pPr>
              <w:pStyle w:val="16"/>
              <w:spacing w:line="400" w:lineRule="exact"/>
              <w:rPr>
                <w:rFonts w:ascii="Times New Roman" w:hAnsi="Times New Roman"/>
                <w:sz w:val="21"/>
              </w:rPr>
            </w:pPr>
          </w:p>
        </w:tc>
        <w:tc>
          <w:tcPr>
            <w:tcW w:w="1143" w:type="pct"/>
            <w:vAlign w:val="center"/>
          </w:tcPr>
          <w:p>
            <w:pPr>
              <w:pStyle w:val="16"/>
              <w:spacing w:line="400" w:lineRule="exact"/>
              <w:rPr>
                <w:rFonts w:ascii="Times New Roman" w:hAnsi="Times New Roman"/>
                <w:sz w:val="21"/>
              </w:rPr>
            </w:pPr>
            <w:r>
              <w:rPr>
                <w:rFonts w:hint="eastAsia" w:ascii="Times New Roman" w:hAnsi="Times New Roman"/>
                <w:sz w:val="21"/>
              </w:rPr>
              <w:t>国际新兴产业园区</w:t>
            </w:r>
            <w:r>
              <w:rPr>
                <w:rFonts w:ascii="Times New Roman" w:hAnsi="Times New Roman"/>
                <w:sz w:val="21"/>
              </w:rPr>
              <w:t>功能定位为：重点发展以先进制造与教育科研为主导产业，集科技研发、生活居住、公共服务、商贸金融等多功能为一体的配套设施完善、环境优美的生态型产业</w:t>
            </w:r>
            <w:r>
              <w:rPr>
                <w:rFonts w:hint="eastAsia" w:ascii="Times New Roman" w:hAnsi="Times New Roman"/>
                <w:sz w:val="21"/>
              </w:rPr>
              <w:t>国际新兴产业园区</w:t>
            </w:r>
            <w:r>
              <w:rPr>
                <w:rFonts w:ascii="Times New Roman" w:hAnsi="Times New Roman"/>
                <w:sz w:val="21"/>
              </w:rPr>
              <w:t>。</w:t>
            </w:r>
            <w:r>
              <w:rPr>
                <w:rFonts w:hint="eastAsia" w:ascii="Times New Roman" w:hAnsi="Times New Roman"/>
                <w:sz w:val="21"/>
              </w:rPr>
              <w:t>区域不涉及《沈阳市建设项目环境准入闲置政策目录（2021版）》限制行业类别工业企业</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9" w:hRule="atLeast"/>
          <w:jc w:val="center"/>
        </w:trPr>
        <w:tc>
          <w:tcPr>
            <w:tcW w:w="595" w:type="pct"/>
            <w:vAlign w:val="center"/>
          </w:tcPr>
          <w:p>
            <w:pPr>
              <w:pStyle w:val="16"/>
              <w:spacing w:line="400" w:lineRule="exact"/>
              <w:rPr>
                <w:rFonts w:ascii="Times New Roman" w:hAnsi="Times New Roman"/>
                <w:sz w:val="21"/>
              </w:rPr>
            </w:pPr>
            <w:r>
              <w:rPr>
                <w:rFonts w:ascii="Times New Roman" w:hAnsi="Times New Roman"/>
                <w:sz w:val="21"/>
              </w:rPr>
              <w:t>《沈阳市城市热电发展总体规划（2017-2020年）》</w:t>
            </w:r>
          </w:p>
        </w:tc>
        <w:tc>
          <w:tcPr>
            <w:tcW w:w="2852" w:type="pct"/>
            <w:vAlign w:val="center"/>
          </w:tcPr>
          <w:p>
            <w:pPr>
              <w:widowControl/>
              <w:spacing w:line="400" w:lineRule="exact"/>
              <w:ind w:firstLine="0" w:firstLineChars="0"/>
              <w:jc w:val="center"/>
              <w:rPr>
                <w:sz w:val="21"/>
                <w:szCs w:val="21"/>
                <w:lang w:eastAsia="zh-CN"/>
              </w:rPr>
            </w:pPr>
            <w:r>
              <w:rPr>
                <w:rFonts w:cs="Times New Roman"/>
                <w:sz w:val="21"/>
                <w:szCs w:val="21"/>
                <w:lang w:eastAsia="zh-CN"/>
              </w:rPr>
              <w:t>2020</w:t>
            </w:r>
            <w:r>
              <w:rPr>
                <w:rFonts w:hint="eastAsia" w:cs="Times New Roman"/>
                <w:sz w:val="21"/>
                <w:szCs w:val="21"/>
                <w:lang w:eastAsia="zh-CN"/>
              </w:rPr>
              <w:t>年浑南</w:t>
            </w:r>
            <w:r>
              <w:rPr>
                <w:rFonts w:cs="Times New Roman"/>
                <w:sz w:val="21"/>
                <w:szCs w:val="21"/>
                <w:lang w:eastAsia="zh-CN"/>
              </w:rPr>
              <w:t>3#</w:t>
            </w:r>
            <w:r>
              <w:rPr>
                <w:rFonts w:hint="eastAsia" w:cs="Times New Roman"/>
                <w:sz w:val="21"/>
                <w:szCs w:val="21"/>
                <w:lang w:eastAsia="zh-CN"/>
              </w:rPr>
              <w:t>热源厂装机容量</w:t>
            </w:r>
            <w:r>
              <w:rPr>
                <w:rFonts w:cs="Times New Roman"/>
                <w:sz w:val="21"/>
                <w:szCs w:val="21"/>
                <w:lang w:eastAsia="zh-CN"/>
              </w:rPr>
              <w:t>1×90t/h</w:t>
            </w:r>
            <w:r>
              <w:rPr>
                <w:rFonts w:hint="eastAsia" w:cs="Times New Roman"/>
                <w:sz w:val="21"/>
                <w:szCs w:val="21"/>
                <w:lang w:eastAsia="zh-CN"/>
              </w:rPr>
              <w:t>蒸汽锅炉</w:t>
            </w:r>
            <w:r>
              <w:rPr>
                <w:rFonts w:cs="Times New Roman"/>
                <w:sz w:val="21"/>
                <w:szCs w:val="21"/>
                <w:lang w:eastAsia="zh-CN"/>
              </w:rPr>
              <w:t>+3×85MW</w:t>
            </w:r>
            <w:r>
              <w:rPr>
                <w:rFonts w:hint="eastAsia" w:cs="Times New Roman"/>
                <w:sz w:val="21"/>
                <w:szCs w:val="21"/>
                <w:lang w:eastAsia="zh-CN"/>
              </w:rPr>
              <w:t>热水锅炉，作为沈东热电厂调峰热源</w:t>
            </w:r>
          </w:p>
        </w:tc>
        <w:tc>
          <w:tcPr>
            <w:tcW w:w="1143" w:type="pct"/>
            <w:vAlign w:val="center"/>
          </w:tcPr>
          <w:p>
            <w:pPr>
              <w:widowControl/>
              <w:spacing w:line="400" w:lineRule="exact"/>
              <w:ind w:firstLine="0" w:firstLineChars="0"/>
              <w:jc w:val="center"/>
              <w:rPr>
                <w:sz w:val="21"/>
                <w:szCs w:val="21"/>
                <w:lang w:eastAsia="zh-CN"/>
              </w:rPr>
            </w:pPr>
            <w:r>
              <w:rPr>
                <w:rFonts w:hint="eastAsia" w:cs="Times New Roman"/>
                <w:sz w:val="21"/>
                <w:szCs w:val="21"/>
                <w:lang w:eastAsia="zh-CN"/>
              </w:rPr>
              <w:t>规划基础设施用地即为浑南</w:t>
            </w:r>
            <w:r>
              <w:rPr>
                <w:rFonts w:cs="Times New Roman"/>
                <w:sz w:val="21"/>
                <w:szCs w:val="21"/>
                <w:lang w:eastAsia="zh-CN"/>
              </w:rPr>
              <w:t>3#</w:t>
            </w:r>
            <w:r>
              <w:rPr>
                <w:rFonts w:hint="eastAsia" w:cs="Times New Roman"/>
                <w:sz w:val="21"/>
                <w:szCs w:val="21"/>
                <w:lang w:eastAsia="zh-CN"/>
              </w:rPr>
              <w:t>热源厂位置</w:t>
            </w:r>
            <w:r>
              <w:rPr>
                <w:rFonts w:cs="Times New Roman"/>
                <w:sz w:val="21"/>
                <w:szCs w:val="21"/>
                <w:lang w:eastAsia="zh-CN"/>
              </w:rPr>
              <w:t>。</w:t>
            </w:r>
          </w:p>
        </w:tc>
        <w:tc>
          <w:tcPr>
            <w:tcW w:w="408" w:type="pct"/>
            <w:vAlign w:val="center"/>
          </w:tcPr>
          <w:p>
            <w:pPr>
              <w:pStyle w:val="16"/>
              <w:spacing w:line="400" w:lineRule="exact"/>
              <w:rPr>
                <w:rFonts w:ascii="Times New Roman" w:hAnsi="Times New Roman"/>
                <w:sz w:val="21"/>
              </w:rPr>
            </w:pPr>
            <w:r>
              <w:rPr>
                <w:rFonts w:ascii="Times New Roman" w:hAnsi="Times New Roman"/>
                <w:sz w:val="21"/>
              </w:rPr>
              <w:t>符合</w:t>
            </w:r>
          </w:p>
        </w:tc>
      </w:tr>
    </w:tbl>
    <w:p>
      <w:pPr>
        <w:pStyle w:val="38"/>
        <w:spacing w:before="72" w:after="72"/>
        <w:ind w:firstLine="260"/>
        <w:rPr>
          <w:sz w:val="13"/>
          <w:szCs w:val="13"/>
        </w:rPr>
      </w:pPr>
    </w:p>
    <w:p>
      <w:pPr>
        <w:pStyle w:val="8"/>
        <w:rPr>
          <w:rFonts w:ascii="Times New Roman" w:hAnsi="Times New Roman" w:cs="Times New Roman"/>
          <w:sz w:val="13"/>
          <w:szCs w:val="13"/>
          <w:lang w:eastAsia="zh-CN"/>
        </w:rPr>
        <w:sectPr>
          <w:footerReference r:id="rId16" w:type="default"/>
          <w:pgSz w:w="16840" w:h="11910" w:orient="landscape"/>
          <w:pgMar w:top="1417" w:right="1418" w:bottom="1417" w:left="1418" w:header="1134" w:footer="1134" w:gutter="0"/>
          <w:pgBorders>
            <w:top w:val="none" w:sz="0" w:space="0"/>
            <w:left w:val="none" w:sz="0" w:space="0"/>
            <w:bottom w:val="none" w:sz="0" w:space="0"/>
            <w:right w:val="none" w:sz="0" w:space="0"/>
          </w:pgBorders>
          <w:cols w:space="0" w:num="1"/>
          <w:docGrid w:linePitch="299" w:charSpace="0"/>
        </w:sectPr>
      </w:pPr>
      <w:bookmarkStart w:id="102" w:name="_Toc3884"/>
    </w:p>
    <w:p>
      <w:pPr>
        <w:pStyle w:val="8"/>
        <w:rPr>
          <w:rFonts w:ascii="Times New Roman" w:hAnsi="Times New Roman" w:cs="Times New Roman"/>
          <w:lang w:eastAsia="zh-CN"/>
        </w:rPr>
      </w:pPr>
      <w:bookmarkStart w:id="103" w:name="_Toc7605"/>
      <w:bookmarkStart w:id="104" w:name="_Toc15238"/>
      <w:r>
        <w:rPr>
          <w:rFonts w:ascii="Times New Roman" w:hAnsi="Times New Roman" w:cs="Times New Roman"/>
          <w:lang w:eastAsia="zh-CN"/>
        </w:rPr>
        <w:t>2.5环境管理要求落实情况</w:t>
      </w:r>
      <w:bookmarkEnd w:id="102"/>
      <w:bookmarkEnd w:id="103"/>
      <w:bookmarkEnd w:id="104"/>
    </w:p>
    <w:p>
      <w:pPr>
        <w:pStyle w:val="9"/>
        <w:rPr>
          <w:rFonts w:ascii="Times New Roman" w:hAnsi="Times New Roman"/>
        </w:rPr>
      </w:pPr>
      <w:bookmarkStart w:id="105" w:name="_Toc6513"/>
      <w:r>
        <w:rPr>
          <w:rFonts w:ascii="Times New Roman" w:hAnsi="Times New Roman"/>
        </w:rPr>
        <w:t>2.5.1 规划环评及审查意见要求及执行情况</w:t>
      </w:r>
      <w:bookmarkEnd w:id="105"/>
    </w:p>
    <w:p>
      <w:pPr>
        <w:ind w:firstLine="480"/>
        <w:rPr>
          <w:lang w:eastAsia="zh-CN"/>
        </w:rPr>
      </w:pPr>
      <w:r>
        <w:rPr>
          <w:lang w:eastAsia="zh-CN"/>
        </w:rPr>
        <w:t>201</w:t>
      </w:r>
      <w:r>
        <w:rPr>
          <w:rFonts w:hint="eastAsia"/>
          <w:lang w:eastAsia="zh-CN"/>
        </w:rPr>
        <w:t>5</w:t>
      </w:r>
      <w:r>
        <w:rPr>
          <w:lang w:eastAsia="zh-CN"/>
        </w:rPr>
        <w:t>年</w:t>
      </w:r>
      <w:r>
        <w:rPr>
          <w:rFonts w:hint="eastAsia"/>
          <w:lang w:eastAsia="zh-CN"/>
        </w:rPr>
        <w:t>1</w:t>
      </w:r>
      <w:r>
        <w:rPr>
          <w:lang w:eastAsia="zh-CN"/>
        </w:rPr>
        <w:t>月</w:t>
      </w:r>
      <w:r>
        <w:rPr>
          <w:rFonts w:hint="eastAsia"/>
          <w:lang w:eastAsia="zh-CN"/>
        </w:rPr>
        <w:t>7</w:t>
      </w:r>
      <w:r>
        <w:rPr>
          <w:lang w:eastAsia="zh-CN"/>
        </w:rPr>
        <w:t>日，</w:t>
      </w:r>
      <w:r>
        <w:rPr>
          <w:rFonts w:hint="eastAsia"/>
          <w:lang w:eastAsia="zh-CN"/>
        </w:rPr>
        <w:t>沈阳市环境技术评估中心</w:t>
      </w:r>
      <w:r>
        <w:rPr>
          <w:lang w:eastAsia="zh-CN"/>
        </w:rPr>
        <w:t>出具了《关于</w:t>
      </w:r>
      <w:r>
        <w:rPr>
          <w:rFonts w:hint="eastAsia"/>
          <w:lang w:eastAsia="zh-CN"/>
        </w:rPr>
        <w:t>浑南国际新兴产业园区总体发展规划</w:t>
      </w:r>
      <w:r>
        <w:rPr>
          <w:lang w:eastAsia="zh-CN"/>
        </w:rPr>
        <w:t>环境影响报告书审查意见》。本次评价根据对上一轮规划环评审查意见落实情况分析见表2.5-1。</w:t>
      </w:r>
    </w:p>
    <w:p>
      <w:pPr>
        <w:pStyle w:val="20"/>
        <w:spacing w:line="240" w:lineRule="auto"/>
        <w:jc w:val="center"/>
        <w:rPr>
          <w:rFonts w:ascii="Times New Roman" w:hAnsi="Times New Roman" w:cs="Times New Roman"/>
          <w:sz w:val="24"/>
          <w:szCs w:val="24"/>
          <w:lang w:eastAsia="zh-CN"/>
        </w:rPr>
      </w:pPr>
      <w:r>
        <w:rPr>
          <w:rFonts w:ascii="Times New Roman" w:hAnsi="Times New Roman" w:eastAsia="宋体" w:cs="Times New Roman"/>
          <w:b/>
          <w:bCs/>
          <w:sz w:val="24"/>
          <w:szCs w:val="24"/>
          <w:lang w:eastAsia="zh-CN"/>
        </w:rPr>
        <w:t xml:space="preserve">表2.5-1  </w:t>
      </w:r>
      <w:r>
        <w:rPr>
          <w:rFonts w:hint="eastAsia" w:ascii="Times New Roman" w:hAnsi="Times New Roman" w:eastAsia="宋体" w:cs="Times New Roman"/>
          <w:b/>
          <w:bCs/>
          <w:sz w:val="24"/>
          <w:szCs w:val="24"/>
          <w:lang w:eastAsia="zh-CN"/>
        </w:rPr>
        <w:t>国际新兴产业园区</w:t>
      </w:r>
      <w:r>
        <w:rPr>
          <w:rFonts w:ascii="Times New Roman" w:hAnsi="Times New Roman" w:eastAsia="宋体" w:cs="Times New Roman"/>
          <w:b/>
          <w:bCs/>
          <w:sz w:val="24"/>
          <w:szCs w:val="24"/>
          <w:lang w:eastAsia="zh-CN"/>
        </w:rPr>
        <w:t>调整措施和建议采纳情况汇总表</w:t>
      </w:r>
      <w:r>
        <w:rPr>
          <w:rFonts w:ascii="Times New Roman" w:hAnsi="Times New Roman" w:cs="Times New Roman"/>
          <w:sz w:val="24"/>
          <w:szCs w:val="24"/>
          <w:lang w:eastAsia="zh-CN"/>
        </w:rPr>
        <w:t xml:space="preserve"> </w:t>
      </w:r>
    </w:p>
    <w:tbl>
      <w:tblPr>
        <w:tblStyle w:val="65"/>
        <w:tblW w:w="8922"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63"/>
        <w:gridCol w:w="2545"/>
        <w:gridCol w:w="171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63" w:type="dxa"/>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调整措施和建议</w:t>
            </w:r>
          </w:p>
        </w:tc>
        <w:tc>
          <w:tcPr>
            <w:tcW w:w="2545" w:type="dxa"/>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规划采纳情况</w:t>
            </w:r>
          </w:p>
        </w:tc>
        <w:tc>
          <w:tcPr>
            <w:tcW w:w="1714" w:type="dxa"/>
            <w:tcBorders>
              <w:tl2br w:val="nil"/>
              <w:tr2bl w:val="nil"/>
            </w:tcBorders>
            <w:vAlign w:val="center"/>
          </w:tcPr>
          <w:p>
            <w:pPr>
              <w:pStyle w:val="16"/>
              <w:spacing w:line="400" w:lineRule="exact"/>
              <w:rPr>
                <w:rFonts w:ascii="Times New Roman" w:hAnsi="Times New Roman"/>
                <w:b/>
                <w:bCs/>
                <w:sz w:val="21"/>
              </w:rPr>
            </w:pPr>
            <w:r>
              <w:rPr>
                <w:rFonts w:ascii="Times New Roman" w:hAnsi="Times New Roman"/>
                <w:b/>
                <w:bCs/>
                <w:sz w:val="21"/>
              </w:rPr>
              <w:t>整改措施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4663"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一级保护区内禁止建设与取水设施无关的建筑物；二级保护区内，禁止建设有严重污染的企业</w:t>
            </w:r>
          </w:p>
        </w:tc>
        <w:tc>
          <w:tcPr>
            <w:tcW w:w="2545"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已采纳</w:t>
            </w:r>
            <w:r>
              <w:rPr>
                <w:rFonts w:hint="eastAsia" w:ascii="Times New Roman" w:hAnsi="Times New Roman"/>
                <w:sz w:val="21"/>
              </w:rPr>
              <w:t>。</w:t>
            </w:r>
          </w:p>
        </w:tc>
        <w:tc>
          <w:tcPr>
            <w:tcW w:w="1714"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4663"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铁大输油管线两侧一定范围内调整绿地</w:t>
            </w:r>
          </w:p>
        </w:tc>
        <w:tc>
          <w:tcPr>
            <w:tcW w:w="2545"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已采纳</w:t>
            </w:r>
            <w:r>
              <w:rPr>
                <w:rFonts w:hint="eastAsia" w:ascii="Times New Roman" w:hAnsi="Times New Roman"/>
                <w:sz w:val="21"/>
              </w:rPr>
              <w:t>。</w:t>
            </w:r>
          </w:p>
        </w:tc>
        <w:tc>
          <w:tcPr>
            <w:tcW w:w="1714"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63"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抚鞍调整输油管线轴向，沿沈阳绕城高速公路南侧绿化带布设</w:t>
            </w:r>
          </w:p>
        </w:tc>
        <w:tc>
          <w:tcPr>
            <w:tcW w:w="2545"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已采纳</w:t>
            </w:r>
            <w:r>
              <w:rPr>
                <w:rFonts w:hint="eastAsia" w:ascii="Times New Roman" w:hAnsi="Times New Roman"/>
                <w:sz w:val="21"/>
              </w:rPr>
              <w:t>。</w:t>
            </w:r>
          </w:p>
        </w:tc>
        <w:tc>
          <w:tcPr>
            <w:tcW w:w="1714"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63"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工业用地调整为仓储物流用地</w:t>
            </w:r>
          </w:p>
        </w:tc>
        <w:tc>
          <w:tcPr>
            <w:tcW w:w="2545"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已采纳，目前已</w:t>
            </w:r>
            <w:r>
              <w:rPr>
                <w:rFonts w:hint="eastAsia" w:ascii="Times New Roman" w:hAnsi="Times New Roman"/>
                <w:sz w:val="21"/>
              </w:rPr>
              <w:t>将用地性质调整为仓储物流用地</w:t>
            </w:r>
            <w:r>
              <w:rPr>
                <w:rFonts w:ascii="Times New Roman" w:hAnsi="Times New Roman"/>
                <w:sz w:val="21"/>
              </w:rPr>
              <w:t>。</w:t>
            </w:r>
          </w:p>
        </w:tc>
        <w:tc>
          <w:tcPr>
            <w:tcW w:w="1714"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896" w:hRule="atLeast"/>
          <w:jc w:val="center"/>
        </w:trPr>
        <w:tc>
          <w:tcPr>
            <w:tcW w:w="4663"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预留轨道交通建设用地</w:t>
            </w:r>
          </w:p>
        </w:tc>
        <w:tc>
          <w:tcPr>
            <w:tcW w:w="2545"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区域未待开发状态。</w:t>
            </w:r>
          </w:p>
        </w:tc>
        <w:tc>
          <w:tcPr>
            <w:tcW w:w="1714"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663"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扩大文溯街绿化隔离带</w:t>
            </w:r>
          </w:p>
        </w:tc>
        <w:tc>
          <w:tcPr>
            <w:tcW w:w="2545"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区域未待开发状态。</w:t>
            </w:r>
          </w:p>
        </w:tc>
        <w:tc>
          <w:tcPr>
            <w:tcW w:w="1714"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63"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三环以南污水进入桃仙污水处理厂；三环以北沈抚城际铁路以南污水进浑南产业区污水处理厂；沈抚城际铁路以北污水进去上夹河污水处理厂</w:t>
            </w:r>
          </w:p>
        </w:tc>
        <w:tc>
          <w:tcPr>
            <w:tcW w:w="2545"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部分采纳，</w:t>
            </w:r>
            <w:r>
              <w:rPr>
                <w:rFonts w:hint="eastAsia" w:ascii="Times New Roman" w:hAnsi="Times New Roman"/>
                <w:sz w:val="21"/>
              </w:rPr>
              <w:t>国际新兴产业园区</w:t>
            </w:r>
            <w:r>
              <w:rPr>
                <w:rFonts w:ascii="Times New Roman" w:hAnsi="Times New Roman"/>
                <w:sz w:val="21"/>
              </w:rPr>
              <w:t>污水管网</w:t>
            </w:r>
            <w:r>
              <w:rPr>
                <w:rFonts w:hint="eastAsia" w:ascii="Times New Roman" w:hAnsi="Times New Roman"/>
                <w:sz w:val="21"/>
              </w:rPr>
              <w:t>未全部</w:t>
            </w:r>
            <w:r>
              <w:rPr>
                <w:rFonts w:ascii="Times New Roman" w:hAnsi="Times New Roman"/>
                <w:sz w:val="21"/>
              </w:rPr>
              <w:t>覆盖。</w:t>
            </w:r>
            <w:r>
              <w:rPr>
                <w:rFonts w:hint="eastAsia" w:ascii="Times New Roman" w:hAnsi="Times New Roman"/>
                <w:sz w:val="21"/>
              </w:rPr>
              <w:t>存在生活污水直排河现象。</w:t>
            </w:r>
          </w:p>
        </w:tc>
        <w:tc>
          <w:tcPr>
            <w:tcW w:w="1714"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建议</w:t>
            </w:r>
            <w:r>
              <w:rPr>
                <w:rFonts w:hint="eastAsia" w:ascii="Times New Roman" w:hAnsi="Times New Roman"/>
                <w:sz w:val="21"/>
              </w:rPr>
              <w:t>国际新兴产业园区</w:t>
            </w:r>
            <w:r>
              <w:rPr>
                <w:rFonts w:ascii="Times New Roman" w:hAnsi="Times New Roman"/>
                <w:sz w:val="21"/>
              </w:rPr>
              <w:t>结合沈北新区</w:t>
            </w:r>
            <w:r>
              <w:rPr>
                <w:rFonts w:hint="eastAsia" w:ascii="Times New Roman" w:hAnsi="Times New Roman"/>
                <w:sz w:val="21"/>
              </w:rPr>
              <w:t>家快市政管网建设</w:t>
            </w:r>
            <w:r>
              <w:rPr>
                <w:rFonts w:ascii="Times New Roman" w:hAnsi="Times New Roman"/>
                <w:sz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4663" w:type="dxa"/>
            <w:tcBorders>
              <w:tl2br w:val="nil"/>
              <w:tr2bl w:val="nil"/>
            </w:tcBorders>
            <w:vAlign w:val="center"/>
          </w:tcPr>
          <w:p>
            <w:pPr>
              <w:pStyle w:val="16"/>
              <w:spacing w:line="400" w:lineRule="exact"/>
              <w:rPr>
                <w:rFonts w:ascii="Times New Roman" w:hAnsi="Times New Roman"/>
                <w:sz w:val="21"/>
              </w:rPr>
            </w:pPr>
            <w:r>
              <w:rPr>
                <w:rFonts w:hint="eastAsia" w:ascii="Times New Roman" w:hAnsi="Times New Roman"/>
                <w:sz w:val="21"/>
              </w:rPr>
              <w:t>取消GR2热源规划</w:t>
            </w:r>
          </w:p>
        </w:tc>
        <w:tc>
          <w:tcPr>
            <w:tcW w:w="2545"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已采纳。</w:t>
            </w:r>
          </w:p>
        </w:tc>
        <w:tc>
          <w:tcPr>
            <w:tcW w:w="1714" w:type="dxa"/>
            <w:tcBorders>
              <w:tl2br w:val="nil"/>
              <w:tr2bl w:val="nil"/>
            </w:tcBorders>
            <w:vAlign w:val="center"/>
          </w:tcPr>
          <w:p>
            <w:pPr>
              <w:pStyle w:val="16"/>
              <w:spacing w:line="400" w:lineRule="exact"/>
              <w:rPr>
                <w:rFonts w:ascii="Times New Roman" w:hAnsi="Times New Roman"/>
                <w:sz w:val="21"/>
              </w:rPr>
            </w:pPr>
            <w:r>
              <w:rPr>
                <w:rFonts w:ascii="Times New Roman" w:hAnsi="Times New Roman"/>
                <w:sz w:val="21"/>
              </w:rPr>
              <w:t>无</w:t>
            </w:r>
          </w:p>
        </w:tc>
      </w:tr>
    </w:tbl>
    <w:p>
      <w:pPr>
        <w:pStyle w:val="9"/>
        <w:rPr>
          <w:rFonts w:ascii="Times New Roman" w:hAnsi="Times New Roman"/>
        </w:rPr>
      </w:pPr>
      <w:bookmarkStart w:id="106" w:name="_Toc29743"/>
      <w:r>
        <w:rPr>
          <w:rFonts w:ascii="Times New Roman" w:hAnsi="Times New Roman"/>
        </w:rPr>
        <w:t>2.5.2 生态环境准入要求落实情况</w:t>
      </w:r>
      <w:bookmarkEnd w:id="106"/>
    </w:p>
    <w:p>
      <w:pPr>
        <w:ind w:firstLine="480"/>
        <w:rPr>
          <w:b/>
          <w:bCs/>
          <w:sz w:val="21"/>
          <w:szCs w:val="21"/>
          <w:lang w:eastAsia="zh-CN"/>
        </w:rPr>
      </w:pPr>
      <w:r>
        <w:rPr>
          <w:lang w:eastAsia="zh-CN"/>
        </w:rPr>
        <w:t>上一轮规划环评中对入区企业提出了准入要求，具体落实情况见表2.5-2</w:t>
      </w:r>
      <w:r>
        <w:rPr>
          <w:spacing w:val="-1"/>
          <w:lang w:eastAsia="zh-CN"/>
        </w:rPr>
        <w:t>：</w:t>
      </w:r>
    </w:p>
    <w:p>
      <w:pPr>
        <w:pStyle w:val="20"/>
        <w:snapToGrid w:val="0"/>
        <w:spacing w:line="240" w:lineRule="auto"/>
        <w:jc w:val="center"/>
        <w:rPr>
          <w:rFonts w:ascii="Times New Roman" w:hAnsi="Times New Roman" w:eastAsia="宋体" w:cs="Times New Roman"/>
          <w:b/>
          <w:bCs/>
          <w:sz w:val="24"/>
          <w:szCs w:val="24"/>
          <w:lang w:eastAsia="zh-CN"/>
        </w:rPr>
      </w:pPr>
      <w:r>
        <w:rPr>
          <w:rFonts w:hint="eastAsia" w:ascii="Times New Roman" w:hAnsi="Times New Roman" w:eastAsia="宋体" w:cs="Times New Roman"/>
          <w:b/>
          <w:bCs/>
          <w:sz w:val="24"/>
          <w:szCs w:val="24"/>
          <w:lang w:eastAsia="zh-CN"/>
        </w:rPr>
        <w:t>表</w:t>
      </w:r>
      <w:r>
        <w:rPr>
          <w:rFonts w:ascii="Times New Roman" w:hAnsi="Times New Roman" w:eastAsia="宋体" w:cs="Times New Roman"/>
          <w:b/>
          <w:bCs/>
          <w:sz w:val="24"/>
          <w:szCs w:val="24"/>
          <w:lang w:eastAsia="zh-CN"/>
        </w:rPr>
        <w:t xml:space="preserve">2.5-2  </w:t>
      </w:r>
      <w:r>
        <w:rPr>
          <w:rFonts w:hint="eastAsia" w:ascii="Times New Roman" w:hAnsi="Times New Roman" w:eastAsia="宋体" w:cs="Times New Roman"/>
          <w:b/>
          <w:bCs/>
          <w:sz w:val="24"/>
          <w:szCs w:val="24"/>
          <w:lang w:eastAsia="zh-CN"/>
        </w:rPr>
        <w:t>国际新兴产业园区生态环境准入要求落实情况一览表</w:t>
      </w:r>
    </w:p>
    <w:tbl>
      <w:tblPr>
        <w:tblStyle w:val="64"/>
        <w:tblW w:w="487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00"/>
        <w:gridCol w:w="2443"/>
        <w:gridCol w:w="81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00" w:type="pct"/>
            <w:vAlign w:val="center"/>
          </w:tcPr>
          <w:p>
            <w:pPr>
              <w:pStyle w:val="16"/>
              <w:spacing w:line="400" w:lineRule="exact"/>
              <w:rPr>
                <w:rFonts w:ascii="Times New Roman" w:hAnsi="Times New Roman"/>
                <w:b/>
                <w:bCs/>
                <w:sz w:val="21"/>
              </w:rPr>
            </w:pPr>
            <w:r>
              <w:rPr>
                <w:rFonts w:ascii="Times New Roman" w:hAnsi="Times New Roman"/>
                <w:b/>
                <w:bCs/>
                <w:sz w:val="21"/>
              </w:rPr>
              <w:t>上一轮规划环评准入要求</w:t>
            </w:r>
          </w:p>
        </w:tc>
        <w:tc>
          <w:tcPr>
            <w:tcW w:w="1348" w:type="pct"/>
            <w:vAlign w:val="center"/>
          </w:tcPr>
          <w:p>
            <w:pPr>
              <w:pStyle w:val="16"/>
              <w:spacing w:line="400" w:lineRule="exact"/>
              <w:rPr>
                <w:rFonts w:ascii="Times New Roman" w:hAnsi="Times New Roman"/>
                <w:b/>
                <w:bCs/>
                <w:sz w:val="21"/>
              </w:rPr>
            </w:pPr>
            <w:r>
              <w:rPr>
                <w:rFonts w:ascii="Times New Roman" w:hAnsi="Times New Roman"/>
                <w:b/>
                <w:bCs/>
                <w:sz w:val="21"/>
              </w:rPr>
              <w:t>落实情况</w:t>
            </w:r>
          </w:p>
        </w:tc>
        <w:tc>
          <w:tcPr>
            <w:tcW w:w="451" w:type="pct"/>
            <w:vAlign w:val="center"/>
          </w:tcPr>
          <w:p>
            <w:pPr>
              <w:pStyle w:val="16"/>
              <w:spacing w:line="400" w:lineRule="exact"/>
              <w:rPr>
                <w:rFonts w:ascii="Times New Roman" w:hAnsi="Times New Roman"/>
                <w:b/>
                <w:bCs/>
                <w:sz w:val="21"/>
              </w:rPr>
            </w:pPr>
            <w:r>
              <w:rPr>
                <w:rFonts w:ascii="Times New Roman" w:hAnsi="Times New Roman"/>
                <w:b/>
                <w:bCs/>
                <w:sz w:val="21"/>
              </w:rPr>
              <w:t>整改措施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3" w:hRule="atLeast"/>
          <w:jc w:val="center"/>
        </w:trPr>
        <w:tc>
          <w:tcPr>
            <w:tcW w:w="3200" w:type="pct"/>
            <w:vAlign w:val="center"/>
          </w:tcPr>
          <w:p>
            <w:pPr>
              <w:pStyle w:val="25"/>
              <w:spacing w:after="0" w:line="400" w:lineRule="exact"/>
              <w:ind w:firstLine="0" w:firstLineChars="0"/>
              <w:jc w:val="center"/>
              <w:rPr>
                <w:color w:val="000000" w:themeColor="text1"/>
                <w:sz w:val="21"/>
                <w:szCs w:val="21"/>
                <w:lang w:eastAsia="zh-CN"/>
                <w14:textFill>
                  <w14:solidFill>
                    <w14:schemeClr w14:val="tx1"/>
                  </w14:solidFill>
                </w14:textFill>
              </w:rPr>
            </w:pPr>
            <w:r>
              <w:rPr>
                <w:color w:val="000000" w:themeColor="text1"/>
                <w:sz w:val="21"/>
                <w:szCs w:val="21"/>
                <w:lang w:eastAsia="zh-CN"/>
                <w14:textFill>
                  <w14:solidFill>
                    <w14:schemeClr w14:val="tx1"/>
                  </w14:solidFill>
                </w14:textFill>
              </w:rPr>
              <w:t>（1）入区企业应高于（或相当于）同行业的国际先进水平清洁生产要求；</w:t>
            </w:r>
          </w:p>
          <w:p>
            <w:pPr>
              <w:pStyle w:val="25"/>
              <w:spacing w:after="0" w:line="400" w:lineRule="exact"/>
              <w:ind w:firstLine="0" w:firstLineChars="0"/>
              <w:jc w:val="center"/>
              <w:rPr>
                <w:color w:val="000000" w:themeColor="text1"/>
                <w:sz w:val="21"/>
                <w:szCs w:val="21"/>
                <w:lang w:eastAsia="zh-CN"/>
                <w14:textFill>
                  <w14:solidFill>
                    <w14:schemeClr w14:val="tx1"/>
                  </w14:solidFill>
                </w14:textFill>
              </w:rPr>
            </w:pPr>
            <w:r>
              <w:rPr>
                <w:color w:val="000000" w:themeColor="text1"/>
                <w:sz w:val="21"/>
                <w:szCs w:val="21"/>
                <w:lang w:eastAsia="zh-CN"/>
                <w14:textFill>
                  <w14:solidFill>
                    <w14:schemeClr w14:val="tx1"/>
                  </w14:solidFill>
                </w14:textFill>
              </w:rPr>
              <w:t>（2）入区产业具有较大的关联性，促进区域产业结构的提升；</w:t>
            </w:r>
          </w:p>
          <w:p>
            <w:pPr>
              <w:pStyle w:val="124"/>
              <w:tabs>
                <w:tab w:val="left" w:pos="1606"/>
              </w:tabs>
              <w:spacing w:line="400" w:lineRule="exact"/>
              <w:ind w:firstLine="0" w:firstLineChars="0"/>
              <w:jc w:val="center"/>
              <w:rPr>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（3）</w:t>
            </w:r>
            <w:r>
              <w:rPr>
                <w:color w:val="000000" w:themeColor="text1"/>
                <w:sz w:val="21"/>
                <w:szCs w:val="21"/>
                <w:lang w:eastAsia="zh-CN"/>
                <w14:textFill>
                  <w14:solidFill>
                    <w14:schemeClr w14:val="tx1"/>
                  </w14:solidFill>
                </w14:textFill>
              </w:rPr>
              <w:t>入区的节能环保产业首先应列入《国务院关于印发</w:t>
            </w:r>
            <w:r>
              <w:rPr>
                <w:rFonts w:eastAsia="Times New Roman"/>
                <w:color w:val="000000" w:themeColor="text1"/>
                <w:sz w:val="21"/>
                <w:szCs w:val="21"/>
                <w:lang w:eastAsia="zh-CN"/>
                <w14:textFill>
                  <w14:solidFill>
                    <w14:schemeClr w14:val="tx1"/>
                  </w14:solidFill>
                </w14:textFill>
              </w:rPr>
              <w:t>“</w:t>
            </w:r>
            <w:r>
              <w:rPr>
                <w:color w:val="000000" w:themeColor="text1"/>
                <w:sz w:val="21"/>
                <w:szCs w:val="21"/>
                <w:lang w:eastAsia="zh-CN"/>
                <w14:textFill>
                  <w14:solidFill>
                    <w14:schemeClr w14:val="tx1"/>
                  </w14:solidFill>
                </w14:textFill>
              </w:rPr>
              <w:t>十二五</w:t>
            </w:r>
            <w:r>
              <w:rPr>
                <w:rFonts w:eastAsia="Times New Roman"/>
                <w:color w:val="000000" w:themeColor="text1"/>
                <w:sz w:val="21"/>
                <w:szCs w:val="21"/>
                <w:lang w:eastAsia="zh-CN"/>
                <w14:textFill>
                  <w14:solidFill>
                    <w14:schemeClr w14:val="tx1"/>
                  </w14:solidFill>
                </w14:textFill>
              </w:rPr>
              <w:t>”</w:t>
            </w:r>
            <w:r>
              <w:rPr>
                <w:color w:val="000000" w:themeColor="text1"/>
                <w:sz w:val="21"/>
                <w:szCs w:val="21"/>
                <w:lang w:eastAsia="zh-CN"/>
                <w14:textFill>
                  <w14:solidFill>
                    <w14:schemeClr w14:val="tx1"/>
                  </w14:solidFill>
                </w14:textFill>
              </w:rPr>
              <w:t>节能环保产业发展规划的通知》（国发</w:t>
            </w:r>
            <w:r>
              <w:rPr>
                <w:rFonts w:eastAsia="Times New Roman"/>
                <w:color w:val="000000" w:themeColor="text1"/>
                <w:sz w:val="21"/>
                <w:szCs w:val="21"/>
                <w:lang w:eastAsia="zh-CN"/>
                <w14:textFill>
                  <w14:solidFill>
                    <w14:schemeClr w14:val="tx1"/>
                  </w14:solidFill>
                </w14:textFill>
              </w:rPr>
              <w:t xml:space="preserve">[2012]19 </w:t>
            </w:r>
            <w:r>
              <w:rPr>
                <w:color w:val="000000" w:themeColor="text1"/>
                <w:sz w:val="21"/>
                <w:szCs w:val="21"/>
                <w:lang w:eastAsia="zh-CN"/>
                <w14:textFill>
                  <w14:solidFill>
                    <w14:schemeClr w14:val="tx1"/>
                  </w14:solidFill>
                </w14:textFill>
              </w:rPr>
              <w:t>号），但产业中污染较重的产业不宜进入园区。</w:t>
            </w:r>
          </w:p>
          <w:p>
            <w:pPr>
              <w:pStyle w:val="124"/>
              <w:tabs>
                <w:tab w:val="left" w:pos="1603"/>
              </w:tabs>
              <w:spacing w:line="400" w:lineRule="exact"/>
              <w:ind w:firstLine="0" w:firstLineChars="0"/>
              <w:jc w:val="center"/>
              <w:rPr>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（4）</w:t>
            </w:r>
            <w:r>
              <w:rPr>
                <w:color w:val="000000" w:themeColor="text1"/>
                <w:sz w:val="21"/>
                <w:szCs w:val="21"/>
                <w:lang w:eastAsia="zh-CN"/>
                <w14:textFill>
                  <w14:solidFill>
                    <w14:schemeClr w14:val="tx1"/>
                  </w14:solidFill>
                </w14:textFill>
              </w:rPr>
              <w:t>生物制药应列入《国务院关于印发生物产业发展规划的通知》（国发</w:t>
            </w:r>
            <w:r>
              <w:rPr>
                <w:rFonts w:eastAsia="Times New Roman"/>
                <w:color w:val="000000" w:themeColor="text1"/>
                <w:sz w:val="21"/>
                <w:szCs w:val="21"/>
                <w:lang w:eastAsia="zh-CN"/>
                <w14:textFill>
                  <w14:solidFill>
                    <w14:schemeClr w14:val="tx1"/>
                  </w14:solidFill>
                </w14:textFill>
              </w:rPr>
              <w:t>[2012]65</w:t>
            </w:r>
            <w:r>
              <w:rPr>
                <w:color w:val="000000" w:themeColor="text1"/>
                <w:sz w:val="21"/>
                <w:szCs w:val="21"/>
                <w:lang w:eastAsia="zh-CN"/>
                <w14:textFill>
                  <w14:solidFill>
                    <w14:schemeClr w14:val="tx1"/>
                  </w14:solidFill>
                </w14:textFill>
              </w:rPr>
              <w:t>号），除特殊品种外，禁止单纯生产原料药类型的企业进入。</w:t>
            </w:r>
          </w:p>
          <w:p>
            <w:pPr>
              <w:pStyle w:val="25"/>
              <w:spacing w:after="0" w:line="400" w:lineRule="exact"/>
              <w:ind w:firstLine="0" w:firstLineChars="0"/>
              <w:jc w:val="center"/>
              <w:rPr>
                <w:color w:val="000000" w:themeColor="text1"/>
                <w:sz w:val="21"/>
                <w:szCs w:val="21"/>
                <w:lang w:eastAsia="zh-CN"/>
                <w14:textFill>
                  <w14:solidFill>
                    <w14:schemeClr w14:val="tx1"/>
                  </w14:solidFill>
                </w14:textFill>
              </w:rPr>
            </w:pPr>
            <w:r>
              <w:rPr>
                <w:color w:val="000000" w:themeColor="text1"/>
                <w:sz w:val="21"/>
                <w:szCs w:val="21"/>
                <w:lang w:eastAsia="zh-CN"/>
                <w14:textFill>
                  <w14:solidFill>
                    <w14:schemeClr w14:val="tx1"/>
                  </w14:solidFill>
                </w14:textFill>
              </w:rPr>
              <w:t>（5）高端装备制造业中，涉及冶炼等前段工序的企业禁止进入。</w:t>
            </w:r>
          </w:p>
          <w:p>
            <w:pPr>
              <w:pStyle w:val="16"/>
              <w:spacing w:line="400" w:lineRule="exact"/>
              <w:rPr>
                <w:rFonts w:ascii="Times New Roman" w:hAnsi="Times New Roman"/>
                <w:sz w:val="21"/>
              </w:rPr>
            </w:pPr>
            <w:r>
              <w:rPr>
                <w:color w:val="000000" w:themeColor="text1"/>
                <w:sz w:val="21"/>
                <w14:textFill>
                  <w14:solidFill>
                    <w14:schemeClr w14:val="tx1"/>
                  </w14:solidFill>
                </w14:textFill>
              </w:rPr>
              <w:t>（6）限制现状不符合产业发展规划的企业，逐步搬迁与规划产业定位</w:t>
            </w:r>
            <w:r>
              <w:rPr>
                <w:rFonts w:hint="eastAsia"/>
                <w:color w:val="000000" w:themeColor="text1"/>
                <w:sz w:val="21"/>
                <w14:textFill>
                  <w14:solidFill>
                    <w14:schemeClr w14:val="tx1"/>
                  </w14:solidFill>
                </w14:textFill>
              </w:rPr>
              <w:t>。</w:t>
            </w:r>
            <w:r>
              <w:rPr>
                <w:sz w:val="21"/>
              </w:rPr>
              <w:t>不符的企业。</w:t>
            </w:r>
          </w:p>
        </w:tc>
        <w:tc>
          <w:tcPr>
            <w:tcW w:w="1348" w:type="pct"/>
            <w:vAlign w:val="center"/>
          </w:tcPr>
          <w:p>
            <w:pPr>
              <w:pStyle w:val="16"/>
              <w:spacing w:line="400" w:lineRule="exact"/>
              <w:rPr>
                <w:rFonts w:ascii="Times New Roman" w:hAnsi="Times New Roman"/>
                <w:sz w:val="21"/>
              </w:rPr>
            </w:pPr>
            <w:r>
              <w:rPr>
                <w:rFonts w:ascii="Times New Roman" w:hAnsi="Times New Roman"/>
                <w:sz w:val="21"/>
              </w:rPr>
              <w:t>生态环境主管部门已按环评准入要求严格把关，</w:t>
            </w:r>
            <w:r>
              <w:rPr>
                <w:rFonts w:hint="eastAsia" w:ascii="Times New Roman" w:hAnsi="Times New Roman"/>
                <w:sz w:val="21"/>
              </w:rPr>
              <w:t>国际新兴产业园区</w:t>
            </w:r>
            <w:r>
              <w:rPr>
                <w:rFonts w:ascii="Times New Roman" w:hAnsi="Times New Roman"/>
                <w:sz w:val="21"/>
              </w:rPr>
              <w:t>现有企业，符合</w:t>
            </w:r>
            <w:r>
              <w:rPr>
                <w:rFonts w:hint="eastAsia" w:ascii="Times New Roman" w:hAnsi="Times New Roman"/>
                <w:sz w:val="21"/>
              </w:rPr>
              <w:t>国际新兴产业园区</w:t>
            </w:r>
            <w:r>
              <w:rPr>
                <w:rFonts w:ascii="Times New Roman" w:hAnsi="Times New Roman"/>
                <w:sz w:val="21"/>
              </w:rPr>
              <w:t>产业发展方向要求，除热源厂属于基础设施企业外，无化工、轻工等高污染、高耗能生产企业。不存在淘汰落后产能，均已履行环保手续，符合清洁生产及总量控制要求。</w:t>
            </w:r>
          </w:p>
        </w:tc>
        <w:tc>
          <w:tcPr>
            <w:tcW w:w="451" w:type="pct"/>
            <w:vAlign w:val="center"/>
          </w:tcPr>
          <w:p>
            <w:pPr>
              <w:pStyle w:val="16"/>
              <w:spacing w:line="400" w:lineRule="exact"/>
              <w:rPr>
                <w:rFonts w:ascii="Times New Roman" w:hAnsi="Times New Roman"/>
                <w:sz w:val="21"/>
              </w:rPr>
            </w:pPr>
            <w:r>
              <w:rPr>
                <w:rFonts w:ascii="Times New Roman" w:hAnsi="Times New Roman"/>
                <w:sz w:val="21"/>
              </w:rPr>
              <w:t>无</w:t>
            </w:r>
          </w:p>
        </w:tc>
      </w:tr>
    </w:tbl>
    <w:p>
      <w:pPr>
        <w:pStyle w:val="9"/>
        <w:rPr>
          <w:rFonts w:ascii="Times New Roman" w:hAnsi="Times New Roman"/>
        </w:rPr>
      </w:pPr>
      <w:bookmarkStart w:id="107" w:name="_Toc16270"/>
      <w:r>
        <w:rPr>
          <w:rFonts w:ascii="Times New Roman" w:hAnsi="Times New Roman"/>
        </w:rPr>
        <w:t>2.5.3 环境管理落实情况</w:t>
      </w:r>
      <w:bookmarkEnd w:id="107"/>
    </w:p>
    <w:p>
      <w:pPr>
        <w:ind w:firstLine="480"/>
        <w:rPr>
          <w:rFonts w:eastAsiaTheme="minorEastAsia"/>
          <w:lang w:eastAsia="zh-CN"/>
        </w:rPr>
      </w:pPr>
      <w:r>
        <w:rPr>
          <w:rFonts w:hint="eastAsia"/>
          <w:lang w:eastAsia="zh-CN"/>
        </w:rPr>
        <w:t>国际新兴产业园区</w:t>
      </w:r>
      <w:r>
        <w:rPr>
          <w:lang w:eastAsia="zh-CN"/>
        </w:rPr>
        <w:t>尚未设置专门的环境管理机构，环境管理依托沈阳市</w:t>
      </w:r>
      <w:r>
        <w:rPr>
          <w:rFonts w:hint="eastAsia"/>
          <w:lang w:eastAsia="zh-CN"/>
        </w:rPr>
        <w:t>浑南</w:t>
      </w:r>
      <w:r>
        <w:rPr>
          <w:lang w:eastAsia="zh-CN"/>
        </w:rPr>
        <w:t>生态环境分局，已严格落实</w:t>
      </w:r>
      <w:r>
        <w:rPr>
          <w:rFonts w:hint="eastAsia"/>
          <w:lang w:eastAsia="zh-CN"/>
        </w:rPr>
        <w:t>国际新兴产业园区</w:t>
      </w:r>
      <w:r>
        <w:rPr>
          <w:lang w:eastAsia="zh-CN"/>
        </w:rPr>
        <w:t>总量控制及入区企业控制，但未按规划环评监测计划开展</w:t>
      </w:r>
      <w:r>
        <w:rPr>
          <w:rFonts w:hint="eastAsia"/>
          <w:lang w:eastAsia="zh-CN"/>
        </w:rPr>
        <w:t>国际新兴产业园区</w:t>
      </w:r>
      <w:r>
        <w:rPr>
          <w:lang w:eastAsia="zh-CN"/>
        </w:rPr>
        <w:t>内大气、地下水、噪声等定期监测。</w:t>
      </w:r>
    </w:p>
    <w:p>
      <w:pPr>
        <w:pStyle w:val="25"/>
        <w:spacing w:before="43"/>
        <w:ind w:right="360" w:firstLine="480"/>
        <w:rPr>
          <w:rFonts w:cs="Times New Roman"/>
          <w:lang w:eastAsia="zh-CN"/>
        </w:rPr>
        <w:sectPr>
          <w:footerReference r:id="rId17" w:type="default"/>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20"/>
        <w:spacing w:line="240" w:lineRule="auto"/>
        <w:jc w:val="center"/>
        <w:rPr>
          <w:rFonts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表2.5-3  规划环评审查意见落实情况分析表</w:t>
      </w:r>
    </w:p>
    <w:tbl>
      <w:tblPr>
        <w:tblStyle w:val="64"/>
        <w:tblpPr w:leftFromText="180" w:rightFromText="180" w:vertAnchor="text" w:tblpXSpec="center" w:tblpY="1"/>
        <w:tblOverlap w:val="never"/>
        <w:tblW w:w="14581"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6055"/>
        <w:gridCol w:w="1573"/>
        <w:gridCol w:w="4479"/>
        <w:gridCol w:w="17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b/>
                <w:bCs/>
                <w:sz w:val="21"/>
              </w:rPr>
            </w:pPr>
            <w:r>
              <w:rPr>
                <w:rFonts w:ascii="Times New Roman" w:hAnsi="Times New Roman"/>
                <w:b/>
                <w:bCs/>
                <w:sz w:val="21"/>
              </w:rPr>
              <w:t>序号</w:t>
            </w:r>
          </w:p>
        </w:tc>
        <w:tc>
          <w:tcPr>
            <w:tcW w:w="6055" w:type="dxa"/>
            <w:vAlign w:val="center"/>
          </w:tcPr>
          <w:p>
            <w:pPr>
              <w:pStyle w:val="16"/>
              <w:spacing w:line="400" w:lineRule="exact"/>
              <w:rPr>
                <w:rFonts w:ascii="Times New Roman" w:hAnsi="Times New Roman"/>
                <w:b/>
                <w:bCs/>
                <w:sz w:val="21"/>
              </w:rPr>
            </w:pPr>
            <w:r>
              <w:rPr>
                <w:rFonts w:ascii="Times New Roman" w:hAnsi="Times New Roman"/>
                <w:b/>
                <w:bCs/>
                <w:sz w:val="21"/>
              </w:rPr>
              <w:t>审查意见</w:t>
            </w:r>
          </w:p>
        </w:tc>
        <w:tc>
          <w:tcPr>
            <w:tcW w:w="1573" w:type="dxa"/>
            <w:vAlign w:val="center"/>
          </w:tcPr>
          <w:p>
            <w:pPr>
              <w:pStyle w:val="16"/>
              <w:spacing w:line="400" w:lineRule="exact"/>
              <w:rPr>
                <w:rFonts w:ascii="Times New Roman" w:hAnsi="Times New Roman"/>
                <w:b/>
                <w:bCs/>
                <w:sz w:val="21"/>
              </w:rPr>
            </w:pPr>
            <w:r>
              <w:rPr>
                <w:rFonts w:ascii="Times New Roman" w:hAnsi="Times New Roman"/>
                <w:b/>
                <w:bCs/>
                <w:sz w:val="21"/>
              </w:rPr>
              <w:t>落实情况</w:t>
            </w:r>
          </w:p>
        </w:tc>
        <w:tc>
          <w:tcPr>
            <w:tcW w:w="4479" w:type="dxa"/>
            <w:vAlign w:val="center"/>
          </w:tcPr>
          <w:p>
            <w:pPr>
              <w:pStyle w:val="16"/>
              <w:spacing w:line="400" w:lineRule="exact"/>
              <w:rPr>
                <w:rFonts w:ascii="Times New Roman" w:hAnsi="Times New Roman"/>
                <w:b/>
                <w:bCs/>
                <w:sz w:val="21"/>
              </w:rPr>
            </w:pPr>
            <w:r>
              <w:rPr>
                <w:rFonts w:ascii="Times New Roman" w:hAnsi="Times New Roman"/>
                <w:b/>
                <w:bCs/>
                <w:sz w:val="21"/>
              </w:rPr>
              <w:t>未落实原有或存在问题</w:t>
            </w:r>
          </w:p>
        </w:tc>
        <w:tc>
          <w:tcPr>
            <w:tcW w:w="1765" w:type="dxa"/>
            <w:vAlign w:val="center"/>
          </w:tcPr>
          <w:p>
            <w:pPr>
              <w:pStyle w:val="16"/>
              <w:spacing w:line="400" w:lineRule="exact"/>
              <w:rPr>
                <w:rFonts w:ascii="Times New Roman" w:hAnsi="Times New Roman"/>
                <w:b/>
                <w:bCs/>
                <w:sz w:val="21"/>
              </w:rPr>
            </w:pPr>
            <w:r>
              <w:rPr>
                <w:rFonts w:ascii="Times New Roman" w:hAnsi="Times New Roman"/>
                <w:b/>
                <w:bCs/>
                <w:sz w:val="21"/>
              </w:rPr>
              <w:t>建议措施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一</w:t>
            </w:r>
          </w:p>
        </w:tc>
        <w:tc>
          <w:tcPr>
            <w:tcW w:w="13872" w:type="dxa"/>
            <w:gridSpan w:val="4"/>
            <w:vAlign w:val="center"/>
          </w:tcPr>
          <w:p>
            <w:pPr>
              <w:pStyle w:val="16"/>
              <w:spacing w:line="400" w:lineRule="exact"/>
              <w:rPr>
                <w:rFonts w:ascii="Times New Roman" w:hAnsi="Times New Roman"/>
                <w:sz w:val="21"/>
              </w:rPr>
            </w:pPr>
            <w:r>
              <w:rPr>
                <w:rFonts w:hint="eastAsia" w:ascii="Times New Roman" w:hAnsi="Times New Roman"/>
                <w:sz w:val="21"/>
              </w:rPr>
              <w:t>“规划”概况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1</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浑南国际新兴产业园区位于东陵区北部，规划范围东至三环高速，南至规划全运南路，西至沈李公路，北至浑河，规划总用地面积51km</w:t>
            </w:r>
            <w:r>
              <w:rPr>
                <w:rFonts w:hint="eastAsia" w:ascii="Times New Roman" w:hAnsi="Times New Roman"/>
                <w:sz w:val="21"/>
                <w:vertAlign w:val="superscript"/>
              </w:rPr>
              <w:t>2</w:t>
            </w:r>
            <w:r>
              <w:rPr>
                <w:rFonts w:ascii="Times New Roman" w:hAnsi="Times New Roman"/>
                <w:sz w:val="21"/>
              </w:rPr>
              <w:t>。</w:t>
            </w:r>
          </w:p>
        </w:tc>
        <w:tc>
          <w:tcPr>
            <w:tcW w:w="1573" w:type="dxa"/>
            <w:vAlign w:val="center"/>
          </w:tcPr>
          <w:p>
            <w:pPr>
              <w:pStyle w:val="16"/>
              <w:spacing w:line="400" w:lineRule="exact"/>
              <w:rPr>
                <w:rFonts w:ascii="Times New Roman" w:hAnsi="Times New Roman"/>
                <w:sz w:val="21"/>
              </w:rPr>
            </w:pPr>
            <w:r>
              <w:rPr>
                <w:rFonts w:ascii="Times New Roman" w:hAnsi="Times New Roman"/>
                <w:sz w:val="21"/>
              </w:rPr>
              <w:t>已落实</w:t>
            </w:r>
          </w:p>
        </w:tc>
        <w:tc>
          <w:tcPr>
            <w:tcW w:w="4479" w:type="dxa"/>
            <w:vAlign w:val="center"/>
          </w:tcPr>
          <w:p>
            <w:pPr>
              <w:pStyle w:val="16"/>
              <w:spacing w:line="400" w:lineRule="exact"/>
              <w:rPr>
                <w:rFonts w:ascii="Times New Roman" w:hAnsi="Times New Roman"/>
                <w:sz w:val="21"/>
              </w:rPr>
            </w:pPr>
            <w:r>
              <w:rPr>
                <w:rFonts w:ascii="Times New Roman" w:hAnsi="Times New Roman"/>
                <w:sz w:val="21"/>
              </w:rPr>
              <w:t>/</w:t>
            </w:r>
          </w:p>
        </w:tc>
        <w:tc>
          <w:tcPr>
            <w:tcW w:w="1765" w:type="dxa"/>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2</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“规划”总体定位为创造一个健康、充满活力和独特城市环境的乐活之城</w:t>
            </w:r>
            <w:r>
              <w:rPr>
                <w:rFonts w:ascii="Times New Roman" w:hAnsi="Times New Roman"/>
                <w:sz w:val="21"/>
              </w:rPr>
              <w:t>；构建产业、科研、商业、居住融合的现代新兴产业园区。</w:t>
            </w:r>
            <w:r>
              <w:rPr>
                <w:rFonts w:hint="eastAsia" w:ascii="Times New Roman" w:hAnsi="Times New Roman"/>
                <w:sz w:val="21"/>
              </w:rPr>
              <w:t>根据园区的产业体系，重点打造五大产业集群：保税加工与保税物流产业集群、高端装备产业集群、生物医药产业集群、电子商务产业集群、节能环保与新能源产业集群。</w:t>
            </w:r>
          </w:p>
        </w:tc>
        <w:tc>
          <w:tcPr>
            <w:tcW w:w="1573" w:type="dxa"/>
            <w:vAlign w:val="center"/>
          </w:tcPr>
          <w:p>
            <w:pPr>
              <w:pStyle w:val="16"/>
              <w:spacing w:line="400" w:lineRule="exact"/>
              <w:rPr>
                <w:rFonts w:ascii="Times New Roman" w:hAnsi="Times New Roman"/>
                <w:sz w:val="21"/>
              </w:rPr>
            </w:pPr>
            <w:r>
              <w:rPr>
                <w:rFonts w:ascii="Times New Roman" w:hAnsi="Times New Roman"/>
                <w:sz w:val="21"/>
              </w:rPr>
              <w:t>已落实</w:t>
            </w:r>
          </w:p>
        </w:tc>
        <w:tc>
          <w:tcPr>
            <w:tcW w:w="4479" w:type="dxa"/>
            <w:vAlign w:val="center"/>
          </w:tcPr>
          <w:p>
            <w:pPr>
              <w:pStyle w:val="16"/>
              <w:spacing w:line="400" w:lineRule="exact"/>
              <w:rPr>
                <w:rFonts w:ascii="Times New Roman" w:hAnsi="Times New Roman"/>
                <w:sz w:val="21"/>
              </w:rPr>
            </w:pPr>
            <w:r>
              <w:rPr>
                <w:rFonts w:ascii="Times New Roman" w:hAnsi="Times New Roman"/>
                <w:sz w:val="21"/>
              </w:rPr>
              <w:t>/</w:t>
            </w:r>
          </w:p>
        </w:tc>
        <w:tc>
          <w:tcPr>
            <w:tcW w:w="1765" w:type="dxa"/>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ascii="Times New Roman" w:hAnsi="Times New Roman"/>
                <w:sz w:val="21"/>
              </w:rPr>
              <w:t>4</w:t>
            </w:r>
          </w:p>
        </w:tc>
        <w:tc>
          <w:tcPr>
            <w:tcW w:w="6055" w:type="dxa"/>
            <w:vAlign w:val="center"/>
          </w:tcPr>
          <w:p>
            <w:pPr>
              <w:pStyle w:val="25"/>
              <w:spacing w:after="0" w:line="400" w:lineRule="exact"/>
              <w:ind w:firstLine="0" w:firstLineChars="0"/>
              <w:jc w:val="center"/>
              <w:rPr>
                <w:sz w:val="21"/>
                <w:szCs w:val="21"/>
                <w:lang w:eastAsia="zh-CN"/>
              </w:rPr>
            </w:pPr>
            <w:r>
              <w:rPr>
                <w:sz w:val="21"/>
                <w:szCs w:val="21"/>
                <w:lang w:eastAsia="zh-CN"/>
              </w:rPr>
              <w:t>（1）沈阳经济区层面——经济区的新兴产业基地</w:t>
            </w:r>
          </w:p>
          <w:p>
            <w:pPr>
              <w:pStyle w:val="25"/>
              <w:spacing w:after="0" w:line="400" w:lineRule="exact"/>
              <w:ind w:firstLine="0" w:firstLineChars="0"/>
              <w:jc w:val="center"/>
              <w:rPr>
                <w:sz w:val="21"/>
                <w:szCs w:val="21"/>
                <w:lang w:eastAsia="zh-CN"/>
              </w:rPr>
            </w:pPr>
            <w:r>
              <w:rPr>
                <w:sz w:val="21"/>
                <w:szCs w:val="21"/>
                <w:lang w:eastAsia="zh-CN"/>
              </w:rPr>
              <w:t>以节能环保、新能源、生物医药、电子商务、现代物流产业为主导，以先进装备制造、汽车零部件生产产业为延伸，打造沈阳经济区的生态环保、科技创新、结构优化的龙头产业基地。</w:t>
            </w:r>
          </w:p>
          <w:p>
            <w:pPr>
              <w:pStyle w:val="25"/>
              <w:spacing w:after="0" w:line="400" w:lineRule="exact"/>
              <w:ind w:firstLine="0" w:firstLineChars="0"/>
              <w:jc w:val="center"/>
              <w:rPr>
                <w:sz w:val="21"/>
                <w:szCs w:val="21"/>
                <w:lang w:eastAsia="zh-CN"/>
              </w:rPr>
            </w:pPr>
            <w:r>
              <w:rPr>
                <w:sz w:val="21"/>
                <w:szCs w:val="21"/>
                <w:lang w:eastAsia="zh-CN"/>
              </w:rPr>
              <w:t>（2）城市层面——沈阳市的新产业生产中心</w:t>
            </w:r>
          </w:p>
          <w:p>
            <w:pPr>
              <w:pStyle w:val="25"/>
              <w:spacing w:after="0" w:line="400" w:lineRule="exact"/>
              <w:ind w:firstLine="0" w:firstLineChars="0"/>
              <w:jc w:val="center"/>
              <w:rPr>
                <w:sz w:val="21"/>
                <w:szCs w:val="21"/>
                <w:lang w:eastAsia="zh-CN"/>
              </w:rPr>
            </w:pPr>
            <w:r>
              <w:rPr>
                <w:sz w:val="21"/>
                <w:szCs w:val="21"/>
                <w:lang w:eastAsia="zh-CN"/>
              </w:rPr>
              <w:t>园区发展与城市内部的智力资源(科研机构、大学等）建立有效的互动机制，为其提供新型科技产品的生产基地，打造沈阳市的新产业生产中心，实现产-学-研的联合发展。</w:t>
            </w:r>
          </w:p>
          <w:p>
            <w:pPr>
              <w:pStyle w:val="25"/>
              <w:spacing w:after="0" w:line="400" w:lineRule="exact"/>
              <w:ind w:firstLine="0" w:firstLineChars="0"/>
              <w:jc w:val="center"/>
              <w:rPr>
                <w:sz w:val="21"/>
                <w:szCs w:val="21"/>
                <w:lang w:eastAsia="zh-CN"/>
              </w:rPr>
            </w:pPr>
            <w:r>
              <w:rPr>
                <w:sz w:val="21"/>
                <w:szCs w:val="21"/>
                <w:lang w:eastAsia="zh-CN"/>
              </w:rPr>
              <w:t>（3）园区层面——功能复合的生态型新城区</w:t>
            </w:r>
          </w:p>
          <w:p>
            <w:pPr>
              <w:pStyle w:val="16"/>
              <w:spacing w:line="400" w:lineRule="exact"/>
              <w:rPr>
                <w:rFonts w:ascii="Times New Roman" w:hAnsi="Times New Roman"/>
                <w:sz w:val="21"/>
              </w:rPr>
            </w:pPr>
            <w:r>
              <w:rPr>
                <w:sz w:val="21"/>
              </w:rPr>
              <w:t>强调功能的完备性，功能活动的多元化，打造充满活力的城市片区；利用现有自然资源营造良好的生活环境，建设田园形态的、生态友好度较高的城市片区。</w:t>
            </w:r>
          </w:p>
        </w:tc>
        <w:tc>
          <w:tcPr>
            <w:tcW w:w="1573" w:type="dxa"/>
            <w:vAlign w:val="center"/>
          </w:tcPr>
          <w:p>
            <w:pPr>
              <w:pStyle w:val="16"/>
              <w:spacing w:line="400" w:lineRule="exact"/>
              <w:rPr>
                <w:rFonts w:ascii="Times New Roman" w:hAnsi="Times New Roman"/>
                <w:sz w:val="21"/>
              </w:rPr>
            </w:pPr>
            <w:r>
              <w:rPr>
                <w:rFonts w:ascii="Times New Roman" w:hAnsi="Times New Roman"/>
                <w:sz w:val="21"/>
              </w:rPr>
              <w:t>已落实</w:t>
            </w:r>
          </w:p>
        </w:tc>
        <w:tc>
          <w:tcPr>
            <w:tcW w:w="4479" w:type="dxa"/>
            <w:vAlign w:val="center"/>
          </w:tcPr>
          <w:p>
            <w:pPr>
              <w:pStyle w:val="16"/>
              <w:spacing w:line="400" w:lineRule="exact"/>
              <w:rPr>
                <w:rFonts w:ascii="Times New Roman" w:hAnsi="Times New Roman"/>
                <w:sz w:val="21"/>
              </w:rPr>
            </w:pPr>
            <w:r>
              <w:rPr>
                <w:rFonts w:ascii="Times New Roman" w:hAnsi="Times New Roman"/>
                <w:sz w:val="21"/>
              </w:rPr>
              <w:t>/</w:t>
            </w:r>
          </w:p>
        </w:tc>
        <w:tc>
          <w:tcPr>
            <w:tcW w:w="1765" w:type="dxa"/>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ascii="Times New Roman" w:hAnsi="Times New Roman"/>
                <w:sz w:val="21"/>
              </w:rPr>
              <w:t>5</w:t>
            </w:r>
          </w:p>
        </w:tc>
        <w:tc>
          <w:tcPr>
            <w:tcW w:w="6055" w:type="dxa"/>
            <w:vAlign w:val="center"/>
          </w:tcPr>
          <w:p>
            <w:pPr>
              <w:pStyle w:val="16"/>
              <w:spacing w:line="400" w:lineRule="exact"/>
              <w:rPr>
                <w:rFonts w:ascii="Times New Roman" w:hAnsi="Times New Roman"/>
                <w:sz w:val="21"/>
              </w:rPr>
            </w:pPr>
            <w:r>
              <w:rPr>
                <w:rFonts w:ascii="Times New Roman" w:hAnsi="Times New Roman"/>
                <w:sz w:val="21"/>
              </w:rPr>
              <w:t>“规划”提出“一核、两轴、三带、多节点”的发展空间结构。规划基期为2012年，规划期限为2012至2030年。</w:t>
            </w:r>
          </w:p>
        </w:tc>
        <w:tc>
          <w:tcPr>
            <w:tcW w:w="1573" w:type="dxa"/>
            <w:vAlign w:val="center"/>
          </w:tcPr>
          <w:p>
            <w:pPr>
              <w:pStyle w:val="16"/>
              <w:spacing w:line="400" w:lineRule="exact"/>
              <w:rPr>
                <w:rFonts w:ascii="Times New Roman" w:hAnsi="Times New Roman"/>
                <w:sz w:val="21"/>
              </w:rPr>
            </w:pPr>
            <w:r>
              <w:rPr>
                <w:rFonts w:ascii="Times New Roman" w:hAnsi="Times New Roman"/>
                <w:sz w:val="21"/>
              </w:rPr>
              <w:t>已落实</w:t>
            </w:r>
          </w:p>
        </w:tc>
        <w:tc>
          <w:tcPr>
            <w:tcW w:w="4479" w:type="dxa"/>
            <w:vAlign w:val="center"/>
          </w:tcPr>
          <w:p>
            <w:pPr>
              <w:pStyle w:val="16"/>
              <w:spacing w:line="400" w:lineRule="exact"/>
              <w:rPr>
                <w:rFonts w:ascii="Times New Roman" w:hAnsi="Times New Roman"/>
                <w:sz w:val="21"/>
              </w:rPr>
            </w:pPr>
            <w:r>
              <w:rPr>
                <w:rFonts w:ascii="Times New Roman" w:hAnsi="Times New Roman"/>
                <w:sz w:val="21"/>
              </w:rPr>
              <w:t>/</w:t>
            </w:r>
          </w:p>
        </w:tc>
        <w:tc>
          <w:tcPr>
            <w:tcW w:w="1765" w:type="dxa"/>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二</w:t>
            </w:r>
          </w:p>
        </w:tc>
        <w:tc>
          <w:tcPr>
            <w:tcW w:w="13872" w:type="dxa"/>
            <w:gridSpan w:val="4"/>
            <w:vAlign w:val="center"/>
          </w:tcPr>
          <w:p>
            <w:pPr>
              <w:pStyle w:val="16"/>
              <w:spacing w:line="400" w:lineRule="exact"/>
              <w:rPr>
                <w:rFonts w:ascii="Times New Roman" w:hAnsi="Times New Roman"/>
                <w:sz w:val="21"/>
              </w:rPr>
            </w:pPr>
            <w:r>
              <w:rPr>
                <w:rFonts w:ascii="Times New Roman" w:hAnsi="Times New Roman"/>
                <w:sz w:val="21"/>
              </w:rPr>
              <w:t>“规划”具体内容</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1</w:t>
            </w:r>
          </w:p>
        </w:tc>
        <w:tc>
          <w:tcPr>
            <w:tcW w:w="6055" w:type="dxa"/>
            <w:vAlign w:val="center"/>
          </w:tcPr>
          <w:p>
            <w:pPr>
              <w:pStyle w:val="16"/>
              <w:spacing w:line="400" w:lineRule="exact"/>
              <w:rPr>
                <w:rFonts w:ascii="Times New Roman" w:hAnsi="Times New Roman"/>
                <w:sz w:val="21"/>
              </w:rPr>
            </w:pPr>
            <w:r>
              <w:rPr>
                <w:rFonts w:ascii="Times New Roman" w:hAnsi="Times New Roman"/>
                <w:sz w:val="21"/>
              </w:rPr>
              <w:t>“规划”区域总需水量为16×10</w:t>
            </w:r>
            <w:r>
              <w:rPr>
                <w:rFonts w:ascii="Times New Roman" w:hAnsi="Times New Roman"/>
                <w:sz w:val="21"/>
                <w:vertAlign w:val="superscript"/>
              </w:rPr>
              <w:t>4</w:t>
            </w:r>
            <w:r>
              <w:rPr>
                <w:rFonts w:ascii="Times New Roman" w:hAnsi="Times New Roman"/>
                <w:sz w:val="21"/>
              </w:rPr>
              <w:t>m</w:t>
            </w:r>
            <w:r>
              <w:rPr>
                <w:rFonts w:ascii="Times New Roman" w:hAnsi="Times New Roman"/>
                <w:sz w:val="21"/>
                <w:vertAlign w:val="superscript"/>
              </w:rPr>
              <w:t>3</w:t>
            </w:r>
            <w:r>
              <w:rPr>
                <w:rFonts w:ascii="Times New Roman" w:hAnsi="Times New Roman"/>
                <w:sz w:val="21"/>
              </w:rPr>
              <w:t>/d，三环以南地区由古城子规划配水厂提供，水源引自东水西调工程大伙房水库东水厂，供水能力为11×10</w:t>
            </w:r>
            <w:r>
              <w:rPr>
                <w:rFonts w:ascii="Times New Roman" w:hAnsi="Times New Roman"/>
                <w:sz w:val="21"/>
                <w:vertAlign w:val="superscript"/>
              </w:rPr>
              <w:t>4</w:t>
            </w:r>
            <w:r>
              <w:rPr>
                <w:rFonts w:ascii="Times New Roman" w:hAnsi="Times New Roman"/>
                <w:sz w:val="21"/>
              </w:rPr>
              <w:t>m</w:t>
            </w:r>
            <w:r>
              <w:rPr>
                <w:rFonts w:ascii="Times New Roman" w:hAnsi="Times New Roman"/>
                <w:sz w:val="21"/>
                <w:vertAlign w:val="superscript"/>
              </w:rPr>
              <w:t>3</w:t>
            </w:r>
            <w:r>
              <w:rPr>
                <w:rFonts w:ascii="Times New Roman" w:hAnsi="Times New Roman"/>
                <w:sz w:val="21"/>
              </w:rPr>
              <w:t>/d；三环以北地区由浑南新区规划</w:t>
            </w:r>
            <w:r>
              <w:rPr>
                <w:rFonts w:ascii="Times New Roman" w:hAnsi="Times New Roman" w:eastAsia="Arial"/>
                <w:sz w:val="21"/>
              </w:rPr>
              <w:t>3</w:t>
            </w:r>
            <w:r>
              <w:rPr>
                <w:rFonts w:ascii="Times New Roman" w:hAnsi="Times New Roman"/>
                <w:sz w:val="21"/>
              </w:rPr>
              <w:t>号配水厂提供，规划陪睡厂供水能力10×10</w:t>
            </w:r>
            <w:r>
              <w:rPr>
                <w:rFonts w:ascii="Times New Roman" w:hAnsi="Times New Roman"/>
                <w:sz w:val="21"/>
                <w:vertAlign w:val="superscript"/>
              </w:rPr>
              <w:t>4</w:t>
            </w:r>
            <w:r>
              <w:rPr>
                <w:rFonts w:ascii="Times New Roman" w:hAnsi="Times New Roman"/>
                <w:sz w:val="21"/>
              </w:rPr>
              <w:t>m</w:t>
            </w:r>
            <w:r>
              <w:rPr>
                <w:rFonts w:ascii="Times New Roman" w:hAnsi="Times New Roman"/>
                <w:sz w:val="21"/>
                <w:vertAlign w:val="superscript"/>
              </w:rPr>
              <w:t>3</w:t>
            </w:r>
            <w:r>
              <w:rPr>
                <w:rFonts w:ascii="Times New Roman" w:hAnsi="Times New Roman"/>
                <w:sz w:val="21"/>
              </w:rPr>
              <w:t>/d，两座配水厂能够满足“规划”区域的用书需求。</w:t>
            </w:r>
          </w:p>
        </w:tc>
        <w:tc>
          <w:tcPr>
            <w:tcW w:w="1573" w:type="dxa"/>
            <w:vAlign w:val="center"/>
          </w:tcPr>
          <w:p>
            <w:pPr>
              <w:pStyle w:val="16"/>
              <w:spacing w:line="400" w:lineRule="exact"/>
              <w:rPr>
                <w:rFonts w:ascii="Times New Roman" w:hAnsi="Times New Roman"/>
                <w:sz w:val="21"/>
              </w:rPr>
            </w:pPr>
          </w:p>
        </w:tc>
        <w:tc>
          <w:tcPr>
            <w:tcW w:w="4479" w:type="dxa"/>
            <w:vAlign w:val="center"/>
          </w:tcPr>
          <w:p>
            <w:pPr>
              <w:pStyle w:val="16"/>
              <w:spacing w:line="400" w:lineRule="exact"/>
              <w:rPr>
                <w:rFonts w:ascii="Times New Roman" w:hAnsi="Times New Roman"/>
                <w:sz w:val="21"/>
              </w:rPr>
            </w:pPr>
            <w:r>
              <w:rPr>
                <w:rFonts w:hint="eastAsia" w:ascii="Times New Roman" w:hAnsi="Times New Roman"/>
                <w:sz w:val="21"/>
              </w:rPr>
              <w:t>李巴彦单元、石庙子单元、杨官单元为浑南配水厂供水，规模</w:t>
            </w:r>
            <w:r>
              <w:rPr>
                <w:rFonts w:ascii="Times New Roman" w:hAnsi="Times New Roman"/>
                <w:sz w:val="21"/>
              </w:rPr>
              <w:t>33.0</w:t>
            </w:r>
            <w:r>
              <w:rPr>
                <w:rFonts w:hint="eastAsia" w:ascii="Times New Roman" w:hAnsi="Times New Roman"/>
                <w:sz w:val="21"/>
              </w:rPr>
              <w:t>万吨</w:t>
            </w:r>
            <w:r>
              <w:rPr>
                <w:rFonts w:ascii="Times New Roman" w:hAnsi="Times New Roman"/>
                <w:sz w:val="21"/>
              </w:rPr>
              <w:t>/</w:t>
            </w:r>
            <w:r>
              <w:rPr>
                <w:rFonts w:hint="eastAsia" w:ascii="Times New Roman" w:hAnsi="Times New Roman"/>
                <w:sz w:val="21"/>
              </w:rPr>
              <w:t>天；麦子屯单元、王家湾单元为浑南供水公司4#配水厂供水，总供水规模</w:t>
            </w:r>
            <w:r>
              <w:rPr>
                <w:rFonts w:ascii="Times New Roman" w:hAnsi="Times New Roman"/>
                <w:sz w:val="21"/>
              </w:rPr>
              <w:t>218.4</w:t>
            </w:r>
            <w:r>
              <w:rPr>
                <w:rFonts w:hint="eastAsia" w:ascii="Times New Roman" w:hAnsi="Times New Roman"/>
                <w:sz w:val="21"/>
              </w:rPr>
              <w:t>万吨</w:t>
            </w:r>
            <w:r>
              <w:rPr>
                <w:rFonts w:ascii="Times New Roman" w:hAnsi="Times New Roman"/>
                <w:sz w:val="21"/>
              </w:rPr>
              <w:t>/</w:t>
            </w:r>
            <w:r>
              <w:rPr>
                <w:rFonts w:hint="eastAsia" w:ascii="Times New Roman" w:hAnsi="Times New Roman"/>
                <w:sz w:val="21"/>
              </w:rPr>
              <w:t>日。</w:t>
            </w:r>
          </w:p>
        </w:tc>
        <w:tc>
          <w:tcPr>
            <w:tcW w:w="1765" w:type="dxa"/>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2</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“规划”区域污水近期排入绘画桑林子污水处理厂处理，远期排入规划扩建的南部污水处理厂处理。该地区雨水经管道收集，经泵站提升后排入张官河、杨官河。</w:t>
            </w:r>
          </w:p>
        </w:tc>
        <w:tc>
          <w:tcPr>
            <w:tcW w:w="1573" w:type="dxa"/>
            <w:vAlign w:val="center"/>
          </w:tcPr>
          <w:p>
            <w:pPr>
              <w:pStyle w:val="16"/>
              <w:spacing w:line="400" w:lineRule="exact"/>
              <w:rPr>
                <w:rFonts w:ascii="Times New Roman" w:hAnsi="Times New Roman"/>
                <w:sz w:val="21"/>
              </w:rPr>
            </w:pPr>
          </w:p>
        </w:tc>
        <w:tc>
          <w:tcPr>
            <w:tcW w:w="4479" w:type="dxa"/>
            <w:vAlign w:val="center"/>
          </w:tcPr>
          <w:p>
            <w:pPr>
              <w:pStyle w:val="16"/>
              <w:spacing w:line="400" w:lineRule="exact"/>
              <w:rPr>
                <w:rFonts w:ascii="Times New Roman" w:hAnsi="Times New Roman"/>
                <w:sz w:val="21"/>
              </w:rPr>
            </w:pPr>
            <w:r>
              <w:rPr>
                <w:rFonts w:hint="eastAsia" w:ascii="Times New Roman" w:hAnsi="Times New Roman"/>
                <w:sz w:val="21"/>
              </w:rPr>
              <w:t>各单元污水均排入上夹河污水处理厂或转输到桃仙污水处理厂处理</w:t>
            </w:r>
            <w:r>
              <w:rPr>
                <w:rFonts w:ascii="Times New Roman" w:hAnsi="Times New Roman"/>
                <w:sz w:val="21"/>
              </w:rPr>
              <w:t>。</w:t>
            </w:r>
            <w:r>
              <w:rPr>
                <w:rFonts w:hint="eastAsia" w:ascii="Times New Roman" w:hAnsi="Times New Roman"/>
                <w:sz w:val="21"/>
              </w:rPr>
              <w:t>王家湾村、养竹村、麦子屯村和古城子村、牛相村和水家村、刘付村、石庙子村和东岗子村排水未得到收集，生活污水、雨水除渗漏外，其余均顺地表沟渠流入地表水体，基本未经处理</w:t>
            </w:r>
          </w:p>
        </w:tc>
        <w:tc>
          <w:tcPr>
            <w:tcW w:w="1765" w:type="dxa"/>
            <w:vAlign w:val="center"/>
          </w:tcPr>
          <w:p>
            <w:pPr>
              <w:pStyle w:val="16"/>
              <w:spacing w:line="400" w:lineRule="exact"/>
              <w:rPr>
                <w:rFonts w:ascii="Times New Roman" w:hAnsi="Times New Roman"/>
                <w:sz w:val="21"/>
              </w:rPr>
            </w:pPr>
            <w:r>
              <w:rPr>
                <w:rFonts w:hint="eastAsia" w:ascii="Times New Roman" w:hAnsi="Times New Roman"/>
                <w:sz w:val="21"/>
              </w:rPr>
              <w:t>加快排水管网建设，污水全部经处理后排放。</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3</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“规划”预测三环以北供热负荷为1157MW，三环以南供热负荷400MW，“规划”区域供热主要由本地区三环北3号热源厂（总容量1176MW）、三环南规划热源厂（总容量700MW）。</w:t>
            </w:r>
          </w:p>
        </w:tc>
        <w:tc>
          <w:tcPr>
            <w:tcW w:w="1573" w:type="dxa"/>
            <w:vAlign w:val="center"/>
          </w:tcPr>
          <w:p>
            <w:pPr>
              <w:pStyle w:val="16"/>
              <w:spacing w:line="400" w:lineRule="exact"/>
              <w:rPr>
                <w:rFonts w:ascii="Times New Roman" w:hAnsi="Times New Roman"/>
                <w:sz w:val="21"/>
              </w:rPr>
            </w:pPr>
          </w:p>
        </w:tc>
        <w:tc>
          <w:tcPr>
            <w:tcW w:w="4479" w:type="dxa"/>
            <w:vAlign w:val="center"/>
          </w:tcPr>
          <w:p>
            <w:pPr>
              <w:pStyle w:val="16"/>
              <w:spacing w:line="400" w:lineRule="exact"/>
              <w:rPr>
                <w:rFonts w:ascii="Times New Roman" w:hAnsi="Times New Roman"/>
                <w:sz w:val="21"/>
              </w:rPr>
            </w:pPr>
            <w:r>
              <w:rPr>
                <w:rFonts w:hint="eastAsia" w:ascii="Times New Roman" w:hAnsi="Times New Roman"/>
                <w:sz w:val="21"/>
              </w:rPr>
              <w:t>规划区域现状主要由沈阳浑南热力有限责任公司第三热源厂供热，王家湾村居民、麦子屯和古城子村居民、养竹村居民、刘付村、石庙子村和东岗子村居民、牛相村和水家村居民冬季采暖主要是采用煤炉供暖。</w:t>
            </w:r>
          </w:p>
        </w:tc>
        <w:tc>
          <w:tcPr>
            <w:tcW w:w="1765" w:type="dxa"/>
            <w:vAlign w:val="center"/>
          </w:tcPr>
          <w:p>
            <w:pPr>
              <w:pStyle w:val="16"/>
              <w:spacing w:line="400" w:lineRule="exact"/>
              <w:rPr>
                <w:rFonts w:ascii="Times New Roman" w:hAnsi="Times New Roman"/>
                <w:sz w:val="21"/>
              </w:rPr>
            </w:pPr>
            <w:r>
              <w:rPr>
                <w:rFonts w:hint="eastAsia" w:ascii="Times New Roman" w:hAnsi="Times New Roman"/>
                <w:sz w:val="21"/>
              </w:rPr>
              <w:t>加快供热管网建设，冬季实施集中供热。</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4</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“规划”区域生活垃圾运往老虎冲垃圾填埋处理，若沈阳建设垃圾焚烧发电厂建设工程建成后，则焚烧处理。对属于危险废物部分的，能回收利用的先进行综合利用，其它不能回收的，进行安全处置。</w:t>
            </w:r>
          </w:p>
        </w:tc>
        <w:tc>
          <w:tcPr>
            <w:tcW w:w="1573" w:type="dxa"/>
            <w:vAlign w:val="center"/>
          </w:tcPr>
          <w:p>
            <w:pPr>
              <w:pStyle w:val="16"/>
              <w:spacing w:line="400" w:lineRule="exact"/>
              <w:rPr>
                <w:rFonts w:ascii="Times New Roman" w:hAnsi="Times New Roman"/>
                <w:sz w:val="21"/>
              </w:rPr>
            </w:pPr>
            <w:r>
              <w:rPr>
                <w:rFonts w:ascii="Times New Roman" w:hAnsi="Times New Roman"/>
                <w:sz w:val="21"/>
              </w:rPr>
              <w:t>已落实</w:t>
            </w:r>
          </w:p>
        </w:tc>
        <w:tc>
          <w:tcPr>
            <w:tcW w:w="4479" w:type="dxa"/>
            <w:vAlign w:val="center"/>
          </w:tcPr>
          <w:p>
            <w:pPr>
              <w:pStyle w:val="16"/>
              <w:spacing w:line="400" w:lineRule="exact"/>
              <w:rPr>
                <w:rFonts w:ascii="Times New Roman" w:hAnsi="Times New Roman"/>
                <w:sz w:val="21"/>
              </w:rPr>
            </w:pPr>
            <w:r>
              <w:rPr>
                <w:rFonts w:ascii="Times New Roman" w:hAnsi="Times New Roman"/>
                <w:sz w:val="21"/>
              </w:rPr>
              <w:t>/</w:t>
            </w:r>
          </w:p>
        </w:tc>
        <w:tc>
          <w:tcPr>
            <w:tcW w:w="1765" w:type="dxa"/>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5</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“规划”区域引进项目时严格环境准入，重点发展保税加工与保税物流产业集群、高端装备产业集群、生物医药产业集群、电子商务产业集群、节能环保与新能源产业集群。</w:t>
            </w:r>
          </w:p>
        </w:tc>
        <w:tc>
          <w:tcPr>
            <w:tcW w:w="1573" w:type="dxa"/>
            <w:vAlign w:val="center"/>
          </w:tcPr>
          <w:p>
            <w:pPr>
              <w:pStyle w:val="16"/>
              <w:spacing w:line="400" w:lineRule="exact"/>
              <w:rPr>
                <w:rFonts w:ascii="Times New Roman" w:hAnsi="Times New Roman"/>
                <w:sz w:val="21"/>
              </w:rPr>
            </w:pPr>
            <w:r>
              <w:rPr>
                <w:rFonts w:ascii="Times New Roman" w:hAnsi="Times New Roman"/>
                <w:sz w:val="21"/>
              </w:rPr>
              <w:t>已落实</w:t>
            </w:r>
          </w:p>
        </w:tc>
        <w:tc>
          <w:tcPr>
            <w:tcW w:w="4479" w:type="dxa"/>
            <w:vAlign w:val="center"/>
          </w:tcPr>
          <w:p>
            <w:pPr>
              <w:pStyle w:val="16"/>
              <w:spacing w:line="400" w:lineRule="exact"/>
              <w:rPr>
                <w:rFonts w:ascii="Times New Roman" w:hAnsi="Times New Roman"/>
                <w:sz w:val="21"/>
              </w:rPr>
            </w:pPr>
            <w:r>
              <w:rPr>
                <w:rFonts w:ascii="Times New Roman" w:hAnsi="Times New Roman"/>
                <w:sz w:val="21"/>
              </w:rPr>
              <w:t>/</w:t>
            </w:r>
          </w:p>
        </w:tc>
        <w:tc>
          <w:tcPr>
            <w:tcW w:w="1765" w:type="dxa"/>
            <w:vAlign w:val="center"/>
          </w:tcPr>
          <w:p>
            <w:pPr>
              <w:pStyle w:val="16"/>
              <w:spacing w:line="400" w:lineRule="exact"/>
              <w:rPr>
                <w:rFonts w:ascii="Times New Roman" w:hAnsi="Times New Roman"/>
                <w:sz w:val="21"/>
              </w:rPr>
            </w:pPr>
            <w:r>
              <w:rPr>
                <w:rFonts w:ascii="Times New Roman" w:hAnsi="Times New Roman"/>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三</w:t>
            </w:r>
          </w:p>
        </w:tc>
        <w:tc>
          <w:tcPr>
            <w:tcW w:w="13872" w:type="dxa"/>
            <w:gridSpan w:val="4"/>
            <w:vAlign w:val="center"/>
          </w:tcPr>
          <w:p>
            <w:pPr>
              <w:pStyle w:val="16"/>
              <w:spacing w:line="400" w:lineRule="exact"/>
              <w:rPr>
                <w:rFonts w:ascii="Times New Roman" w:hAnsi="Times New Roman"/>
                <w:sz w:val="21"/>
              </w:rPr>
            </w:pPr>
            <w:r>
              <w:rPr>
                <w:rFonts w:hint="eastAsia" w:ascii="Times New Roman" w:hAnsi="Times New Roman"/>
                <w:sz w:val="21"/>
              </w:rPr>
              <w:t>对规划区域内不同功能区优化调整建议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1</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古城子以北工业用地区域预留地铁五号线停车场用地</w:t>
            </w:r>
          </w:p>
        </w:tc>
        <w:tc>
          <w:tcPr>
            <w:tcW w:w="1573" w:type="dxa"/>
            <w:vAlign w:val="center"/>
          </w:tcPr>
          <w:p>
            <w:pPr>
              <w:pStyle w:val="16"/>
              <w:spacing w:line="400" w:lineRule="exact"/>
              <w:rPr>
                <w:rFonts w:ascii="Times New Roman" w:hAnsi="Times New Roman"/>
                <w:sz w:val="21"/>
              </w:rPr>
            </w:pPr>
            <w:r>
              <w:rPr>
                <w:rFonts w:hint="eastAsia" w:ascii="Times New Roman" w:hAnsi="Times New Roman"/>
                <w:sz w:val="21"/>
              </w:rPr>
              <w:t>未落实</w:t>
            </w:r>
          </w:p>
        </w:tc>
        <w:tc>
          <w:tcPr>
            <w:tcW w:w="4479" w:type="dxa"/>
            <w:vAlign w:val="center"/>
          </w:tcPr>
          <w:p>
            <w:pPr>
              <w:pStyle w:val="16"/>
              <w:spacing w:line="400" w:lineRule="exact"/>
              <w:rPr>
                <w:rFonts w:ascii="Times New Roman" w:hAnsi="Times New Roman"/>
                <w:sz w:val="21"/>
              </w:rPr>
            </w:pPr>
            <w:r>
              <w:rPr>
                <w:rFonts w:hint="eastAsia" w:ascii="Times New Roman" w:hAnsi="Times New Roman"/>
                <w:sz w:val="21"/>
              </w:rPr>
              <w:t>未建设</w:t>
            </w:r>
          </w:p>
        </w:tc>
        <w:tc>
          <w:tcPr>
            <w:tcW w:w="1765" w:type="dxa"/>
            <w:vAlign w:val="center"/>
          </w:tcPr>
          <w:p>
            <w:pPr>
              <w:spacing w:line="400" w:lineRule="exact"/>
              <w:ind w:firstLine="0" w:firstLineChars="0"/>
              <w:jc w:val="center"/>
              <w:rPr>
                <w:sz w:val="21"/>
                <w:szCs w:val="21"/>
                <w:lang w:eastAsia="zh-CN"/>
              </w:rPr>
            </w:pPr>
            <w:r>
              <w:rPr>
                <w:rFonts w:hint="eastAsia"/>
                <w:sz w:val="21"/>
                <w:szCs w:val="21"/>
                <w:lang w:eastAsia="zh-CN"/>
              </w:rPr>
              <w:t>规划实施应按照调整建议建设</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2</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石庙子独立工业用地规划调整为仓储物流用地</w:t>
            </w:r>
          </w:p>
        </w:tc>
        <w:tc>
          <w:tcPr>
            <w:tcW w:w="1573" w:type="dxa"/>
            <w:vAlign w:val="center"/>
          </w:tcPr>
          <w:p>
            <w:pPr>
              <w:pStyle w:val="16"/>
              <w:spacing w:line="400" w:lineRule="exact"/>
              <w:rPr>
                <w:rFonts w:ascii="Times New Roman" w:hAnsi="Times New Roman"/>
                <w:sz w:val="21"/>
              </w:rPr>
            </w:pPr>
            <w:r>
              <w:rPr>
                <w:rFonts w:ascii="Times New Roman" w:hAnsi="Times New Roman"/>
                <w:sz w:val="21"/>
              </w:rPr>
              <w:t>已落实</w:t>
            </w:r>
          </w:p>
        </w:tc>
        <w:tc>
          <w:tcPr>
            <w:tcW w:w="4479" w:type="dxa"/>
            <w:vAlign w:val="center"/>
          </w:tcPr>
          <w:p>
            <w:pPr>
              <w:pStyle w:val="16"/>
              <w:spacing w:line="400" w:lineRule="exact"/>
              <w:rPr>
                <w:rFonts w:ascii="Times New Roman" w:hAnsi="Times New Roman"/>
                <w:sz w:val="21"/>
              </w:rPr>
            </w:pPr>
            <w:r>
              <w:rPr>
                <w:rFonts w:hint="eastAsia" w:ascii="Times New Roman" w:hAnsi="Times New Roman"/>
                <w:sz w:val="21"/>
              </w:rPr>
              <w:t>根据石庙子单元控制性详细规划，规划区域内无工业用地为仓储物流用地</w:t>
            </w:r>
          </w:p>
        </w:tc>
        <w:tc>
          <w:tcPr>
            <w:tcW w:w="1765" w:type="dxa"/>
            <w:vAlign w:val="center"/>
          </w:tcPr>
          <w:p>
            <w:pPr>
              <w:spacing w:line="400" w:lineRule="exact"/>
              <w:ind w:firstLine="0" w:firstLineChars="0"/>
              <w:jc w:val="center"/>
              <w:rPr>
                <w:sz w:val="21"/>
                <w:szCs w:val="21"/>
              </w:rPr>
            </w:pPr>
            <w:r>
              <w:rPr>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3</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浑南大道和新立街交叉口西南象限规划工业用地调整为商住用地</w:t>
            </w:r>
          </w:p>
        </w:tc>
        <w:tc>
          <w:tcPr>
            <w:tcW w:w="1573" w:type="dxa"/>
            <w:vAlign w:val="center"/>
          </w:tcPr>
          <w:p>
            <w:pPr>
              <w:pStyle w:val="16"/>
              <w:spacing w:line="400" w:lineRule="exact"/>
              <w:rPr>
                <w:rFonts w:ascii="Times New Roman" w:hAnsi="Times New Roman"/>
                <w:sz w:val="21"/>
              </w:rPr>
            </w:pPr>
            <w:r>
              <w:rPr>
                <w:rFonts w:hint="eastAsia" w:ascii="Times New Roman" w:hAnsi="Times New Roman"/>
                <w:sz w:val="21"/>
              </w:rPr>
              <w:t>未落实</w:t>
            </w:r>
          </w:p>
        </w:tc>
        <w:tc>
          <w:tcPr>
            <w:tcW w:w="4479" w:type="dxa"/>
            <w:vAlign w:val="center"/>
          </w:tcPr>
          <w:p>
            <w:pPr>
              <w:pStyle w:val="16"/>
              <w:spacing w:line="400" w:lineRule="exact"/>
              <w:rPr>
                <w:rFonts w:ascii="Times New Roman" w:hAnsi="Times New Roman"/>
                <w:sz w:val="21"/>
              </w:rPr>
            </w:pPr>
            <w:r>
              <w:rPr>
                <w:rFonts w:hint="eastAsia" w:ascii="Times New Roman" w:hAnsi="Times New Roman"/>
                <w:sz w:val="21"/>
              </w:rPr>
              <w:t>根据李巴彦单元控制性详细规划，浑南大道和新立街交叉口西南象限为商住用地</w:t>
            </w:r>
          </w:p>
        </w:tc>
        <w:tc>
          <w:tcPr>
            <w:tcW w:w="1765" w:type="dxa"/>
            <w:vAlign w:val="center"/>
          </w:tcPr>
          <w:p>
            <w:pPr>
              <w:spacing w:line="400" w:lineRule="exact"/>
              <w:ind w:firstLine="0" w:firstLineChars="0"/>
              <w:jc w:val="center"/>
              <w:rPr>
                <w:sz w:val="21"/>
                <w:szCs w:val="21"/>
              </w:rPr>
            </w:pPr>
            <w:r>
              <w:rPr>
                <w:sz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4</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依托苏抚灌渠扩大绿化隔离带，将古城子附近规划的居住用地与北侧工业用地进行隔离</w:t>
            </w:r>
          </w:p>
        </w:tc>
        <w:tc>
          <w:tcPr>
            <w:tcW w:w="1573" w:type="dxa"/>
            <w:vAlign w:val="center"/>
          </w:tcPr>
          <w:p>
            <w:pPr>
              <w:pStyle w:val="16"/>
              <w:spacing w:line="400" w:lineRule="exact"/>
              <w:rPr>
                <w:rFonts w:ascii="Times New Roman" w:hAnsi="Times New Roman"/>
                <w:sz w:val="21"/>
              </w:rPr>
            </w:pPr>
            <w:r>
              <w:rPr>
                <w:rFonts w:hint="eastAsia" w:ascii="Times New Roman" w:hAnsi="Times New Roman"/>
                <w:sz w:val="21"/>
              </w:rPr>
              <w:t>未落实</w:t>
            </w:r>
          </w:p>
        </w:tc>
        <w:tc>
          <w:tcPr>
            <w:tcW w:w="4479" w:type="dxa"/>
            <w:vAlign w:val="center"/>
          </w:tcPr>
          <w:p>
            <w:pPr>
              <w:pStyle w:val="16"/>
              <w:spacing w:line="400" w:lineRule="exact"/>
              <w:rPr>
                <w:rFonts w:ascii="Times New Roman" w:hAnsi="Times New Roman"/>
                <w:sz w:val="21"/>
              </w:rPr>
            </w:pPr>
            <w:r>
              <w:rPr>
                <w:rFonts w:hint="eastAsia" w:ascii="Times New Roman" w:hAnsi="Times New Roman"/>
                <w:sz w:val="21"/>
              </w:rPr>
              <w:t>古城子居住用地附近的工业用地未调整完成</w:t>
            </w:r>
          </w:p>
        </w:tc>
        <w:tc>
          <w:tcPr>
            <w:tcW w:w="1765" w:type="dxa"/>
            <w:vAlign w:val="center"/>
          </w:tcPr>
          <w:p>
            <w:pPr>
              <w:spacing w:line="400" w:lineRule="exact"/>
              <w:ind w:firstLine="0" w:firstLineChars="0"/>
              <w:jc w:val="center"/>
              <w:rPr>
                <w:sz w:val="21"/>
                <w:szCs w:val="21"/>
                <w:lang w:eastAsia="zh-CN"/>
              </w:rPr>
            </w:pPr>
            <w:r>
              <w:rPr>
                <w:rFonts w:hint="eastAsia"/>
                <w:sz w:val="21"/>
                <w:szCs w:val="21"/>
                <w:lang w:eastAsia="zh-CN"/>
              </w:rPr>
              <w:t>规划实施应按照调整建议建设</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5</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依托文溯街将生物医药产业集群与东侧规划居住用地隔离</w:t>
            </w:r>
          </w:p>
        </w:tc>
        <w:tc>
          <w:tcPr>
            <w:tcW w:w="1573" w:type="dxa"/>
            <w:vAlign w:val="center"/>
          </w:tcPr>
          <w:p>
            <w:pPr>
              <w:pStyle w:val="16"/>
              <w:spacing w:line="400" w:lineRule="exact"/>
              <w:rPr>
                <w:rFonts w:ascii="Times New Roman" w:hAnsi="Times New Roman"/>
                <w:sz w:val="21"/>
              </w:rPr>
            </w:pPr>
            <w:r>
              <w:rPr>
                <w:rFonts w:hint="eastAsia" w:ascii="Times New Roman" w:hAnsi="Times New Roman"/>
                <w:sz w:val="21"/>
              </w:rPr>
              <w:t>未落实</w:t>
            </w:r>
          </w:p>
        </w:tc>
        <w:tc>
          <w:tcPr>
            <w:tcW w:w="4479" w:type="dxa"/>
            <w:vAlign w:val="center"/>
          </w:tcPr>
          <w:p>
            <w:pPr>
              <w:pStyle w:val="16"/>
              <w:spacing w:line="400" w:lineRule="exact"/>
              <w:rPr>
                <w:rFonts w:ascii="Times New Roman" w:hAnsi="Times New Roman"/>
                <w:sz w:val="21"/>
              </w:rPr>
            </w:pPr>
            <w:r>
              <w:rPr>
                <w:rFonts w:hint="eastAsia" w:ascii="Times New Roman" w:hAnsi="Times New Roman"/>
                <w:sz w:val="21"/>
              </w:rPr>
              <w:t>未建设</w:t>
            </w:r>
          </w:p>
        </w:tc>
        <w:tc>
          <w:tcPr>
            <w:tcW w:w="1765" w:type="dxa"/>
            <w:vAlign w:val="center"/>
          </w:tcPr>
          <w:p>
            <w:pPr>
              <w:spacing w:line="400" w:lineRule="exact"/>
              <w:ind w:firstLine="0" w:firstLineChars="0"/>
              <w:jc w:val="center"/>
              <w:rPr>
                <w:sz w:val="21"/>
                <w:szCs w:val="21"/>
                <w:lang w:eastAsia="zh-CN"/>
              </w:rPr>
            </w:pPr>
            <w:r>
              <w:rPr>
                <w:rFonts w:hint="eastAsia"/>
                <w:sz w:val="21"/>
                <w:szCs w:val="21"/>
                <w:lang w:eastAsia="zh-CN"/>
              </w:rPr>
              <w:t>规划实施应按照调整建议建设</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6"/>
              <w:spacing w:line="400" w:lineRule="exact"/>
              <w:rPr>
                <w:rFonts w:ascii="Times New Roman" w:hAnsi="Times New Roman"/>
                <w:sz w:val="21"/>
              </w:rPr>
            </w:pPr>
            <w:r>
              <w:rPr>
                <w:rFonts w:hint="eastAsia" w:ascii="Times New Roman" w:hAnsi="Times New Roman"/>
                <w:sz w:val="21"/>
              </w:rPr>
              <w:t>6</w:t>
            </w:r>
          </w:p>
        </w:tc>
        <w:tc>
          <w:tcPr>
            <w:tcW w:w="6055" w:type="dxa"/>
            <w:vAlign w:val="center"/>
          </w:tcPr>
          <w:p>
            <w:pPr>
              <w:pStyle w:val="16"/>
              <w:spacing w:line="400" w:lineRule="exact"/>
              <w:rPr>
                <w:rFonts w:ascii="Times New Roman" w:hAnsi="Times New Roman"/>
                <w:sz w:val="21"/>
              </w:rPr>
            </w:pPr>
            <w:r>
              <w:rPr>
                <w:rFonts w:hint="eastAsia" w:ascii="Times New Roman" w:hAnsi="Times New Roman"/>
                <w:sz w:val="21"/>
              </w:rPr>
              <w:t>规划北侧与居住用地紧邻的工业用地、规划区西侧工业用地限定为一类工业用地</w:t>
            </w:r>
          </w:p>
        </w:tc>
        <w:tc>
          <w:tcPr>
            <w:tcW w:w="1573" w:type="dxa"/>
            <w:vAlign w:val="center"/>
          </w:tcPr>
          <w:p>
            <w:pPr>
              <w:pStyle w:val="16"/>
              <w:spacing w:line="400" w:lineRule="exact"/>
              <w:rPr>
                <w:rFonts w:ascii="Times New Roman" w:hAnsi="Times New Roman"/>
                <w:sz w:val="21"/>
              </w:rPr>
            </w:pPr>
            <w:r>
              <w:rPr>
                <w:rFonts w:ascii="Times New Roman" w:hAnsi="Times New Roman"/>
                <w:sz w:val="21"/>
              </w:rPr>
              <w:t>已落实</w:t>
            </w:r>
          </w:p>
        </w:tc>
        <w:tc>
          <w:tcPr>
            <w:tcW w:w="4479" w:type="dxa"/>
            <w:vAlign w:val="center"/>
          </w:tcPr>
          <w:p>
            <w:pPr>
              <w:pStyle w:val="16"/>
              <w:spacing w:line="400" w:lineRule="exact"/>
              <w:rPr>
                <w:rFonts w:ascii="Times New Roman" w:hAnsi="Times New Roman"/>
                <w:sz w:val="21"/>
              </w:rPr>
            </w:pPr>
            <w:r>
              <w:rPr>
                <w:rFonts w:hint="eastAsia" w:ascii="Times New Roman" w:hAnsi="Times New Roman"/>
                <w:sz w:val="21"/>
              </w:rPr>
              <w:t>根据麦子屯单元控制性详细规划，规划区域内工业用地为一类</w:t>
            </w:r>
          </w:p>
        </w:tc>
        <w:tc>
          <w:tcPr>
            <w:tcW w:w="1765" w:type="dxa"/>
            <w:vAlign w:val="center"/>
          </w:tcPr>
          <w:p>
            <w:pPr>
              <w:spacing w:line="400" w:lineRule="exact"/>
              <w:ind w:firstLine="0" w:firstLineChars="0"/>
              <w:jc w:val="center"/>
              <w:rPr>
                <w:sz w:val="21"/>
                <w:szCs w:val="21"/>
              </w:rPr>
            </w:pPr>
            <w:r>
              <w:rPr>
                <w:sz w:val="21"/>
              </w:rPr>
              <w:t>无</w:t>
            </w:r>
          </w:p>
        </w:tc>
      </w:tr>
    </w:tbl>
    <w:p>
      <w:pPr>
        <w:spacing w:line="284" w:lineRule="auto"/>
        <w:ind w:firstLine="420"/>
        <w:rPr>
          <w:rFonts w:cs="Times New Roman"/>
          <w:sz w:val="21"/>
          <w:szCs w:val="21"/>
          <w:lang w:eastAsia="zh-CN"/>
        </w:rPr>
        <w:sectPr>
          <w:footerReference r:id="rId18" w:type="default"/>
          <w:pgSz w:w="16840" w:h="11910" w:orient="landscape"/>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ind w:firstLine="480"/>
        <w:rPr>
          <w:rFonts w:cs="Times New Roman"/>
          <w:lang w:eastAsia="zh-CN"/>
        </w:rPr>
      </w:pPr>
    </w:p>
    <w:p>
      <w:pPr>
        <w:spacing w:before="1"/>
        <w:ind w:firstLine="80"/>
        <w:rPr>
          <w:rFonts w:eastAsia="Times New Roman" w:cs="Times New Roman"/>
          <w:sz w:val="4"/>
          <w:szCs w:val="4"/>
          <w:lang w:eastAsia="zh-CN"/>
        </w:rPr>
      </w:pPr>
    </w:p>
    <w:p>
      <w:pPr>
        <w:spacing w:line="20" w:lineRule="atLeast"/>
        <w:ind w:left="181" w:firstLine="40"/>
        <w:rPr>
          <w:rFonts w:eastAsia="Times New Roman" w:cs="Times New Roman"/>
          <w:sz w:val="2"/>
          <w:szCs w:val="2"/>
          <w:lang w:eastAsia="zh-CN"/>
        </w:rPr>
      </w:pPr>
    </w:p>
    <w:p>
      <w:pPr>
        <w:pStyle w:val="7"/>
        <w:rPr>
          <w:rFonts w:ascii="Times New Roman" w:hAnsi="Times New Roman" w:cs="Times New Roman"/>
          <w:lang w:eastAsia="zh-CN"/>
        </w:rPr>
      </w:pPr>
      <w:bookmarkStart w:id="108" w:name="_Toc14937"/>
      <w:bookmarkStart w:id="109" w:name="_Toc5583"/>
      <w:r>
        <w:rPr>
          <w:rFonts w:ascii="Times New Roman" w:hAnsi="Times New Roman" w:cs="Times New Roman"/>
          <w:lang w:eastAsia="zh-CN"/>
        </w:rPr>
        <w:t>3 区域生态环境演变趋势</w:t>
      </w:r>
      <w:bookmarkEnd w:id="108"/>
      <w:bookmarkEnd w:id="109"/>
    </w:p>
    <w:p>
      <w:pPr>
        <w:pStyle w:val="9"/>
        <w:tabs>
          <w:tab w:val="left" w:pos="1302"/>
        </w:tabs>
        <w:spacing w:before="0" w:after="0"/>
        <w:jc w:val="left"/>
        <w:rPr>
          <w:rFonts w:ascii="Times New Roman" w:hAnsi="Times New Roman"/>
        </w:rPr>
      </w:pPr>
      <w:bookmarkStart w:id="110" w:name="_Toc17098"/>
      <w:bookmarkStart w:id="111" w:name="_Toc9265"/>
      <w:r>
        <w:rPr>
          <w:rFonts w:ascii="Times New Roman" w:hAnsi="Times New Roman"/>
        </w:rPr>
        <w:t xml:space="preserve">3.1 </w:t>
      </w:r>
      <w:r>
        <w:rPr>
          <w:rFonts w:hint="eastAsia" w:ascii="Times New Roman" w:hAnsi="Times New Roman"/>
        </w:rPr>
        <w:t>生态环境质量变化趋势分析</w:t>
      </w:r>
    </w:p>
    <w:p>
      <w:pPr>
        <w:pStyle w:val="9"/>
        <w:tabs>
          <w:tab w:val="left" w:pos="1302"/>
        </w:tabs>
        <w:spacing w:before="0" w:after="0"/>
        <w:jc w:val="left"/>
        <w:rPr>
          <w:rFonts w:ascii="Times New Roman" w:hAnsi="Times New Roman"/>
          <w:spacing w:val="-1"/>
        </w:rPr>
      </w:pPr>
      <w:r>
        <w:rPr>
          <w:rFonts w:ascii="Times New Roman" w:hAnsi="Times New Roman"/>
          <w:spacing w:val="-1"/>
        </w:rPr>
        <w:t xml:space="preserve">3.1.1 </w:t>
      </w:r>
      <w:r>
        <w:rPr>
          <w:rFonts w:hint="eastAsia" w:ascii="Times New Roman" w:hAnsi="Times New Roman"/>
          <w:spacing w:val="-1"/>
        </w:rPr>
        <w:t>环境质量变化趋势分析</w:t>
      </w:r>
    </w:p>
    <w:p>
      <w:pPr>
        <w:keepNext/>
        <w:keepLines/>
        <w:tabs>
          <w:tab w:val="left" w:pos="1302"/>
        </w:tabs>
        <w:adjustRightInd w:val="0"/>
        <w:ind w:firstLine="480"/>
        <w:rPr>
          <w:bCs/>
          <w:spacing w:val="-1"/>
          <w:lang w:eastAsia="zh-CN"/>
        </w:rPr>
      </w:pPr>
      <w:r>
        <w:rPr>
          <w:rFonts w:cs="Times New Roman"/>
          <w:lang w:eastAsia="zh-CN"/>
        </w:rPr>
        <w:t>本次评价历史资料采用规划环评中的环境质量监测数据，结合近年沈阳市环境质量监测数据以及本次跟踪环评现状监测数据，同时结合入驻企业的环境现状监测数据，对环境空气、地表水、地下水、土壤和声环境进行了环境质量趋势分析。</w:t>
      </w:r>
    </w:p>
    <w:p>
      <w:pPr>
        <w:pStyle w:val="10"/>
        <w:tabs>
          <w:tab w:val="left" w:pos="1302"/>
        </w:tabs>
        <w:adjustRightInd w:val="0"/>
        <w:jc w:val="left"/>
        <w:rPr>
          <w:rFonts w:cs="Times New Roman"/>
          <w:b/>
          <w:bCs/>
          <w:szCs w:val="24"/>
          <w:lang w:eastAsia="zh-CN"/>
        </w:rPr>
      </w:pPr>
      <w:r>
        <w:rPr>
          <w:rFonts w:hint="eastAsia" w:cs="Times New Roman"/>
          <w:b/>
          <w:bCs/>
          <w:szCs w:val="24"/>
          <w:lang w:eastAsia="zh-CN"/>
        </w:rPr>
        <w:t>3.1.1.1大气环境质量变化趋势分析</w:t>
      </w:r>
    </w:p>
    <w:p>
      <w:pPr>
        <w:pStyle w:val="11"/>
        <w:tabs>
          <w:tab w:val="left" w:pos="1302"/>
        </w:tabs>
        <w:adjustRightInd w:val="0"/>
        <w:spacing w:before="0" w:after="0" w:line="360" w:lineRule="auto"/>
        <w:ind w:firstLine="0" w:firstLineChars="0"/>
        <w:jc w:val="left"/>
        <w:rPr>
          <w:rFonts w:cs="Times New Roman"/>
          <w:sz w:val="24"/>
          <w:szCs w:val="24"/>
          <w:lang w:eastAsia="zh-CN"/>
        </w:rPr>
      </w:pPr>
      <w:r>
        <w:rPr>
          <w:rFonts w:hint="eastAsia" w:cs="Times New Roman"/>
          <w:sz w:val="24"/>
          <w:szCs w:val="24"/>
          <w:lang w:eastAsia="zh-CN"/>
        </w:rPr>
        <w:t>3.1.1.1.1原规划环评空气环境质量</w:t>
      </w:r>
    </w:p>
    <w:p>
      <w:pPr>
        <w:widowControl/>
        <w:ind w:firstLine="480"/>
        <w:rPr>
          <w:rFonts w:cs="Times New Roman"/>
          <w:lang w:eastAsia="zh-CN"/>
        </w:rPr>
      </w:pPr>
      <w:r>
        <w:rPr>
          <w:rFonts w:cs="Times New Roman"/>
          <w:lang w:eastAsia="zh-CN"/>
        </w:rPr>
        <w:t>上一轮规划环评时收集</w:t>
      </w:r>
      <w:r>
        <w:rPr>
          <w:rFonts w:cs="Times New Roman"/>
          <w:color w:val="000000"/>
          <w:lang w:eastAsia="zh-CN" w:bidi="ar"/>
        </w:rPr>
        <w:t>2011年12月8日～12月14日大唐国际辽宁沈抚连接带热电厂新建工程大气环境监测数据和《2012年东陵区（浑南新区）环境质量报告书》监测数据。</w:t>
      </w:r>
    </w:p>
    <w:p>
      <w:pPr>
        <w:ind w:firstLine="480"/>
        <w:rPr>
          <w:rFonts w:cs="Times New Roman"/>
          <w:lang w:eastAsia="zh-CN"/>
        </w:rPr>
      </w:pPr>
      <w:r>
        <w:rPr>
          <w:rFonts w:cs="Times New Roman"/>
          <w:lang w:eastAsia="zh-CN"/>
        </w:rPr>
        <w:t>评价地区</w:t>
      </w:r>
      <w:r>
        <w:rPr>
          <w:rFonts w:hint="eastAsia" w:cs="Times New Roman"/>
          <w:lang w:eastAsia="zh-CN"/>
        </w:rPr>
        <w:t>5</w:t>
      </w:r>
      <w:r>
        <w:rPr>
          <w:rFonts w:cs="Times New Roman"/>
          <w:lang w:eastAsia="zh-CN"/>
        </w:rPr>
        <w:t>个大气监测点。环境空气质量监测数据，可知，各监测点SO</w:t>
      </w:r>
      <w:r>
        <w:rPr>
          <w:rFonts w:cs="Times New Roman"/>
          <w:vertAlign w:val="subscript"/>
          <w:lang w:eastAsia="zh-CN"/>
        </w:rPr>
        <w:t>2</w:t>
      </w:r>
      <w:r>
        <w:rPr>
          <w:rFonts w:cs="Times New Roman"/>
          <w:lang w:eastAsia="zh-CN"/>
        </w:rPr>
        <w:t>日均值、小时值，NO</w:t>
      </w:r>
      <w:r>
        <w:rPr>
          <w:rFonts w:cs="Times New Roman"/>
          <w:vertAlign w:val="subscript"/>
          <w:lang w:eastAsia="zh-CN"/>
        </w:rPr>
        <w:t>2</w:t>
      </w:r>
      <w:r>
        <w:rPr>
          <w:rFonts w:cs="Times New Roman"/>
          <w:lang w:eastAsia="zh-CN"/>
        </w:rPr>
        <w:t>日均值、小时值均达标，PM</w:t>
      </w:r>
      <w:r>
        <w:rPr>
          <w:rFonts w:cs="Times New Roman"/>
          <w:vertAlign w:val="subscript"/>
          <w:lang w:eastAsia="zh-CN"/>
        </w:rPr>
        <w:t>10</w:t>
      </w:r>
      <w:r>
        <w:rPr>
          <w:rFonts w:cs="Times New Roman"/>
          <w:lang w:eastAsia="zh-CN"/>
        </w:rPr>
        <w:t>日均值</w:t>
      </w:r>
      <w:r>
        <w:rPr>
          <w:rFonts w:hint="eastAsia" w:cs="Times New Roman"/>
          <w:lang w:eastAsia="zh-CN"/>
        </w:rPr>
        <w:t>出现超标现象</w:t>
      </w:r>
      <w:r>
        <w:rPr>
          <w:rFonts w:cs="Times New Roman"/>
          <w:lang w:eastAsia="zh-CN"/>
        </w:rPr>
        <w:t>，</w:t>
      </w:r>
      <w:r>
        <w:rPr>
          <w:rFonts w:hint="eastAsia" w:cs="Times New Roman"/>
          <w:lang w:eastAsia="zh-CN"/>
        </w:rPr>
        <w:t>冬季采暖和区域冬季无农田植被覆盖，是造成区域PM</w:t>
      </w:r>
      <w:r>
        <w:rPr>
          <w:rFonts w:hint="eastAsia" w:cs="Times New Roman"/>
          <w:vertAlign w:val="subscript"/>
          <w:lang w:eastAsia="zh-CN"/>
        </w:rPr>
        <w:t>10</w:t>
      </w:r>
      <w:r>
        <w:rPr>
          <w:rFonts w:hint="eastAsia" w:cs="Times New Roman"/>
          <w:lang w:eastAsia="zh-CN"/>
        </w:rPr>
        <w:t>超标的主要原因。</w:t>
      </w:r>
    </w:p>
    <w:p>
      <w:pPr>
        <w:spacing w:line="240" w:lineRule="auto"/>
        <w:ind w:firstLine="0" w:firstLineChars="0"/>
        <w:jc w:val="center"/>
        <w:rPr>
          <w:lang w:eastAsia="zh-CN"/>
        </w:rPr>
      </w:pPr>
      <w:r>
        <w:rPr>
          <w:rFonts w:hint="eastAsia" w:cs="Times New Roman"/>
          <w:b/>
          <w:bCs/>
          <w:lang w:eastAsia="zh-CN"/>
        </w:rPr>
        <w:t>表3.1-1 原规划环评大气环境监测点位</w:t>
      </w:r>
    </w:p>
    <w:tbl>
      <w:tblPr>
        <w:tblStyle w:val="64"/>
        <w:tblW w:w="4804" w:type="pct"/>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911"/>
        <w:gridCol w:w="2705"/>
        <w:gridCol w:w="2384"/>
        <w:gridCol w:w="2766"/>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520" w:type="pct"/>
            <w:vAlign w:val="center"/>
          </w:tcPr>
          <w:p>
            <w:pPr>
              <w:pStyle w:val="16"/>
              <w:spacing w:line="400" w:lineRule="exact"/>
              <w:rPr>
                <w:rFonts w:ascii="Times New Roman" w:hAnsi="Times New Roman"/>
                <w:b/>
                <w:bCs/>
                <w:sz w:val="21"/>
              </w:rPr>
            </w:pPr>
            <w:r>
              <w:rPr>
                <w:rFonts w:ascii="Times New Roman" w:hAnsi="Times New Roman"/>
                <w:b/>
                <w:bCs/>
                <w:sz w:val="21"/>
              </w:rPr>
              <w:t>序号</w:t>
            </w:r>
          </w:p>
        </w:tc>
        <w:tc>
          <w:tcPr>
            <w:tcW w:w="1542" w:type="pct"/>
            <w:vAlign w:val="center"/>
          </w:tcPr>
          <w:p>
            <w:pPr>
              <w:pStyle w:val="16"/>
              <w:spacing w:line="400" w:lineRule="exact"/>
              <w:rPr>
                <w:rFonts w:ascii="Times New Roman" w:hAnsi="Times New Roman"/>
                <w:b/>
                <w:bCs/>
                <w:sz w:val="21"/>
              </w:rPr>
            </w:pPr>
            <w:r>
              <w:rPr>
                <w:rFonts w:ascii="Times New Roman" w:hAnsi="Times New Roman"/>
                <w:b/>
                <w:bCs/>
                <w:sz w:val="21"/>
              </w:rPr>
              <w:t>监测点位置</w:t>
            </w:r>
          </w:p>
        </w:tc>
        <w:tc>
          <w:tcPr>
            <w:tcW w:w="1359" w:type="pct"/>
            <w:vAlign w:val="center"/>
          </w:tcPr>
          <w:p>
            <w:pPr>
              <w:pStyle w:val="16"/>
              <w:spacing w:line="400" w:lineRule="exact"/>
              <w:rPr>
                <w:rFonts w:ascii="Times New Roman" w:hAnsi="Times New Roman"/>
                <w:b/>
                <w:bCs/>
                <w:sz w:val="21"/>
              </w:rPr>
            </w:pPr>
            <w:r>
              <w:rPr>
                <w:rFonts w:ascii="Times New Roman" w:hAnsi="Times New Roman"/>
                <w:b/>
                <w:bCs/>
                <w:sz w:val="21"/>
              </w:rPr>
              <w:t>与规划区方位</w:t>
            </w:r>
          </w:p>
        </w:tc>
        <w:tc>
          <w:tcPr>
            <w:tcW w:w="1577" w:type="pct"/>
          </w:tcPr>
          <w:p>
            <w:pPr>
              <w:pStyle w:val="16"/>
              <w:spacing w:line="400" w:lineRule="exact"/>
              <w:rPr>
                <w:rFonts w:ascii="Times New Roman" w:hAnsi="Times New Roman"/>
                <w:b/>
                <w:bCs/>
                <w:sz w:val="21"/>
              </w:rPr>
            </w:pPr>
            <w:r>
              <w:rPr>
                <w:rFonts w:ascii="Times New Roman" w:hAnsi="Times New Roman"/>
                <w:b/>
                <w:bCs/>
                <w:sz w:val="21"/>
              </w:rPr>
              <w:t>监测因子</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520" w:type="pct"/>
            <w:vAlign w:val="center"/>
          </w:tcPr>
          <w:p>
            <w:pPr>
              <w:pStyle w:val="16"/>
              <w:spacing w:line="400" w:lineRule="exact"/>
              <w:rPr>
                <w:rFonts w:ascii="Times New Roman" w:hAnsi="Times New Roman"/>
                <w:sz w:val="21"/>
              </w:rPr>
            </w:pPr>
            <w:r>
              <w:rPr>
                <w:rFonts w:ascii="Times New Roman" w:hAnsi="Times New Roman"/>
                <w:sz w:val="21"/>
              </w:rPr>
              <w:t>1</w:t>
            </w:r>
          </w:p>
        </w:tc>
        <w:tc>
          <w:tcPr>
            <w:tcW w:w="1542" w:type="pct"/>
            <w:vAlign w:val="center"/>
          </w:tcPr>
          <w:p>
            <w:pPr>
              <w:spacing w:line="400" w:lineRule="exact"/>
              <w:ind w:firstLine="0" w:firstLineChars="0"/>
              <w:jc w:val="center"/>
              <w:rPr>
                <w:sz w:val="21"/>
                <w:szCs w:val="21"/>
              </w:rPr>
            </w:pPr>
            <w:r>
              <w:rPr>
                <w:rFonts w:hint="eastAsia"/>
                <w:sz w:val="21"/>
                <w:szCs w:val="21"/>
                <w:lang w:eastAsia="zh-CN"/>
              </w:rPr>
              <w:t>古城子镇</w:t>
            </w:r>
          </w:p>
        </w:tc>
        <w:tc>
          <w:tcPr>
            <w:tcW w:w="1359" w:type="pct"/>
            <w:vAlign w:val="center"/>
          </w:tcPr>
          <w:p>
            <w:pPr>
              <w:pStyle w:val="16"/>
              <w:spacing w:line="400" w:lineRule="exact"/>
              <w:rPr>
                <w:rFonts w:ascii="Times New Roman" w:hAnsi="Times New Roman"/>
                <w:sz w:val="21"/>
              </w:rPr>
            </w:pPr>
            <w:r>
              <w:rPr>
                <w:rFonts w:ascii="Times New Roman" w:hAnsi="Times New Roman"/>
                <w:sz w:val="21"/>
              </w:rPr>
              <w:t>区域内</w:t>
            </w:r>
          </w:p>
        </w:tc>
        <w:tc>
          <w:tcPr>
            <w:tcW w:w="1577" w:type="pct"/>
            <w:vMerge w:val="restart"/>
            <w:vAlign w:val="center"/>
          </w:tcPr>
          <w:p>
            <w:pPr>
              <w:pStyle w:val="16"/>
              <w:spacing w:line="400" w:lineRule="exact"/>
              <w:rPr>
                <w:rFonts w:ascii="Times New Roman" w:hAnsi="Times New Roman"/>
                <w:sz w:val="21"/>
              </w:rPr>
            </w:pPr>
            <w:r>
              <w:rPr>
                <w:rFonts w:hint="eastAsia" w:ascii="Times New Roman" w:hAnsi="Times New Roman"/>
                <w:bCs/>
                <w:sz w:val="21"/>
              </w:rPr>
              <w:t>TSP</w:t>
            </w:r>
            <w:r>
              <w:rPr>
                <w:spacing w:val="-8"/>
                <w:sz w:val="21"/>
              </w:rPr>
              <w:t>、非甲烷总</w:t>
            </w:r>
            <w:r>
              <w:rPr>
                <w:sz w:val="21"/>
              </w:rPr>
              <w:t>烃、甲苯、二甲苯、氟化物、硫化氢、臭氧</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520" w:type="pct"/>
            <w:vAlign w:val="center"/>
          </w:tcPr>
          <w:p>
            <w:pPr>
              <w:pStyle w:val="16"/>
              <w:spacing w:line="400" w:lineRule="exact"/>
              <w:rPr>
                <w:rFonts w:ascii="Times New Roman" w:hAnsi="Times New Roman"/>
                <w:sz w:val="21"/>
              </w:rPr>
            </w:pPr>
            <w:r>
              <w:rPr>
                <w:rFonts w:ascii="Times New Roman" w:hAnsi="Times New Roman"/>
                <w:sz w:val="21"/>
              </w:rPr>
              <w:t>2</w:t>
            </w:r>
          </w:p>
        </w:tc>
        <w:tc>
          <w:tcPr>
            <w:tcW w:w="1542" w:type="pct"/>
            <w:vAlign w:val="center"/>
          </w:tcPr>
          <w:p>
            <w:pPr>
              <w:pStyle w:val="16"/>
              <w:spacing w:line="400" w:lineRule="exact"/>
              <w:rPr>
                <w:rFonts w:ascii="Times New Roman" w:hAnsi="Times New Roman"/>
                <w:sz w:val="21"/>
              </w:rPr>
            </w:pPr>
            <w:r>
              <w:rPr>
                <w:rFonts w:hint="eastAsia" w:cs="宋体"/>
                <w:color w:val="000000"/>
                <w:sz w:val="21"/>
                <w:lang w:bidi="ar"/>
              </w:rPr>
              <w:t>深井子镇</w:t>
            </w:r>
          </w:p>
        </w:tc>
        <w:tc>
          <w:tcPr>
            <w:tcW w:w="1359" w:type="pct"/>
            <w:vAlign w:val="center"/>
          </w:tcPr>
          <w:p>
            <w:pPr>
              <w:pStyle w:val="16"/>
              <w:spacing w:line="400" w:lineRule="exact"/>
              <w:rPr>
                <w:rFonts w:ascii="Times New Roman" w:hAnsi="Times New Roman"/>
                <w:sz w:val="21"/>
              </w:rPr>
            </w:pPr>
            <w:r>
              <w:rPr>
                <w:rFonts w:ascii="Times New Roman" w:hAnsi="Times New Roman"/>
                <w:sz w:val="21"/>
              </w:rPr>
              <w:t>区域</w:t>
            </w:r>
            <w:r>
              <w:rPr>
                <w:rFonts w:hint="eastAsia" w:ascii="Times New Roman" w:hAnsi="Times New Roman"/>
                <w:sz w:val="21"/>
              </w:rPr>
              <w:t>外</w:t>
            </w:r>
          </w:p>
        </w:tc>
        <w:tc>
          <w:tcPr>
            <w:tcW w:w="1577" w:type="pct"/>
            <w:vMerge w:val="continue"/>
            <w:vAlign w:val="center"/>
          </w:tcPr>
          <w:p>
            <w:pPr>
              <w:pStyle w:val="16"/>
              <w:spacing w:line="400" w:lineRule="exact"/>
              <w:rPr>
                <w:rFonts w:ascii="Times New Roman" w:hAnsi="Times New Roman"/>
                <w:b/>
                <w:bCs/>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520" w:type="pct"/>
            <w:vAlign w:val="center"/>
          </w:tcPr>
          <w:p>
            <w:pPr>
              <w:pStyle w:val="16"/>
              <w:spacing w:line="400" w:lineRule="exact"/>
              <w:rPr>
                <w:rFonts w:ascii="Times New Roman" w:hAnsi="Times New Roman"/>
                <w:sz w:val="21"/>
              </w:rPr>
            </w:pPr>
            <w:r>
              <w:rPr>
                <w:rFonts w:hint="eastAsia" w:ascii="Times New Roman" w:hAnsi="Times New Roman"/>
                <w:sz w:val="21"/>
              </w:rPr>
              <w:t>3</w:t>
            </w:r>
          </w:p>
        </w:tc>
        <w:tc>
          <w:tcPr>
            <w:tcW w:w="1542" w:type="pct"/>
            <w:vAlign w:val="center"/>
          </w:tcPr>
          <w:p>
            <w:pPr>
              <w:pStyle w:val="16"/>
              <w:spacing w:line="400" w:lineRule="exact"/>
              <w:rPr>
                <w:rFonts w:ascii="Times New Roman" w:hAnsi="Times New Roman"/>
                <w:sz w:val="21"/>
              </w:rPr>
            </w:pPr>
            <w:r>
              <w:rPr>
                <w:rFonts w:hint="eastAsia" w:cs="宋体"/>
                <w:color w:val="000000"/>
                <w:sz w:val="21"/>
                <w:lang w:bidi="ar"/>
              </w:rPr>
              <w:t>棋盘山风景区</w:t>
            </w:r>
          </w:p>
        </w:tc>
        <w:tc>
          <w:tcPr>
            <w:tcW w:w="1359" w:type="pct"/>
            <w:vAlign w:val="center"/>
          </w:tcPr>
          <w:p>
            <w:pPr>
              <w:pStyle w:val="16"/>
              <w:spacing w:line="400" w:lineRule="exact"/>
              <w:rPr>
                <w:rFonts w:ascii="Times New Roman" w:hAnsi="Times New Roman"/>
                <w:sz w:val="21"/>
              </w:rPr>
            </w:pPr>
            <w:r>
              <w:rPr>
                <w:rFonts w:ascii="Times New Roman" w:hAnsi="Times New Roman"/>
                <w:sz w:val="21"/>
              </w:rPr>
              <w:t>区域内</w:t>
            </w:r>
          </w:p>
        </w:tc>
        <w:tc>
          <w:tcPr>
            <w:tcW w:w="1577" w:type="pct"/>
            <w:vMerge w:val="continue"/>
            <w:vAlign w:val="center"/>
          </w:tcPr>
          <w:p>
            <w:pPr>
              <w:pStyle w:val="16"/>
              <w:spacing w:line="400" w:lineRule="exact"/>
              <w:rPr>
                <w:rFonts w:ascii="Times New Roman" w:hAnsi="Times New Roman"/>
                <w:b/>
                <w:bCs/>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17" w:hRule="atLeast"/>
          <w:jc w:val="center"/>
        </w:trPr>
        <w:tc>
          <w:tcPr>
            <w:tcW w:w="520" w:type="pct"/>
            <w:vAlign w:val="center"/>
          </w:tcPr>
          <w:p>
            <w:pPr>
              <w:pStyle w:val="16"/>
              <w:spacing w:line="400" w:lineRule="exact"/>
              <w:rPr>
                <w:rFonts w:ascii="Times New Roman" w:hAnsi="Times New Roman"/>
                <w:sz w:val="21"/>
              </w:rPr>
            </w:pPr>
            <w:r>
              <w:rPr>
                <w:rFonts w:hint="eastAsia" w:ascii="Times New Roman" w:hAnsi="Times New Roman"/>
                <w:sz w:val="21"/>
              </w:rPr>
              <w:t>4</w:t>
            </w:r>
          </w:p>
        </w:tc>
        <w:tc>
          <w:tcPr>
            <w:tcW w:w="1542" w:type="pct"/>
            <w:vAlign w:val="center"/>
          </w:tcPr>
          <w:p>
            <w:pPr>
              <w:pStyle w:val="16"/>
              <w:spacing w:line="400" w:lineRule="exact"/>
              <w:rPr>
                <w:rFonts w:ascii="Times New Roman" w:hAnsi="Times New Roman"/>
                <w:sz w:val="21"/>
              </w:rPr>
            </w:pPr>
            <w:r>
              <w:rPr>
                <w:rFonts w:hint="eastAsia" w:cs="宋体"/>
                <w:color w:val="000000"/>
                <w:sz w:val="21"/>
                <w:lang w:bidi="ar"/>
              </w:rPr>
              <w:t>抚顺望花区</w:t>
            </w:r>
          </w:p>
        </w:tc>
        <w:tc>
          <w:tcPr>
            <w:tcW w:w="1359" w:type="pct"/>
            <w:vAlign w:val="center"/>
          </w:tcPr>
          <w:p>
            <w:pPr>
              <w:pStyle w:val="16"/>
              <w:spacing w:line="400" w:lineRule="exact"/>
              <w:rPr>
                <w:rFonts w:ascii="Times New Roman" w:hAnsi="Times New Roman"/>
                <w:sz w:val="21"/>
              </w:rPr>
            </w:pPr>
            <w:r>
              <w:rPr>
                <w:rFonts w:ascii="Times New Roman" w:hAnsi="Times New Roman"/>
                <w:sz w:val="21"/>
              </w:rPr>
              <w:t>区域</w:t>
            </w:r>
            <w:r>
              <w:rPr>
                <w:rFonts w:hint="eastAsia" w:ascii="Times New Roman" w:hAnsi="Times New Roman"/>
                <w:sz w:val="21"/>
              </w:rPr>
              <w:t>外</w:t>
            </w:r>
          </w:p>
        </w:tc>
        <w:tc>
          <w:tcPr>
            <w:tcW w:w="1577" w:type="pct"/>
            <w:vMerge w:val="continue"/>
            <w:vAlign w:val="center"/>
          </w:tcPr>
          <w:p>
            <w:pPr>
              <w:pStyle w:val="16"/>
              <w:spacing w:line="400" w:lineRule="exact"/>
              <w:rPr>
                <w:rFonts w:ascii="Times New Roman" w:hAnsi="Times New Roman"/>
                <w:b/>
                <w:bCs/>
                <w:sz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17" w:hRule="atLeast"/>
          <w:jc w:val="center"/>
        </w:trPr>
        <w:tc>
          <w:tcPr>
            <w:tcW w:w="520" w:type="pct"/>
            <w:vAlign w:val="center"/>
          </w:tcPr>
          <w:p>
            <w:pPr>
              <w:pStyle w:val="16"/>
              <w:spacing w:line="400" w:lineRule="exact"/>
              <w:rPr>
                <w:rFonts w:ascii="Times New Roman" w:hAnsi="Times New Roman"/>
                <w:sz w:val="21"/>
              </w:rPr>
            </w:pPr>
            <w:r>
              <w:rPr>
                <w:rFonts w:hint="eastAsia" w:ascii="Times New Roman" w:hAnsi="Times New Roman"/>
                <w:sz w:val="21"/>
              </w:rPr>
              <w:t>5</w:t>
            </w:r>
          </w:p>
        </w:tc>
        <w:tc>
          <w:tcPr>
            <w:tcW w:w="1542" w:type="pct"/>
            <w:vAlign w:val="center"/>
          </w:tcPr>
          <w:p>
            <w:pPr>
              <w:pStyle w:val="16"/>
              <w:spacing w:line="400" w:lineRule="exact"/>
              <w:rPr>
                <w:rFonts w:ascii="Times New Roman" w:hAnsi="Times New Roman"/>
                <w:sz w:val="21"/>
              </w:rPr>
            </w:pPr>
            <w:r>
              <w:rPr>
                <w:rFonts w:hint="eastAsia"/>
                <w:sz w:val="21"/>
              </w:rPr>
              <w:t>建筑大学及区域内产业园</w:t>
            </w:r>
          </w:p>
        </w:tc>
        <w:tc>
          <w:tcPr>
            <w:tcW w:w="1359" w:type="pct"/>
            <w:vAlign w:val="center"/>
          </w:tcPr>
          <w:p>
            <w:pPr>
              <w:pStyle w:val="16"/>
              <w:spacing w:line="400" w:lineRule="exact"/>
              <w:rPr>
                <w:rFonts w:ascii="Times New Roman" w:hAnsi="Times New Roman"/>
                <w:sz w:val="21"/>
              </w:rPr>
            </w:pPr>
            <w:r>
              <w:rPr>
                <w:rFonts w:hint="eastAsia" w:ascii="Times New Roman" w:hAnsi="Times New Roman"/>
                <w:sz w:val="21"/>
              </w:rPr>
              <w:t>建筑大学</w:t>
            </w:r>
            <w:r>
              <w:rPr>
                <w:rFonts w:ascii="Times New Roman" w:hAnsi="Times New Roman"/>
                <w:sz w:val="21"/>
              </w:rPr>
              <w:t>区域</w:t>
            </w:r>
            <w:r>
              <w:rPr>
                <w:rFonts w:hint="eastAsia" w:ascii="Times New Roman" w:hAnsi="Times New Roman"/>
                <w:sz w:val="21"/>
              </w:rPr>
              <w:t>外</w:t>
            </w:r>
          </w:p>
        </w:tc>
        <w:tc>
          <w:tcPr>
            <w:tcW w:w="1577" w:type="pct"/>
            <w:vMerge w:val="continue"/>
            <w:vAlign w:val="center"/>
          </w:tcPr>
          <w:p>
            <w:pPr>
              <w:pStyle w:val="16"/>
              <w:spacing w:line="400" w:lineRule="exact"/>
              <w:rPr>
                <w:rFonts w:ascii="Times New Roman" w:hAnsi="Times New Roman"/>
                <w:b/>
                <w:bCs/>
                <w:sz w:val="21"/>
              </w:rPr>
            </w:pPr>
          </w:p>
        </w:tc>
      </w:tr>
    </w:tbl>
    <w:p>
      <w:pPr>
        <w:spacing w:line="240" w:lineRule="auto"/>
        <w:ind w:firstLine="0" w:firstLineChars="0"/>
        <w:jc w:val="center"/>
        <w:rPr>
          <w:rFonts w:cs="Times New Roman"/>
          <w:b/>
          <w:lang w:eastAsia="zh-CN"/>
        </w:rPr>
      </w:pPr>
      <w:r>
        <w:rPr>
          <w:rFonts w:cs="Times New Roman"/>
          <w:b/>
          <w:lang w:eastAsia="zh-CN"/>
        </w:rPr>
        <w:t>表3.</w:t>
      </w:r>
      <w:r>
        <w:rPr>
          <w:rFonts w:hint="eastAsia" w:cs="Times New Roman"/>
          <w:b/>
          <w:lang w:eastAsia="zh-CN"/>
        </w:rPr>
        <w:t>1-2</w:t>
      </w:r>
      <w:r>
        <w:rPr>
          <w:rFonts w:cs="Times New Roman"/>
          <w:b/>
          <w:lang w:eastAsia="zh-CN"/>
        </w:rPr>
        <w:t xml:space="preserve">  上一轮规划环评环境空气监测结果</w:t>
      </w:r>
      <w:r>
        <w:rPr>
          <w:rFonts w:hint="eastAsia" w:cs="Times New Roman"/>
          <w:b/>
          <w:lang w:eastAsia="zh-CN"/>
        </w:rPr>
        <w:t>表</w:t>
      </w:r>
    </w:p>
    <w:tbl>
      <w:tblPr>
        <w:tblStyle w:val="64"/>
        <w:tblW w:w="480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1"/>
        <w:gridCol w:w="3635"/>
        <w:gridCol w:w="359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restart"/>
            <w:vAlign w:val="center"/>
          </w:tcPr>
          <w:p>
            <w:pPr>
              <w:spacing w:line="400" w:lineRule="exact"/>
              <w:ind w:firstLine="0" w:firstLineChars="0"/>
              <w:jc w:val="center"/>
              <w:rPr>
                <w:rFonts w:eastAsia="新宋体" w:cs="Times New Roman"/>
                <w:b/>
                <w:kern w:val="2"/>
                <w:sz w:val="21"/>
                <w:szCs w:val="21"/>
                <w:lang w:eastAsia="zh-CN"/>
              </w:rPr>
            </w:pPr>
            <w:r>
              <w:rPr>
                <w:rFonts w:hint="eastAsia" w:eastAsia="新宋体" w:cs="Times New Roman"/>
                <w:b/>
                <w:kern w:val="2"/>
                <w:sz w:val="21"/>
                <w:szCs w:val="21"/>
                <w:lang w:eastAsia="zh-CN"/>
              </w:rPr>
              <w:t>监测项目</w:t>
            </w:r>
          </w:p>
        </w:tc>
        <w:tc>
          <w:tcPr>
            <w:tcW w:w="2071" w:type="pct"/>
            <w:vMerge w:val="restart"/>
            <w:vAlign w:val="center"/>
          </w:tcPr>
          <w:p>
            <w:pPr>
              <w:spacing w:line="400" w:lineRule="exact"/>
              <w:ind w:firstLine="0" w:firstLineChars="0"/>
              <w:jc w:val="center"/>
              <w:rPr>
                <w:rFonts w:eastAsia="新宋体" w:cs="Times New Roman"/>
                <w:b/>
                <w:kern w:val="2"/>
                <w:sz w:val="21"/>
                <w:szCs w:val="21"/>
                <w:lang w:eastAsia="zh-CN"/>
              </w:rPr>
            </w:pPr>
            <w:r>
              <w:rPr>
                <w:rFonts w:eastAsia="新宋体" w:cs="Times New Roman"/>
                <w:b/>
                <w:kern w:val="2"/>
                <w:sz w:val="21"/>
                <w:szCs w:val="21"/>
                <w:lang w:eastAsia="zh-CN"/>
              </w:rPr>
              <w:t>点位</w:t>
            </w:r>
          </w:p>
        </w:tc>
        <w:tc>
          <w:tcPr>
            <w:tcW w:w="2049" w:type="pct"/>
            <w:vAlign w:val="center"/>
          </w:tcPr>
          <w:p>
            <w:pPr>
              <w:spacing w:line="400" w:lineRule="exact"/>
              <w:ind w:firstLine="0" w:firstLineChars="0"/>
              <w:jc w:val="center"/>
              <w:rPr>
                <w:rFonts w:eastAsia="新宋体" w:cs="Times New Roman"/>
                <w:b/>
                <w:kern w:val="2"/>
                <w:sz w:val="21"/>
                <w:szCs w:val="21"/>
                <w:lang w:eastAsia="zh-CN"/>
              </w:rPr>
            </w:pPr>
            <w:r>
              <w:rPr>
                <w:rFonts w:eastAsia="新宋体" w:cs="Times New Roman"/>
                <w:b/>
                <w:kern w:val="2"/>
                <w:sz w:val="21"/>
                <w:szCs w:val="21"/>
                <w:lang w:eastAsia="zh-CN"/>
              </w:rPr>
              <w:t>上一轮规划环评结果</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
                <w:kern w:val="2"/>
                <w:sz w:val="21"/>
                <w:szCs w:val="21"/>
                <w:lang w:eastAsia="zh-CN"/>
              </w:rPr>
            </w:pPr>
          </w:p>
        </w:tc>
        <w:tc>
          <w:tcPr>
            <w:tcW w:w="2071" w:type="pct"/>
            <w:vMerge w:val="continue"/>
            <w:vAlign w:val="center"/>
          </w:tcPr>
          <w:p>
            <w:pPr>
              <w:spacing w:line="400" w:lineRule="exact"/>
              <w:ind w:firstLine="0" w:firstLineChars="0"/>
              <w:jc w:val="center"/>
              <w:rPr>
                <w:rFonts w:eastAsia="新宋体" w:cs="Times New Roman"/>
                <w:b/>
                <w:kern w:val="2"/>
                <w:sz w:val="21"/>
                <w:szCs w:val="21"/>
                <w:lang w:eastAsia="zh-CN"/>
              </w:rPr>
            </w:pPr>
          </w:p>
        </w:tc>
        <w:tc>
          <w:tcPr>
            <w:tcW w:w="2049" w:type="pct"/>
            <w:vAlign w:val="center"/>
          </w:tcPr>
          <w:p>
            <w:pPr>
              <w:spacing w:line="400" w:lineRule="exact"/>
              <w:ind w:firstLine="0" w:firstLineChars="0"/>
              <w:jc w:val="center"/>
              <w:rPr>
                <w:rFonts w:eastAsia="新宋体" w:cs="Times New Roman"/>
                <w:b/>
                <w:kern w:val="2"/>
                <w:sz w:val="21"/>
                <w:szCs w:val="21"/>
                <w:lang w:eastAsia="zh-CN"/>
              </w:rPr>
            </w:pPr>
            <w:r>
              <w:rPr>
                <w:rFonts w:eastAsia="新宋体" w:cs="Times New Roman"/>
                <w:b/>
                <w:kern w:val="2"/>
                <w:sz w:val="21"/>
                <w:szCs w:val="21"/>
                <w:lang w:eastAsia="zh-CN"/>
              </w:rPr>
              <w:t>浓度范围mg/m</w:t>
            </w:r>
            <w:r>
              <w:rPr>
                <w:rFonts w:eastAsia="新宋体" w:cs="Times New Roman"/>
                <w:b/>
                <w:kern w:val="2"/>
                <w:sz w:val="21"/>
                <w:szCs w:val="21"/>
                <w:vertAlign w:val="superscript"/>
                <w:lang w:eastAsia="zh-CN"/>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restart"/>
            <w:vAlign w:val="center"/>
          </w:tcPr>
          <w:p>
            <w:pPr>
              <w:spacing w:line="400" w:lineRule="exact"/>
              <w:ind w:firstLine="0" w:firstLineChars="0"/>
              <w:jc w:val="center"/>
              <w:rPr>
                <w:rFonts w:eastAsia="新宋体" w:cs="Times New Roman"/>
                <w:bCs/>
                <w:kern w:val="2"/>
                <w:sz w:val="21"/>
                <w:szCs w:val="21"/>
                <w:lang w:eastAsia="zh-CN"/>
              </w:rPr>
            </w:pPr>
            <w:r>
              <w:rPr>
                <w:rFonts w:eastAsia="新宋体" w:cs="Times New Roman"/>
                <w:bCs/>
                <w:kern w:val="2"/>
                <w:sz w:val="21"/>
                <w:szCs w:val="21"/>
                <w:lang w:eastAsia="zh-CN"/>
              </w:rPr>
              <w:t>NO</w:t>
            </w:r>
            <w:r>
              <w:rPr>
                <w:rFonts w:eastAsia="新宋体" w:cs="Times New Roman"/>
                <w:bCs/>
                <w:kern w:val="2"/>
                <w:sz w:val="21"/>
                <w:szCs w:val="21"/>
                <w:vertAlign w:val="subscript"/>
                <w:lang w:eastAsia="zh-CN"/>
              </w:rPr>
              <w:t>2</w:t>
            </w:r>
          </w:p>
        </w:tc>
        <w:tc>
          <w:tcPr>
            <w:tcW w:w="2071" w:type="pct"/>
            <w:vAlign w:val="center"/>
          </w:tcPr>
          <w:p>
            <w:pPr>
              <w:spacing w:line="400" w:lineRule="exact"/>
              <w:ind w:firstLine="0" w:firstLineChars="0"/>
              <w:jc w:val="center"/>
              <w:rPr>
                <w:rFonts w:eastAsia="新宋体" w:cs="Times New Roman"/>
                <w:bCs/>
                <w:kern w:val="2"/>
                <w:sz w:val="21"/>
                <w:szCs w:val="21"/>
                <w:lang w:eastAsia="zh-CN"/>
              </w:rPr>
            </w:pPr>
            <w:r>
              <w:rPr>
                <w:rFonts w:hint="eastAsia"/>
                <w:sz w:val="21"/>
                <w:szCs w:val="21"/>
                <w:lang w:eastAsia="zh-CN"/>
              </w:rPr>
              <w:t>古城子镇</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0.009-0.011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深井子镇</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0.042-0.055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棋盘山风景区</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0.008-0.011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抚顺望花区</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0.041-0.057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sz w:val="21"/>
              </w:rPr>
              <w:t>建筑大学及区域内产业园</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0.033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restart"/>
            <w:vAlign w:val="center"/>
          </w:tcPr>
          <w:p>
            <w:pPr>
              <w:spacing w:line="400" w:lineRule="exact"/>
              <w:ind w:firstLine="0" w:firstLineChars="0"/>
              <w:jc w:val="center"/>
              <w:rPr>
                <w:rFonts w:eastAsia="新宋体" w:cs="Times New Roman"/>
                <w:bCs/>
                <w:kern w:val="2"/>
                <w:sz w:val="21"/>
                <w:szCs w:val="21"/>
                <w:lang w:eastAsia="zh-CN"/>
              </w:rPr>
            </w:pPr>
            <w:r>
              <w:rPr>
                <w:rFonts w:eastAsia="新宋体" w:cs="Times New Roman"/>
                <w:bCs/>
                <w:kern w:val="2"/>
                <w:sz w:val="21"/>
                <w:szCs w:val="21"/>
                <w:lang w:eastAsia="zh-CN"/>
              </w:rPr>
              <w:t>PM</w:t>
            </w:r>
            <w:r>
              <w:rPr>
                <w:rFonts w:eastAsia="新宋体" w:cs="Times New Roman"/>
                <w:bCs/>
                <w:kern w:val="2"/>
                <w:sz w:val="21"/>
                <w:szCs w:val="21"/>
                <w:vertAlign w:val="subscript"/>
                <w:lang w:eastAsia="zh-CN"/>
              </w:rPr>
              <w:t>10</w:t>
            </w:r>
          </w:p>
        </w:tc>
        <w:tc>
          <w:tcPr>
            <w:tcW w:w="2071" w:type="pct"/>
            <w:vAlign w:val="center"/>
          </w:tcPr>
          <w:p>
            <w:pPr>
              <w:spacing w:line="400" w:lineRule="exact"/>
              <w:ind w:firstLine="0" w:firstLineChars="0"/>
              <w:jc w:val="center"/>
              <w:rPr>
                <w:rFonts w:eastAsia="新宋体" w:cs="Times New Roman"/>
                <w:bCs/>
                <w:kern w:val="2"/>
                <w:sz w:val="21"/>
                <w:szCs w:val="21"/>
                <w:lang w:eastAsia="zh-CN"/>
              </w:rPr>
            </w:pPr>
            <w:r>
              <w:rPr>
                <w:rFonts w:hint="eastAsia"/>
                <w:sz w:val="21"/>
                <w:szCs w:val="21"/>
                <w:lang w:eastAsia="zh-CN"/>
              </w:rPr>
              <w:t>古城子镇</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0.213-0.580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深井子镇</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0.042-0.113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棋盘山风景区</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0.032-0.106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抚顺望花区</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0.122-0.132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sz w:val="21"/>
              </w:rPr>
              <w:t>建筑大学及区域内产业园</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restart"/>
            <w:vAlign w:val="center"/>
          </w:tcPr>
          <w:p>
            <w:pPr>
              <w:spacing w:line="400" w:lineRule="exact"/>
              <w:ind w:firstLine="0" w:firstLineChars="0"/>
              <w:jc w:val="center"/>
              <w:rPr>
                <w:rFonts w:eastAsia="新宋体" w:cs="Times New Roman"/>
                <w:bCs/>
                <w:kern w:val="2"/>
                <w:sz w:val="21"/>
                <w:szCs w:val="21"/>
                <w:lang w:eastAsia="zh-CN"/>
              </w:rPr>
            </w:pPr>
            <w:r>
              <w:rPr>
                <w:rFonts w:eastAsia="新宋体" w:cs="Times New Roman"/>
                <w:bCs/>
                <w:kern w:val="2"/>
                <w:sz w:val="21"/>
                <w:szCs w:val="21"/>
                <w:lang w:eastAsia="zh-CN"/>
              </w:rPr>
              <w:t>SO</w:t>
            </w:r>
            <w:r>
              <w:rPr>
                <w:rFonts w:eastAsia="新宋体" w:cs="Times New Roman"/>
                <w:bCs/>
                <w:kern w:val="2"/>
                <w:sz w:val="21"/>
                <w:szCs w:val="21"/>
                <w:vertAlign w:val="subscript"/>
                <w:lang w:eastAsia="zh-CN"/>
              </w:rPr>
              <w:t>2</w:t>
            </w:r>
          </w:p>
        </w:tc>
        <w:tc>
          <w:tcPr>
            <w:tcW w:w="2071" w:type="pct"/>
            <w:vAlign w:val="center"/>
          </w:tcPr>
          <w:p>
            <w:pPr>
              <w:spacing w:line="400" w:lineRule="exact"/>
              <w:ind w:firstLine="0" w:firstLineChars="0"/>
              <w:jc w:val="center"/>
              <w:rPr>
                <w:rFonts w:eastAsia="新宋体" w:cs="Times New Roman"/>
                <w:bCs/>
                <w:kern w:val="2"/>
                <w:sz w:val="21"/>
                <w:szCs w:val="21"/>
                <w:lang w:eastAsia="zh-CN"/>
              </w:rPr>
            </w:pPr>
            <w:r>
              <w:rPr>
                <w:rFonts w:hint="eastAsia"/>
                <w:sz w:val="21"/>
                <w:szCs w:val="21"/>
                <w:lang w:eastAsia="zh-CN"/>
              </w:rPr>
              <w:t>古城子镇</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0.008-0.010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深井子镇</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0.039-0.081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棋盘山风景区</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0.018-0.023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抚顺望花区</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0.028-0.089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sz w:val="21"/>
              </w:rPr>
              <w:t>建筑大学及区域内产业园</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restar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TSP</w:t>
            </w:r>
          </w:p>
        </w:tc>
        <w:tc>
          <w:tcPr>
            <w:tcW w:w="2071" w:type="pct"/>
            <w:vAlign w:val="center"/>
          </w:tcPr>
          <w:p>
            <w:pPr>
              <w:spacing w:line="400" w:lineRule="exact"/>
              <w:ind w:firstLine="0" w:firstLineChars="0"/>
              <w:jc w:val="center"/>
              <w:rPr>
                <w:rFonts w:eastAsia="新宋体" w:cs="Times New Roman"/>
                <w:bCs/>
                <w:kern w:val="2"/>
                <w:sz w:val="21"/>
                <w:szCs w:val="21"/>
                <w:lang w:eastAsia="zh-CN"/>
              </w:rPr>
            </w:pPr>
            <w:r>
              <w:rPr>
                <w:rFonts w:hint="eastAsia"/>
                <w:sz w:val="21"/>
                <w:szCs w:val="21"/>
                <w:lang w:eastAsia="zh-CN"/>
              </w:rPr>
              <w:t>古城子镇</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0.295-0.699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深井子镇</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0.158-0.169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棋盘山风景区</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0.065-0.153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cs="宋体"/>
                <w:color w:val="000000"/>
                <w:sz w:val="21"/>
                <w:lang w:bidi="ar"/>
              </w:rPr>
              <w:t>抚顺望花区</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0.203-0.208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78" w:type="pct"/>
            <w:vMerge w:val="continue"/>
            <w:vAlign w:val="center"/>
          </w:tcPr>
          <w:p>
            <w:pPr>
              <w:spacing w:line="400" w:lineRule="exact"/>
              <w:ind w:firstLine="0" w:firstLineChars="0"/>
              <w:jc w:val="center"/>
              <w:rPr>
                <w:rFonts w:eastAsia="新宋体" w:cs="Times New Roman"/>
                <w:bCs/>
                <w:kern w:val="2"/>
                <w:sz w:val="21"/>
                <w:szCs w:val="21"/>
                <w:lang w:eastAsia="zh-CN"/>
              </w:rPr>
            </w:pPr>
          </w:p>
        </w:tc>
        <w:tc>
          <w:tcPr>
            <w:tcW w:w="2071" w:type="pct"/>
            <w:vAlign w:val="center"/>
          </w:tcPr>
          <w:p>
            <w:pPr>
              <w:pStyle w:val="16"/>
              <w:spacing w:line="400" w:lineRule="exact"/>
              <w:rPr>
                <w:rFonts w:eastAsia="新宋体"/>
                <w:bCs/>
                <w:kern w:val="2"/>
                <w:sz w:val="21"/>
              </w:rPr>
            </w:pPr>
            <w:r>
              <w:rPr>
                <w:rFonts w:hint="eastAsia"/>
                <w:sz w:val="21"/>
              </w:rPr>
              <w:t>建筑大学及区域内产业园</w:t>
            </w:r>
          </w:p>
        </w:tc>
        <w:tc>
          <w:tcPr>
            <w:tcW w:w="2049" w:type="pct"/>
            <w:vAlign w:val="center"/>
          </w:tcPr>
          <w:p>
            <w:pPr>
              <w:spacing w:line="400" w:lineRule="exact"/>
              <w:ind w:firstLine="0" w:firstLineChars="0"/>
              <w:jc w:val="center"/>
              <w:rPr>
                <w:rFonts w:eastAsia="新宋体" w:cs="Times New Roman"/>
                <w:bCs/>
                <w:kern w:val="2"/>
                <w:sz w:val="21"/>
                <w:szCs w:val="21"/>
                <w:lang w:eastAsia="zh-CN"/>
              </w:rPr>
            </w:pPr>
            <w:r>
              <w:rPr>
                <w:rFonts w:hint="eastAsia" w:eastAsia="新宋体" w:cs="Times New Roman"/>
                <w:bCs/>
                <w:kern w:val="2"/>
                <w:sz w:val="21"/>
                <w:szCs w:val="21"/>
                <w:lang w:eastAsia="zh-CN"/>
              </w:rPr>
              <w:t>/</w:t>
            </w:r>
          </w:p>
        </w:tc>
      </w:tr>
    </w:tbl>
    <w:p>
      <w:pPr>
        <w:ind w:firstLine="476"/>
        <w:rPr>
          <w:rFonts w:cs="Times New Roman"/>
          <w:lang w:eastAsia="zh-CN"/>
        </w:rPr>
      </w:pPr>
      <w:r>
        <w:rPr>
          <w:rFonts w:cs="Times New Roman"/>
          <w:spacing w:val="-1"/>
          <w:lang w:eastAsia="zh-CN"/>
        </w:rPr>
        <w:t>从表中可以看出，</w:t>
      </w:r>
      <w:r>
        <w:rPr>
          <w:rFonts w:eastAsia="Times New Roman" w:cs="Times New Roman"/>
          <w:spacing w:val="-1"/>
          <w:lang w:eastAsia="zh-CN"/>
        </w:rPr>
        <w:t>PM</w:t>
      </w:r>
      <w:r>
        <w:rPr>
          <w:rFonts w:cs="Times New Roman"/>
          <w:spacing w:val="-1"/>
          <w:position w:val="-1"/>
          <w:vertAlign w:val="subscript"/>
          <w:lang w:eastAsia="zh-CN"/>
        </w:rPr>
        <w:t>10</w:t>
      </w:r>
      <w:r>
        <w:rPr>
          <w:rFonts w:cs="Times New Roman"/>
          <w:spacing w:val="-1"/>
          <w:lang w:eastAsia="zh-CN"/>
        </w:rPr>
        <w:t>超标，</w:t>
      </w:r>
      <w:r>
        <w:rPr>
          <w:rFonts w:eastAsia="新宋体" w:cs="Times New Roman"/>
          <w:bCs/>
          <w:kern w:val="2"/>
          <w:lang w:eastAsia="zh-CN"/>
        </w:rPr>
        <w:t>NO</w:t>
      </w:r>
      <w:r>
        <w:rPr>
          <w:rFonts w:eastAsia="新宋体" w:cs="Times New Roman"/>
          <w:bCs/>
          <w:kern w:val="2"/>
          <w:vertAlign w:val="subscript"/>
          <w:lang w:eastAsia="zh-CN"/>
        </w:rPr>
        <w:t>2</w:t>
      </w:r>
      <w:r>
        <w:rPr>
          <w:rFonts w:hint="eastAsia" w:cs="Times New Roman"/>
          <w:position w:val="-1"/>
          <w:lang w:eastAsia="zh-CN"/>
        </w:rPr>
        <w:t>深井子镇</w:t>
      </w:r>
      <w:r>
        <w:rPr>
          <w:rFonts w:cs="Times New Roman"/>
          <w:spacing w:val="-1"/>
          <w:lang w:eastAsia="zh-CN"/>
        </w:rPr>
        <w:t>超标，</w:t>
      </w:r>
      <w:r>
        <w:rPr>
          <w:rFonts w:hint="eastAsia" w:cs="Times New Roman"/>
          <w:spacing w:val="-1"/>
          <w:lang w:eastAsia="zh-CN"/>
        </w:rPr>
        <w:t>其</w:t>
      </w:r>
      <w:r>
        <w:rPr>
          <w:rFonts w:cs="Times New Roman"/>
          <w:position w:val="-1"/>
          <w:lang w:eastAsia="zh-CN"/>
        </w:rPr>
        <w:t>余指标</w:t>
      </w:r>
      <w:r>
        <w:rPr>
          <w:rFonts w:cs="Times New Roman"/>
          <w:lang w:eastAsia="zh-CN"/>
        </w:rPr>
        <w:t>年均浓</w:t>
      </w:r>
      <w:r>
        <w:rPr>
          <w:rFonts w:cs="Times New Roman"/>
          <w:spacing w:val="-2"/>
          <w:lang w:eastAsia="zh-CN"/>
        </w:rPr>
        <w:t>度满足《环境空气质量标准》（</w:t>
      </w:r>
      <w:r>
        <w:rPr>
          <w:rFonts w:eastAsia="Times New Roman" w:cs="Times New Roman"/>
          <w:spacing w:val="-2"/>
          <w:lang w:eastAsia="zh-CN"/>
        </w:rPr>
        <w:t>GB3095-2012</w:t>
      </w:r>
      <w:r>
        <w:rPr>
          <w:rFonts w:cs="Times New Roman"/>
          <w:spacing w:val="-2"/>
          <w:lang w:eastAsia="zh-CN"/>
        </w:rPr>
        <w:t>）二级年均标准限值要求</w:t>
      </w:r>
      <w:r>
        <w:rPr>
          <w:rFonts w:hint="eastAsia" w:cs="Times New Roman"/>
          <w:spacing w:val="-2"/>
          <w:lang w:eastAsia="zh-CN"/>
        </w:rPr>
        <w:t>。</w:t>
      </w:r>
      <w:r>
        <w:rPr>
          <w:rFonts w:eastAsia="Times New Roman" w:cs="Times New Roman"/>
          <w:spacing w:val="-1"/>
          <w:lang w:eastAsia="zh-CN"/>
        </w:rPr>
        <w:t>PM</w:t>
      </w:r>
      <w:r>
        <w:rPr>
          <w:rFonts w:eastAsia="Times New Roman" w:cs="Times New Roman"/>
          <w:spacing w:val="-1"/>
          <w:vertAlign w:val="subscript"/>
          <w:lang w:eastAsia="zh-CN"/>
        </w:rPr>
        <w:t>2</w:t>
      </w:r>
      <w:r>
        <w:rPr>
          <w:rFonts w:cs="Times New Roman"/>
          <w:spacing w:val="-1"/>
          <w:position w:val="-1"/>
          <w:vertAlign w:val="subscript"/>
          <w:lang w:eastAsia="zh-CN"/>
        </w:rPr>
        <w:t>.5</w:t>
      </w:r>
      <w:r>
        <w:rPr>
          <w:rFonts w:cs="Times New Roman"/>
          <w:lang w:eastAsia="zh-CN"/>
        </w:rPr>
        <w:t>年均浓度超标原因主要是：区域基础设施大规模建设、汽车尾气与道路扬尘、工业企业建设和生产等造成的污染物排放。随着《沈阳市大气污染防</w:t>
      </w:r>
      <w:r>
        <w:rPr>
          <w:rFonts w:cs="Times New Roman"/>
          <w:spacing w:val="-1"/>
          <w:lang w:eastAsia="zh-CN"/>
        </w:rPr>
        <w:t>治条例》的有效落实</w:t>
      </w:r>
      <w:r>
        <w:rPr>
          <w:rFonts w:cs="Times New Roman"/>
          <w:lang w:eastAsia="zh-CN"/>
        </w:rPr>
        <w:t>，城区环境空气质量逐步改善。</w:t>
      </w:r>
    </w:p>
    <w:p>
      <w:pPr>
        <w:pStyle w:val="11"/>
        <w:tabs>
          <w:tab w:val="left" w:pos="1302"/>
        </w:tabs>
        <w:adjustRightInd w:val="0"/>
        <w:spacing w:before="0" w:after="0" w:line="360" w:lineRule="auto"/>
        <w:ind w:firstLine="0" w:firstLineChars="0"/>
        <w:jc w:val="left"/>
        <w:rPr>
          <w:rFonts w:cs="Times New Roman"/>
          <w:sz w:val="24"/>
          <w:szCs w:val="24"/>
          <w:lang w:eastAsia="zh-CN"/>
        </w:rPr>
      </w:pPr>
      <w:r>
        <w:rPr>
          <w:rFonts w:hint="eastAsia" w:cs="Times New Roman"/>
          <w:sz w:val="24"/>
          <w:szCs w:val="24"/>
          <w:lang w:eastAsia="zh-CN"/>
        </w:rPr>
        <w:t>3.1.1.1.2大气空气环境质量现状补充监测与评价</w:t>
      </w:r>
    </w:p>
    <w:p>
      <w:pPr>
        <w:widowControl/>
        <w:numPr>
          <w:ilvl w:val="0"/>
          <w:numId w:val="8"/>
        </w:numPr>
        <w:ind w:firstLine="480"/>
        <w:jc w:val="left"/>
        <w:rPr>
          <w:rFonts w:cs="Times New Roman"/>
          <w:lang w:eastAsia="zh-CN"/>
        </w:rPr>
      </w:pPr>
      <w:r>
        <w:rPr>
          <w:rFonts w:hint="eastAsia" w:cs="Times New Roman"/>
          <w:lang w:eastAsia="zh-CN"/>
        </w:rPr>
        <w:t>空气质量达标区</w:t>
      </w:r>
    </w:p>
    <w:p>
      <w:pPr>
        <w:widowControl/>
        <w:ind w:firstLine="480"/>
        <w:jc w:val="left"/>
        <w:rPr>
          <w:szCs w:val="21"/>
          <w:lang w:eastAsia="zh-CN"/>
        </w:rPr>
      </w:pPr>
      <w:r>
        <w:rPr>
          <w:color w:val="000000"/>
          <w:szCs w:val="21"/>
          <w:lang w:eastAsia="zh-CN" w:bidi="ar"/>
        </w:rPr>
        <w:t>本项目所在区域环境空气达标区判定采用《20</w:t>
      </w:r>
      <w:r>
        <w:rPr>
          <w:rFonts w:hint="eastAsia"/>
          <w:color w:val="000000"/>
          <w:szCs w:val="21"/>
          <w:lang w:eastAsia="zh-CN" w:bidi="ar"/>
        </w:rPr>
        <w:t>20</w:t>
      </w:r>
      <w:r>
        <w:rPr>
          <w:color w:val="000000"/>
          <w:szCs w:val="21"/>
          <w:lang w:eastAsia="zh-CN" w:bidi="ar"/>
        </w:rPr>
        <w:t>年沈阳市环境质量公报》中</w:t>
      </w:r>
      <w:r>
        <w:rPr>
          <w:rFonts w:hint="eastAsia" w:ascii="宋体" w:hAnsi="宋体" w:cs="宋体"/>
          <w:color w:val="000000"/>
          <w:szCs w:val="21"/>
          <w:lang w:eastAsia="zh-CN" w:bidi="ar"/>
        </w:rPr>
        <w:t>环境空气质量监测数据，区域空气质量现状数据见下表。</w:t>
      </w:r>
    </w:p>
    <w:p>
      <w:pPr>
        <w:widowControl/>
        <w:snapToGrid w:val="0"/>
        <w:spacing w:line="240" w:lineRule="auto"/>
        <w:ind w:firstLine="0" w:firstLineChars="0"/>
        <w:jc w:val="center"/>
        <w:rPr>
          <w:szCs w:val="21"/>
          <w:lang w:eastAsia="zh-CN"/>
        </w:rPr>
      </w:pPr>
      <w:r>
        <w:rPr>
          <w:b/>
          <w:bCs/>
          <w:szCs w:val="21"/>
          <w:lang w:eastAsia="zh-CN"/>
        </w:rPr>
        <w:t>表</w:t>
      </w:r>
      <w:r>
        <w:rPr>
          <w:rFonts w:hint="eastAsia"/>
          <w:b/>
          <w:bCs/>
          <w:szCs w:val="21"/>
          <w:lang w:eastAsia="zh-CN"/>
        </w:rPr>
        <w:t>3.1</w:t>
      </w:r>
      <w:r>
        <w:rPr>
          <w:b/>
          <w:bCs/>
          <w:szCs w:val="21"/>
          <w:lang w:eastAsia="zh-CN"/>
        </w:rPr>
        <w:t>-1</w:t>
      </w:r>
      <w:r>
        <w:rPr>
          <w:rFonts w:hint="eastAsia"/>
          <w:b/>
          <w:bCs/>
          <w:szCs w:val="21"/>
          <w:lang w:eastAsia="zh-CN"/>
        </w:rPr>
        <w:t xml:space="preserve"> 2020年沈阳市</w:t>
      </w:r>
      <w:r>
        <w:rPr>
          <w:b/>
          <w:bCs/>
          <w:szCs w:val="21"/>
          <w:lang w:eastAsia="zh-CN"/>
        </w:rPr>
        <w:t>环境空气质量</w:t>
      </w:r>
    </w:p>
    <w:tbl>
      <w:tblPr>
        <w:tblStyle w:val="64"/>
        <w:tblW w:w="4998" w:type="pct"/>
        <w:jc w:val="center"/>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09"/>
        <w:gridCol w:w="1068"/>
        <w:gridCol w:w="1068"/>
        <w:gridCol w:w="1068"/>
        <w:gridCol w:w="1068"/>
        <w:gridCol w:w="1068"/>
        <w:gridCol w:w="1071"/>
      </w:tblGrid>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1484" w:type="pct"/>
            <w:tcBorders>
              <w:tl2br w:val="nil"/>
              <w:tr2bl w:val="nil"/>
            </w:tcBorders>
            <w:vAlign w:val="center"/>
          </w:tcPr>
          <w:p>
            <w:pPr>
              <w:spacing w:line="400" w:lineRule="exact"/>
              <w:ind w:firstLine="0" w:firstLineChars="0"/>
              <w:jc w:val="center"/>
              <w:rPr>
                <w:sz w:val="21"/>
                <w:szCs w:val="21"/>
              </w:rPr>
            </w:pPr>
            <w:r>
              <w:rPr>
                <w:sz w:val="21"/>
                <w:szCs w:val="21"/>
              </w:rPr>
              <w:t>污染物</w:t>
            </w:r>
            <w:r>
              <w:rPr>
                <w:rFonts w:hint="eastAsia"/>
                <w:sz w:val="21"/>
                <w:szCs w:val="21"/>
              </w:rPr>
              <w:t>名称</w:t>
            </w:r>
          </w:p>
        </w:tc>
        <w:tc>
          <w:tcPr>
            <w:tcW w:w="585" w:type="pct"/>
            <w:tcBorders>
              <w:tl2br w:val="nil"/>
              <w:tr2bl w:val="nil"/>
            </w:tcBorders>
            <w:vAlign w:val="center"/>
          </w:tcPr>
          <w:p>
            <w:pPr>
              <w:spacing w:line="400" w:lineRule="exact"/>
              <w:ind w:firstLine="0" w:firstLineChars="0"/>
              <w:jc w:val="center"/>
              <w:rPr>
                <w:sz w:val="21"/>
                <w:szCs w:val="21"/>
              </w:rPr>
            </w:pPr>
            <w:r>
              <w:rPr>
                <w:sz w:val="21"/>
                <w:szCs w:val="21"/>
              </w:rPr>
              <w:t>PM</w:t>
            </w:r>
            <w:r>
              <w:rPr>
                <w:sz w:val="21"/>
                <w:szCs w:val="21"/>
                <w:vertAlign w:val="subscript"/>
              </w:rPr>
              <w:t>2.5</w:t>
            </w:r>
          </w:p>
        </w:tc>
        <w:tc>
          <w:tcPr>
            <w:tcW w:w="585" w:type="pct"/>
            <w:tcBorders>
              <w:tl2br w:val="nil"/>
              <w:tr2bl w:val="nil"/>
            </w:tcBorders>
            <w:vAlign w:val="center"/>
          </w:tcPr>
          <w:p>
            <w:pPr>
              <w:spacing w:line="400" w:lineRule="exact"/>
              <w:ind w:firstLine="0" w:firstLineChars="0"/>
              <w:jc w:val="center"/>
              <w:rPr>
                <w:sz w:val="21"/>
                <w:szCs w:val="21"/>
              </w:rPr>
            </w:pPr>
            <w:r>
              <w:rPr>
                <w:sz w:val="21"/>
                <w:szCs w:val="21"/>
              </w:rPr>
              <w:t>PM</w:t>
            </w:r>
            <w:r>
              <w:rPr>
                <w:sz w:val="21"/>
                <w:szCs w:val="21"/>
                <w:vertAlign w:val="subscript"/>
              </w:rPr>
              <w:t>10</w:t>
            </w:r>
          </w:p>
        </w:tc>
        <w:tc>
          <w:tcPr>
            <w:tcW w:w="585" w:type="pct"/>
            <w:tcBorders>
              <w:tl2br w:val="nil"/>
              <w:tr2bl w:val="nil"/>
            </w:tcBorders>
            <w:vAlign w:val="center"/>
          </w:tcPr>
          <w:p>
            <w:pPr>
              <w:spacing w:line="400" w:lineRule="exact"/>
              <w:ind w:firstLine="0" w:firstLineChars="0"/>
              <w:jc w:val="center"/>
              <w:rPr>
                <w:sz w:val="21"/>
                <w:szCs w:val="21"/>
              </w:rPr>
            </w:pPr>
            <w:r>
              <w:rPr>
                <w:sz w:val="21"/>
                <w:szCs w:val="21"/>
              </w:rPr>
              <w:t>SO</w:t>
            </w:r>
            <w:r>
              <w:rPr>
                <w:sz w:val="21"/>
                <w:szCs w:val="21"/>
                <w:vertAlign w:val="subscript"/>
              </w:rPr>
              <w:t>2</w:t>
            </w:r>
          </w:p>
        </w:tc>
        <w:tc>
          <w:tcPr>
            <w:tcW w:w="585" w:type="pct"/>
            <w:tcBorders>
              <w:tl2br w:val="nil"/>
              <w:tr2bl w:val="nil"/>
            </w:tcBorders>
            <w:vAlign w:val="center"/>
          </w:tcPr>
          <w:p>
            <w:pPr>
              <w:spacing w:line="400" w:lineRule="exact"/>
              <w:ind w:firstLine="0" w:firstLineChars="0"/>
              <w:jc w:val="center"/>
              <w:rPr>
                <w:sz w:val="21"/>
                <w:szCs w:val="21"/>
              </w:rPr>
            </w:pPr>
            <w:r>
              <w:rPr>
                <w:sz w:val="21"/>
                <w:szCs w:val="21"/>
              </w:rPr>
              <w:t>NO</w:t>
            </w:r>
            <w:r>
              <w:rPr>
                <w:sz w:val="21"/>
                <w:szCs w:val="21"/>
                <w:vertAlign w:val="subscript"/>
              </w:rPr>
              <w:t>2</w:t>
            </w:r>
          </w:p>
        </w:tc>
        <w:tc>
          <w:tcPr>
            <w:tcW w:w="585" w:type="pct"/>
            <w:tcBorders>
              <w:tl2br w:val="nil"/>
              <w:tr2bl w:val="nil"/>
            </w:tcBorders>
            <w:vAlign w:val="center"/>
          </w:tcPr>
          <w:p>
            <w:pPr>
              <w:spacing w:line="400" w:lineRule="exact"/>
              <w:ind w:firstLine="0" w:firstLineChars="0"/>
              <w:jc w:val="center"/>
              <w:rPr>
                <w:color w:val="000000"/>
                <w:sz w:val="21"/>
                <w:szCs w:val="21"/>
              </w:rPr>
            </w:pPr>
            <w:r>
              <w:rPr>
                <w:sz w:val="21"/>
                <w:szCs w:val="21"/>
              </w:rPr>
              <w:t>CO</w:t>
            </w:r>
          </w:p>
        </w:tc>
        <w:tc>
          <w:tcPr>
            <w:tcW w:w="586" w:type="pct"/>
            <w:tcBorders>
              <w:tl2br w:val="nil"/>
              <w:tr2bl w:val="nil"/>
            </w:tcBorders>
            <w:vAlign w:val="center"/>
          </w:tcPr>
          <w:p>
            <w:pPr>
              <w:spacing w:line="400" w:lineRule="exact"/>
              <w:ind w:firstLine="0" w:firstLineChars="0"/>
              <w:jc w:val="center"/>
              <w:rPr>
                <w:color w:val="000000"/>
                <w:sz w:val="21"/>
                <w:szCs w:val="21"/>
              </w:rPr>
            </w:pPr>
            <w:r>
              <w:rPr>
                <w:sz w:val="21"/>
                <w:szCs w:val="21"/>
              </w:rPr>
              <w:t>O</w:t>
            </w:r>
            <w:r>
              <w:rPr>
                <w:sz w:val="21"/>
                <w:szCs w:val="21"/>
                <w:vertAlign w:val="subscript"/>
              </w:rPr>
              <w:t>3</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484" w:type="pct"/>
            <w:tcBorders>
              <w:tl2br w:val="nil"/>
              <w:tr2bl w:val="nil"/>
            </w:tcBorders>
            <w:vAlign w:val="center"/>
          </w:tcPr>
          <w:p>
            <w:pPr>
              <w:spacing w:line="400" w:lineRule="exact"/>
              <w:ind w:firstLine="0" w:firstLineChars="0"/>
              <w:jc w:val="center"/>
              <w:rPr>
                <w:sz w:val="21"/>
                <w:szCs w:val="21"/>
              </w:rPr>
            </w:pPr>
            <w:r>
              <w:rPr>
                <w:rFonts w:hint="eastAsia"/>
                <w:sz w:val="21"/>
                <w:szCs w:val="21"/>
              </w:rPr>
              <w:t>年均浓度（</w:t>
            </w:r>
            <w:r>
              <w:rPr>
                <w:sz w:val="21"/>
                <w:szCs w:val="21"/>
              </w:rPr>
              <w:t>μg/m</w:t>
            </w:r>
            <w:r>
              <w:rPr>
                <w:sz w:val="21"/>
                <w:szCs w:val="21"/>
                <w:vertAlign w:val="superscript"/>
              </w:rPr>
              <w:t>3</w:t>
            </w:r>
            <w:r>
              <w:rPr>
                <w:rFonts w:hint="eastAsia"/>
                <w:sz w:val="21"/>
                <w:szCs w:val="21"/>
              </w:rPr>
              <w:t>）</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42</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74</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18</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35</w:t>
            </w:r>
          </w:p>
        </w:tc>
        <w:tc>
          <w:tcPr>
            <w:tcW w:w="585"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w:t>
            </w:r>
          </w:p>
        </w:tc>
        <w:tc>
          <w:tcPr>
            <w:tcW w:w="586"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484" w:type="pct"/>
            <w:tcBorders>
              <w:tl2br w:val="nil"/>
              <w:tr2bl w:val="nil"/>
            </w:tcBorders>
            <w:vAlign w:val="center"/>
          </w:tcPr>
          <w:p>
            <w:pPr>
              <w:spacing w:line="400" w:lineRule="exact"/>
              <w:ind w:firstLine="0" w:firstLineChars="0"/>
              <w:jc w:val="center"/>
              <w:rPr>
                <w:sz w:val="21"/>
                <w:szCs w:val="21"/>
              </w:rPr>
            </w:pPr>
            <w:r>
              <w:rPr>
                <w:rFonts w:hint="eastAsia"/>
                <w:sz w:val="21"/>
                <w:szCs w:val="21"/>
              </w:rPr>
              <w:t>年标准（</w:t>
            </w:r>
            <w:r>
              <w:rPr>
                <w:sz w:val="21"/>
                <w:szCs w:val="21"/>
              </w:rPr>
              <w:t>μg/m</w:t>
            </w:r>
            <w:r>
              <w:rPr>
                <w:sz w:val="21"/>
                <w:szCs w:val="21"/>
                <w:vertAlign w:val="superscript"/>
              </w:rPr>
              <w:t>3</w:t>
            </w:r>
            <w:r>
              <w:rPr>
                <w:rFonts w:hint="eastAsia"/>
                <w:sz w:val="21"/>
                <w:szCs w:val="21"/>
              </w:rPr>
              <w:t>）</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35</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70</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60</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40</w:t>
            </w:r>
          </w:p>
        </w:tc>
        <w:tc>
          <w:tcPr>
            <w:tcW w:w="585"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w:t>
            </w:r>
          </w:p>
        </w:tc>
        <w:tc>
          <w:tcPr>
            <w:tcW w:w="586"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484" w:type="pct"/>
            <w:tcBorders>
              <w:tl2br w:val="nil"/>
              <w:tr2bl w:val="nil"/>
            </w:tcBorders>
            <w:vAlign w:val="center"/>
          </w:tcPr>
          <w:p>
            <w:pPr>
              <w:spacing w:line="400" w:lineRule="exact"/>
              <w:ind w:firstLine="0" w:firstLineChars="0"/>
              <w:jc w:val="center"/>
              <w:rPr>
                <w:sz w:val="21"/>
                <w:szCs w:val="21"/>
              </w:rPr>
            </w:pPr>
            <w:r>
              <w:rPr>
                <w:rFonts w:hint="eastAsia"/>
                <w:sz w:val="21"/>
                <w:szCs w:val="21"/>
              </w:rPr>
              <w:t>超标倍数（倍）</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0.2</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0.06</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w:t>
            </w:r>
          </w:p>
        </w:tc>
        <w:tc>
          <w:tcPr>
            <w:tcW w:w="585"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w:t>
            </w:r>
          </w:p>
        </w:tc>
        <w:tc>
          <w:tcPr>
            <w:tcW w:w="586"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484" w:type="pct"/>
            <w:tcBorders>
              <w:tl2br w:val="nil"/>
              <w:tr2bl w:val="nil"/>
            </w:tcBorders>
            <w:vAlign w:val="center"/>
          </w:tcPr>
          <w:p>
            <w:pPr>
              <w:spacing w:line="400" w:lineRule="exact"/>
              <w:ind w:firstLine="0" w:firstLineChars="0"/>
              <w:jc w:val="center"/>
              <w:rPr>
                <w:sz w:val="21"/>
                <w:szCs w:val="21"/>
                <w:lang w:eastAsia="zh-CN"/>
              </w:rPr>
            </w:pPr>
            <w:r>
              <w:rPr>
                <w:rFonts w:hint="eastAsia"/>
                <w:sz w:val="21"/>
                <w:szCs w:val="21"/>
                <w:lang w:eastAsia="zh-CN"/>
              </w:rPr>
              <w:t>24小时百分位数浓度（</w:t>
            </w:r>
            <w:r>
              <w:rPr>
                <w:sz w:val="21"/>
                <w:szCs w:val="21"/>
              </w:rPr>
              <w:t>μ</w:t>
            </w:r>
            <w:r>
              <w:rPr>
                <w:sz w:val="21"/>
                <w:szCs w:val="21"/>
                <w:lang w:eastAsia="zh-CN"/>
              </w:rPr>
              <w:t>g/m</w:t>
            </w:r>
            <w:r>
              <w:rPr>
                <w:sz w:val="21"/>
                <w:szCs w:val="21"/>
                <w:vertAlign w:val="superscript"/>
                <w:lang w:eastAsia="zh-CN"/>
              </w:rPr>
              <w:t>3</w:t>
            </w:r>
            <w:r>
              <w:rPr>
                <w:rFonts w:hint="eastAsia"/>
                <w:sz w:val="21"/>
                <w:szCs w:val="21"/>
                <w:vertAlign w:val="superscript"/>
                <w:lang w:eastAsia="zh-CN"/>
              </w:rPr>
              <w:t xml:space="preserve"> </w:t>
            </w:r>
            <w:r>
              <w:rPr>
                <w:rFonts w:hint="eastAsia"/>
                <w:sz w:val="21"/>
                <w:szCs w:val="21"/>
                <w:lang w:eastAsia="zh-CN"/>
              </w:rPr>
              <w:t>，mg/m</w:t>
            </w:r>
            <w:r>
              <w:rPr>
                <w:rFonts w:hint="eastAsia"/>
                <w:sz w:val="21"/>
                <w:szCs w:val="21"/>
                <w:vertAlign w:val="superscript"/>
                <w:lang w:eastAsia="zh-CN"/>
              </w:rPr>
              <w:t>3</w:t>
            </w:r>
            <w:r>
              <w:rPr>
                <w:rFonts w:hint="eastAsia"/>
                <w:sz w:val="21"/>
                <w:szCs w:val="21"/>
                <w:lang w:eastAsia="zh-CN"/>
              </w:rPr>
              <w:t>）</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110</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161</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45</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73</w:t>
            </w:r>
          </w:p>
        </w:tc>
        <w:tc>
          <w:tcPr>
            <w:tcW w:w="585" w:type="pct"/>
            <w:tcBorders>
              <w:tl2br w:val="nil"/>
              <w:tr2bl w:val="nil"/>
            </w:tcBorders>
            <w:vAlign w:val="center"/>
          </w:tcPr>
          <w:p>
            <w:pPr>
              <w:spacing w:line="400" w:lineRule="exact"/>
              <w:ind w:firstLine="0" w:firstLineChars="0"/>
              <w:jc w:val="center"/>
              <w:rPr>
                <w:color w:val="000000"/>
                <w:sz w:val="21"/>
                <w:szCs w:val="21"/>
              </w:rPr>
            </w:pPr>
            <w:r>
              <w:rPr>
                <w:rFonts w:hint="eastAsia"/>
                <w:color w:val="000000"/>
                <w:sz w:val="21"/>
                <w:szCs w:val="21"/>
              </w:rPr>
              <w:t>1.7</w:t>
            </w:r>
          </w:p>
        </w:tc>
        <w:tc>
          <w:tcPr>
            <w:tcW w:w="586" w:type="pct"/>
            <w:tcBorders>
              <w:tl2br w:val="nil"/>
              <w:tr2bl w:val="nil"/>
            </w:tcBorders>
            <w:vAlign w:val="center"/>
          </w:tcPr>
          <w:p>
            <w:pPr>
              <w:spacing w:line="400" w:lineRule="exact"/>
              <w:ind w:firstLine="0" w:firstLineChars="0"/>
              <w:jc w:val="center"/>
              <w:rPr>
                <w:color w:val="000000"/>
                <w:sz w:val="21"/>
                <w:szCs w:val="21"/>
              </w:rPr>
            </w:pPr>
            <w:r>
              <w:rPr>
                <w:rFonts w:hint="eastAsia"/>
                <w:color w:val="000000"/>
                <w:sz w:val="21"/>
                <w:szCs w:val="21"/>
              </w:rPr>
              <w:t>154</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484" w:type="pct"/>
            <w:tcBorders>
              <w:tl2br w:val="nil"/>
              <w:tr2bl w:val="nil"/>
            </w:tcBorders>
            <w:vAlign w:val="center"/>
          </w:tcPr>
          <w:p>
            <w:pPr>
              <w:spacing w:line="400" w:lineRule="exact"/>
              <w:ind w:firstLine="0" w:firstLineChars="0"/>
              <w:jc w:val="center"/>
              <w:rPr>
                <w:sz w:val="21"/>
                <w:szCs w:val="21"/>
                <w:lang w:eastAsia="zh-CN"/>
              </w:rPr>
            </w:pPr>
            <w:r>
              <w:rPr>
                <w:rFonts w:hint="eastAsia"/>
                <w:sz w:val="21"/>
                <w:szCs w:val="21"/>
                <w:lang w:eastAsia="zh-CN"/>
              </w:rPr>
              <w:t>24小时平均浓度标准（</w:t>
            </w:r>
            <w:r>
              <w:rPr>
                <w:sz w:val="21"/>
                <w:szCs w:val="21"/>
              </w:rPr>
              <w:t>μ</w:t>
            </w:r>
            <w:r>
              <w:rPr>
                <w:sz w:val="21"/>
                <w:szCs w:val="21"/>
                <w:lang w:eastAsia="zh-CN"/>
              </w:rPr>
              <w:t>g/m</w:t>
            </w:r>
            <w:r>
              <w:rPr>
                <w:sz w:val="21"/>
                <w:szCs w:val="21"/>
                <w:vertAlign w:val="superscript"/>
                <w:lang w:eastAsia="zh-CN"/>
              </w:rPr>
              <w:t>3</w:t>
            </w:r>
            <w:r>
              <w:rPr>
                <w:rFonts w:hint="eastAsia"/>
                <w:sz w:val="21"/>
                <w:szCs w:val="21"/>
                <w:vertAlign w:val="superscript"/>
                <w:lang w:eastAsia="zh-CN"/>
              </w:rPr>
              <w:t xml:space="preserve"> </w:t>
            </w:r>
            <w:r>
              <w:rPr>
                <w:rFonts w:hint="eastAsia"/>
                <w:sz w:val="21"/>
                <w:szCs w:val="21"/>
                <w:lang w:eastAsia="zh-CN"/>
              </w:rPr>
              <w:t>，mg/m</w:t>
            </w:r>
            <w:r>
              <w:rPr>
                <w:rFonts w:hint="eastAsia"/>
                <w:sz w:val="21"/>
                <w:szCs w:val="21"/>
                <w:vertAlign w:val="superscript"/>
                <w:lang w:eastAsia="zh-CN"/>
              </w:rPr>
              <w:t>3</w:t>
            </w:r>
            <w:r>
              <w:rPr>
                <w:rFonts w:hint="eastAsia"/>
                <w:sz w:val="21"/>
                <w:szCs w:val="21"/>
                <w:lang w:eastAsia="zh-CN"/>
              </w:rPr>
              <w:t>）</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75</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150</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150</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80</w:t>
            </w:r>
          </w:p>
        </w:tc>
        <w:tc>
          <w:tcPr>
            <w:tcW w:w="585" w:type="pct"/>
            <w:tcBorders>
              <w:tl2br w:val="nil"/>
              <w:tr2bl w:val="nil"/>
            </w:tcBorders>
            <w:vAlign w:val="center"/>
          </w:tcPr>
          <w:p>
            <w:pPr>
              <w:spacing w:line="400" w:lineRule="exact"/>
              <w:ind w:firstLine="0" w:firstLineChars="0"/>
              <w:jc w:val="center"/>
              <w:rPr>
                <w:color w:val="000000"/>
                <w:sz w:val="21"/>
                <w:szCs w:val="21"/>
              </w:rPr>
            </w:pPr>
            <w:r>
              <w:rPr>
                <w:rFonts w:hint="eastAsia"/>
                <w:color w:val="000000"/>
                <w:sz w:val="21"/>
                <w:szCs w:val="21"/>
              </w:rPr>
              <w:t>4</w:t>
            </w:r>
          </w:p>
        </w:tc>
        <w:tc>
          <w:tcPr>
            <w:tcW w:w="586" w:type="pct"/>
            <w:tcBorders>
              <w:tl2br w:val="nil"/>
              <w:tr2bl w:val="nil"/>
            </w:tcBorders>
            <w:vAlign w:val="center"/>
          </w:tcPr>
          <w:p>
            <w:pPr>
              <w:spacing w:line="400" w:lineRule="exact"/>
              <w:ind w:firstLine="0" w:firstLineChars="0"/>
              <w:jc w:val="center"/>
              <w:rPr>
                <w:color w:val="000000"/>
                <w:sz w:val="21"/>
                <w:szCs w:val="21"/>
              </w:rPr>
            </w:pPr>
            <w:r>
              <w:rPr>
                <w:rFonts w:hint="eastAsia"/>
                <w:color w:val="000000"/>
                <w:sz w:val="21"/>
                <w:szCs w:val="21"/>
              </w:rPr>
              <w:t>160</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484" w:type="pct"/>
            <w:tcBorders>
              <w:tl2br w:val="nil"/>
              <w:tr2bl w:val="nil"/>
            </w:tcBorders>
            <w:vAlign w:val="center"/>
          </w:tcPr>
          <w:p>
            <w:pPr>
              <w:spacing w:line="400" w:lineRule="exact"/>
              <w:ind w:firstLine="0" w:firstLineChars="0"/>
              <w:jc w:val="center"/>
              <w:rPr>
                <w:sz w:val="21"/>
                <w:szCs w:val="21"/>
              </w:rPr>
            </w:pPr>
            <w:r>
              <w:rPr>
                <w:rFonts w:hint="eastAsia"/>
                <w:sz w:val="21"/>
                <w:szCs w:val="21"/>
              </w:rPr>
              <w:t>超标倍数（倍）</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0.5</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0.07</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w:t>
            </w:r>
          </w:p>
        </w:tc>
        <w:tc>
          <w:tcPr>
            <w:tcW w:w="585"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w:t>
            </w:r>
          </w:p>
        </w:tc>
        <w:tc>
          <w:tcPr>
            <w:tcW w:w="586"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w:t>
            </w:r>
          </w:p>
        </w:tc>
      </w:tr>
      <w:tr>
        <w:tblPrEx>
          <w:tblBorders>
            <w:top w:val="double" w:color="000000" w:sz="4" w:space="0"/>
            <w:left w:val="none" w:color="auto" w:sz="0" w:space="0"/>
            <w:bottom w:val="doub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484" w:type="pct"/>
            <w:tcBorders>
              <w:tl2br w:val="nil"/>
              <w:tr2bl w:val="nil"/>
            </w:tcBorders>
            <w:vAlign w:val="center"/>
          </w:tcPr>
          <w:p>
            <w:pPr>
              <w:spacing w:line="400" w:lineRule="exact"/>
              <w:ind w:firstLine="0" w:firstLineChars="0"/>
              <w:jc w:val="center"/>
              <w:rPr>
                <w:sz w:val="21"/>
                <w:szCs w:val="21"/>
              </w:rPr>
            </w:pPr>
            <w:r>
              <w:rPr>
                <w:rFonts w:hint="eastAsia"/>
                <w:sz w:val="21"/>
                <w:szCs w:val="21"/>
              </w:rPr>
              <w:t>达标情况</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不达标</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不达标</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达标</w:t>
            </w:r>
          </w:p>
        </w:tc>
        <w:tc>
          <w:tcPr>
            <w:tcW w:w="585" w:type="pct"/>
            <w:tcBorders>
              <w:tl2br w:val="nil"/>
              <w:tr2bl w:val="nil"/>
            </w:tcBorders>
            <w:vAlign w:val="center"/>
          </w:tcPr>
          <w:p>
            <w:pPr>
              <w:spacing w:line="400" w:lineRule="exact"/>
              <w:ind w:firstLine="0" w:firstLineChars="0"/>
              <w:jc w:val="center"/>
              <w:rPr>
                <w:sz w:val="21"/>
                <w:szCs w:val="21"/>
              </w:rPr>
            </w:pPr>
            <w:r>
              <w:rPr>
                <w:rFonts w:hint="eastAsia"/>
                <w:sz w:val="21"/>
                <w:szCs w:val="21"/>
              </w:rPr>
              <w:t>达标</w:t>
            </w:r>
          </w:p>
        </w:tc>
        <w:tc>
          <w:tcPr>
            <w:tcW w:w="585"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达标</w:t>
            </w:r>
          </w:p>
        </w:tc>
        <w:tc>
          <w:tcPr>
            <w:tcW w:w="586" w:type="pct"/>
            <w:tcBorders>
              <w:tl2br w:val="nil"/>
              <w:tr2bl w:val="nil"/>
            </w:tcBorders>
            <w:vAlign w:val="center"/>
          </w:tcPr>
          <w:p>
            <w:pPr>
              <w:spacing w:line="400" w:lineRule="exact"/>
              <w:ind w:firstLine="0" w:firstLineChars="0"/>
              <w:jc w:val="center"/>
              <w:rPr>
                <w:color w:val="000000"/>
                <w:sz w:val="21"/>
                <w:szCs w:val="21"/>
              </w:rPr>
            </w:pPr>
            <w:r>
              <w:rPr>
                <w:rFonts w:hint="eastAsia"/>
                <w:sz w:val="21"/>
                <w:szCs w:val="21"/>
              </w:rPr>
              <w:t>达标</w:t>
            </w:r>
          </w:p>
        </w:tc>
      </w:tr>
    </w:tbl>
    <w:p>
      <w:pPr>
        <w:widowControl/>
        <w:ind w:firstLine="361"/>
        <w:rPr>
          <w:b/>
          <w:bCs/>
          <w:color w:val="000000"/>
          <w:sz w:val="18"/>
          <w:szCs w:val="18"/>
          <w:lang w:eastAsia="zh-CN" w:bidi="ar"/>
        </w:rPr>
      </w:pPr>
      <w:r>
        <w:rPr>
          <w:b/>
          <w:bCs/>
          <w:color w:val="000000"/>
          <w:sz w:val="18"/>
          <w:szCs w:val="18"/>
          <w:lang w:eastAsia="zh-CN" w:bidi="ar"/>
        </w:rPr>
        <w:t>1、年评价指标：PM</w:t>
      </w:r>
      <w:r>
        <w:rPr>
          <w:b/>
          <w:bCs/>
          <w:color w:val="000000"/>
          <w:sz w:val="18"/>
          <w:szCs w:val="18"/>
          <w:vertAlign w:val="subscript"/>
          <w:lang w:eastAsia="zh-CN" w:bidi="ar"/>
        </w:rPr>
        <w:t>10</w:t>
      </w:r>
      <w:r>
        <w:rPr>
          <w:b/>
          <w:bCs/>
          <w:color w:val="000000"/>
          <w:sz w:val="18"/>
          <w:szCs w:val="18"/>
          <w:lang w:eastAsia="zh-CN" w:bidi="ar"/>
        </w:rPr>
        <w:t>、PM</w:t>
      </w:r>
      <w:r>
        <w:rPr>
          <w:b/>
          <w:bCs/>
          <w:color w:val="000000"/>
          <w:sz w:val="18"/>
          <w:szCs w:val="18"/>
          <w:vertAlign w:val="subscript"/>
          <w:lang w:eastAsia="zh-CN" w:bidi="ar"/>
        </w:rPr>
        <w:t>2.5</w:t>
      </w:r>
      <w:r>
        <w:rPr>
          <w:b/>
          <w:bCs/>
          <w:color w:val="000000"/>
          <w:sz w:val="18"/>
          <w:szCs w:val="18"/>
          <w:lang w:eastAsia="zh-CN" w:bidi="ar"/>
        </w:rPr>
        <w:t>年均浓度、24小时平均第95百分位数浓度；SO</w:t>
      </w:r>
      <w:r>
        <w:rPr>
          <w:b/>
          <w:bCs/>
          <w:color w:val="000000"/>
          <w:sz w:val="18"/>
          <w:szCs w:val="18"/>
          <w:vertAlign w:val="subscript"/>
          <w:lang w:eastAsia="zh-CN" w:bidi="ar"/>
        </w:rPr>
        <w:t>2</w:t>
      </w:r>
      <w:r>
        <w:rPr>
          <w:b/>
          <w:bCs/>
          <w:color w:val="000000"/>
          <w:sz w:val="18"/>
          <w:szCs w:val="18"/>
          <w:lang w:eastAsia="zh-CN" w:bidi="ar"/>
        </w:rPr>
        <w:t>、NO</w:t>
      </w:r>
      <w:r>
        <w:rPr>
          <w:b/>
          <w:bCs/>
          <w:color w:val="000000"/>
          <w:sz w:val="18"/>
          <w:szCs w:val="18"/>
          <w:vertAlign w:val="subscript"/>
          <w:lang w:eastAsia="zh-CN" w:bidi="ar"/>
        </w:rPr>
        <w:t>2</w:t>
      </w:r>
      <w:r>
        <w:rPr>
          <w:b/>
          <w:bCs/>
          <w:color w:val="000000"/>
          <w:sz w:val="18"/>
          <w:szCs w:val="18"/>
          <w:lang w:eastAsia="zh-CN" w:bidi="ar"/>
        </w:rPr>
        <w:t>年均浓度、24小时平均第98百分位数浓度；CO</w:t>
      </w:r>
      <w:r>
        <w:rPr>
          <w:b/>
          <w:bCs/>
          <w:color w:val="000000"/>
          <w:sz w:val="18"/>
          <w:szCs w:val="18"/>
          <w:vertAlign w:val="subscript"/>
          <w:lang w:eastAsia="zh-CN" w:bidi="ar"/>
        </w:rPr>
        <w:t>24</w:t>
      </w:r>
      <w:r>
        <w:rPr>
          <w:b/>
          <w:bCs/>
          <w:color w:val="000000"/>
          <w:sz w:val="18"/>
          <w:szCs w:val="18"/>
          <w:lang w:eastAsia="zh-CN" w:bidi="ar"/>
        </w:rPr>
        <w:t>小时平均第95百分位数浓度；O</w:t>
      </w:r>
      <w:r>
        <w:rPr>
          <w:b/>
          <w:bCs/>
          <w:color w:val="000000"/>
          <w:sz w:val="18"/>
          <w:szCs w:val="18"/>
          <w:vertAlign w:val="subscript"/>
          <w:lang w:eastAsia="zh-CN" w:bidi="ar"/>
        </w:rPr>
        <w:t>3</w:t>
      </w:r>
      <w:r>
        <w:rPr>
          <w:b/>
          <w:bCs/>
          <w:color w:val="000000"/>
          <w:sz w:val="18"/>
          <w:szCs w:val="18"/>
          <w:lang w:eastAsia="zh-CN" w:bidi="ar"/>
        </w:rPr>
        <w:t>8小时滑动平均值的第90百分位数浓度。</w:t>
      </w:r>
    </w:p>
    <w:p>
      <w:pPr>
        <w:widowControl/>
        <w:ind w:firstLine="361"/>
        <w:rPr>
          <w:rFonts w:ascii="宋体" w:hAnsi="宋体" w:cs="宋体"/>
          <w:color w:val="000000"/>
          <w:szCs w:val="21"/>
          <w:lang w:eastAsia="zh-CN" w:bidi="ar"/>
        </w:rPr>
      </w:pPr>
      <w:r>
        <w:rPr>
          <w:b/>
          <w:bCs/>
          <w:color w:val="000000"/>
          <w:sz w:val="18"/>
          <w:szCs w:val="18"/>
          <w:lang w:eastAsia="zh-CN" w:bidi="ar"/>
        </w:rPr>
        <w:t>2、污染物CO浓度单位为mg/m</w:t>
      </w:r>
      <w:r>
        <w:rPr>
          <w:b/>
          <w:bCs/>
          <w:color w:val="000000"/>
          <w:sz w:val="18"/>
          <w:szCs w:val="18"/>
          <w:vertAlign w:val="superscript"/>
          <w:lang w:eastAsia="zh-CN" w:bidi="ar"/>
        </w:rPr>
        <w:t>3</w:t>
      </w:r>
      <w:r>
        <w:rPr>
          <w:b/>
          <w:bCs/>
          <w:color w:val="000000"/>
          <w:sz w:val="18"/>
          <w:szCs w:val="18"/>
          <w:lang w:eastAsia="zh-CN" w:bidi="ar"/>
        </w:rPr>
        <w:t>，其余指标均为</w:t>
      </w:r>
      <w:r>
        <w:rPr>
          <w:b/>
          <w:bCs/>
          <w:color w:val="000000"/>
          <w:sz w:val="18"/>
          <w:szCs w:val="18"/>
          <w:lang w:bidi="ar"/>
        </w:rPr>
        <w:t>μ</w:t>
      </w:r>
      <w:r>
        <w:rPr>
          <w:b/>
          <w:bCs/>
          <w:color w:val="000000"/>
          <w:sz w:val="18"/>
          <w:szCs w:val="18"/>
          <w:lang w:eastAsia="zh-CN" w:bidi="ar"/>
        </w:rPr>
        <w:t>g/m</w:t>
      </w:r>
      <w:r>
        <w:rPr>
          <w:b/>
          <w:bCs/>
          <w:color w:val="000000"/>
          <w:sz w:val="18"/>
          <w:szCs w:val="18"/>
          <w:vertAlign w:val="superscript"/>
          <w:lang w:eastAsia="zh-CN" w:bidi="ar"/>
        </w:rPr>
        <w:t>3</w:t>
      </w:r>
      <w:r>
        <w:rPr>
          <w:b/>
          <w:bCs/>
          <w:color w:val="000000"/>
          <w:sz w:val="18"/>
          <w:szCs w:val="18"/>
          <w:lang w:eastAsia="zh-CN" w:bidi="ar"/>
        </w:rPr>
        <w:t>。</w:t>
      </w:r>
    </w:p>
    <w:p>
      <w:pPr>
        <w:widowControl/>
        <w:ind w:firstLine="480"/>
        <w:rPr>
          <w:rFonts w:ascii="宋体" w:hAnsi="宋体" w:cs="宋体"/>
          <w:color w:val="000000"/>
          <w:szCs w:val="21"/>
          <w:lang w:eastAsia="zh-CN" w:bidi="ar"/>
        </w:rPr>
      </w:pPr>
      <w:r>
        <w:rPr>
          <w:rFonts w:hint="eastAsia" w:ascii="宋体" w:hAnsi="宋体" w:cs="宋体"/>
          <w:color w:val="000000"/>
          <w:szCs w:val="21"/>
          <w:lang w:eastAsia="zh-CN" w:bidi="ar"/>
        </w:rPr>
        <w:t xml:space="preserve">由上表可见，本项目所在区域环境空气质量 </w:t>
      </w:r>
      <w:r>
        <w:rPr>
          <w:color w:val="000000"/>
          <w:szCs w:val="21"/>
          <w:lang w:eastAsia="zh-CN" w:bidi="ar"/>
        </w:rPr>
        <w:t>NO</w:t>
      </w:r>
      <w:r>
        <w:rPr>
          <w:color w:val="000000"/>
          <w:szCs w:val="21"/>
          <w:vertAlign w:val="subscript"/>
          <w:lang w:eastAsia="zh-CN" w:bidi="ar"/>
        </w:rPr>
        <w:t>2</w:t>
      </w:r>
      <w:r>
        <w:rPr>
          <w:rFonts w:hint="eastAsia" w:ascii="宋体" w:hAnsi="宋体" w:cs="宋体"/>
          <w:color w:val="000000"/>
          <w:szCs w:val="21"/>
          <w:lang w:eastAsia="zh-CN" w:bidi="ar"/>
        </w:rPr>
        <w:t>、</w:t>
      </w:r>
      <w:r>
        <w:rPr>
          <w:color w:val="000000"/>
          <w:szCs w:val="21"/>
          <w:lang w:eastAsia="zh-CN" w:bidi="ar"/>
        </w:rPr>
        <w:t>SO</w:t>
      </w:r>
      <w:r>
        <w:rPr>
          <w:color w:val="000000"/>
          <w:szCs w:val="21"/>
          <w:vertAlign w:val="subscript"/>
          <w:lang w:eastAsia="zh-CN" w:bidi="ar"/>
        </w:rPr>
        <w:t>2</w:t>
      </w:r>
      <w:r>
        <w:rPr>
          <w:rFonts w:hint="eastAsia" w:ascii="宋体" w:hAnsi="宋体" w:cs="宋体"/>
          <w:color w:val="000000"/>
          <w:szCs w:val="21"/>
          <w:lang w:eastAsia="zh-CN" w:bidi="ar"/>
        </w:rPr>
        <w:t>、</w:t>
      </w:r>
      <w:r>
        <w:rPr>
          <w:color w:val="000000"/>
          <w:szCs w:val="21"/>
          <w:lang w:eastAsia="zh-CN" w:bidi="ar"/>
        </w:rPr>
        <w:t xml:space="preserve">CO </w:t>
      </w:r>
      <w:r>
        <w:rPr>
          <w:rFonts w:hint="eastAsia" w:ascii="宋体" w:hAnsi="宋体" w:cs="宋体"/>
          <w:color w:val="000000"/>
          <w:szCs w:val="21"/>
          <w:lang w:eastAsia="zh-CN" w:bidi="ar"/>
        </w:rPr>
        <w:t>、</w:t>
      </w:r>
      <w:r>
        <w:rPr>
          <w:color w:val="000000"/>
          <w:szCs w:val="21"/>
          <w:lang w:eastAsia="zh-CN" w:bidi="ar"/>
        </w:rPr>
        <w:t>O</w:t>
      </w:r>
      <w:r>
        <w:rPr>
          <w:color w:val="000000"/>
          <w:szCs w:val="21"/>
          <w:vertAlign w:val="subscript"/>
          <w:lang w:eastAsia="zh-CN" w:bidi="ar"/>
        </w:rPr>
        <w:t>3</w:t>
      </w:r>
      <w:r>
        <w:rPr>
          <w:rFonts w:hint="eastAsia" w:ascii="宋体" w:hAnsi="宋体" w:cs="宋体"/>
          <w:color w:val="000000"/>
          <w:szCs w:val="21"/>
          <w:lang w:eastAsia="zh-CN" w:bidi="ar"/>
        </w:rPr>
        <w:t>现状浓度达到《环境空气质量标准》（</w:t>
      </w:r>
      <w:r>
        <w:rPr>
          <w:color w:val="000000"/>
          <w:szCs w:val="21"/>
          <w:lang w:eastAsia="zh-CN" w:bidi="ar"/>
        </w:rPr>
        <w:t>GB3095-2012</w:t>
      </w:r>
      <w:r>
        <w:rPr>
          <w:rFonts w:hint="eastAsia" w:ascii="宋体" w:hAnsi="宋体" w:cs="宋体"/>
          <w:color w:val="000000"/>
          <w:szCs w:val="21"/>
          <w:lang w:eastAsia="zh-CN" w:bidi="ar"/>
        </w:rPr>
        <w:t>）及其修改单中二级标准要求，</w:t>
      </w:r>
      <w:r>
        <w:rPr>
          <w:color w:val="000000"/>
          <w:szCs w:val="21"/>
          <w:lang w:eastAsia="zh-CN" w:bidi="ar"/>
        </w:rPr>
        <w:t>PM</w:t>
      </w:r>
      <w:r>
        <w:rPr>
          <w:color w:val="000000"/>
          <w:szCs w:val="21"/>
          <w:vertAlign w:val="subscript"/>
          <w:lang w:eastAsia="zh-CN" w:bidi="ar"/>
        </w:rPr>
        <w:t>10</w:t>
      </w:r>
      <w:r>
        <w:rPr>
          <w:rFonts w:hint="eastAsia" w:ascii="宋体" w:hAnsi="宋体" w:cs="宋体"/>
          <w:color w:val="000000"/>
          <w:szCs w:val="21"/>
          <w:lang w:eastAsia="zh-CN" w:bidi="ar"/>
        </w:rPr>
        <w:t>、</w:t>
      </w:r>
      <w:r>
        <w:rPr>
          <w:color w:val="000000"/>
          <w:szCs w:val="21"/>
          <w:lang w:eastAsia="zh-CN" w:bidi="ar"/>
        </w:rPr>
        <w:t>PM</w:t>
      </w:r>
      <w:r>
        <w:rPr>
          <w:color w:val="000000"/>
          <w:szCs w:val="21"/>
          <w:vertAlign w:val="subscript"/>
          <w:lang w:eastAsia="zh-CN" w:bidi="ar"/>
        </w:rPr>
        <w:t>2.5</w:t>
      </w:r>
      <w:r>
        <w:rPr>
          <w:rFonts w:hint="eastAsia" w:ascii="宋体" w:hAnsi="宋体" w:cs="宋体"/>
          <w:color w:val="000000"/>
          <w:szCs w:val="21"/>
          <w:lang w:eastAsia="zh-CN" w:bidi="ar"/>
        </w:rPr>
        <w:t>现状浓度超过《环境空气质量标准》（</w:t>
      </w:r>
      <w:r>
        <w:rPr>
          <w:color w:val="000000"/>
          <w:szCs w:val="21"/>
          <w:lang w:eastAsia="zh-CN" w:bidi="ar"/>
        </w:rPr>
        <w:t>GB3095-2012</w:t>
      </w:r>
      <w:r>
        <w:rPr>
          <w:rFonts w:hint="eastAsia" w:ascii="宋体" w:hAnsi="宋体" w:cs="宋体"/>
          <w:color w:val="000000"/>
          <w:szCs w:val="21"/>
          <w:lang w:eastAsia="zh-CN" w:bidi="ar"/>
        </w:rPr>
        <w:t>）及其修改单中二级标准要求。因此，根据《环境影响评价技术导则 大气环境》</w:t>
      </w:r>
      <w:r>
        <w:rPr>
          <w:color w:val="000000"/>
          <w:szCs w:val="21"/>
          <w:lang w:eastAsia="zh-CN" w:bidi="ar"/>
        </w:rPr>
        <w:t>（HJ2.2-2018）</w:t>
      </w:r>
      <w:r>
        <w:rPr>
          <w:rFonts w:hint="eastAsia" w:ascii="宋体" w:hAnsi="宋体" w:cs="宋体"/>
          <w:color w:val="000000"/>
          <w:szCs w:val="21"/>
          <w:lang w:eastAsia="zh-CN" w:bidi="ar"/>
        </w:rPr>
        <w:t>，本项目位于环境空气质量不达标区。</w:t>
      </w:r>
    </w:p>
    <w:p>
      <w:pPr>
        <w:ind w:firstLine="480"/>
        <w:rPr>
          <w:rFonts w:cs="Times New Roman"/>
          <w:kern w:val="2"/>
          <w:lang w:eastAsia="zh-CN"/>
        </w:rPr>
      </w:pPr>
      <w:r>
        <w:rPr>
          <w:color w:val="000000"/>
          <w:szCs w:val="21"/>
          <w:lang w:eastAsia="zh-CN" w:bidi="ar"/>
        </w:rPr>
        <w:t>PM</w:t>
      </w:r>
      <w:r>
        <w:rPr>
          <w:color w:val="000000"/>
          <w:szCs w:val="21"/>
          <w:vertAlign w:val="subscript"/>
          <w:lang w:eastAsia="zh-CN" w:bidi="ar"/>
        </w:rPr>
        <w:t>10</w:t>
      </w:r>
      <w:r>
        <w:rPr>
          <w:rFonts w:hint="eastAsia" w:ascii="宋体" w:hAnsi="宋体" w:cs="宋体"/>
          <w:color w:val="000000"/>
          <w:szCs w:val="21"/>
          <w:lang w:eastAsia="zh-CN" w:bidi="ar"/>
        </w:rPr>
        <w:t>、</w:t>
      </w:r>
      <w:r>
        <w:rPr>
          <w:color w:val="000000"/>
          <w:szCs w:val="21"/>
          <w:lang w:eastAsia="zh-CN" w:bidi="ar"/>
        </w:rPr>
        <w:t>PM</w:t>
      </w:r>
      <w:r>
        <w:rPr>
          <w:color w:val="000000"/>
          <w:szCs w:val="21"/>
          <w:vertAlign w:val="subscript"/>
          <w:lang w:eastAsia="zh-CN" w:bidi="ar"/>
        </w:rPr>
        <w:t>2.5</w:t>
      </w:r>
      <w:r>
        <w:rPr>
          <w:rFonts w:hint="eastAsia" w:ascii="宋体" w:hAnsi="宋体" w:cs="宋体"/>
          <w:color w:val="000000"/>
          <w:szCs w:val="21"/>
          <w:lang w:eastAsia="zh-CN" w:bidi="ar"/>
        </w:rPr>
        <w:t xml:space="preserve">超标主要原因为春秋季以风沙、建筑工地扬尘等污染为主，冬季以燃煤污染和汽车尾气污染为主。   </w:t>
      </w:r>
    </w:p>
    <w:p>
      <w:pPr>
        <w:pStyle w:val="11"/>
        <w:tabs>
          <w:tab w:val="left" w:pos="1302"/>
        </w:tabs>
        <w:adjustRightInd w:val="0"/>
        <w:spacing w:before="0" w:after="0" w:line="360" w:lineRule="auto"/>
        <w:ind w:firstLine="0" w:firstLineChars="0"/>
        <w:jc w:val="left"/>
        <w:rPr>
          <w:rFonts w:cs="Times New Roman"/>
          <w:sz w:val="24"/>
          <w:szCs w:val="24"/>
          <w:lang w:eastAsia="zh-CN"/>
        </w:rPr>
      </w:pPr>
      <w:r>
        <w:rPr>
          <w:rFonts w:hint="eastAsia" w:cs="Times New Roman"/>
          <w:sz w:val="24"/>
          <w:szCs w:val="24"/>
          <w:lang w:eastAsia="zh-CN"/>
        </w:rPr>
        <w:t>3.1.1.1.3大气环境质量变化趋势分析</w:t>
      </w:r>
    </w:p>
    <w:p>
      <w:pPr>
        <w:keepNext/>
        <w:keepLines/>
        <w:tabs>
          <w:tab w:val="left" w:pos="1302"/>
        </w:tabs>
        <w:adjustRightInd w:val="0"/>
        <w:ind w:firstLine="480"/>
        <w:rPr>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相比较园规划环评现状监测结果：</w:t>
      </w:r>
    </w:p>
    <w:p>
      <w:pPr>
        <w:keepNext/>
        <w:keepLines/>
        <w:tabs>
          <w:tab w:val="left" w:pos="1302"/>
        </w:tabs>
        <w:adjustRightInd w:val="0"/>
        <w:ind w:firstLine="480"/>
        <w:rPr>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①2011年SO</w:t>
      </w:r>
      <w:r>
        <w:rPr>
          <w:rFonts w:hint="eastAsia"/>
          <w:color w:val="000000" w:themeColor="text1"/>
          <w:vertAlign w:val="subscript"/>
          <w:lang w:eastAsia="zh-CN"/>
          <w14:textFill>
            <w14:solidFill>
              <w14:schemeClr w14:val="tx1"/>
            </w14:solidFill>
          </w14:textFill>
        </w:rPr>
        <w:t>2</w:t>
      </w:r>
      <w:r>
        <w:rPr>
          <w:rFonts w:hint="eastAsia"/>
          <w:color w:val="000000" w:themeColor="text1"/>
          <w:lang w:eastAsia="zh-CN"/>
          <w14:textFill>
            <w14:solidFill>
              <w14:schemeClr w14:val="tx1"/>
            </w14:solidFill>
          </w14:textFill>
        </w:rPr>
        <w:t>浓度范围为0.008-0.089mg/m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；2020年SO</w:t>
      </w:r>
      <w:r>
        <w:rPr>
          <w:rFonts w:hint="eastAsia"/>
          <w:color w:val="000000" w:themeColor="text1"/>
          <w:vertAlign w:val="subscript"/>
          <w:lang w:eastAsia="zh-CN"/>
          <w14:textFill>
            <w14:solidFill>
              <w14:schemeClr w14:val="tx1"/>
            </w14:solidFill>
          </w14:textFill>
        </w:rPr>
        <w:t>2</w:t>
      </w:r>
      <w:r>
        <w:rPr>
          <w:rFonts w:hint="eastAsia"/>
          <w:color w:val="000000" w:themeColor="text1"/>
          <w:lang w:eastAsia="zh-CN"/>
          <w14:textFill>
            <w14:solidFill>
              <w14:schemeClr w14:val="tx1"/>
            </w14:solidFill>
          </w14:textFill>
        </w:rPr>
        <w:t>浓度范围为0.008-0.089mg/m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w:t>
      </w:r>
    </w:p>
    <w:p>
      <w:pPr>
        <w:keepNext/>
        <w:keepLines/>
        <w:tabs>
          <w:tab w:val="left" w:pos="1302"/>
        </w:tabs>
        <w:adjustRightInd w:val="0"/>
        <w:ind w:firstLine="480"/>
        <w:rPr>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②2011年</w:t>
      </w:r>
      <w:r>
        <w:rPr>
          <w:color w:val="000000" w:themeColor="text1"/>
          <w:lang w:eastAsia="zh-CN"/>
          <w14:textFill>
            <w14:solidFill>
              <w14:schemeClr w14:val="tx1"/>
            </w14:solidFill>
          </w14:textFill>
        </w:rPr>
        <w:t>NO</w:t>
      </w:r>
      <w:r>
        <w:rPr>
          <w:color w:val="000000" w:themeColor="text1"/>
          <w:vertAlign w:val="subscript"/>
          <w:lang w:eastAsia="zh-CN"/>
          <w14:textFill>
            <w14:solidFill>
              <w14:schemeClr w14:val="tx1"/>
            </w14:solidFill>
          </w14:textFill>
        </w:rPr>
        <w:t>2</w:t>
      </w:r>
      <w:r>
        <w:rPr>
          <w:rFonts w:hint="eastAsia"/>
          <w:color w:val="000000" w:themeColor="text1"/>
          <w:lang w:eastAsia="zh-CN"/>
          <w14:textFill>
            <w14:solidFill>
              <w14:schemeClr w14:val="tx1"/>
            </w14:solidFill>
          </w14:textFill>
        </w:rPr>
        <w:t>浓度范围为0.008-0.089mg/m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；2020年</w:t>
      </w:r>
      <w:r>
        <w:rPr>
          <w:color w:val="000000" w:themeColor="text1"/>
          <w:lang w:eastAsia="zh-CN"/>
          <w14:textFill>
            <w14:solidFill>
              <w14:schemeClr w14:val="tx1"/>
            </w14:solidFill>
          </w14:textFill>
        </w:rPr>
        <w:t>NO</w:t>
      </w:r>
      <w:r>
        <w:rPr>
          <w:color w:val="000000" w:themeColor="text1"/>
          <w:vertAlign w:val="subscript"/>
          <w:lang w:eastAsia="zh-CN"/>
          <w14:textFill>
            <w14:solidFill>
              <w14:schemeClr w14:val="tx1"/>
            </w14:solidFill>
          </w14:textFill>
        </w:rPr>
        <w:t>2</w:t>
      </w:r>
      <w:r>
        <w:rPr>
          <w:rFonts w:hint="eastAsia"/>
          <w:color w:val="000000" w:themeColor="text1"/>
          <w:lang w:eastAsia="zh-CN"/>
          <w14:textFill>
            <w14:solidFill>
              <w14:schemeClr w14:val="tx1"/>
            </w14:solidFill>
          </w14:textFill>
        </w:rPr>
        <w:t>浓度范围为0.008-0.089mg/m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w:t>
      </w:r>
    </w:p>
    <w:p>
      <w:pPr>
        <w:ind w:firstLine="480"/>
        <w:rPr>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③2011年</w:t>
      </w:r>
      <w:r>
        <w:rPr>
          <w:color w:val="000000" w:themeColor="text1"/>
          <w:lang w:eastAsia="zh-CN"/>
          <w14:textFill>
            <w14:solidFill>
              <w14:schemeClr w14:val="tx1"/>
            </w14:solidFill>
          </w14:textFill>
        </w:rPr>
        <w:t>PM</w:t>
      </w:r>
      <w:r>
        <w:rPr>
          <w:color w:val="000000" w:themeColor="text1"/>
          <w:vertAlign w:val="subscript"/>
          <w:lang w:eastAsia="zh-CN"/>
          <w14:textFill>
            <w14:solidFill>
              <w14:schemeClr w14:val="tx1"/>
            </w14:solidFill>
          </w14:textFill>
        </w:rPr>
        <w:t>10</w:t>
      </w:r>
      <w:r>
        <w:rPr>
          <w:rFonts w:hint="eastAsia"/>
          <w:color w:val="000000" w:themeColor="text1"/>
          <w:lang w:eastAsia="zh-CN"/>
          <w14:textFill>
            <w14:solidFill>
              <w14:schemeClr w14:val="tx1"/>
            </w14:solidFill>
          </w14:textFill>
        </w:rPr>
        <w:t>浓度范围为0.008-0.089mg/m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；2020年</w:t>
      </w:r>
      <w:r>
        <w:rPr>
          <w:color w:val="000000" w:themeColor="text1"/>
          <w:lang w:eastAsia="zh-CN"/>
          <w14:textFill>
            <w14:solidFill>
              <w14:schemeClr w14:val="tx1"/>
            </w14:solidFill>
          </w14:textFill>
        </w:rPr>
        <w:t>PM</w:t>
      </w:r>
      <w:r>
        <w:rPr>
          <w:color w:val="000000" w:themeColor="text1"/>
          <w:vertAlign w:val="subscript"/>
          <w:lang w:eastAsia="zh-CN"/>
          <w14:textFill>
            <w14:solidFill>
              <w14:schemeClr w14:val="tx1"/>
            </w14:solidFill>
          </w14:textFill>
        </w:rPr>
        <w:t>10</w:t>
      </w:r>
      <w:r>
        <w:rPr>
          <w:rFonts w:hint="eastAsia"/>
          <w:color w:val="000000" w:themeColor="text1"/>
          <w:lang w:eastAsia="zh-CN"/>
          <w14:textFill>
            <w14:solidFill>
              <w14:schemeClr w14:val="tx1"/>
            </w14:solidFill>
          </w14:textFill>
        </w:rPr>
        <w:t>浓度范围为0.008-0.089mg/m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w:t>
      </w:r>
    </w:p>
    <w:p>
      <w:pPr>
        <w:ind w:firstLine="480"/>
        <w:rPr>
          <w:rFonts w:cs="Times New Roman"/>
          <w:color w:val="000000" w:themeColor="text1"/>
          <w:lang w:eastAsia="zh-CN"/>
          <w14:textFill>
            <w14:solidFill>
              <w14:schemeClr w14:val="tx1"/>
            </w14:solidFill>
          </w14:textFill>
        </w:rPr>
      </w:pPr>
      <w:r>
        <w:rPr>
          <w:rFonts w:hint="eastAsia" w:cs="Times New Roman"/>
          <w:color w:val="000000" w:themeColor="text1"/>
          <w:lang w:eastAsia="zh-CN"/>
          <w14:textFill>
            <w14:solidFill>
              <w14:schemeClr w14:val="tx1"/>
            </w14:solidFill>
          </w14:textFill>
        </w:rPr>
        <w:t>综上</w:t>
      </w:r>
      <w:r>
        <w:rPr>
          <w:rFonts w:cs="Times New Roman"/>
          <w:color w:val="000000" w:themeColor="text1"/>
          <w:lang w:eastAsia="zh-CN"/>
          <w14:textFill>
            <w14:solidFill>
              <w14:schemeClr w14:val="tx1"/>
            </w14:solidFill>
          </w14:textFill>
        </w:rPr>
        <w:t>，本次评价与上一轮规划环评时各环境空气监测因子浓度值差距不大，PM</w:t>
      </w:r>
      <w:r>
        <w:rPr>
          <w:rFonts w:cs="Times New Roman"/>
          <w:color w:val="000000" w:themeColor="text1"/>
          <w:vertAlign w:val="subscript"/>
          <w:lang w:eastAsia="zh-CN"/>
          <w14:textFill>
            <w14:solidFill>
              <w14:schemeClr w14:val="tx1"/>
            </w14:solidFill>
          </w14:textFill>
        </w:rPr>
        <w:t>10</w:t>
      </w:r>
      <w:r>
        <w:rPr>
          <w:rFonts w:cs="Times New Roman"/>
          <w:color w:val="000000" w:themeColor="text1"/>
          <w:lang w:eastAsia="zh-CN"/>
          <w14:textFill>
            <w14:solidFill>
              <w14:schemeClr w14:val="tx1"/>
            </w14:solidFill>
          </w14:textFill>
        </w:rPr>
        <w:t>、SO</w:t>
      </w:r>
      <w:r>
        <w:rPr>
          <w:rFonts w:cs="Times New Roman"/>
          <w:color w:val="000000" w:themeColor="text1"/>
          <w:vertAlign w:val="subscript"/>
          <w:lang w:eastAsia="zh-CN"/>
          <w14:textFill>
            <w14:solidFill>
              <w14:schemeClr w14:val="tx1"/>
            </w14:solidFill>
          </w14:textFill>
        </w:rPr>
        <w:t>2</w:t>
      </w:r>
      <w:r>
        <w:rPr>
          <w:rFonts w:cs="Times New Roman"/>
          <w:color w:val="000000" w:themeColor="text1"/>
          <w:lang w:eastAsia="zh-CN"/>
          <w14:textFill>
            <w14:solidFill>
              <w14:schemeClr w14:val="tx1"/>
            </w14:solidFill>
          </w14:textFill>
        </w:rPr>
        <w:t>、NO</w:t>
      </w:r>
      <w:r>
        <w:rPr>
          <w:rFonts w:cs="Times New Roman"/>
          <w:color w:val="000000" w:themeColor="text1"/>
          <w:vertAlign w:val="subscript"/>
          <w:lang w:eastAsia="zh-CN"/>
          <w14:textFill>
            <w14:solidFill>
              <w14:schemeClr w14:val="tx1"/>
            </w14:solidFill>
          </w14:textFill>
        </w:rPr>
        <w:t>2</w:t>
      </w:r>
      <w:r>
        <w:rPr>
          <w:rFonts w:cs="Times New Roman"/>
          <w:color w:val="000000" w:themeColor="text1"/>
          <w:lang w:eastAsia="zh-CN"/>
          <w14:textFill>
            <w14:solidFill>
              <w14:schemeClr w14:val="tx1"/>
            </w14:solidFill>
          </w14:textFill>
        </w:rPr>
        <w:t>均能满足《环境空气质量标准》（GB3095-2012）中的二级标准的要求，区域环境空气质量较好。</w:t>
      </w:r>
    </w:p>
    <w:p>
      <w:pPr>
        <w:pStyle w:val="11"/>
        <w:tabs>
          <w:tab w:val="left" w:pos="1302"/>
        </w:tabs>
        <w:adjustRightInd w:val="0"/>
        <w:spacing w:before="0" w:after="0" w:line="360" w:lineRule="auto"/>
        <w:ind w:firstLine="0" w:firstLineChars="0"/>
        <w:jc w:val="left"/>
        <w:rPr>
          <w:rFonts w:ascii="宋体" w:hAnsi="宋体" w:cs="宋体"/>
          <w:color w:val="000000"/>
          <w:szCs w:val="21"/>
          <w:lang w:eastAsia="zh-CN" w:bidi="ar"/>
        </w:rPr>
      </w:pPr>
      <w:r>
        <w:rPr>
          <w:rFonts w:hint="eastAsia" w:cs="Times New Roman"/>
          <w:sz w:val="24"/>
          <w:szCs w:val="24"/>
          <w:lang w:eastAsia="zh-CN"/>
        </w:rPr>
        <w:t>3.1.1.1.4大气例行监测结果变化趋势分析</w:t>
      </w:r>
    </w:p>
    <w:p>
      <w:pPr>
        <w:ind w:firstLine="480"/>
        <w:rPr>
          <w:rFonts w:cs="Times New Roman"/>
          <w:kern w:val="2"/>
          <w:lang w:eastAsia="zh-CN"/>
        </w:rPr>
      </w:pPr>
      <w:r>
        <w:rPr>
          <w:rFonts w:hint="eastAsia" w:ascii="宋体" w:hAnsi="宋体" w:cs="宋体"/>
          <w:color w:val="000000"/>
          <w:szCs w:val="21"/>
          <w:lang w:eastAsia="zh-CN" w:bidi="ar"/>
        </w:rPr>
        <w:t xml:space="preserve"> </w:t>
      </w:r>
      <w:r>
        <w:rPr>
          <w:rFonts w:cs="Times New Roman"/>
          <w:kern w:val="2"/>
          <w:lang w:eastAsia="zh-CN"/>
        </w:rPr>
        <w:t>本次评价主要收集2011年~20</w:t>
      </w:r>
      <w:r>
        <w:rPr>
          <w:rFonts w:hint="eastAsia" w:cs="Times New Roman"/>
          <w:kern w:val="2"/>
          <w:lang w:val="en-US" w:eastAsia="zh-CN"/>
        </w:rPr>
        <w:t>20</w:t>
      </w:r>
      <w:r>
        <w:rPr>
          <w:rFonts w:cs="Times New Roman"/>
          <w:kern w:val="2"/>
          <w:lang w:eastAsia="zh-CN"/>
        </w:rPr>
        <w:t>年</w:t>
      </w:r>
      <w:r>
        <w:rPr>
          <w:rFonts w:hint="eastAsia" w:cs="Times New Roman"/>
          <w:kern w:val="2"/>
          <w:lang w:eastAsia="zh-CN"/>
        </w:rPr>
        <w:t>浑南区</w:t>
      </w:r>
      <w:r>
        <w:rPr>
          <w:rFonts w:cs="Times New Roman"/>
          <w:kern w:val="2"/>
          <w:lang w:eastAsia="zh-CN"/>
        </w:rPr>
        <w:t>环境质量报告书中，分析规划区域所在浑南区的环境空气质量变化情况见表3.</w:t>
      </w:r>
      <w:r>
        <w:rPr>
          <w:rFonts w:hint="eastAsia" w:cs="Times New Roman"/>
          <w:kern w:val="2"/>
          <w:lang w:eastAsia="zh-CN"/>
        </w:rPr>
        <w:t>2</w:t>
      </w:r>
      <w:r>
        <w:rPr>
          <w:rFonts w:cs="Times New Roman"/>
          <w:kern w:val="2"/>
          <w:lang w:eastAsia="zh-CN"/>
        </w:rPr>
        <w:t>-1和图3.</w:t>
      </w:r>
      <w:r>
        <w:rPr>
          <w:rFonts w:hint="eastAsia" w:cs="Times New Roman"/>
          <w:kern w:val="2"/>
          <w:lang w:eastAsia="zh-CN"/>
        </w:rPr>
        <w:t>2</w:t>
      </w:r>
      <w:r>
        <w:rPr>
          <w:rFonts w:cs="Times New Roman"/>
          <w:kern w:val="2"/>
          <w:lang w:eastAsia="zh-CN"/>
        </w:rPr>
        <w:t>-1。</w:t>
      </w:r>
    </w:p>
    <w:p>
      <w:pPr>
        <w:spacing w:line="240" w:lineRule="auto"/>
        <w:ind w:firstLine="482"/>
        <w:jc w:val="center"/>
        <w:rPr>
          <w:rFonts w:cs="Times New Roman"/>
          <w:b/>
          <w:kern w:val="2"/>
          <w:szCs w:val="28"/>
          <w:lang w:eastAsia="zh-CN"/>
        </w:rPr>
      </w:pPr>
      <w:r>
        <w:rPr>
          <w:rFonts w:cs="Times New Roman"/>
          <w:b/>
          <w:kern w:val="2"/>
          <w:szCs w:val="28"/>
          <w:lang w:eastAsia="zh-CN"/>
        </w:rPr>
        <w:t>表3.</w:t>
      </w:r>
      <w:r>
        <w:rPr>
          <w:rFonts w:hint="eastAsia" w:cs="Times New Roman"/>
          <w:b/>
          <w:kern w:val="2"/>
          <w:szCs w:val="28"/>
          <w:lang w:eastAsia="zh-CN"/>
        </w:rPr>
        <w:t>2</w:t>
      </w:r>
      <w:r>
        <w:rPr>
          <w:rFonts w:cs="Times New Roman"/>
          <w:b/>
          <w:kern w:val="2"/>
          <w:szCs w:val="28"/>
          <w:lang w:eastAsia="zh-CN"/>
        </w:rPr>
        <w:t>-1   201</w:t>
      </w:r>
      <w:r>
        <w:rPr>
          <w:rFonts w:hint="eastAsia" w:cs="Times New Roman"/>
          <w:b/>
          <w:kern w:val="2"/>
          <w:szCs w:val="28"/>
          <w:lang w:eastAsia="zh-CN"/>
        </w:rPr>
        <w:t>1</w:t>
      </w:r>
      <w:r>
        <w:rPr>
          <w:rFonts w:cs="Times New Roman"/>
          <w:b/>
          <w:kern w:val="2"/>
          <w:szCs w:val="28"/>
          <w:lang w:eastAsia="zh-CN"/>
        </w:rPr>
        <w:t>年~201</w:t>
      </w:r>
      <w:r>
        <w:rPr>
          <w:rFonts w:hint="eastAsia" w:cs="Times New Roman"/>
          <w:b/>
          <w:kern w:val="2"/>
          <w:szCs w:val="28"/>
          <w:lang w:eastAsia="zh-CN"/>
        </w:rPr>
        <w:t>9</w:t>
      </w:r>
      <w:r>
        <w:rPr>
          <w:rFonts w:cs="Times New Roman"/>
          <w:b/>
          <w:kern w:val="2"/>
          <w:szCs w:val="28"/>
          <w:lang w:eastAsia="zh-CN"/>
        </w:rPr>
        <w:t>规划区域环境空气质量变化情况/mg/m</w:t>
      </w:r>
      <w:r>
        <w:rPr>
          <w:rFonts w:cs="Times New Roman"/>
          <w:b/>
          <w:kern w:val="2"/>
          <w:szCs w:val="28"/>
          <w:vertAlign w:val="superscript"/>
          <w:lang w:eastAsia="zh-CN"/>
        </w:rPr>
        <w:t>3</w:t>
      </w:r>
      <w:r>
        <w:rPr>
          <w:rFonts w:hint="eastAsia"/>
          <w:b/>
          <w:kern w:val="2"/>
          <w:szCs w:val="28"/>
          <w:lang w:eastAsia="zh-CN"/>
        </w:rPr>
        <w:t>（年均值）</w:t>
      </w:r>
    </w:p>
    <w:tbl>
      <w:tblPr>
        <w:tblStyle w:val="64"/>
        <w:tblW w:w="5000"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728"/>
        <w:gridCol w:w="1850"/>
        <w:gridCol w:w="1849"/>
        <w:gridCol w:w="1849"/>
        <w:gridCol w:w="1849"/>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rPr>
            </w:pPr>
            <w:r>
              <w:rPr>
                <w:rFonts w:cs="Times New Roman"/>
                <w:kern w:val="2"/>
                <w:sz w:val="21"/>
                <w:szCs w:val="21"/>
              </w:rPr>
              <w:t>监测项目</w:t>
            </w:r>
          </w:p>
        </w:tc>
        <w:tc>
          <w:tcPr>
            <w:tcW w:w="1795" w:type="dxa"/>
            <w:tcBorders>
              <w:tl2br w:val="nil"/>
              <w:tr2bl w:val="nil"/>
            </w:tcBorders>
            <w:vAlign w:val="center"/>
          </w:tcPr>
          <w:p>
            <w:pPr>
              <w:spacing w:line="400" w:lineRule="exact"/>
              <w:ind w:firstLine="0" w:firstLineChars="0"/>
              <w:jc w:val="center"/>
              <w:rPr>
                <w:rFonts w:cs="Times New Roman"/>
                <w:kern w:val="2"/>
                <w:sz w:val="21"/>
                <w:szCs w:val="21"/>
              </w:rPr>
            </w:pPr>
            <w:r>
              <w:rPr>
                <w:rFonts w:cs="Times New Roman"/>
                <w:kern w:val="2"/>
                <w:sz w:val="21"/>
                <w:szCs w:val="21"/>
              </w:rPr>
              <w:t>SO</w:t>
            </w:r>
            <w:r>
              <w:rPr>
                <w:rFonts w:cs="Times New Roman"/>
                <w:kern w:val="2"/>
                <w:sz w:val="21"/>
                <w:szCs w:val="21"/>
                <w:vertAlign w:val="subscript"/>
              </w:rPr>
              <w:t>2</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rPr>
            </w:pPr>
            <w:r>
              <w:rPr>
                <w:rFonts w:cs="Times New Roman"/>
                <w:kern w:val="2"/>
                <w:sz w:val="21"/>
                <w:szCs w:val="21"/>
              </w:rPr>
              <w:t>NO</w:t>
            </w:r>
            <w:r>
              <w:rPr>
                <w:rFonts w:cs="Times New Roman"/>
                <w:kern w:val="2"/>
                <w:sz w:val="21"/>
                <w:szCs w:val="21"/>
                <w:vertAlign w:val="subscript"/>
              </w:rPr>
              <w:t>2</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rPr>
            </w:pPr>
            <w:r>
              <w:rPr>
                <w:rFonts w:cs="Times New Roman"/>
                <w:kern w:val="2"/>
                <w:sz w:val="21"/>
                <w:szCs w:val="21"/>
              </w:rPr>
              <w:t>PM</w:t>
            </w:r>
            <w:r>
              <w:rPr>
                <w:rFonts w:cs="Times New Roman"/>
                <w:kern w:val="2"/>
                <w:sz w:val="21"/>
                <w:szCs w:val="21"/>
                <w:vertAlign w:val="subscript"/>
              </w:rPr>
              <w:t>10</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rPr>
            </w:pPr>
            <w:r>
              <w:rPr>
                <w:rFonts w:cs="Times New Roman"/>
                <w:kern w:val="2"/>
                <w:sz w:val="21"/>
                <w:szCs w:val="21"/>
              </w:rPr>
              <w:t>PM</w:t>
            </w:r>
            <w:r>
              <w:rPr>
                <w:rFonts w:cs="Times New Roman"/>
                <w:kern w:val="2"/>
                <w:sz w:val="21"/>
                <w:szCs w:val="21"/>
                <w:vertAlign w:val="subscript"/>
              </w:rPr>
              <w:t>2.5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2011年</w:t>
            </w:r>
          </w:p>
        </w:tc>
        <w:tc>
          <w:tcPr>
            <w:tcW w:w="1795"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0.060</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0.031</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0.081</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rPr>
            </w:pPr>
            <w:r>
              <w:rPr>
                <w:rFonts w:cs="Times New Roman"/>
                <w:kern w:val="2"/>
                <w:sz w:val="21"/>
                <w:szCs w:val="21"/>
                <w:lang w:eastAsia="zh-CN"/>
              </w:rPr>
              <w:t>2012年</w:t>
            </w:r>
          </w:p>
        </w:tc>
        <w:tc>
          <w:tcPr>
            <w:tcW w:w="1795"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0.043</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0.032</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0.082</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2013年</w:t>
            </w:r>
          </w:p>
        </w:tc>
        <w:tc>
          <w:tcPr>
            <w:tcW w:w="1795"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0.058</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0.040</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0.120</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2014年</w:t>
            </w:r>
          </w:p>
        </w:tc>
        <w:tc>
          <w:tcPr>
            <w:tcW w:w="1795"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0.044</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0.040</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0.110</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2015年</w:t>
            </w:r>
          </w:p>
        </w:tc>
        <w:tc>
          <w:tcPr>
            <w:tcW w:w="1795"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0.039</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0.037</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0.104</w:t>
            </w:r>
          </w:p>
        </w:tc>
        <w:tc>
          <w:tcPr>
            <w:tcW w:w="17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0.065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rPr>
            </w:pPr>
            <w:r>
              <w:rPr>
                <w:rFonts w:cs="Times New Roman"/>
                <w:kern w:val="2"/>
                <w:sz w:val="21"/>
                <w:szCs w:val="21"/>
              </w:rPr>
              <w:t>2016年</w:t>
            </w:r>
          </w:p>
        </w:tc>
        <w:tc>
          <w:tcPr>
            <w:tcW w:w="1795"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0.033</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0.034</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0.089</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0.051</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rPr>
            </w:pPr>
            <w:r>
              <w:rPr>
                <w:rFonts w:cs="Times New Roman"/>
                <w:kern w:val="2"/>
                <w:sz w:val="21"/>
                <w:szCs w:val="21"/>
              </w:rPr>
              <w:t>2017年</w:t>
            </w:r>
          </w:p>
        </w:tc>
        <w:tc>
          <w:tcPr>
            <w:tcW w:w="1795"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0.034</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0.042</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0.093</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0.054</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rPr>
            </w:pPr>
            <w:r>
              <w:rPr>
                <w:rFonts w:cs="Times New Roman"/>
                <w:kern w:val="2"/>
                <w:sz w:val="21"/>
                <w:szCs w:val="21"/>
              </w:rPr>
              <w:t>2018年</w:t>
            </w:r>
          </w:p>
        </w:tc>
        <w:tc>
          <w:tcPr>
            <w:tcW w:w="1795"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0.029</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0.041</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0.079</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cs="Times New Roman"/>
                <w:kern w:val="2"/>
                <w:sz w:val="21"/>
                <w:szCs w:val="21"/>
                <w:lang w:eastAsia="zh-CN"/>
              </w:rPr>
              <w:t>0.044</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hint="eastAsia" w:cs="Times New Roman"/>
                <w:kern w:val="2"/>
                <w:sz w:val="21"/>
                <w:szCs w:val="21"/>
                <w:lang w:eastAsia="zh-CN"/>
              </w:rPr>
              <w:t>2019年</w:t>
            </w:r>
          </w:p>
        </w:tc>
        <w:tc>
          <w:tcPr>
            <w:tcW w:w="1795"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hint="eastAsia" w:cs="Times New Roman"/>
                <w:kern w:val="2"/>
                <w:sz w:val="21"/>
                <w:szCs w:val="21"/>
                <w:lang w:eastAsia="zh-CN"/>
              </w:rPr>
              <w:t>0.022</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hint="eastAsia" w:cs="Times New Roman"/>
                <w:kern w:val="2"/>
                <w:sz w:val="21"/>
                <w:szCs w:val="21"/>
                <w:lang w:eastAsia="zh-CN"/>
              </w:rPr>
              <w:t>0.036</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hint="eastAsia" w:cs="Times New Roman"/>
                <w:kern w:val="2"/>
                <w:sz w:val="21"/>
                <w:szCs w:val="21"/>
                <w:lang w:eastAsia="zh-CN"/>
              </w:rPr>
              <w:t>0.080</w:t>
            </w:r>
          </w:p>
        </w:tc>
        <w:tc>
          <w:tcPr>
            <w:tcW w:w="1794" w:type="dxa"/>
            <w:tcBorders>
              <w:tl2br w:val="nil"/>
              <w:tr2bl w:val="nil"/>
            </w:tcBorders>
            <w:vAlign w:val="center"/>
          </w:tcPr>
          <w:p>
            <w:pPr>
              <w:spacing w:line="400" w:lineRule="exact"/>
              <w:ind w:firstLine="0" w:firstLineChars="0"/>
              <w:jc w:val="center"/>
              <w:rPr>
                <w:rFonts w:cs="Times New Roman"/>
                <w:kern w:val="2"/>
                <w:sz w:val="21"/>
                <w:szCs w:val="21"/>
                <w:lang w:eastAsia="zh-CN"/>
              </w:rPr>
            </w:pPr>
            <w:r>
              <w:rPr>
                <w:rFonts w:hint="eastAsia" w:cs="Times New Roman"/>
                <w:kern w:val="2"/>
                <w:sz w:val="21"/>
                <w:szCs w:val="21"/>
                <w:lang w:eastAsia="zh-CN"/>
              </w:rPr>
              <w:t>0.045</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675" w:type="dxa"/>
            <w:tcBorders>
              <w:tl2br w:val="nil"/>
              <w:tr2bl w:val="nil"/>
            </w:tcBorders>
            <w:vAlign w:val="center"/>
          </w:tcPr>
          <w:p>
            <w:pPr>
              <w:spacing w:line="400" w:lineRule="exact"/>
              <w:ind w:firstLine="0" w:firstLineChars="0"/>
              <w:jc w:val="center"/>
              <w:rPr>
                <w:rFonts w:hint="default" w:cs="Times New Roman"/>
                <w:kern w:val="2"/>
                <w:sz w:val="21"/>
                <w:szCs w:val="21"/>
                <w:lang w:val="en-US" w:eastAsia="zh-CN"/>
              </w:rPr>
            </w:pPr>
            <w:r>
              <w:rPr>
                <w:rFonts w:hint="eastAsia" w:cs="Times New Roman"/>
                <w:kern w:val="2"/>
                <w:sz w:val="21"/>
                <w:szCs w:val="21"/>
                <w:lang w:val="en-US" w:eastAsia="zh-CN"/>
              </w:rPr>
              <w:t>2020年</w:t>
            </w:r>
          </w:p>
        </w:tc>
        <w:tc>
          <w:tcPr>
            <w:tcW w:w="1795" w:type="dxa"/>
            <w:tcBorders>
              <w:tl2br w:val="nil"/>
              <w:tr2bl w:val="nil"/>
            </w:tcBorders>
            <w:vAlign w:val="center"/>
          </w:tcPr>
          <w:p>
            <w:pPr>
              <w:spacing w:line="400" w:lineRule="exact"/>
              <w:ind w:firstLine="0" w:firstLineChars="0"/>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0.022</w:t>
            </w:r>
          </w:p>
        </w:tc>
        <w:tc>
          <w:tcPr>
            <w:tcW w:w="1794" w:type="dxa"/>
            <w:tcBorders>
              <w:tl2br w:val="nil"/>
              <w:tr2bl w:val="nil"/>
            </w:tcBorders>
            <w:vAlign w:val="center"/>
          </w:tcPr>
          <w:p>
            <w:pPr>
              <w:spacing w:line="400" w:lineRule="exact"/>
              <w:ind w:firstLine="0" w:firstLineChars="0"/>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0.036</w:t>
            </w:r>
          </w:p>
        </w:tc>
        <w:tc>
          <w:tcPr>
            <w:tcW w:w="1794" w:type="dxa"/>
            <w:tcBorders>
              <w:tl2br w:val="nil"/>
              <w:tr2bl w:val="nil"/>
            </w:tcBorders>
            <w:vAlign w:val="center"/>
          </w:tcPr>
          <w:p>
            <w:pPr>
              <w:spacing w:line="400" w:lineRule="exact"/>
              <w:ind w:firstLine="0" w:firstLineChars="0"/>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val="en-US" w:eastAsia="zh-CN"/>
              </w:rPr>
              <w:t>0.0</w:t>
            </w:r>
            <w:r>
              <w:rPr>
                <w:rFonts w:hint="eastAsia" w:ascii="Times New Roman" w:hAnsi="Times New Roman" w:eastAsia="宋体" w:cs="Times New Roman"/>
                <w:kern w:val="2"/>
                <w:sz w:val="21"/>
                <w:szCs w:val="21"/>
                <w:lang w:eastAsia="zh-CN"/>
              </w:rPr>
              <w:t>78</w:t>
            </w:r>
          </w:p>
        </w:tc>
        <w:tc>
          <w:tcPr>
            <w:tcW w:w="1794" w:type="dxa"/>
            <w:tcBorders>
              <w:tl2br w:val="nil"/>
              <w:tr2bl w:val="nil"/>
            </w:tcBorders>
            <w:vAlign w:val="center"/>
          </w:tcPr>
          <w:p>
            <w:pPr>
              <w:spacing w:line="400" w:lineRule="exact"/>
              <w:ind w:firstLine="0" w:firstLineChars="0"/>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val="en-US" w:eastAsia="zh-CN"/>
              </w:rPr>
              <w:t>0.0</w:t>
            </w:r>
            <w:r>
              <w:rPr>
                <w:rFonts w:hint="eastAsia" w:ascii="Times New Roman" w:hAnsi="Times New Roman" w:eastAsia="宋体" w:cs="Times New Roman"/>
                <w:kern w:val="2"/>
                <w:sz w:val="21"/>
                <w:szCs w:val="21"/>
                <w:lang w:eastAsia="zh-CN"/>
              </w:rPr>
              <w:t>44</w:t>
            </w:r>
          </w:p>
        </w:tc>
      </w:tr>
    </w:tbl>
    <w:p>
      <w:pPr>
        <w:ind w:firstLine="420"/>
        <w:rPr>
          <w:rFonts w:cs="Times New Roman"/>
          <w:sz w:val="21"/>
          <w:szCs w:val="21"/>
          <w:lang w:eastAsia="zh-CN"/>
        </w:rPr>
      </w:pPr>
    </w:p>
    <w:p>
      <w:pPr>
        <w:ind w:firstLine="480"/>
        <w:jc w:val="center"/>
        <w:rPr>
          <w:rFonts w:cs="Times New Roman"/>
          <w:lang w:eastAsia="zh-CN"/>
        </w:rPr>
      </w:pPr>
      <w:r>
        <w:drawing>
          <wp:inline distT="0" distB="0" distL="114300" distR="114300">
            <wp:extent cx="4572000" cy="2743200"/>
            <wp:effectExtent l="4445" t="4445" r="14605" b="14605"/>
            <wp:docPr id="15" name="图表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pPr>
        <w:ind w:firstLine="0" w:firstLineChars="0"/>
        <w:jc w:val="center"/>
        <w:rPr>
          <w:rFonts w:cs="Times New Roman"/>
          <w:b/>
          <w:color w:val="000000" w:themeColor="text1"/>
          <w:lang w:eastAsia="zh-CN"/>
          <w14:textFill>
            <w14:solidFill>
              <w14:schemeClr w14:val="tx1"/>
            </w14:solidFill>
          </w14:textFill>
        </w:rPr>
      </w:pPr>
      <w:r>
        <w:rPr>
          <w:rFonts w:cs="Times New Roman"/>
          <w:b/>
          <w:color w:val="000000" w:themeColor="text1"/>
          <w:lang w:eastAsia="zh-CN"/>
          <w14:textFill>
            <w14:solidFill>
              <w14:schemeClr w14:val="tx1"/>
            </w14:solidFill>
          </w14:textFill>
        </w:rPr>
        <w:t>图3-2 规划区域环境空气质量变化趋势</w:t>
      </w:r>
    </w:p>
    <w:p>
      <w:pPr>
        <w:ind w:firstLine="480"/>
        <w:rPr>
          <w:rFonts w:cs="Times New Roman"/>
          <w:kern w:val="2"/>
          <w:lang w:eastAsia="zh-CN"/>
        </w:rPr>
      </w:pPr>
      <w:r>
        <w:rPr>
          <w:rFonts w:cs="Times New Roman"/>
          <w:kern w:val="2"/>
          <w:lang w:eastAsia="zh-CN"/>
        </w:rPr>
        <w:t>201</w:t>
      </w:r>
      <w:r>
        <w:rPr>
          <w:rFonts w:hint="eastAsia" w:cs="Times New Roman"/>
          <w:kern w:val="2"/>
          <w:lang w:val="en-US" w:eastAsia="zh-CN"/>
        </w:rPr>
        <w:t>1</w:t>
      </w:r>
      <w:r>
        <w:rPr>
          <w:rFonts w:cs="Times New Roman"/>
          <w:kern w:val="2"/>
          <w:lang w:eastAsia="zh-CN"/>
        </w:rPr>
        <w:t>-20</w:t>
      </w:r>
      <w:r>
        <w:rPr>
          <w:rFonts w:hint="eastAsia" w:cs="Times New Roman"/>
          <w:kern w:val="2"/>
          <w:lang w:val="en-US" w:eastAsia="zh-CN"/>
        </w:rPr>
        <w:t>20</w:t>
      </w:r>
      <w:r>
        <w:rPr>
          <w:rFonts w:cs="Times New Roman"/>
          <w:kern w:val="2"/>
          <w:lang w:eastAsia="zh-CN"/>
        </w:rPr>
        <w:t>年，浑南区环境空气二氧化硫全部达标，氮氧化物除个别年份外基本可以达标，但PM</w:t>
      </w:r>
      <w:r>
        <w:rPr>
          <w:rFonts w:cs="Times New Roman"/>
          <w:kern w:val="2"/>
          <w:vertAlign w:val="subscript"/>
          <w:lang w:eastAsia="zh-CN"/>
        </w:rPr>
        <w:t>10</w:t>
      </w:r>
      <w:r>
        <w:rPr>
          <w:rFonts w:cs="Times New Roman"/>
          <w:kern w:val="2"/>
          <w:lang w:eastAsia="zh-CN"/>
        </w:rPr>
        <w:t>和PM</w:t>
      </w:r>
      <w:r>
        <w:rPr>
          <w:rFonts w:cs="Times New Roman"/>
          <w:kern w:val="2"/>
          <w:vertAlign w:val="subscript"/>
          <w:lang w:eastAsia="zh-CN"/>
        </w:rPr>
        <w:t>2.5</w:t>
      </w:r>
      <w:r>
        <w:rPr>
          <w:rFonts w:cs="Times New Roman"/>
          <w:kern w:val="2"/>
          <w:lang w:eastAsia="zh-CN"/>
        </w:rPr>
        <w:t>均超标。</w:t>
      </w:r>
    </w:p>
    <w:p>
      <w:pPr>
        <w:ind w:firstLine="480"/>
        <w:rPr>
          <w:rFonts w:cs="Times New Roman"/>
          <w:kern w:val="2"/>
          <w:lang w:eastAsia="zh-CN"/>
        </w:rPr>
      </w:pPr>
      <w:r>
        <w:rPr>
          <w:rFonts w:cs="Times New Roman"/>
          <w:kern w:val="2"/>
          <w:lang w:eastAsia="zh-CN"/>
        </w:rPr>
        <w:t>随着沈阳市通过拆除10吨以下燃煤锅炉，实施煤改电，除尘、脱硫设施升级改造工程，对落后产能的淘汰，加大区域环境污染源治理力度，以及部分企业因关闭、停产等原因，该区域在2015年~20</w:t>
      </w:r>
      <w:r>
        <w:rPr>
          <w:rFonts w:hint="eastAsia" w:cs="Times New Roman"/>
          <w:kern w:val="2"/>
          <w:lang w:val="en-US" w:eastAsia="zh-CN"/>
        </w:rPr>
        <w:t>20</w:t>
      </w:r>
      <w:r>
        <w:rPr>
          <w:rFonts w:cs="Times New Roman"/>
          <w:kern w:val="2"/>
          <w:lang w:eastAsia="zh-CN"/>
        </w:rPr>
        <w:t>年间，区域的环境空气质量不断改善，但PM</w:t>
      </w:r>
      <w:r>
        <w:rPr>
          <w:rFonts w:cs="Times New Roman"/>
          <w:kern w:val="2"/>
          <w:vertAlign w:val="subscript"/>
          <w:lang w:eastAsia="zh-CN"/>
        </w:rPr>
        <w:t>10</w:t>
      </w:r>
      <w:r>
        <w:rPr>
          <w:rFonts w:cs="Times New Roman"/>
          <w:kern w:val="2"/>
          <w:lang w:eastAsia="zh-CN"/>
        </w:rPr>
        <w:t>和PM</w:t>
      </w:r>
      <w:r>
        <w:rPr>
          <w:rFonts w:cs="Times New Roman"/>
          <w:kern w:val="2"/>
          <w:vertAlign w:val="subscript"/>
          <w:lang w:eastAsia="zh-CN"/>
        </w:rPr>
        <w:t>2.5</w:t>
      </w:r>
      <w:r>
        <w:rPr>
          <w:rFonts w:cs="Times New Roman"/>
          <w:kern w:val="2"/>
          <w:lang w:eastAsia="zh-CN"/>
        </w:rPr>
        <w:t>仍超标明显。</w:t>
      </w:r>
    </w:p>
    <w:p>
      <w:pPr>
        <w:pStyle w:val="87"/>
        <w:sectPr>
          <w:footerReference r:id="rId19" w:type="default"/>
          <w:pgSz w:w="11906" w:h="16838"/>
          <w:pgMar w:top="1431" w:right="1309" w:bottom="1601" w:left="1689" w:header="907" w:footer="1434" w:gutter="0"/>
          <w:pgBorders>
            <w:top w:val="none" w:sz="0" w:space="0"/>
            <w:left w:val="none" w:sz="0" w:space="0"/>
            <w:bottom w:val="none" w:sz="0" w:space="0"/>
            <w:right w:val="none" w:sz="0" w:space="0"/>
          </w:pgBorders>
          <w:cols w:space="720" w:num="1"/>
        </w:sectPr>
      </w:pPr>
    </w:p>
    <w:p>
      <w:pPr>
        <w:pStyle w:val="10"/>
        <w:rPr>
          <w:rFonts w:cs="Times New Roman"/>
          <w:b/>
          <w:bCs/>
          <w:lang w:eastAsia="zh-CN"/>
        </w:rPr>
      </w:pPr>
      <w:bookmarkStart w:id="112" w:name="_Toc5684"/>
      <w:r>
        <w:rPr>
          <w:rFonts w:cs="Times New Roman"/>
          <w:b/>
          <w:bCs/>
          <w:lang w:eastAsia="zh-CN"/>
        </w:rPr>
        <w:t>3.</w:t>
      </w:r>
      <w:r>
        <w:rPr>
          <w:rFonts w:hint="eastAsia" w:cs="Times New Roman"/>
          <w:b/>
          <w:bCs/>
          <w:lang w:eastAsia="zh-CN"/>
        </w:rPr>
        <w:t>1</w:t>
      </w:r>
      <w:r>
        <w:rPr>
          <w:rFonts w:cs="Times New Roman"/>
          <w:b/>
          <w:bCs/>
          <w:lang w:eastAsia="zh-CN"/>
        </w:rPr>
        <w:t>.1.2 地表水环境质量变化趋势</w:t>
      </w:r>
      <w:bookmarkEnd w:id="112"/>
    </w:p>
    <w:p>
      <w:pPr>
        <w:pStyle w:val="11"/>
        <w:tabs>
          <w:tab w:val="left" w:pos="1302"/>
        </w:tabs>
        <w:adjustRightInd w:val="0"/>
        <w:spacing w:before="0" w:after="0" w:line="360" w:lineRule="auto"/>
        <w:ind w:firstLine="0" w:firstLineChars="0"/>
        <w:jc w:val="left"/>
        <w:rPr>
          <w:rFonts w:cs="Times New Roman"/>
          <w:sz w:val="24"/>
          <w:szCs w:val="24"/>
          <w:lang w:eastAsia="zh-CN"/>
        </w:rPr>
      </w:pPr>
      <w:r>
        <w:rPr>
          <w:rFonts w:hint="eastAsia" w:cs="Times New Roman"/>
          <w:sz w:val="24"/>
          <w:szCs w:val="24"/>
          <w:lang w:eastAsia="zh-CN"/>
        </w:rPr>
        <w:t>3.1.1.2.1原规划环评地表水环境质量</w:t>
      </w:r>
    </w:p>
    <w:p>
      <w:pPr>
        <w:keepNext/>
        <w:keepLines/>
        <w:tabs>
          <w:tab w:val="left" w:pos="1302"/>
        </w:tabs>
        <w:adjustRightInd w:val="0"/>
        <w:ind w:firstLine="480"/>
        <w:rPr>
          <w:rFonts w:cs="Times New Roman"/>
          <w:b/>
          <w:bCs/>
          <w:lang w:eastAsia="zh-CN"/>
        </w:rPr>
      </w:pPr>
      <w:r>
        <w:rPr>
          <w:rFonts w:hint="eastAsia" w:cs="Times New Roman"/>
          <w:lang w:eastAsia="zh-CN"/>
        </w:rPr>
        <w:t>原规划环评时地表水环评质量引用</w:t>
      </w:r>
      <w:r>
        <w:rPr>
          <w:rFonts w:eastAsia="Times New Roman"/>
          <w:lang w:eastAsia="zh-CN"/>
        </w:rPr>
        <w:t>2010</w:t>
      </w:r>
      <w:r>
        <w:rPr>
          <w:spacing w:val="-2"/>
          <w:lang w:eastAsia="zh-CN"/>
        </w:rPr>
        <w:t>年东陵</w:t>
      </w:r>
      <w:r>
        <w:rPr>
          <w:lang w:eastAsia="zh-CN"/>
        </w:rPr>
        <w:t>（浑南）</w:t>
      </w:r>
      <w:r>
        <w:rPr>
          <w:spacing w:val="-3"/>
          <w:lang w:eastAsia="zh-CN"/>
        </w:rPr>
        <w:t>区环境质量报告监测资料中杨官河的监测数据</w:t>
      </w:r>
      <w:r>
        <w:rPr>
          <w:rFonts w:hint="eastAsia"/>
          <w:spacing w:val="-3"/>
          <w:lang w:eastAsia="zh-CN"/>
        </w:rPr>
        <w:t>。监测点位为杨官河与浑南中路交汇处。</w:t>
      </w:r>
      <w:r>
        <w:rPr>
          <w:szCs w:val="32"/>
          <w:lang w:eastAsia="zh-CN"/>
        </w:rPr>
        <w:t>COD</w:t>
      </w:r>
      <w:r>
        <w:rPr>
          <w:rFonts w:hint="eastAsia"/>
          <w:szCs w:val="32"/>
          <w:lang w:eastAsia="zh-CN"/>
        </w:rPr>
        <w:t>浓度36</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r>
        <w:rPr>
          <w:szCs w:val="32"/>
          <w:lang w:eastAsia="zh-CN"/>
        </w:rPr>
        <w:t>NH</w:t>
      </w:r>
      <w:r>
        <w:rPr>
          <w:szCs w:val="32"/>
          <w:vertAlign w:val="subscript"/>
          <w:lang w:eastAsia="zh-CN"/>
        </w:rPr>
        <w:t>3</w:t>
      </w:r>
      <w:r>
        <w:rPr>
          <w:szCs w:val="32"/>
          <w:lang w:eastAsia="zh-CN"/>
        </w:rPr>
        <w:t>-N</w:t>
      </w:r>
      <w:r>
        <w:rPr>
          <w:rFonts w:hint="eastAsia"/>
          <w:szCs w:val="32"/>
          <w:lang w:eastAsia="zh-CN"/>
        </w:rPr>
        <w:t>浓度1.98</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，石油类</w:t>
      </w:r>
      <w:r>
        <w:rPr>
          <w:rFonts w:hint="eastAsia"/>
          <w:szCs w:val="32"/>
          <w:lang w:eastAsia="zh-CN"/>
        </w:rPr>
        <w:t>浓度0.36</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，总磷</w:t>
      </w:r>
      <w:r>
        <w:rPr>
          <w:rFonts w:hint="eastAsia"/>
          <w:szCs w:val="32"/>
          <w:lang w:eastAsia="zh-CN"/>
        </w:rPr>
        <w:t>浓度0.334</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p>
    <w:p>
      <w:pPr>
        <w:ind w:firstLine="480"/>
        <w:rPr>
          <w:lang w:eastAsia="zh-CN"/>
        </w:rPr>
      </w:pPr>
      <w:r>
        <w:rPr>
          <w:rFonts w:eastAsia="Times New Roman"/>
          <w:lang w:eastAsia="zh-CN"/>
        </w:rPr>
        <w:t>20</w:t>
      </w:r>
      <w:r>
        <w:rPr>
          <w:rFonts w:hint="eastAsia" w:eastAsia="Times New Roman"/>
          <w:lang w:val="en-US" w:eastAsia="zh-CN"/>
        </w:rPr>
        <w:t>1</w:t>
      </w:r>
      <w:r>
        <w:rPr>
          <w:rFonts w:eastAsia="Times New Roman"/>
          <w:lang w:eastAsia="zh-CN"/>
        </w:rPr>
        <w:t>0</w:t>
      </w:r>
      <w:r>
        <w:rPr>
          <w:spacing w:val="-14"/>
          <w:lang w:eastAsia="zh-CN"/>
        </w:rPr>
        <w:t>年</w:t>
      </w:r>
      <w:r>
        <w:rPr>
          <w:rFonts w:eastAsia="Times New Roman"/>
          <w:lang w:eastAsia="zh-CN"/>
        </w:rPr>
        <w:t>COD</w:t>
      </w:r>
      <w:r>
        <w:rPr>
          <w:spacing w:val="-16"/>
          <w:lang w:eastAsia="zh-CN"/>
        </w:rPr>
        <w:t xml:space="preserve">超标 </w:t>
      </w:r>
      <w:r>
        <w:rPr>
          <w:rFonts w:eastAsia="Times New Roman"/>
          <w:lang w:eastAsia="zh-CN"/>
        </w:rPr>
        <w:t>80%</w:t>
      </w:r>
      <w:r>
        <w:rPr>
          <w:lang w:eastAsia="zh-CN"/>
        </w:rPr>
        <w:t>，</w:t>
      </w:r>
      <w:r>
        <w:rPr>
          <w:rFonts w:eastAsia="Times New Roman"/>
          <w:lang w:eastAsia="zh-CN"/>
        </w:rPr>
        <w:t>NH</w:t>
      </w:r>
      <w:r>
        <w:rPr>
          <w:rFonts w:eastAsia="Times New Roman"/>
          <w:vertAlign w:val="subscript"/>
          <w:lang w:eastAsia="zh-CN"/>
        </w:rPr>
        <w:t>3</w:t>
      </w:r>
      <w:r>
        <w:rPr>
          <w:rFonts w:eastAsia="Times New Roman"/>
          <w:lang w:eastAsia="zh-CN"/>
        </w:rPr>
        <w:t>-N</w:t>
      </w:r>
      <w:r>
        <w:rPr>
          <w:spacing w:val="-16"/>
          <w:lang w:eastAsia="zh-CN"/>
        </w:rPr>
        <w:t>超标</w:t>
      </w:r>
      <w:r>
        <w:rPr>
          <w:rFonts w:eastAsia="Times New Roman"/>
          <w:lang w:eastAsia="zh-CN"/>
        </w:rPr>
        <w:t>98%</w:t>
      </w:r>
      <w:r>
        <w:rPr>
          <w:spacing w:val="-7"/>
          <w:lang w:eastAsia="zh-CN"/>
        </w:rPr>
        <w:t>，石油类超标</w:t>
      </w:r>
      <w:r>
        <w:rPr>
          <w:rFonts w:eastAsia="Times New Roman"/>
          <w:lang w:eastAsia="zh-CN"/>
        </w:rPr>
        <w:t>620%</w:t>
      </w:r>
      <w:r>
        <w:rPr>
          <w:spacing w:val="-8"/>
          <w:lang w:eastAsia="zh-CN"/>
        </w:rPr>
        <w:t>，总磷超标</w:t>
      </w:r>
      <w:r>
        <w:rPr>
          <w:rFonts w:eastAsia="Times New Roman"/>
          <w:lang w:eastAsia="zh-CN"/>
        </w:rPr>
        <w:t>67%</w:t>
      </w:r>
      <w:r>
        <w:rPr>
          <w:lang w:eastAsia="zh-CN"/>
        </w:rPr>
        <w:t>，由于多年受到严重污染，其水体功能已经基本丧失。</w:t>
      </w:r>
    </w:p>
    <w:p>
      <w:pPr>
        <w:pStyle w:val="11"/>
        <w:tabs>
          <w:tab w:val="left" w:pos="1302"/>
        </w:tabs>
        <w:adjustRightInd w:val="0"/>
        <w:spacing w:before="0" w:after="0" w:line="360" w:lineRule="auto"/>
        <w:ind w:firstLine="0" w:firstLineChars="0"/>
        <w:jc w:val="left"/>
        <w:rPr>
          <w:rFonts w:cs="Times New Roman"/>
          <w:sz w:val="24"/>
          <w:szCs w:val="24"/>
          <w:lang w:eastAsia="zh-CN"/>
        </w:rPr>
      </w:pPr>
      <w:r>
        <w:rPr>
          <w:rFonts w:hint="eastAsia" w:cs="Times New Roman"/>
          <w:sz w:val="24"/>
          <w:szCs w:val="24"/>
          <w:lang w:eastAsia="zh-CN"/>
        </w:rPr>
        <w:t>3.1.1.2.2区域地表水环境质量现状</w:t>
      </w:r>
    </w:p>
    <w:p>
      <w:pPr>
        <w:widowControl/>
        <w:ind w:firstLine="480"/>
        <w:rPr>
          <w:lang w:eastAsia="zh-CN"/>
        </w:rPr>
      </w:pPr>
      <w:r>
        <w:rPr>
          <w:rFonts w:cs="Times New Roman"/>
          <w:kern w:val="2"/>
          <w:lang w:eastAsia="zh-CN"/>
        </w:rPr>
        <w:t>规划区域内地表水体主要为</w:t>
      </w:r>
      <w:r>
        <w:rPr>
          <w:rFonts w:hint="eastAsia" w:cs="Times New Roman"/>
          <w:kern w:val="2"/>
          <w:lang w:eastAsia="zh-CN"/>
        </w:rPr>
        <w:t>浑河、</w:t>
      </w:r>
      <w:r>
        <w:rPr>
          <w:rFonts w:hint="eastAsia" w:ascii="宋体" w:hAnsi="宋体" w:cs="宋体"/>
          <w:color w:val="000000"/>
          <w:lang w:eastAsia="zh-CN" w:bidi="ar"/>
        </w:rPr>
        <w:t>杨官河汇入口至南林子断面和杨官河沈阳绕城高速至入浑河口。</w:t>
      </w:r>
      <w:r>
        <w:rPr>
          <w:rFonts w:cs="Times New Roman"/>
          <w:kern w:val="2"/>
          <w:lang w:eastAsia="zh-CN"/>
        </w:rPr>
        <w:t>本次收集了2016~20</w:t>
      </w:r>
      <w:r>
        <w:rPr>
          <w:rFonts w:hint="eastAsia" w:cs="Times New Roman"/>
          <w:kern w:val="2"/>
          <w:lang w:val="en-US" w:eastAsia="zh-CN"/>
        </w:rPr>
        <w:t>20</w:t>
      </w:r>
      <w:r>
        <w:rPr>
          <w:rFonts w:cs="Times New Roman"/>
          <w:kern w:val="2"/>
          <w:lang w:eastAsia="zh-CN"/>
        </w:rPr>
        <w:t>年浑南区环境质量报告书中的数据。</w:t>
      </w:r>
    </w:p>
    <w:p>
      <w:pPr>
        <w:widowControl/>
        <w:ind w:firstLine="480"/>
        <w:rPr>
          <w:lang w:eastAsia="zh-CN"/>
        </w:rPr>
      </w:pPr>
      <w:r>
        <w:rPr>
          <w:rFonts w:cs="Times New Roman"/>
          <w:color w:val="000000"/>
          <w:lang w:eastAsia="zh-CN" w:bidi="ar"/>
        </w:rPr>
        <w:t>2016</w:t>
      </w:r>
      <w:r>
        <w:rPr>
          <w:rFonts w:hint="eastAsia" w:ascii="宋体" w:hAnsi="宋体" w:cs="宋体"/>
          <w:color w:val="000000"/>
          <w:lang w:eastAsia="zh-CN" w:bidi="ar"/>
        </w:rPr>
        <w:t>年至</w:t>
      </w:r>
      <w:r>
        <w:rPr>
          <w:rFonts w:cs="Times New Roman"/>
          <w:color w:val="000000"/>
          <w:lang w:eastAsia="zh-CN" w:bidi="ar"/>
        </w:rPr>
        <w:t>20</w:t>
      </w:r>
      <w:r>
        <w:rPr>
          <w:rFonts w:hint="eastAsia" w:cs="Times New Roman"/>
          <w:color w:val="000000"/>
          <w:lang w:val="en-US" w:eastAsia="zh-CN" w:bidi="ar"/>
        </w:rPr>
        <w:t>20</w:t>
      </w:r>
      <w:r>
        <w:rPr>
          <w:rFonts w:hint="eastAsia" w:ascii="宋体" w:hAnsi="宋体" w:cs="宋体"/>
          <w:color w:val="000000"/>
          <w:lang w:eastAsia="zh-CN" w:bidi="ar"/>
        </w:rPr>
        <w:t>年期间，杨官河指标除氨氮和石油类外，化学需氧量、生化需氧量、高锰酸盐和总磷均有所下降，</w:t>
      </w:r>
      <w:r>
        <w:rPr>
          <w:rFonts w:cs="Times New Roman"/>
          <w:color w:val="000000"/>
          <w:lang w:eastAsia="zh-CN" w:bidi="ar"/>
        </w:rPr>
        <w:t>2018</w:t>
      </w:r>
      <w:r>
        <w:rPr>
          <w:rFonts w:hint="eastAsia" w:ascii="宋体" w:hAnsi="宋体" w:cs="宋体"/>
          <w:color w:val="000000"/>
          <w:lang w:eastAsia="zh-CN" w:bidi="ar"/>
        </w:rPr>
        <w:t>年杨官河氨氮超标</w:t>
      </w:r>
      <w:r>
        <w:rPr>
          <w:rFonts w:cs="Times New Roman"/>
          <w:color w:val="000000"/>
          <w:lang w:eastAsia="zh-CN" w:bidi="ar"/>
        </w:rPr>
        <w:t>0.23</w:t>
      </w:r>
      <w:r>
        <w:rPr>
          <w:rFonts w:hint="eastAsia" w:ascii="宋体" w:hAnsi="宋体" w:cs="宋体"/>
          <w:color w:val="000000"/>
          <w:lang w:eastAsia="zh-CN" w:bidi="ar"/>
        </w:rPr>
        <w:t>倍，其余指标均达到</w:t>
      </w:r>
      <w:r>
        <w:rPr>
          <w:rFonts w:cs="Times New Roman"/>
          <w:color w:val="000000"/>
          <w:lang w:eastAsia="zh-CN" w:bidi="ar"/>
        </w:rPr>
        <w:t>Ⅴ</w:t>
      </w:r>
      <w:r>
        <w:rPr>
          <w:rFonts w:hint="eastAsia" w:ascii="宋体" w:hAnsi="宋体" w:cs="宋体"/>
          <w:color w:val="000000"/>
          <w:lang w:eastAsia="zh-CN" w:bidi="ar"/>
        </w:rPr>
        <w:t>类标准限值。</w:t>
      </w:r>
    </w:p>
    <w:p>
      <w:pPr>
        <w:widowControl/>
        <w:ind w:firstLine="480"/>
        <w:rPr>
          <w:lang w:eastAsia="zh-CN"/>
        </w:rPr>
      </w:pPr>
      <w:r>
        <w:rPr>
          <w:rFonts w:cs="Times New Roman"/>
          <w:color w:val="000000"/>
          <w:lang w:eastAsia="zh-CN" w:bidi="ar"/>
        </w:rPr>
        <w:t>2016</w:t>
      </w:r>
      <w:r>
        <w:rPr>
          <w:rFonts w:hint="eastAsia" w:ascii="宋体" w:hAnsi="宋体" w:cs="宋体"/>
          <w:color w:val="000000"/>
          <w:lang w:eastAsia="zh-CN" w:bidi="ar"/>
        </w:rPr>
        <w:t>年至</w:t>
      </w:r>
      <w:r>
        <w:rPr>
          <w:rFonts w:cs="Times New Roman"/>
          <w:color w:val="000000"/>
          <w:lang w:eastAsia="zh-CN" w:bidi="ar"/>
        </w:rPr>
        <w:t>201</w:t>
      </w:r>
      <w:r>
        <w:rPr>
          <w:rFonts w:hint="eastAsia" w:cs="Times New Roman"/>
          <w:color w:val="000000"/>
          <w:lang w:eastAsia="zh-CN" w:bidi="ar"/>
        </w:rPr>
        <w:t>9</w:t>
      </w:r>
      <w:r>
        <w:rPr>
          <w:rFonts w:hint="eastAsia" w:ascii="宋体" w:hAnsi="宋体" w:cs="宋体"/>
          <w:color w:val="000000"/>
          <w:lang w:eastAsia="zh-CN" w:bidi="ar"/>
        </w:rPr>
        <w:t>年期间，杨官河主要污染指标月均值变化见下表。</w:t>
      </w:r>
    </w:p>
    <w:p>
      <w:pPr>
        <w:ind w:firstLine="480"/>
        <w:rPr>
          <w:rFonts w:cs="Times New Roman"/>
          <w:b/>
          <w:bCs/>
          <w:lang w:eastAsia="zh-CN"/>
        </w:rPr>
      </w:pPr>
      <w:r>
        <w:rPr>
          <w:rFonts w:cs="Times New Roman"/>
          <w:b/>
          <w:bCs/>
          <w:lang w:eastAsia="zh-CN"/>
        </w:rPr>
        <w:t>杨官河环境质量现状</w:t>
      </w:r>
    </w:p>
    <w:p>
      <w:pPr>
        <w:ind w:firstLine="480"/>
        <w:rPr>
          <w:rFonts w:cs="Times New Roman"/>
          <w:lang w:eastAsia="zh-CN"/>
        </w:rPr>
      </w:pPr>
      <w:r>
        <w:rPr>
          <w:rFonts w:cs="Times New Roman"/>
          <w:lang w:eastAsia="zh-CN"/>
        </w:rPr>
        <w:t>杨官河沿途共监测2个断面，杨官桥断面、杨官河入口监测断面。2016年至20</w:t>
      </w:r>
      <w:r>
        <w:rPr>
          <w:rFonts w:hint="eastAsia" w:cs="Times New Roman"/>
          <w:lang w:val="en-US" w:eastAsia="zh-CN"/>
        </w:rPr>
        <w:t>20</w:t>
      </w:r>
      <w:r>
        <w:rPr>
          <w:rFonts w:cs="Times New Roman"/>
          <w:lang w:eastAsia="zh-CN"/>
        </w:rPr>
        <w:t>年期间，杨官河指标除氨氮和石油类外，化学需氧量、生化需氧量、高锰酸盐和总磷均有所下降。2016年至 20</w:t>
      </w:r>
      <w:r>
        <w:rPr>
          <w:rFonts w:hint="eastAsia" w:cs="Times New Roman"/>
          <w:lang w:val="en-US" w:eastAsia="zh-CN"/>
        </w:rPr>
        <w:t>20</w:t>
      </w:r>
      <w:r>
        <w:rPr>
          <w:rFonts w:cs="Times New Roman"/>
          <w:lang w:eastAsia="zh-CN"/>
        </w:rPr>
        <w:t>年期间，杨官河主要污染指标月均值变化见表3.</w:t>
      </w:r>
      <w:r>
        <w:rPr>
          <w:rFonts w:hint="eastAsia" w:cs="Times New Roman"/>
          <w:lang w:val="en-US" w:eastAsia="zh-CN"/>
        </w:rPr>
        <w:t>1</w:t>
      </w:r>
      <w:r>
        <w:rPr>
          <w:rFonts w:cs="Times New Roman"/>
          <w:lang w:eastAsia="zh-CN"/>
        </w:rPr>
        <w:t xml:space="preserve">- </w:t>
      </w:r>
      <w:r>
        <w:rPr>
          <w:rFonts w:hint="eastAsia" w:cs="Times New Roman"/>
          <w:lang w:val="en-US" w:eastAsia="zh-CN"/>
        </w:rPr>
        <w:t>3</w:t>
      </w:r>
      <w:r>
        <w:rPr>
          <w:rFonts w:cs="Times New Roman"/>
          <w:lang w:eastAsia="zh-CN"/>
        </w:rPr>
        <w:t>。</w:t>
      </w:r>
    </w:p>
    <w:p>
      <w:pPr>
        <w:spacing w:line="240" w:lineRule="auto"/>
        <w:ind w:firstLine="0" w:firstLineChars="0"/>
        <w:jc w:val="center"/>
        <w:rPr>
          <w:rFonts w:eastAsia="Times New Roman" w:cs="Times New Roman"/>
          <w:sz w:val="21"/>
          <w:szCs w:val="21"/>
          <w:lang w:eastAsia="zh-CN"/>
        </w:rPr>
      </w:pPr>
      <w:r>
        <w:rPr>
          <w:rFonts w:hint="eastAsia" w:cs="Times New Roman"/>
          <w:b/>
          <w:bCs/>
          <w:lang w:eastAsia="zh-CN"/>
        </w:rPr>
        <w:t xml:space="preserve">表3.1-3 </w:t>
      </w:r>
      <w:r>
        <w:rPr>
          <w:rFonts w:eastAsia="Times New Roman" w:cs="Times New Roman"/>
          <w:b/>
          <w:bCs/>
          <w:w w:val="101"/>
          <w:lang w:eastAsia="zh-CN"/>
        </w:rPr>
        <w:t xml:space="preserve">  </w:t>
      </w:r>
      <w:r>
        <w:rPr>
          <w:rFonts w:cs="Times New Roman"/>
          <w:b/>
          <w:bCs/>
          <w:spacing w:val="-2"/>
          <w:lang w:eastAsia="zh-CN"/>
        </w:rPr>
        <w:t>2016-20</w:t>
      </w:r>
      <w:r>
        <w:rPr>
          <w:rFonts w:hint="eastAsia" w:cs="Times New Roman"/>
          <w:b/>
          <w:bCs/>
          <w:spacing w:val="-2"/>
          <w:lang w:val="en-US" w:eastAsia="zh-CN"/>
        </w:rPr>
        <w:t>20</w:t>
      </w:r>
      <w:r>
        <w:rPr>
          <w:rFonts w:cs="Times New Roman"/>
          <w:b/>
          <w:bCs/>
          <w:spacing w:val="10"/>
          <w:lang w:eastAsia="zh-CN"/>
        </w:rPr>
        <w:t xml:space="preserve"> </w:t>
      </w:r>
      <w:r>
        <w:rPr>
          <w:rFonts w:cs="Times New Roman"/>
          <w:b/>
          <w:bCs/>
          <w:spacing w:val="-2"/>
          <w:lang w:eastAsia="zh-CN"/>
        </w:rPr>
        <w:t>年杨官河主要污染指标比较表/mg/L</w:t>
      </w:r>
    </w:p>
    <w:p>
      <w:pPr>
        <w:spacing w:line="16" w:lineRule="exact"/>
        <w:ind w:firstLine="480"/>
        <w:rPr>
          <w:lang w:eastAsia="zh-CN"/>
        </w:rPr>
      </w:pPr>
    </w:p>
    <w:tbl>
      <w:tblPr>
        <w:tblStyle w:val="118"/>
        <w:tblW w:w="8906" w:type="dxa"/>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908"/>
        <w:gridCol w:w="1540"/>
        <w:gridCol w:w="1282"/>
        <w:gridCol w:w="1623"/>
        <w:gridCol w:w="859"/>
        <w:gridCol w:w="982"/>
        <w:gridCol w:w="712"/>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1" w:hRule="atLeast"/>
          <w:jc w:val="center"/>
        </w:trPr>
        <w:tc>
          <w:tcPr>
            <w:tcW w:w="1908"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cs="Times New Roman"/>
                <w:spacing w:val="0"/>
                <w:w w:val="100"/>
                <w:sz w:val="21"/>
                <w:szCs w:val="21"/>
              </w:rPr>
              <w:t>时间</w:t>
            </w:r>
          </w:p>
        </w:tc>
        <w:tc>
          <w:tcPr>
            <w:tcW w:w="1540"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cs="Times New Roman"/>
                <w:spacing w:val="0"/>
                <w:w w:val="100"/>
                <w:sz w:val="21"/>
                <w:szCs w:val="21"/>
              </w:rPr>
              <w:t>化学需氧量</w:t>
            </w:r>
          </w:p>
        </w:tc>
        <w:tc>
          <w:tcPr>
            <w:tcW w:w="128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cs="Times New Roman"/>
                <w:spacing w:val="0"/>
                <w:w w:val="100"/>
                <w:sz w:val="21"/>
                <w:szCs w:val="21"/>
              </w:rPr>
              <w:t>生化需氧量</w:t>
            </w:r>
          </w:p>
        </w:tc>
        <w:tc>
          <w:tcPr>
            <w:tcW w:w="1623"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cs="Times New Roman"/>
                <w:spacing w:val="0"/>
                <w:w w:val="100"/>
                <w:sz w:val="21"/>
                <w:szCs w:val="21"/>
              </w:rPr>
              <w:t>高锰酸盐指数</w:t>
            </w:r>
          </w:p>
        </w:tc>
        <w:tc>
          <w:tcPr>
            <w:tcW w:w="859"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cs="Times New Roman"/>
                <w:spacing w:val="0"/>
                <w:w w:val="100"/>
                <w:sz w:val="21"/>
                <w:szCs w:val="21"/>
              </w:rPr>
              <w:t>氨氮</w:t>
            </w:r>
          </w:p>
        </w:tc>
        <w:tc>
          <w:tcPr>
            <w:tcW w:w="98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cs="Times New Roman"/>
                <w:spacing w:val="0"/>
                <w:w w:val="100"/>
                <w:sz w:val="21"/>
                <w:szCs w:val="21"/>
              </w:rPr>
              <w:t>石油类</w:t>
            </w:r>
          </w:p>
        </w:tc>
        <w:tc>
          <w:tcPr>
            <w:tcW w:w="71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cs="Times New Roman"/>
                <w:spacing w:val="0"/>
                <w:w w:val="100"/>
                <w:sz w:val="21"/>
                <w:szCs w:val="21"/>
              </w:rPr>
              <w:t>总磷</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8" w:hRule="atLeast"/>
          <w:jc w:val="center"/>
        </w:trPr>
        <w:tc>
          <w:tcPr>
            <w:tcW w:w="1908"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eastAsia="Times New Roman" w:cs="Times New Roman"/>
                <w:spacing w:val="0"/>
                <w:w w:val="100"/>
                <w:sz w:val="21"/>
                <w:szCs w:val="21"/>
              </w:rPr>
              <w:t>2016</w:t>
            </w:r>
            <w:r>
              <w:rPr>
                <w:rFonts w:hint="default" w:ascii="Times New Roman" w:hAnsi="Times New Roman" w:cs="Times New Roman"/>
                <w:spacing w:val="0"/>
                <w:w w:val="100"/>
                <w:sz w:val="21"/>
                <w:szCs w:val="21"/>
              </w:rPr>
              <w:t>年</w:t>
            </w:r>
          </w:p>
        </w:tc>
        <w:tc>
          <w:tcPr>
            <w:tcW w:w="1540"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53</w:t>
            </w:r>
          </w:p>
        </w:tc>
        <w:tc>
          <w:tcPr>
            <w:tcW w:w="1282"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8</w:t>
            </w:r>
          </w:p>
        </w:tc>
        <w:tc>
          <w:tcPr>
            <w:tcW w:w="1623"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5.8</w:t>
            </w:r>
          </w:p>
        </w:tc>
        <w:tc>
          <w:tcPr>
            <w:tcW w:w="859"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1.90</w:t>
            </w:r>
          </w:p>
        </w:tc>
        <w:tc>
          <w:tcPr>
            <w:tcW w:w="982"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0.09</w:t>
            </w:r>
          </w:p>
        </w:tc>
        <w:tc>
          <w:tcPr>
            <w:tcW w:w="712"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0.25</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6" w:hRule="atLeast"/>
          <w:jc w:val="center"/>
        </w:trPr>
        <w:tc>
          <w:tcPr>
            <w:tcW w:w="1908"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eastAsia="Times New Roman" w:cs="Times New Roman"/>
                <w:spacing w:val="0"/>
                <w:w w:val="100"/>
                <w:sz w:val="21"/>
                <w:szCs w:val="21"/>
              </w:rPr>
              <w:t>2017</w:t>
            </w:r>
            <w:r>
              <w:rPr>
                <w:rFonts w:hint="default" w:ascii="Times New Roman" w:hAnsi="Times New Roman" w:cs="Times New Roman"/>
                <w:spacing w:val="0"/>
                <w:w w:val="100"/>
                <w:sz w:val="21"/>
                <w:szCs w:val="21"/>
              </w:rPr>
              <w:t>年</w:t>
            </w:r>
          </w:p>
        </w:tc>
        <w:tc>
          <w:tcPr>
            <w:tcW w:w="1540"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24</w:t>
            </w:r>
          </w:p>
        </w:tc>
        <w:tc>
          <w:tcPr>
            <w:tcW w:w="1282"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7</w:t>
            </w:r>
          </w:p>
        </w:tc>
        <w:tc>
          <w:tcPr>
            <w:tcW w:w="1623"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4 5</w:t>
            </w:r>
          </w:p>
        </w:tc>
        <w:tc>
          <w:tcPr>
            <w:tcW w:w="859"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1 41</w:t>
            </w:r>
          </w:p>
        </w:tc>
        <w:tc>
          <w:tcPr>
            <w:tcW w:w="982"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0 08</w:t>
            </w:r>
          </w:p>
        </w:tc>
        <w:tc>
          <w:tcPr>
            <w:tcW w:w="712"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0 17</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1908"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rPr>
            </w:pPr>
            <w:r>
              <w:rPr>
                <w:rFonts w:hint="default" w:ascii="Times New Roman" w:hAnsi="Times New Roman" w:eastAsia="Times New Roman" w:cs="Times New Roman"/>
                <w:spacing w:val="0"/>
                <w:w w:val="100"/>
                <w:sz w:val="21"/>
                <w:szCs w:val="21"/>
              </w:rPr>
              <w:t>2018</w:t>
            </w:r>
            <w:r>
              <w:rPr>
                <w:rFonts w:hint="default" w:ascii="Times New Roman" w:hAnsi="Times New Roman" w:cs="Times New Roman"/>
                <w:spacing w:val="0"/>
                <w:w w:val="100"/>
                <w:sz w:val="21"/>
                <w:szCs w:val="21"/>
              </w:rPr>
              <w:t>年</w:t>
            </w:r>
          </w:p>
        </w:tc>
        <w:tc>
          <w:tcPr>
            <w:tcW w:w="1540"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12</w:t>
            </w:r>
          </w:p>
        </w:tc>
        <w:tc>
          <w:tcPr>
            <w:tcW w:w="1282"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3.9</w:t>
            </w:r>
          </w:p>
        </w:tc>
        <w:tc>
          <w:tcPr>
            <w:tcW w:w="1623"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4.3</w:t>
            </w:r>
          </w:p>
        </w:tc>
        <w:tc>
          <w:tcPr>
            <w:tcW w:w="859"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2.46</w:t>
            </w:r>
          </w:p>
        </w:tc>
        <w:tc>
          <w:tcPr>
            <w:tcW w:w="982"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0. 16</w:t>
            </w:r>
          </w:p>
        </w:tc>
        <w:tc>
          <w:tcPr>
            <w:tcW w:w="712" w:type="dxa"/>
            <w:tcBorders>
              <w:tl2br w:val="nil"/>
              <w:tr2bl w:val="nil"/>
            </w:tcBorders>
            <w:vAlign w:val="center"/>
          </w:tcPr>
          <w:p>
            <w:pPr>
              <w:spacing w:line="400" w:lineRule="exact"/>
              <w:ind w:firstLine="0" w:firstLineChars="0"/>
              <w:jc w:val="center"/>
              <w:rPr>
                <w:rFonts w:hint="default" w:ascii="Times New Roman" w:hAnsi="Times New Roman" w:eastAsia="Times New Roman" w:cs="Times New Roman"/>
                <w:spacing w:val="0"/>
                <w:w w:val="100"/>
                <w:sz w:val="21"/>
                <w:szCs w:val="21"/>
              </w:rPr>
            </w:pPr>
            <w:r>
              <w:rPr>
                <w:rFonts w:hint="default" w:ascii="Times New Roman" w:hAnsi="Times New Roman" w:eastAsia="Times New Roman" w:cs="Times New Roman"/>
                <w:spacing w:val="0"/>
                <w:w w:val="100"/>
                <w:sz w:val="21"/>
                <w:szCs w:val="21"/>
              </w:rPr>
              <w:t>0. 16</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1908"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lang w:eastAsia="zh-CN"/>
              </w:rPr>
              <w:t>2019年</w:t>
            </w:r>
          </w:p>
        </w:tc>
        <w:tc>
          <w:tcPr>
            <w:tcW w:w="1540"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lang w:eastAsia="zh-CN"/>
              </w:rPr>
              <w:t>27</w:t>
            </w:r>
          </w:p>
        </w:tc>
        <w:tc>
          <w:tcPr>
            <w:tcW w:w="128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lang w:eastAsia="zh-CN"/>
              </w:rPr>
              <w:t>3.5</w:t>
            </w:r>
          </w:p>
        </w:tc>
        <w:tc>
          <w:tcPr>
            <w:tcW w:w="1623"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lang w:eastAsia="zh-CN"/>
              </w:rPr>
              <w:t>6.1</w:t>
            </w:r>
          </w:p>
        </w:tc>
        <w:tc>
          <w:tcPr>
            <w:tcW w:w="859"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lang w:eastAsia="zh-CN"/>
              </w:rPr>
              <w:t>6.7</w:t>
            </w:r>
          </w:p>
        </w:tc>
        <w:tc>
          <w:tcPr>
            <w:tcW w:w="98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lang w:eastAsia="zh-CN"/>
              </w:rPr>
              <w:t>0.03</w:t>
            </w:r>
          </w:p>
        </w:tc>
        <w:tc>
          <w:tcPr>
            <w:tcW w:w="71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lang w:eastAsia="zh-CN"/>
              </w:rPr>
              <w:t>0.28</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1908"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val="en-US" w:eastAsia="zh-CN"/>
              </w:rPr>
            </w:pPr>
            <w:r>
              <w:rPr>
                <w:rFonts w:hint="default" w:ascii="Times New Roman" w:hAnsi="Times New Roman" w:cs="Times New Roman"/>
                <w:spacing w:val="0"/>
                <w:w w:val="100"/>
                <w:sz w:val="21"/>
                <w:szCs w:val="21"/>
                <w:lang w:val="en-US" w:eastAsia="zh-CN"/>
              </w:rPr>
              <w:t>2020年</w:t>
            </w:r>
          </w:p>
        </w:tc>
        <w:tc>
          <w:tcPr>
            <w:tcW w:w="1540"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val="en-US" w:eastAsia="zh-CN"/>
              </w:rPr>
            </w:pPr>
            <w:r>
              <w:rPr>
                <w:rFonts w:hint="default" w:ascii="Times New Roman" w:hAnsi="Times New Roman" w:cs="Times New Roman"/>
                <w:spacing w:val="0"/>
                <w:w w:val="100"/>
                <w:sz w:val="21"/>
                <w:szCs w:val="21"/>
                <w:lang w:val="en-US" w:eastAsia="zh-CN"/>
              </w:rPr>
              <w:t>28.44</w:t>
            </w:r>
          </w:p>
        </w:tc>
        <w:tc>
          <w:tcPr>
            <w:tcW w:w="128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val="en-US" w:eastAsia="zh-CN"/>
              </w:rPr>
            </w:pPr>
            <w:r>
              <w:rPr>
                <w:rFonts w:hint="default" w:ascii="Times New Roman" w:hAnsi="Times New Roman" w:cs="Times New Roman"/>
                <w:spacing w:val="0"/>
                <w:w w:val="100"/>
                <w:sz w:val="21"/>
                <w:szCs w:val="21"/>
                <w:lang w:val="en-US" w:eastAsia="zh-CN"/>
              </w:rPr>
              <w:t>/</w:t>
            </w:r>
          </w:p>
        </w:tc>
        <w:tc>
          <w:tcPr>
            <w:tcW w:w="1623"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val="en-US" w:eastAsia="zh-CN"/>
              </w:rPr>
            </w:pPr>
            <w:r>
              <w:rPr>
                <w:rFonts w:hint="default" w:ascii="Times New Roman" w:hAnsi="Times New Roman" w:cs="Times New Roman"/>
                <w:spacing w:val="0"/>
                <w:w w:val="100"/>
                <w:sz w:val="21"/>
                <w:szCs w:val="21"/>
                <w:lang w:val="en-US" w:eastAsia="zh-CN"/>
              </w:rPr>
              <w:t>/</w:t>
            </w:r>
          </w:p>
        </w:tc>
        <w:tc>
          <w:tcPr>
            <w:tcW w:w="859"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val="en-US" w:eastAsia="zh-CN"/>
              </w:rPr>
            </w:pPr>
            <w:r>
              <w:rPr>
                <w:rFonts w:hint="default" w:ascii="Times New Roman" w:hAnsi="Times New Roman" w:cs="Times New Roman"/>
                <w:spacing w:val="0"/>
                <w:w w:val="100"/>
                <w:sz w:val="21"/>
                <w:szCs w:val="21"/>
                <w:lang w:val="en-US" w:eastAsia="zh-CN"/>
              </w:rPr>
              <w:t>2.51</w:t>
            </w:r>
          </w:p>
        </w:tc>
        <w:tc>
          <w:tcPr>
            <w:tcW w:w="98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val="en-US" w:eastAsia="zh-CN"/>
              </w:rPr>
            </w:pPr>
            <w:r>
              <w:rPr>
                <w:rFonts w:hint="default" w:ascii="Times New Roman" w:hAnsi="Times New Roman" w:cs="Times New Roman"/>
                <w:spacing w:val="0"/>
                <w:w w:val="100"/>
                <w:sz w:val="21"/>
                <w:szCs w:val="21"/>
                <w:lang w:val="en-US" w:eastAsia="zh-CN"/>
              </w:rPr>
              <w:t>/</w:t>
            </w:r>
          </w:p>
        </w:tc>
        <w:tc>
          <w:tcPr>
            <w:tcW w:w="71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val="en-US" w:eastAsia="zh-CN"/>
              </w:rPr>
            </w:pPr>
            <w:r>
              <w:rPr>
                <w:rFonts w:hint="default" w:ascii="Times New Roman" w:hAnsi="Times New Roman" w:cs="Times New Roman"/>
                <w:spacing w:val="0"/>
                <w:w w:val="100"/>
                <w:sz w:val="21"/>
                <w:szCs w:val="21"/>
                <w:lang w:val="en-US" w:eastAsia="zh-CN"/>
              </w:rPr>
              <w:t>0.28</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1908"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lang w:eastAsia="zh-CN"/>
              </w:rPr>
              <w:t>地表水环境质量标准（</w:t>
            </w:r>
            <w:r>
              <w:rPr>
                <w:rFonts w:hint="default" w:ascii="Times New Roman" w:hAnsi="Times New Roman" w:eastAsia="Times New Roman" w:cs="Times New Roman"/>
                <w:spacing w:val="0"/>
                <w:w w:val="100"/>
                <w:sz w:val="21"/>
                <w:szCs w:val="21"/>
                <w:lang w:eastAsia="zh-CN"/>
              </w:rPr>
              <w:t>GB3838-2002</w:t>
            </w:r>
            <w:r>
              <w:rPr>
                <w:rFonts w:hint="default" w:ascii="Times New Roman" w:hAnsi="Times New Roman" w:cs="Times New Roman"/>
                <w:spacing w:val="0"/>
                <w:w w:val="100"/>
                <w:sz w:val="21"/>
                <w:szCs w:val="21"/>
                <w:lang w:eastAsia="zh-CN"/>
              </w:rPr>
              <w:t>）Ⅴ类标准限值</w:t>
            </w:r>
          </w:p>
        </w:tc>
        <w:tc>
          <w:tcPr>
            <w:tcW w:w="1540"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rPr>
              <w:t>≤</w:t>
            </w:r>
            <w:r>
              <w:rPr>
                <w:rFonts w:hint="default" w:ascii="Times New Roman" w:hAnsi="Times New Roman" w:eastAsia="Times New Roman" w:cs="Times New Roman"/>
                <w:spacing w:val="0"/>
                <w:w w:val="100"/>
                <w:sz w:val="21"/>
                <w:szCs w:val="21"/>
              </w:rPr>
              <w:t>40</w:t>
            </w:r>
          </w:p>
        </w:tc>
        <w:tc>
          <w:tcPr>
            <w:tcW w:w="128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rPr>
              <w:t>≤</w:t>
            </w:r>
            <w:r>
              <w:rPr>
                <w:rFonts w:hint="default" w:ascii="Times New Roman" w:hAnsi="Times New Roman" w:eastAsia="Times New Roman" w:cs="Times New Roman"/>
                <w:spacing w:val="0"/>
                <w:w w:val="100"/>
                <w:sz w:val="21"/>
                <w:szCs w:val="21"/>
              </w:rPr>
              <w:t>10</w:t>
            </w:r>
          </w:p>
        </w:tc>
        <w:tc>
          <w:tcPr>
            <w:tcW w:w="1623"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rPr>
              <w:t>≤</w:t>
            </w:r>
            <w:r>
              <w:rPr>
                <w:rFonts w:hint="default" w:ascii="Times New Roman" w:hAnsi="Times New Roman" w:eastAsia="Times New Roman" w:cs="Times New Roman"/>
                <w:spacing w:val="0"/>
                <w:w w:val="100"/>
                <w:sz w:val="21"/>
                <w:szCs w:val="21"/>
              </w:rPr>
              <w:t>15</w:t>
            </w:r>
          </w:p>
        </w:tc>
        <w:tc>
          <w:tcPr>
            <w:tcW w:w="859"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rPr>
              <w:t>≤</w:t>
            </w:r>
            <w:r>
              <w:rPr>
                <w:rFonts w:hint="default" w:ascii="Times New Roman" w:hAnsi="Times New Roman" w:eastAsia="Times New Roman" w:cs="Times New Roman"/>
                <w:spacing w:val="0"/>
                <w:w w:val="100"/>
                <w:sz w:val="21"/>
                <w:szCs w:val="21"/>
              </w:rPr>
              <w:t>2.0</w:t>
            </w:r>
          </w:p>
        </w:tc>
        <w:tc>
          <w:tcPr>
            <w:tcW w:w="98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rPr>
              <w:t>≤</w:t>
            </w:r>
            <w:r>
              <w:rPr>
                <w:rFonts w:hint="default" w:ascii="Times New Roman" w:hAnsi="Times New Roman" w:eastAsia="Times New Roman" w:cs="Times New Roman"/>
                <w:spacing w:val="0"/>
                <w:w w:val="100"/>
                <w:sz w:val="21"/>
                <w:szCs w:val="21"/>
              </w:rPr>
              <w:t>1.0</w:t>
            </w:r>
          </w:p>
        </w:tc>
        <w:tc>
          <w:tcPr>
            <w:tcW w:w="712" w:type="dxa"/>
            <w:tcBorders>
              <w:tl2br w:val="nil"/>
              <w:tr2bl w:val="nil"/>
            </w:tcBorders>
            <w:vAlign w:val="center"/>
          </w:tcPr>
          <w:p>
            <w:pPr>
              <w:spacing w:line="400" w:lineRule="exact"/>
              <w:ind w:firstLine="0" w:firstLineChars="0"/>
              <w:jc w:val="center"/>
              <w:rPr>
                <w:rFonts w:hint="default" w:ascii="Times New Roman" w:hAnsi="Times New Roman" w:cs="Times New Roman"/>
                <w:spacing w:val="0"/>
                <w:w w:val="100"/>
                <w:sz w:val="21"/>
                <w:szCs w:val="21"/>
                <w:lang w:eastAsia="zh-CN"/>
              </w:rPr>
            </w:pPr>
            <w:r>
              <w:rPr>
                <w:rFonts w:hint="default" w:ascii="Times New Roman" w:hAnsi="Times New Roman" w:cs="Times New Roman"/>
                <w:spacing w:val="0"/>
                <w:w w:val="100"/>
                <w:sz w:val="21"/>
                <w:szCs w:val="21"/>
              </w:rPr>
              <w:t>≤</w:t>
            </w:r>
            <w:r>
              <w:rPr>
                <w:rFonts w:hint="default" w:ascii="Times New Roman" w:hAnsi="Times New Roman" w:eastAsia="Times New Roman" w:cs="Times New Roman"/>
                <w:spacing w:val="0"/>
                <w:w w:val="100"/>
                <w:sz w:val="21"/>
                <w:szCs w:val="21"/>
              </w:rPr>
              <w:t>0.4</w:t>
            </w:r>
          </w:p>
        </w:tc>
      </w:tr>
    </w:tbl>
    <w:p>
      <w:pPr>
        <w:widowControl/>
        <w:ind w:firstLine="480"/>
        <w:jc w:val="left"/>
        <w:rPr>
          <w:rFonts w:cs="Times New Roman"/>
          <w:lang w:eastAsia="zh-CN"/>
        </w:rPr>
      </w:pPr>
      <w:r>
        <w:rPr>
          <w:rFonts w:cs="Times New Roman"/>
          <w:color w:val="000000"/>
          <w:lang w:eastAsia="zh-CN" w:bidi="ar"/>
        </w:rPr>
        <w:t>20</w:t>
      </w:r>
      <w:r>
        <w:rPr>
          <w:rFonts w:hint="eastAsia" w:cs="Times New Roman"/>
          <w:color w:val="000000"/>
          <w:lang w:val="en-US" w:eastAsia="zh-CN" w:bidi="ar"/>
        </w:rPr>
        <w:t>20</w:t>
      </w:r>
      <w:r>
        <w:rPr>
          <w:rFonts w:cs="Times New Roman"/>
          <w:color w:val="000000"/>
          <w:lang w:eastAsia="zh-CN" w:bidi="ar"/>
        </w:rPr>
        <w:t>年杨官河各主要污染指标中，氨氮污水分担率最大，所占比例为55.7%，呈生活污染特征。20</w:t>
      </w:r>
      <w:r>
        <w:rPr>
          <w:rFonts w:hint="eastAsia" w:cs="Times New Roman"/>
          <w:color w:val="000000"/>
          <w:lang w:val="en-US" w:eastAsia="zh-CN" w:bidi="ar"/>
        </w:rPr>
        <w:t>20</w:t>
      </w:r>
      <w:r>
        <w:rPr>
          <w:rFonts w:cs="Times New Roman"/>
          <w:color w:val="000000"/>
          <w:lang w:eastAsia="zh-CN" w:bidi="ar"/>
        </w:rPr>
        <w:t xml:space="preserve">年杨官河主要污染物分担率见图3-3。 </w:t>
      </w:r>
    </w:p>
    <w:p>
      <w:pPr>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rPr>
          <w:rFonts w:cs="Times New Roman"/>
          <w:b/>
          <w:bCs/>
          <w:sz w:val="21"/>
          <w:szCs w:val="21"/>
          <w:lang w:eastAsia="zh-CN"/>
        </w:rPr>
      </w:pPr>
      <w:r>
        <w:rPr>
          <w:rFonts w:hint="eastAsia" w:ascii="仿宋_GB2312" w:hAnsi="仿宋_GB2312" w:eastAsia="仿宋_GB2312" w:cs="仿宋_GB2312"/>
          <w:kern w:val="2"/>
          <w:sz w:val="28"/>
          <w:szCs w:val="28"/>
        </w:rPr>
        <w:drawing>
          <wp:inline distT="0" distB="0" distL="114300" distR="114300">
            <wp:extent cx="5205095" cy="3108325"/>
            <wp:effectExtent l="4445" t="4445" r="10160" b="11430"/>
            <wp:docPr id="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pPr>
        <w:ind w:firstLine="482"/>
        <w:jc w:val="center"/>
        <w:rPr>
          <w:rFonts w:cs="Times New Roman"/>
          <w:b/>
          <w:lang w:eastAsia="zh-CN"/>
        </w:rPr>
      </w:pPr>
      <w:r>
        <w:rPr>
          <w:rFonts w:cs="Times New Roman"/>
          <w:b/>
          <w:bCs/>
          <w:lang w:eastAsia="zh-CN"/>
        </w:rPr>
        <w:t>图3-3</w:t>
      </w:r>
      <w:r>
        <w:rPr>
          <w:rFonts w:hint="eastAsia" w:cs="Times New Roman"/>
          <w:b/>
          <w:bCs/>
          <w:lang w:eastAsia="zh-CN"/>
        </w:rPr>
        <w:t xml:space="preserve"> </w:t>
      </w:r>
      <w:r>
        <w:rPr>
          <w:rFonts w:cs="Times New Roman"/>
          <w:b/>
          <w:bCs/>
          <w:lang w:eastAsia="zh-CN"/>
        </w:rPr>
        <w:t xml:space="preserve"> </w:t>
      </w:r>
      <w:r>
        <w:rPr>
          <w:rFonts w:hint="eastAsia" w:cs="Times New Roman"/>
          <w:b/>
          <w:lang w:eastAsia="zh-CN"/>
        </w:rPr>
        <w:t>20</w:t>
      </w:r>
      <w:r>
        <w:rPr>
          <w:rFonts w:hint="eastAsia" w:cs="Times New Roman"/>
          <w:b/>
          <w:lang w:val="en-US" w:eastAsia="zh-CN"/>
        </w:rPr>
        <w:t>16-2020</w:t>
      </w:r>
      <w:r>
        <w:rPr>
          <w:rFonts w:hint="eastAsia" w:cs="Times New Roman"/>
          <w:b/>
          <w:lang w:eastAsia="zh-CN"/>
        </w:rPr>
        <w:t>年杨官河</w:t>
      </w:r>
      <w:r>
        <w:rPr>
          <w:rFonts w:cs="Times New Roman"/>
          <w:b/>
          <w:lang w:eastAsia="zh-CN"/>
        </w:rPr>
        <w:t>变化趋势</w:t>
      </w:r>
    </w:p>
    <w:p>
      <w:pPr>
        <w:ind w:firstLine="480"/>
        <w:rPr>
          <w:rFonts w:cs="Times New Roman"/>
          <w:vanish/>
          <w:lang w:eastAsia="zh-CN"/>
        </w:rPr>
      </w:pPr>
    </w:p>
    <w:p>
      <w:pPr>
        <w:ind w:firstLine="480"/>
        <w:rPr>
          <w:rFonts w:cs="Times New Roman"/>
          <w:bCs/>
          <w:kern w:val="2"/>
          <w:lang w:eastAsia="zh-CN"/>
        </w:rPr>
      </w:pPr>
      <w:r>
        <w:rPr>
          <w:rFonts w:cs="Times New Roman"/>
          <w:bCs/>
          <w:kern w:val="2"/>
          <w:lang w:eastAsia="zh-CN"/>
        </w:rPr>
        <w:t>超标的主要原因是受沿河企业及生活污水影响，并且由于进入平水期，雨水少，流量小，河水自净能力降低导致年均水质变差。</w:t>
      </w:r>
    </w:p>
    <w:p>
      <w:pPr>
        <w:ind w:firstLine="480"/>
        <w:rPr>
          <w:rFonts w:eastAsia="新宋体" w:cs="Times New Roman"/>
          <w:bCs/>
          <w:kern w:val="2"/>
          <w:lang w:eastAsia="zh-CN"/>
        </w:rPr>
      </w:pPr>
      <w:r>
        <w:rPr>
          <w:rFonts w:hint="eastAsia" w:cs="Times New Roman"/>
          <w:lang w:eastAsia="zh-CN"/>
        </w:rPr>
        <w:t>根据《</w:t>
      </w:r>
      <w:r>
        <w:rPr>
          <w:rFonts w:eastAsia="Times New Roman"/>
          <w:lang w:eastAsia="zh-CN"/>
        </w:rPr>
        <w:t>20</w:t>
      </w:r>
      <w:r>
        <w:rPr>
          <w:rFonts w:hint="eastAsia" w:eastAsia="Times New Roman"/>
          <w:lang w:val="en-US" w:eastAsia="zh-CN"/>
        </w:rPr>
        <w:t>20</w:t>
      </w:r>
      <w:r>
        <w:rPr>
          <w:spacing w:val="-2"/>
          <w:lang w:eastAsia="zh-CN"/>
        </w:rPr>
        <w:t>年</w:t>
      </w:r>
      <w:r>
        <w:rPr>
          <w:lang w:eastAsia="zh-CN"/>
        </w:rPr>
        <w:t>浑南</w:t>
      </w:r>
      <w:r>
        <w:rPr>
          <w:spacing w:val="-3"/>
          <w:lang w:eastAsia="zh-CN"/>
        </w:rPr>
        <w:t>区环境质量报告</w:t>
      </w:r>
      <w:r>
        <w:rPr>
          <w:rFonts w:hint="eastAsia"/>
          <w:spacing w:val="-3"/>
          <w:lang w:eastAsia="zh-CN"/>
        </w:rPr>
        <w:t>书</w:t>
      </w:r>
      <w:r>
        <w:rPr>
          <w:rFonts w:hint="eastAsia" w:cs="Times New Roman"/>
          <w:lang w:eastAsia="zh-CN"/>
        </w:rPr>
        <w:t>》监测数据，20</w:t>
      </w:r>
      <w:r>
        <w:rPr>
          <w:rFonts w:hint="eastAsia" w:cs="Times New Roman"/>
          <w:lang w:val="en-US" w:eastAsia="zh-CN"/>
        </w:rPr>
        <w:t>20</w:t>
      </w:r>
      <w:r>
        <w:rPr>
          <w:rFonts w:hint="eastAsia" w:cs="Times New Roman"/>
          <w:lang w:eastAsia="zh-CN"/>
        </w:rPr>
        <w:t>年</w:t>
      </w:r>
      <w:r>
        <w:rPr>
          <w:rFonts w:hint="eastAsia"/>
          <w:spacing w:val="-3"/>
          <w:lang w:eastAsia="zh-CN"/>
        </w:rPr>
        <w:t>杨官河监测</w:t>
      </w:r>
      <w:r>
        <w:rPr>
          <w:szCs w:val="32"/>
          <w:lang w:eastAsia="zh-CN"/>
        </w:rPr>
        <w:t>COD</w:t>
      </w:r>
      <w:r>
        <w:rPr>
          <w:rFonts w:hint="eastAsia"/>
          <w:szCs w:val="32"/>
          <w:lang w:eastAsia="zh-CN"/>
        </w:rPr>
        <w:t>浓度2</w:t>
      </w:r>
      <w:r>
        <w:rPr>
          <w:rFonts w:hint="eastAsia"/>
          <w:szCs w:val="32"/>
          <w:lang w:val="en-US" w:eastAsia="zh-CN"/>
        </w:rPr>
        <w:t>8.44</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r>
        <w:rPr>
          <w:szCs w:val="32"/>
          <w:lang w:eastAsia="zh-CN"/>
        </w:rPr>
        <w:t>NH</w:t>
      </w:r>
      <w:r>
        <w:rPr>
          <w:szCs w:val="32"/>
          <w:vertAlign w:val="subscript"/>
          <w:lang w:eastAsia="zh-CN"/>
        </w:rPr>
        <w:t>3</w:t>
      </w:r>
      <w:r>
        <w:rPr>
          <w:szCs w:val="32"/>
          <w:lang w:eastAsia="zh-CN"/>
        </w:rPr>
        <w:t>-N</w:t>
      </w:r>
      <w:r>
        <w:rPr>
          <w:rFonts w:hint="eastAsia"/>
          <w:szCs w:val="32"/>
          <w:lang w:eastAsia="zh-CN"/>
        </w:rPr>
        <w:t>浓度</w:t>
      </w:r>
      <w:r>
        <w:rPr>
          <w:rFonts w:hint="eastAsia"/>
          <w:szCs w:val="32"/>
          <w:lang w:val="en-US" w:eastAsia="zh-CN"/>
        </w:rPr>
        <w:t>2.51</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，总磷</w:t>
      </w:r>
      <w:r>
        <w:rPr>
          <w:rFonts w:hint="eastAsia"/>
          <w:szCs w:val="32"/>
          <w:lang w:eastAsia="zh-CN"/>
        </w:rPr>
        <w:t>浓度0.28</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p>
    <w:p>
      <w:pPr>
        <w:ind w:firstLine="480"/>
        <w:rPr>
          <w:rFonts w:ascii="Times New Roman" w:hAnsi="Times New Roman" w:eastAsia="宋体"/>
          <w:lang w:eastAsia="zh-CN"/>
        </w:rPr>
      </w:pPr>
      <w:r>
        <w:rPr>
          <w:rFonts w:hint="eastAsia" w:ascii="Times New Roman" w:hAnsi="Times New Roman" w:eastAsia="宋体"/>
          <w:lang w:eastAsia="zh-CN"/>
        </w:rPr>
        <w:t>2020年杨官河主要污染物为化学需氧量、氨氮和总磷，超过地表水Ⅲ类标准的倍数分别为0.42倍、1.51倍和0.38倍。其中，氨氮超过Ⅴ类标准限值0.26倍。因此，2020年杨官河为劣Ⅴ类水质，属于重度污染。</w:t>
      </w:r>
    </w:p>
    <w:p>
      <w:pPr>
        <w:ind w:firstLine="0" w:firstLineChars="0"/>
        <w:outlineLvl w:val="4"/>
        <w:rPr>
          <w:rFonts w:cs="Times New Roman"/>
          <w:b/>
          <w:bCs/>
          <w:lang w:eastAsia="zh-CN"/>
        </w:rPr>
      </w:pPr>
      <w:r>
        <w:rPr>
          <w:rFonts w:hint="eastAsia" w:cs="Times New Roman"/>
          <w:b/>
          <w:bCs/>
          <w:lang w:eastAsia="zh-CN"/>
        </w:rPr>
        <w:t>3.1.1.2.3区域地表水环境变化趋势</w:t>
      </w:r>
    </w:p>
    <w:p>
      <w:pPr>
        <w:ind w:firstLine="480"/>
        <w:rPr>
          <w:rFonts w:eastAsia="新宋体" w:cs="Times New Roman"/>
          <w:bCs/>
          <w:kern w:val="2"/>
          <w:lang w:eastAsia="zh-CN"/>
        </w:rPr>
      </w:pPr>
      <w:r>
        <w:rPr>
          <w:rFonts w:hint="eastAsia" w:eastAsia="新宋体" w:cs="Times New Roman"/>
          <w:bCs/>
          <w:kern w:val="2"/>
          <w:lang w:eastAsia="zh-CN"/>
        </w:rPr>
        <w:t>杨官河水质COD浓度上升、氨氮浓度有所下降。</w:t>
      </w:r>
    </w:p>
    <w:p>
      <w:pPr>
        <w:ind w:firstLine="480"/>
        <w:rPr>
          <w:lang w:eastAsia="zh-CN"/>
        </w:rPr>
      </w:pPr>
      <w:r>
        <w:rPr>
          <w:rFonts w:cs="Times New Roman"/>
          <w:lang w:eastAsia="zh-CN"/>
        </w:rPr>
        <w:t>自2018年开始，沈阳市继续对建成区以外中心城区范围内的沈抚运河等15条水体开展综合整治。主要实施污染源治理、清淤和岸线环境整治等工作，运河水系将执行更加精细的管理方案，通过严格落实河长制，加强水质监测，做好污染源的巡查与管控，并做好河面漂浮物及两岸环境的综合治理的工作</w:t>
      </w:r>
      <w:r>
        <w:rPr>
          <w:lang w:eastAsia="zh-CN"/>
        </w:rPr>
        <w:t>。</w:t>
      </w:r>
    </w:p>
    <w:p>
      <w:pPr>
        <w:pStyle w:val="10"/>
        <w:tabs>
          <w:tab w:val="left" w:pos="1302"/>
        </w:tabs>
        <w:adjustRightInd w:val="0"/>
        <w:jc w:val="left"/>
        <w:rPr>
          <w:rFonts w:cs="Times New Roman"/>
          <w:b/>
          <w:bCs/>
          <w:szCs w:val="24"/>
          <w:lang w:eastAsia="zh-CN"/>
        </w:rPr>
      </w:pPr>
      <w:r>
        <w:rPr>
          <w:rFonts w:hint="eastAsia" w:cs="Times New Roman"/>
          <w:b/>
          <w:bCs/>
          <w:szCs w:val="24"/>
          <w:lang w:eastAsia="zh-CN"/>
        </w:rPr>
        <w:t>3.1.1.3声环境质量变化趋势</w:t>
      </w:r>
    </w:p>
    <w:p>
      <w:pPr>
        <w:ind w:firstLine="0" w:firstLineChars="0"/>
        <w:outlineLvl w:val="4"/>
        <w:rPr>
          <w:rFonts w:cs="Times New Roman"/>
          <w:b/>
          <w:bCs/>
          <w:lang w:eastAsia="zh-CN"/>
        </w:rPr>
      </w:pPr>
      <w:r>
        <w:rPr>
          <w:rFonts w:hint="eastAsia" w:cs="Times New Roman"/>
          <w:b/>
          <w:bCs/>
          <w:lang w:eastAsia="zh-CN"/>
        </w:rPr>
        <w:t>3.1.1.3.1原规划环评声环境质量</w:t>
      </w:r>
    </w:p>
    <w:p>
      <w:pPr>
        <w:ind w:firstLine="480"/>
        <w:rPr>
          <w:rFonts w:cs="Times New Roman"/>
          <w:lang w:eastAsia="zh-CN"/>
        </w:rPr>
      </w:pPr>
      <w:r>
        <w:rPr>
          <w:rFonts w:hint="eastAsia" w:cs="Times New Roman"/>
          <w:lang w:eastAsia="zh-CN"/>
        </w:rPr>
        <w:t>上一轮规划环评在规划范围内布置了3个噪声监测点，由沈阳环科院于2013年8月29日昼间和夜间各监测一次。原规划环评检测数据见表3.1-3。</w:t>
      </w:r>
    </w:p>
    <w:p>
      <w:pPr>
        <w:spacing w:line="240" w:lineRule="auto"/>
        <w:ind w:firstLine="0" w:firstLineChars="0"/>
        <w:jc w:val="center"/>
        <w:rPr>
          <w:rFonts w:hint="eastAsia" w:cs="Times New Roman"/>
          <w:b/>
          <w:bCs/>
          <w:lang w:eastAsia="zh-CN"/>
        </w:rPr>
      </w:pPr>
    </w:p>
    <w:p>
      <w:pPr>
        <w:spacing w:line="240" w:lineRule="auto"/>
        <w:ind w:firstLine="0" w:firstLineChars="0"/>
        <w:jc w:val="center"/>
        <w:rPr>
          <w:rFonts w:hint="eastAsia" w:cs="Times New Roman"/>
          <w:b/>
          <w:bCs/>
          <w:lang w:eastAsia="zh-CN"/>
        </w:rPr>
      </w:pPr>
    </w:p>
    <w:p>
      <w:pPr>
        <w:spacing w:line="240" w:lineRule="auto"/>
        <w:ind w:firstLine="0" w:firstLineChars="0"/>
        <w:jc w:val="center"/>
        <w:rPr>
          <w:rFonts w:cs="Times New Roman"/>
          <w:b/>
          <w:bCs/>
          <w:lang w:eastAsia="zh-CN"/>
        </w:rPr>
      </w:pPr>
      <w:r>
        <w:rPr>
          <w:rFonts w:hint="eastAsia" w:cs="Times New Roman"/>
          <w:b/>
          <w:bCs/>
          <w:lang w:eastAsia="zh-CN"/>
        </w:rPr>
        <w:t>表3.1-3 原规划环评声环境质量监测结果表</w:t>
      </w:r>
    </w:p>
    <w:tbl>
      <w:tblPr>
        <w:tblStyle w:val="65"/>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8"/>
        <w:gridCol w:w="3494"/>
        <w:gridCol w:w="1296"/>
        <w:gridCol w:w="1371"/>
        <w:gridCol w:w="169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8" w:type="dxa"/>
            <w:vMerge w:val="restart"/>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监测点位</w:t>
            </w:r>
          </w:p>
        </w:tc>
        <w:tc>
          <w:tcPr>
            <w:tcW w:w="3494" w:type="dxa"/>
            <w:vMerge w:val="restart"/>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位置</w:t>
            </w:r>
          </w:p>
        </w:tc>
        <w:tc>
          <w:tcPr>
            <w:tcW w:w="2667" w:type="dxa"/>
            <w:gridSpan w:val="2"/>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监测值</w:t>
            </w:r>
          </w:p>
        </w:tc>
        <w:tc>
          <w:tcPr>
            <w:tcW w:w="1694" w:type="dxa"/>
            <w:vMerge w:val="restart"/>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现状功能区</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8" w:type="dxa"/>
            <w:vMerge w:val="continue"/>
            <w:tcBorders>
              <w:tl2br w:val="nil"/>
              <w:tr2bl w:val="nil"/>
            </w:tcBorders>
            <w:vAlign w:val="center"/>
          </w:tcPr>
          <w:p>
            <w:pPr>
              <w:spacing w:line="400" w:lineRule="exact"/>
              <w:ind w:firstLine="0" w:firstLineChars="0"/>
              <w:jc w:val="center"/>
              <w:rPr>
                <w:rFonts w:cs="Times New Roman"/>
                <w:sz w:val="21"/>
                <w:szCs w:val="21"/>
                <w:lang w:eastAsia="zh-CN"/>
              </w:rPr>
            </w:pPr>
          </w:p>
        </w:tc>
        <w:tc>
          <w:tcPr>
            <w:tcW w:w="3494" w:type="dxa"/>
            <w:vMerge w:val="continue"/>
            <w:tcBorders>
              <w:tl2br w:val="nil"/>
              <w:tr2bl w:val="nil"/>
            </w:tcBorders>
            <w:vAlign w:val="center"/>
          </w:tcPr>
          <w:p>
            <w:pPr>
              <w:spacing w:line="400" w:lineRule="exact"/>
              <w:ind w:firstLine="0" w:firstLineChars="0"/>
              <w:jc w:val="center"/>
              <w:rPr>
                <w:rFonts w:cs="Times New Roman"/>
                <w:sz w:val="21"/>
                <w:szCs w:val="21"/>
                <w:lang w:eastAsia="zh-CN"/>
              </w:rPr>
            </w:pPr>
          </w:p>
        </w:tc>
        <w:tc>
          <w:tcPr>
            <w:tcW w:w="1296"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昼间</w:t>
            </w:r>
          </w:p>
        </w:tc>
        <w:tc>
          <w:tcPr>
            <w:tcW w:w="1371"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夜间</w:t>
            </w:r>
          </w:p>
        </w:tc>
        <w:tc>
          <w:tcPr>
            <w:tcW w:w="1694" w:type="dxa"/>
            <w:vMerge w:val="continue"/>
            <w:tcBorders>
              <w:tl2br w:val="nil"/>
              <w:tr2bl w:val="nil"/>
            </w:tcBorders>
            <w:vAlign w:val="center"/>
          </w:tcPr>
          <w:p>
            <w:pPr>
              <w:spacing w:line="400" w:lineRule="exact"/>
              <w:ind w:firstLine="0" w:firstLineChars="0"/>
              <w:jc w:val="center"/>
              <w:rPr>
                <w:rFonts w:cs="Times New Roman"/>
                <w:sz w:val="21"/>
                <w:szCs w:val="21"/>
                <w:lang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S1</w:t>
            </w:r>
          </w:p>
        </w:tc>
        <w:tc>
          <w:tcPr>
            <w:tcW w:w="34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浑南东路路肩</w:t>
            </w:r>
          </w:p>
        </w:tc>
        <w:tc>
          <w:tcPr>
            <w:tcW w:w="1296"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72.1</w:t>
            </w:r>
          </w:p>
        </w:tc>
        <w:tc>
          <w:tcPr>
            <w:tcW w:w="1371"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56.5</w:t>
            </w:r>
          </w:p>
        </w:tc>
        <w:tc>
          <w:tcPr>
            <w:tcW w:w="16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4a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S2</w:t>
            </w:r>
          </w:p>
        </w:tc>
        <w:tc>
          <w:tcPr>
            <w:tcW w:w="34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沈阳建筑大学东侧</w:t>
            </w:r>
          </w:p>
        </w:tc>
        <w:tc>
          <w:tcPr>
            <w:tcW w:w="1296"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53.2</w:t>
            </w:r>
          </w:p>
        </w:tc>
        <w:tc>
          <w:tcPr>
            <w:tcW w:w="1371"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43.5</w:t>
            </w:r>
          </w:p>
        </w:tc>
        <w:tc>
          <w:tcPr>
            <w:tcW w:w="16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S3</w:t>
            </w:r>
          </w:p>
        </w:tc>
        <w:tc>
          <w:tcPr>
            <w:tcW w:w="34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刘付屯村南侧</w:t>
            </w:r>
          </w:p>
        </w:tc>
        <w:tc>
          <w:tcPr>
            <w:tcW w:w="1296"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50.2</w:t>
            </w:r>
          </w:p>
        </w:tc>
        <w:tc>
          <w:tcPr>
            <w:tcW w:w="1371"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42.3</w:t>
            </w:r>
          </w:p>
        </w:tc>
        <w:tc>
          <w:tcPr>
            <w:tcW w:w="16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8"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S4</w:t>
            </w:r>
          </w:p>
        </w:tc>
        <w:tc>
          <w:tcPr>
            <w:tcW w:w="34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石庙子立交北侧，绕城高速红线外</w:t>
            </w:r>
          </w:p>
        </w:tc>
        <w:tc>
          <w:tcPr>
            <w:tcW w:w="1296"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66.6</w:t>
            </w:r>
          </w:p>
        </w:tc>
        <w:tc>
          <w:tcPr>
            <w:tcW w:w="1371"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54.3</w:t>
            </w:r>
          </w:p>
        </w:tc>
        <w:tc>
          <w:tcPr>
            <w:tcW w:w="1694" w:type="dxa"/>
            <w:tcBorders>
              <w:tl2br w:val="nil"/>
              <w:tr2bl w:val="nil"/>
            </w:tcBorders>
            <w:vAlign w:val="center"/>
          </w:tcPr>
          <w:p>
            <w:pPr>
              <w:spacing w:line="400" w:lineRule="exact"/>
              <w:ind w:firstLine="0" w:firstLineChars="0"/>
              <w:jc w:val="center"/>
              <w:rPr>
                <w:rFonts w:cs="Times New Roman"/>
                <w:sz w:val="21"/>
                <w:szCs w:val="21"/>
                <w:lang w:eastAsia="zh-CN"/>
              </w:rPr>
            </w:pPr>
            <w:r>
              <w:rPr>
                <w:rFonts w:cs="Times New Roman"/>
                <w:sz w:val="21"/>
                <w:szCs w:val="21"/>
                <w:lang w:eastAsia="zh-CN"/>
              </w:rPr>
              <w:t>4a</w:t>
            </w:r>
          </w:p>
        </w:tc>
      </w:tr>
    </w:tbl>
    <w:p>
      <w:pPr>
        <w:ind w:firstLine="480"/>
        <w:rPr>
          <w:rFonts w:cs="Times New Roman"/>
          <w:lang w:eastAsia="zh-CN"/>
        </w:rPr>
      </w:pPr>
      <w:r>
        <w:rPr>
          <w:rFonts w:hint="eastAsia" w:cs="Times New Roman"/>
          <w:lang w:eastAsia="zh-CN"/>
        </w:rPr>
        <w:t>原规划环评检测结果可知：区域内浑南大</w:t>
      </w:r>
      <w:r>
        <w:rPr>
          <w:rFonts w:hint="eastAsia" w:cs="Times New Roman"/>
          <w:lang w:val="en-US" w:eastAsia="zh-CN"/>
        </w:rPr>
        <w:t>路</w:t>
      </w:r>
      <w:r>
        <w:rPr>
          <w:rFonts w:hint="eastAsia" w:cs="Times New Roman"/>
          <w:lang w:eastAsia="zh-CN"/>
        </w:rPr>
        <w:t>的存在已经对道路两侧环境产生了一定影响，夜间已经超过4a类标准；沈阳绕城告诉的运行也对周围造成了一定影响。2类功能区和1类功能区能达到《声环境质量标准》（GB3096-2008）相应标准要求。</w:t>
      </w:r>
    </w:p>
    <w:p>
      <w:pPr>
        <w:ind w:firstLine="0" w:firstLineChars="0"/>
        <w:outlineLvl w:val="4"/>
        <w:rPr>
          <w:rFonts w:cs="Times New Roman"/>
          <w:b/>
          <w:bCs/>
          <w:lang w:eastAsia="zh-CN"/>
        </w:rPr>
      </w:pPr>
      <w:r>
        <w:rPr>
          <w:rFonts w:hint="eastAsia" w:cs="Times New Roman"/>
          <w:b/>
          <w:bCs/>
          <w:lang w:eastAsia="zh-CN"/>
        </w:rPr>
        <w:t>3.1.1.3.</w:t>
      </w:r>
      <w:r>
        <w:rPr>
          <w:rFonts w:hint="eastAsia" w:cs="Times New Roman"/>
          <w:b/>
          <w:bCs/>
          <w:lang w:val="en-US" w:eastAsia="zh-CN"/>
        </w:rPr>
        <w:t>2</w:t>
      </w:r>
      <w:r>
        <w:rPr>
          <w:rFonts w:hint="eastAsia" w:cs="Times New Roman"/>
          <w:b/>
          <w:bCs/>
          <w:lang w:eastAsia="zh-CN"/>
        </w:rPr>
        <w:t>声环境质量变化趋势</w:t>
      </w:r>
    </w:p>
    <w:p>
      <w:pPr>
        <w:widowControl/>
        <w:ind w:firstLine="480"/>
        <w:jc w:val="left"/>
        <w:rPr>
          <w:lang w:eastAsia="zh-CN"/>
        </w:rPr>
      </w:pPr>
      <w:r>
        <w:rPr>
          <w:rFonts w:hint="eastAsia" w:cs="Times New Roman"/>
          <w:color w:val="000000"/>
          <w:lang w:eastAsia="zh-CN" w:bidi="ar"/>
        </w:rPr>
        <w:t>2016-2019</w:t>
      </w:r>
      <w:r>
        <w:rPr>
          <w:rFonts w:hint="eastAsia" w:ascii="宋体" w:hAnsi="宋体" w:cs="宋体"/>
          <w:color w:val="000000"/>
          <w:lang w:eastAsia="zh-CN" w:bidi="ar"/>
        </w:rPr>
        <w:t>年沈阳市环境保护局东陵分局环境监测站对浑南区</w:t>
      </w:r>
      <w:r>
        <w:rPr>
          <w:rFonts w:cs="Times New Roman"/>
          <w:color w:val="000000"/>
          <w:lang w:eastAsia="zh-CN" w:bidi="ar"/>
        </w:rPr>
        <w:t>63</w:t>
      </w:r>
      <w:r>
        <w:rPr>
          <w:rFonts w:hint="eastAsia" w:ascii="宋体" w:hAnsi="宋体" w:cs="宋体"/>
          <w:color w:val="000000"/>
          <w:lang w:eastAsia="zh-CN" w:bidi="ar"/>
        </w:rPr>
        <w:t>个点位的区域环境噪声分昼间、夜间进行了监测。</w:t>
      </w:r>
    </w:p>
    <w:p>
      <w:pPr>
        <w:widowControl/>
        <w:ind w:firstLine="480"/>
        <w:jc w:val="left"/>
        <w:rPr>
          <w:lang w:eastAsia="zh-CN"/>
        </w:rPr>
      </w:pPr>
      <w:r>
        <w:rPr>
          <w:rFonts w:hint="eastAsia" w:ascii="宋体" w:hAnsi="宋体" w:cs="宋体"/>
          <w:color w:val="000000"/>
          <w:lang w:eastAsia="zh-CN" w:bidi="ar"/>
        </w:rPr>
        <w:t xml:space="preserve">区域环境噪声昼间监测结果见表 </w:t>
      </w:r>
      <w:r>
        <w:rPr>
          <w:rFonts w:cs="Times New Roman"/>
          <w:color w:val="000000"/>
          <w:lang w:eastAsia="zh-CN" w:bidi="ar"/>
        </w:rPr>
        <w:t>3.</w:t>
      </w:r>
      <w:r>
        <w:rPr>
          <w:rFonts w:hint="eastAsia" w:cs="Times New Roman"/>
          <w:color w:val="000000"/>
          <w:lang w:eastAsia="zh-CN" w:bidi="ar"/>
        </w:rPr>
        <w:t>1</w:t>
      </w:r>
      <w:r>
        <w:rPr>
          <w:rFonts w:cs="Times New Roman"/>
          <w:color w:val="000000"/>
          <w:lang w:eastAsia="zh-CN" w:bidi="ar"/>
        </w:rPr>
        <w:t>-6</w:t>
      </w:r>
      <w:r>
        <w:rPr>
          <w:rFonts w:hint="eastAsia" w:ascii="宋体" w:hAnsi="宋体" w:cs="宋体"/>
          <w:color w:val="000000"/>
          <w:lang w:eastAsia="zh-CN" w:bidi="ar"/>
        </w:rPr>
        <w:t xml:space="preserve">。 </w:t>
      </w:r>
    </w:p>
    <w:p>
      <w:pPr>
        <w:spacing w:line="240" w:lineRule="auto"/>
        <w:ind w:firstLine="0" w:firstLineChars="0"/>
        <w:jc w:val="center"/>
        <w:rPr>
          <w:rFonts w:cs="Times New Roman"/>
          <w:b/>
          <w:lang w:eastAsia="zh-CN"/>
        </w:rPr>
      </w:pPr>
      <w:r>
        <w:rPr>
          <w:rFonts w:cs="Times New Roman"/>
          <w:b/>
          <w:lang w:eastAsia="zh-CN"/>
        </w:rPr>
        <w:t>表3.</w:t>
      </w:r>
      <w:r>
        <w:rPr>
          <w:rFonts w:hint="eastAsia" w:cs="Times New Roman"/>
          <w:b/>
          <w:lang w:eastAsia="zh-CN"/>
        </w:rPr>
        <w:t>1</w:t>
      </w:r>
      <w:r>
        <w:rPr>
          <w:rFonts w:cs="Times New Roman"/>
          <w:b/>
          <w:lang w:eastAsia="zh-CN"/>
        </w:rPr>
        <w:t>-6   2016~20</w:t>
      </w:r>
      <w:r>
        <w:rPr>
          <w:rFonts w:hint="eastAsia" w:cs="Times New Roman"/>
          <w:b/>
          <w:lang w:val="en-US" w:eastAsia="zh-CN"/>
        </w:rPr>
        <w:t>20</w:t>
      </w:r>
      <w:r>
        <w:rPr>
          <w:rFonts w:cs="Times New Roman"/>
          <w:b/>
          <w:lang w:eastAsia="zh-CN"/>
        </w:rPr>
        <w:t>年</w:t>
      </w:r>
      <w:r>
        <w:rPr>
          <w:rFonts w:hint="eastAsia" w:cs="Times New Roman"/>
          <w:b/>
          <w:lang w:eastAsia="zh-CN"/>
        </w:rPr>
        <w:t>浑南区</w:t>
      </w:r>
      <w:r>
        <w:rPr>
          <w:rFonts w:cs="Times New Roman"/>
          <w:b/>
          <w:lang w:eastAsia="zh-CN"/>
        </w:rPr>
        <w:t>噪声环境监测结果</w:t>
      </w:r>
    </w:p>
    <w:tbl>
      <w:tblPr>
        <w:tblStyle w:val="64"/>
        <w:tblW w:w="8560" w:type="dxa"/>
        <w:tblInd w:w="240" w:type="dxa"/>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739"/>
        <w:gridCol w:w="3314"/>
        <w:gridCol w:w="2507"/>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trPr>
        <w:tc>
          <w:tcPr>
            <w:tcW w:w="2739" w:type="dxa"/>
            <w:tcBorders>
              <w:tl2br w:val="nil"/>
              <w:tr2bl w:val="nil"/>
            </w:tcBorders>
            <w:vAlign w:val="center"/>
          </w:tcPr>
          <w:p>
            <w:pPr>
              <w:pStyle w:val="16"/>
              <w:spacing w:line="240" w:lineRule="auto"/>
              <w:rPr>
                <w:rFonts w:ascii="Times New Roman" w:hAnsi="Times New Roman"/>
                <w:b/>
                <w:bCs/>
                <w:sz w:val="21"/>
              </w:rPr>
            </w:pPr>
            <w:r>
              <w:rPr>
                <w:rFonts w:ascii="Times New Roman" w:hAnsi="Times New Roman"/>
                <w:b/>
                <w:bCs/>
                <w:sz w:val="21"/>
              </w:rPr>
              <w:t>年份</w:t>
            </w:r>
          </w:p>
        </w:tc>
        <w:tc>
          <w:tcPr>
            <w:tcW w:w="3314" w:type="dxa"/>
            <w:tcBorders>
              <w:tl2br w:val="nil"/>
              <w:tr2bl w:val="nil"/>
            </w:tcBorders>
            <w:vAlign w:val="center"/>
          </w:tcPr>
          <w:p>
            <w:pPr>
              <w:pStyle w:val="16"/>
              <w:spacing w:line="240" w:lineRule="auto"/>
              <w:rPr>
                <w:rFonts w:ascii="Times New Roman" w:hAnsi="Times New Roman"/>
                <w:b/>
                <w:bCs/>
                <w:sz w:val="21"/>
              </w:rPr>
            </w:pPr>
            <w:r>
              <w:rPr>
                <w:rFonts w:ascii="Times New Roman" w:hAnsi="Times New Roman"/>
                <w:b/>
                <w:bCs/>
                <w:sz w:val="21"/>
              </w:rPr>
              <w:t>监测点位数量</w:t>
            </w:r>
          </w:p>
        </w:tc>
        <w:tc>
          <w:tcPr>
            <w:tcW w:w="2507" w:type="dxa"/>
            <w:tcBorders>
              <w:tl2br w:val="nil"/>
              <w:tr2bl w:val="nil"/>
            </w:tcBorders>
            <w:vAlign w:val="center"/>
          </w:tcPr>
          <w:p>
            <w:pPr>
              <w:pStyle w:val="16"/>
              <w:spacing w:line="240" w:lineRule="auto"/>
              <w:rPr>
                <w:rFonts w:ascii="Times New Roman" w:hAnsi="Times New Roman"/>
                <w:b/>
                <w:bCs/>
                <w:sz w:val="21"/>
              </w:rPr>
            </w:pPr>
            <w:r>
              <w:rPr>
                <w:rFonts w:ascii="Times New Roman" w:hAnsi="Times New Roman"/>
                <w:b/>
                <w:bCs/>
                <w:sz w:val="21"/>
              </w:rPr>
              <w:t>均值/dB(A)</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trPr>
        <w:tc>
          <w:tcPr>
            <w:tcW w:w="2739" w:type="dxa"/>
            <w:tcBorders>
              <w:tl2br w:val="nil"/>
              <w:tr2bl w:val="nil"/>
            </w:tcBorders>
            <w:vAlign w:val="center"/>
          </w:tcPr>
          <w:p>
            <w:pPr>
              <w:pStyle w:val="16"/>
              <w:spacing w:line="240" w:lineRule="auto"/>
              <w:rPr>
                <w:rFonts w:ascii="Times New Roman" w:hAnsi="Times New Roman"/>
                <w:sz w:val="21"/>
              </w:rPr>
            </w:pPr>
            <w:r>
              <w:rPr>
                <w:rFonts w:ascii="Times New Roman" w:hAnsi="Times New Roman"/>
                <w:sz w:val="21"/>
              </w:rPr>
              <w:t>2016</w:t>
            </w:r>
          </w:p>
        </w:tc>
        <w:tc>
          <w:tcPr>
            <w:tcW w:w="3314" w:type="dxa"/>
            <w:tcBorders>
              <w:tl2br w:val="nil"/>
              <w:tr2bl w:val="nil"/>
            </w:tcBorders>
            <w:vAlign w:val="center"/>
          </w:tcPr>
          <w:p>
            <w:pPr>
              <w:pStyle w:val="16"/>
              <w:spacing w:line="240" w:lineRule="auto"/>
              <w:rPr>
                <w:rFonts w:ascii="Times New Roman" w:hAnsi="Times New Roman"/>
                <w:sz w:val="21"/>
              </w:rPr>
            </w:pPr>
            <w:r>
              <w:rPr>
                <w:rFonts w:hint="eastAsia" w:ascii="Times New Roman" w:hAnsi="Times New Roman"/>
                <w:sz w:val="21"/>
              </w:rPr>
              <w:t>63</w:t>
            </w:r>
          </w:p>
        </w:tc>
        <w:tc>
          <w:tcPr>
            <w:tcW w:w="2507" w:type="dxa"/>
            <w:tcBorders>
              <w:tl2br w:val="nil"/>
              <w:tr2bl w:val="nil"/>
            </w:tcBorders>
            <w:vAlign w:val="center"/>
          </w:tcPr>
          <w:p>
            <w:pPr>
              <w:pStyle w:val="16"/>
              <w:spacing w:line="240" w:lineRule="auto"/>
              <w:rPr>
                <w:rFonts w:ascii="Times New Roman" w:hAnsi="Times New Roman"/>
                <w:sz w:val="21"/>
              </w:rPr>
            </w:pPr>
            <w:r>
              <w:rPr>
                <w:rFonts w:hint="eastAsia" w:ascii="Times New Roman" w:hAnsi="Times New Roman"/>
                <w:sz w:val="21"/>
              </w:rPr>
              <w:t>52.4</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trPr>
        <w:tc>
          <w:tcPr>
            <w:tcW w:w="2739" w:type="dxa"/>
            <w:tcBorders>
              <w:tl2br w:val="nil"/>
              <w:tr2bl w:val="nil"/>
            </w:tcBorders>
            <w:vAlign w:val="center"/>
          </w:tcPr>
          <w:p>
            <w:pPr>
              <w:pStyle w:val="16"/>
              <w:spacing w:line="240" w:lineRule="auto"/>
              <w:rPr>
                <w:rFonts w:ascii="Times New Roman" w:hAnsi="Times New Roman"/>
                <w:sz w:val="21"/>
              </w:rPr>
            </w:pPr>
            <w:r>
              <w:rPr>
                <w:rFonts w:ascii="Times New Roman" w:hAnsi="Times New Roman"/>
                <w:sz w:val="21"/>
              </w:rPr>
              <w:t>2017</w:t>
            </w:r>
          </w:p>
        </w:tc>
        <w:tc>
          <w:tcPr>
            <w:tcW w:w="3314" w:type="dxa"/>
            <w:tcBorders>
              <w:tl2br w:val="nil"/>
              <w:tr2bl w:val="nil"/>
            </w:tcBorders>
            <w:vAlign w:val="center"/>
          </w:tcPr>
          <w:p>
            <w:pPr>
              <w:pStyle w:val="16"/>
              <w:spacing w:line="240" w:lineRule="auto"/>
              <w:rPr>
                <w:rFonts w:ascii="Times New Roman" w:hAnsi="Times New Roman"/>
                <w:sz w:val="21"/>
              </w:rPr>
            </w:pPr>
            <w:r>
              <w:rPr>
                <w:rFonts w:hint="eastAsia" w:ascii="Times New Roman" w:hAnsi="Times New Roman"/>
                <w:sz w:val="21"/>
              </w:rPr>
              <w:t>63</w:t>
            </w:r>
          </w:p>
        </w:tc>
        <w:tc>
          <w:tcPr>
            <w:tcW w:w="2507" w:type="dxa"/>
            <w:tcBorders>
              <w:tl2br w:val="nil"/>
              <w:tr2bl w:val="nil"/>
            </w:tcBorders>
            <w:vAlign w:val="center"/>
          </w:tcPr>
          <w:p>
            <w:pPr>
              <w:pStyle w:val="16"/>
              <w:spacing w:line="240" w:lineRule="auto"/>
              <w:rPr>
                <w:rFonts w:ascii="Times New Roman" w:hAnsi="Times New Roman"/>
                <w:sz w:val="21"/>
              </w:rPr>
            </w:pPr>
            <w:r>
              <w:rPr>
                <w:rFonts w:hint="eastAsia" w:ascii="Times New Roman" w:hAnsi="Times New Roman"/>
                <w:sz w:val="21"/>
              </w:rPr>
              <w:t>52.2</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trPr>
        <w:tc>
          <w:tcPr>
            <w:tcW w:w="2739" w:type="dxa"/>
            <w:tcBorders>
              <w:tl2br w:val="nil"/>
              <w:tr2bl w:val="nil"/>
            </w:tcBorders>
            <w:vAlign w:val="center"/>
          </w:tcPr>
          <w:p>
            <w:pPr>
              <w:pStyle w:val="16"/>
              <w:spacing w:line="240" w:lineRule="auto"/>
              <w:rPr>
                <w:rFonts w:ascii="Times New Roman" w:hAnsi="Times New Roman"/>
                <w:sz w:val="21"/>
              </w:rPr>
            </w:pPr>
            <w:r>
              <w:rPr>
                <w:rFonts w:ascii="Times New Roman" w:hAnsi="Times New Roman"/>
                <w:sz w:val="21"/>
              </w:rPr>
              <w:t>2018</w:t>
            </w:r>
          </w:p>
        </w:tc>
        <w:tc>
          <w:tcPr>
            <w:tcW w:w="3314" w:type="dxa"/>
            <w:tcBorders>
              <w:tl2br w:val="nil"/>
              <w:tr2bl w:val="nil"/>
            </w:tcBorders>
            <w:vAlign w:val="center"/>
          </w:tcPr>
          <w:p>
            <w:pPr>
              <w:pStyle w:val="16"/>
              <w:spacing w:line="240" w:lineRule="auto"/>
              <w:rPr>
                <w:rFonts w:ascii="Times New Roman" w:hAnsi="Times New Roman"/>
                <w:sz w:val="21"/>
              </w:rPr>
            </w:pPr>
            <w:r>
              <w:rPr>
                <w:rFonts w:hint="eastAsia" w:ascii="Times New Roman" w:hAnsi="Times New Roman"/>
                <w:sz w:val="21"/>
              </w:rPr>
              <w:t>63</w:t>
            </w:r>
          </w:p>
        </w:tc>
        <w:tc>
          <w:tcPr>
            <w:tcW w:w="2507" w:type="dxa"/>
            <w:tcBorders>
              <w:tl2br w:val="nil"/>
              <w:tr2bl w:val="nil"/>
            </w:tcBorders>
            <w:vAlign w:val="center"/>
          </w:tcPr>
          <w:p>
            <w:pPr>
              <w:pStyle w:val="16"/>
              <w:spacing w:line="240" w:lineRule="auto"/>
              <w:rPr>
                <w:rFonts w:ascii="Times New Roman" w:hAnsi="Times New Roman"/>
                <w:sz w:val="21"/>
              </w:rPr>
            </w:pPr>
            <w:r>
              <w:rPr>
                <w:rFonts w:hint="eastAsia" w:ascii="Times New Roman" w:hAnsi="Times New Roman"/>
                <w:sz w:val="21"/>
              </w:rPr>
              <w:t>53</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trPr>
        <w:tc>
          <w:tcPr>
            <w:tcW w:w="2739" w:type="dxa"/>
            <w:tcBorders>
              <w:tl2br w:val="nil"/>
              <w:tr2bl w:val="nil"/>
            </w:tcBorders>
            <w:vAlign w:val="center"/>
          </w:tcPr>
          <w:p>
            <w:pPr>
              <w:pStyle w:val="16"/>
              <w:spacing w:line="240" w:lineRule="auto"/>
              <w:rPr>
                <w:rFonts w:ascii="Times New Roman" w:hAnsi="Times New Roman"/>
                <w:sz w:val="21"/>
              </w:rPr>
            </w:pPr>
            <w:r>
              <w:rPr>
                <w:rFonts w:ascii="Times New Roman" w:hAnsi="Times New Roman"/>
                <w:sz w:val="21"/>
              </w:rPr>
              <w:t>2019</w:t>
            </w:r>
          </w:p>
        </w:tc>
        <w:tc>
          <w:tcPr>
            <w:tcW w:w="3314" w:type="dxa"/>
            <w:tcBorders>
              <w:tl2br w:val="nil"/>
              <w:tr2bl w:val="nil"/>
            </w:tcBorders>
            <w:vAlign w:val="center"/>
          </w:tcPr>
          <w:p>
            <w:pPr>
              <w:pStyle w:val="16"/>
              <w:spacing w:line="240" w:lineRule="auto"/>
              <w:rPr>
                <w:rFonts w:ascii="Times New Roman" w:hAnsi="Times New Roman"/>
                <w:sz w:val="21"/>
              </w:rPr>
            </w:pPr>
            <w:r>
              <w:rPr>
                <w:rFonts w:hint="eastAsia" w:ascii="Times New Roman" w:hAnsi="Times New Roman"/>
                <w:sz w:val="21"/>
              </w:rPr>
              <w:t>63</w:t>
            </w:r>
          </w:p>
        </w:tc>
        <w:tc>
          <w:tcPr>
            <w:tcW w:w="2507" w:type="dxa"/>
            <w:tcBorders>
              <w:tl2br w:val="nil"/>
              <w:tr2bl w:val="nil"/>
            </w:tcBorders>
            <w:vAlign w:val="center"/>
          </w:tcPr>
          <w:p>
            <w:pPr>
              <w:pStyle w:val="16"/>
              <w:spacing w:line="240" w:lineRule="auto"/>
              <w:rPr>
                <w:rFonts w:ascii="Times New Roman" w:hAnsi="Times New Roman"/>
                <w:sz w:val="21"/>
              </w:rPr>
            </w:pPr>
            <w:r>
              <w:rPr>
                <w:rFonts w:hint="eastAsia" w:ascii="Times New Roman" w:hAnsi="Times New Roman"/>
                <w:sz w:val="21"/>
              </w:rPr>
              <w:t>53</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trPr>
        <w:tc>
          <w:tcPr>
            <w:tcW w:w="2739" w:type="dxa"/>
            <w:tcBorders>
              <w:tl2br w:val="nil"/>
              <w:tr2bl w:val="nil"/>
            </w:tcBorders>
            <w:vAlign w:val="center"/>
          </w:tcPr>
          <w:p>
            <w:pPr>
              <w:pStyle w:val="16"/>
              <w:spacing w:line="240" w:lineRule="auto"/>
              <w:rPr>
                <w:rFonts w:hint="default" w:ascii="Times New Roman" w:hAnsi="Times New Roman" w:eastAsia="宋体"/>
                <w:sz w:val="21"/>
                <w:lang w:val="en-US" w:eastAsia="zh-CN"/>
              </w:rPr>
            </w:pPr>
            <w:r>
              <w:rPr>
                <w:rFonts w:hint="eastAsia" w:ascii="Times New Roman" w:hAnsi="Times New Roman"/>
                <w:sz w:val="21"/>
                <w:lang w:val="en-US" w:eastAsia="zh-CN"/>
              </w:rPr>
              <w:t>2020</w:t>
            </w:r>
          </w:p>
        </w:tc>
        <w:tc>
          <w:tcPr>
            <w:tcW w:w="3314" w:type="dxa"/>
            <w:tcBorders>
              <w:tl2br w:val="nil"/>
              <w:tr2bl w:val="nil"/>
            </w:tcBorders>
            <w:vAlign w:val="center"/>
          </w:tcPr>
          <w:p>
            <w:pPr>
              <w:pStyle w:val="16"/>
              <w:spacing w:line="240" w:lineRule="auto"/>
              <w:rPr>
                <w:rFonts w:hint="default" w:ascii="Times New Roman" w:hAnsi="Times New Roman" w:eastAsia="宋体"/>
                <w:sz w:val="21"/>
                <w:lang w:val="en-US" w:eastAsia="zh-CN"/>
              </w:rPr>
            </w:pPr>
            <w:r>
              <w:rPr>
                <w:rFonts w:hint="eastAsia" w:ascii="Times New Roman" w:hAnsi="Times New Roman"/>
                <w:sz w:val="21"/>
                <w:lang w:val="en-US" w:eastAsia="zh-CN"/>
              </w:rPr>
              <w:t>63</w:t>
            </w:r>
          </w:p>
        </w:tc>
        <w:tc>
          <w:tcPr>
            <w:tcW w:w="2507" w:type="dxa"/>
            <w:tcBorders>
              <w:tl2br w:val="nil"/>
              <w:tr2bl w:val="nil"/>
            </w:tcBorders>
            <w:vAlign w:val="center"/>
          </w:tcPr>
          <w:p>
            <w:pPr>
              <w:pStyle w:val="16"/>
              <w:spacing w:line="240" w:lineRule="auto"/>
              <w:rPr>
                <w:rFonts w:hint="default" w:ascii="Times New Roman" w:hAnsi="Times New Roman" w:eastAsia="宋体"/>
                <w:sz w:val="21"/>
                <w:lang w:val="en-US" w:eastAsia="zh-CN"/>
              </w:rPr>
            </w:pPr>
            <w:r>
              <w:rPr>
                <w:rFonts w:hint="eastAsia" w:ascii="Times New Roman" w:hAnsi="Times New Roman"/>
                <w:sz w:val="21"/>
                <w:lang w:val="en-US" w:eastAsia="zh-CN"/>
              </w:rPr>
              <w:t>59</w:t>
            </w:r>
          </w:p>
        </w:tc>
      </w:tr>
    </w:tbl>
    <w:p>
      <w:pPr>
        <w:widowControl/>
        <w:ind w:firstLine="480"/>
        <w:jc w:val="left"/>
        <w:rPr>
          <w:rFonts w:hint="eastAsia" w:ascii="Times New Roman" w:hAnsi="Times New Roman" w:eastAsia="宋体" w:cs="Times New Roman"/>
          <w:color w:val="000000"/>
          <w:lang w:eastAsia="zh-CN" w:bidi="ar"/>
        </w:rPr>
      </w:pPr>
      <w:r>
        <w:rPr>
          <w:rFonts w:hint="eastAsia" w:ascii="Times New Roman" w:hAnsi="Times New Roman" w:eastAsia="宋体" w:cs="Times New Roman"/>
          <w:color w:val="000000"/>
          <w:lang w:eastAsia="zh-CN" w:bidi="ar"/>
        </w:rPr>
        <w:t>浑南区的区域环境噪声质量较好，1类未达到《声环境质量标准》（GB 3096-2008）标准限值要求、2类和4类区域均达到《声环境质量标准》（GB 3096-2008）标准限值要求。</w:t>
      </w:r>
    </w:p>
    <w:p>
      <w:pPr>
        <w:keepNext/>
        <w:keepLines/>
        <w:tabs>
          <w:tab w:val="left" w:pos="1302"/>
        </w:tabs>
        <w:adjustRightInd w:val="0"/>
        <w:ind w:firstLine="0" w:firstLineChars="0"/>
        <w:jc w:val="left"/>
        <w:outlineLvl w:val="3"/>
        <w:rPr>
          <w:rFonts w:cs="Times New Roman"/>
          <w:b/>
          <w:bCs/>
          <w:lang w:eastAsia="zh-CN"/>
        </w:rPr>
      </w:pPr>
      <w:r>
        <w:rPr>
          <w:rFonts w:hint="eastAsia" w:cs="Times New Roman"/>
          <w:b/>
          <w:bCs/>
          <w:lang w:eastAsia="zh-CN"/>
        </w:rPr>
        <w:t>3.1.1.4土壤环境质量变化趋势</w:t>
      </w:r>
    </w:p>
    <w:p>
      <w:pPr>
        <w:ind w:firstLine="0" w:firstLineChars="0"/>
        <w:outlineLvl w:val="4"/>
        <w:rPr>
          <w:rFonts w:cs="Times New Roman"/>
          <w:b/>
          <w:bCs/>
          <w:lang w:eastAsia="zh-CN"/>
        </w:rPr>
      </w:pPr>
      <w:r>
        <w:rPr>
          <w:rFonts w:hint="eastAsia" w:cs="Times New Roman"/>
          <w:b/>
          <w:bCs/>
          <w:lang w:eastAsia="zh-CN"/>
        </w:rPr>
        <w:t>3.1.1.4.1原规划环评土壤环境质量</w:t>
      </w:r>
    </w:p>
    <w:p>
      <w:pPr>
        <w:pStyle w:val="25"/>
        <w:spacing w:after="0"/>
        <w:ind w:firstLine="480"/>
        <w:rPr>
          <w:lang w:eastAsia="zh-CN"/>
        </w:rPr>
      </w:pPr>
      <w:r>
        <w:rPr>
          <w:rFonts w:hint="eastAsia"/>
          <w:lang w:eastAsia="zh-CN"/>
        </w:rPr>
        <w:t>原规划环评</w:t>
      </w:r>
      <w:r>
        <w:rPr>
          <w:spacing w:val="-10"/>
          <w:lang w:eastAsia="zh-CN"/>
        </w:rPr>
        <w:t>收集</w:t>
      </w:r>
      <w:r>
        <w:rPr>
          <w:rFonts w:eastAsia="Times New Roman"/>
          <w:lang w:eastAsia="zh-CN"/>
        </w:rPr>
        <w:t>2010</w:t>
      </w:r>
      <w:r>
        <w:rPr>
          <w:spacing w:val="-11"/>
          <w:lang w:eastAsia="zh-CN"/>
        </w:rPr>
        <w:t>年东陵</w:t>
      </w:r>
      <w:r>
        <w:rPr>
          <w:lang w:eastAsia="zh-CN"/>
        </w:rPr>
        <w:t>（浑南</w:t>
      </w:r>
      <w:r>
        <w:rPr>
          <w:spacing w:val="-33"/>
          <w:lang w:eastAsia="zh-CN"/>
        </w:rPr>
        <w:t>）</w:t>
      </w:r>
      <w:r>
        <w:rPr>
          <w:lang w:eastAsia="zh-CN"/>
        </w:rPr>
        <w:t>区环境质量报告监测资料中对深井子街道西</w:t>
      </w:r>
      <w:r>
        <w:rPr>
          <w:spacing w:val="-6"/>
          <w:lang w:eastAsia="zh-CN"/>
        </w:rPr>
        <w:t>南土壤调查结果见表</w:t>
      </w:r>
      <w:r>
        <w:rPr>
          <w:rFonts w:eastAsia="Times New Roman"/>
          <w:lang w:eastAsia="zh-CN"/>
        </w:rPr>
        <w:t>3.1-9</w:t>
      </w:r>
      <w:r>
        <w:rPr>
          <w:lang w:eastAsia="zh-CN"/>
        </w:rPr>
        <w:t>。</w:t>
      </w:r>
    </w:p>
    <w:p>
      <w:pPr>
        <w:tabs>
          <w:tab w:val="left" w:pos="1176"/>
        </w:tabs>
        <w:spacing w:line="240" w:lineRule="auto"/>
        <w:ind w:firstLine="0" w:firstLineChars="0"/>
        <w:jc w:val="center"/>
        <w:rPr>
          <w:rFonts w:cs="Times New Roman"/>
          <w:b/>
          <w:bCs/>
          <w:szCs w:val="32"/>
          <w:lang w:eastAsia="zh-CN"/>
        </w:rPr>
      </w:pPr>
      <w:r>
        <w:rPr>
          <w:rFonts w:cs="Times New Roman"/>
          <w:b/>
          <w:bCs/>
          <w:szCs w:val="32"/>
          <w:lang w:eastAsia="zh-CN"/>
        </w:rPr>
        <w:t>表</w:t>
      </w:r>
      <w:r>
        <w:rPr>
          <w:rFonts w:cs="Times New Roman"/>
          <w:b/>
          <w:bCs/>
          <w:spacing w:val="-54"/>
          <w:szCs w:val="32"/>
          <w:lang w:eastAsia="zh-CN"/>
        </w:rPr>
        <w:t xml:space="preserve"> </w:t>
      </w:r>
      <w:r>
        <w:rPr>
          <w:rFonts w:cs="Times New Roman"/>
          <w:b/>
          <w:bCs/>
          <w:szCs w:val="32"/>
          <w:lang w:eastAsia="zh-CN"/>
        </w:rPr>
        <w:t>3.1-9</w:t>
      </w:r>
      <w:r>
        <w:rPr>
          <w:rFonts w:cs="Times New Roman"/>
          <w:b/>
          <w:bCs/>
          <w:szCs w:val="32"/>
          <w:lang w:eastAsia="zh-CN"/>
        </w:rPr>
        <w:tab/>
      </w:r>
      <w:r>
        <w:rPr>
          <w:rFonts w:cs="Times New Roman"/>
          <w:b/>
          <w:bCs/>
          <w:szCs w:val="32"/>
          <w:lang w:eastAsia="zh-CN"/>
        </w:rPr>
        <w:t>规划区域周边土壤环境监测结果统计表</w:t>
      </w:r>
    </w:p>
    <w:tbl>
      <w:tblPr>
        <w:tblStyle w:val="64"/>
        <w:tblW w:w="9019" w:type="dxa"/>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434"/>
        <w:gridCol w:w="1296"/>
        <w:gridCol w:w="654"/>
        <w:gridCol w:w="587"/>
        <w:gridCol w:w="763"/>
        <w:gridCol w:w="723"/>
        <w:gridCol w:w="1230"/>
        <w:gridCol w:w="570"/>
        <w:gridCol w:w="709"/>
        <w:gridCol w:w="1053"/>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1434" w:type="dxa"/>
            <w:tcBorders>
              <w:tl2br w:val="nil"/>
              <w:tr2bl w:val="nil"/>
            </w:tcBorders>
            <w:vAlign w:val="center"/>
          </w:tcPr>
          <w:p>
            <w:pPr>
              <w:pStyle w:val="119"/>
              <w:spacing w:line="400" w:lineRule="exact"/>
              <w:ind w:firstLine="0" w:firstLineChars="0"/>
              <w:jc w:val="center"/>
              <w:rPr>
                <w:sz w:val="21"/>
                <w:szCs w:val="21"/>
              </w:rPr>
            </w:pPr>
            <w:r>
              <w:rPr>
                <w:sz w:val="21"/>
                <w:szCs w:val="21"/>
              </w:rPr>
              <w:t>监测点位</w:t>
            </w:r>
          </w:p>
        </w:tc>
        <w:tc>
          <w:tcPr>
            <w:tcW w:w="1296" w:type="dxa"/>
            <w:tcBorders>
              <w:tl2br w:val="nil"/>
              <w:tr2bl w:val="nil"/>
            </w:tcBorders>
            <w:vAlign w:val="center"/>
          </w:tcPr>
          <w:p>
            <w:pPr>
              <w:pStyle w:val="119"/>
              <w:spacing w:line="400" w:lineRule="exact"/>
              <w:ind w:firstLine="0" w:firstLineChars="0"/>
              <w:jc w:val="center"/>
              <w:rPr>
                <w:sz w:val="21"/>
                <w:szCs w:val="21"/>
              </w:rPr>
            </w:pPr>
            <w:r>
              <w:rPr>
                <w:rFonts w:eastAsia="Times New Roman"/>
                <w:sz w:val="21"/>
                <w:szCs w:val="21"/>
              </w:rPr>
              <w:t>p</w:t>
            </w:r>
            <w:r>
              <w:rPr>
                <w:rFonts w:eastAsia="Times New Roman"/>
                <w:spacing w:val="-96"/>
                <w:sz w:val="21"/>
                <w:szCs w:val="21"/>
              </w:rPr>
              <w:t>H</w:t>
            </w:r>
            <w:r>
              <w:rPr>
                <w:sz w:val="21"/>
                <w:szCs w:val="21"/>
              </w:rPr>
              <w:t>（无量纲）</w:t>
            </w:r>
          </w:p>
        </w:tc>
        <w:tc>
          <w:tcPr>
            <w:tcW w:w="654" w:type="dxa"/>
            <w:tcBorders>
              <w:tl2br w:val="nil"/>
              <w:tr2bl w:val="nil"/>
            </w:tcBorders>
            <w:vAlign w:val="center"/>
          </w:tcPr>
          <w:p>
            <w:pPr>
              <w:pStyle w:val="119"/>
              <w:spacing w:line="400" w:lineRule="exact"/>
              <w:ind w:firstLine="0" w:firstLineChars="0"/>
              <w:jc w:val="center"/>
              <w:rPr>
                <w:sz w:val="21"/>
                <w:szCs w:val="21"/>
              </w:rPr>
            </w:pPr>
            <w:r>
              <w:rPr>
                <w:sz w:val="21"/>
                <w:szCs w:val="21"/>
              </w:rPr>
              <w:t>铅</w:t>
            </w:r>
          </w:p>
        </w:tc>
        <w:tc>
          <w:tcPr>
            <w:tcW w:w="587" w:type="dxa"/>
            <w:tcBorders>
              <w:tl2br w:val="nil"/>
              <w:tr2bl w:val="nil"/>
            </w:tcBorders>
            <w:vAlign w:val="center"/>
          </w:tcPr>
          <w:p>
            <w:pPr>
              <w:pStyle w:val="119"/>
              <w:spacing w:line="400" w:lineRule="exact"/>
              <w:ind w:firstLine="0" w:firstLineChars="0"/>
              <w:jc w:val="center"/>
              <w:rPr>
                <w:sz w:val="21"/>
                <w:szCs w:val="21"/>
              </w:rPr>
            </w:pPr>
            <w:r>
              <w:rPr>
                <w:sz w:val="21"/>
                <w:szCs w:val="21"/>
              </w:rPr>
              <w:t>镉</w:t>
            </w:r>
          </w:p>
        </w:tc>
        <w:tc>
          <w:tcPr>
            <w:tcW w:w="763" w:type="dxa"/>
            <w:tcBorders>
              <w:tl2br w:val="nil"/>
              <w:tr2bl w:val="nil"/>
            </w:tcBorders>
            <w:vAlign w:val="center"/>
          </w:tcPr>
          <w:p>
            <w:pPr>
              <w:pStyle w:val="119"/>
              <w:spacing w:line="400" w:lineRule="exact"/>
              <w:ind w:firstLine="0" w:firstLineChars="0"/>
              <w:jc w:val="center"/>
              <w:rPr>
                <w:sz w:val="21"/>
                <w:szCs w:val="21"/>
              </w:rPr>
            </w:pPr>
            <w:r>
              <w:rPr>
                <w:sz w:val="21"/>
                <w:szCs w:val="21"/>
              </w:rPr>
              <w:t>锌</w:t>
            </w:r>
          </w:p>
        </w:tc>
        <w:tc>
          <w:tcPr>
            <w:tcW w:w="723" w:type="dxa"/>
            <w:tcBorders>
              <w:tl2br w:val="nil"/>
              <w:tr2bl w:val="nil"/>
            </w:tcBorders>
            <w:vAlign w:val="center"/>
          </w:tcPr>
          <w:p>
            <w:pPr>
              <w:pStyle w:val="119"/>
              <w:spacing w:line="400" w:lineRule="exact"/>
              <w:ind w:firstLine="0" w:firstLineChars="0"/>
              <w:jc w:val="center"/>
              <w:rPr>
                <w:sz w:val="21"/>
                <w:szCs w:val="21"/>
              </w:rPr>
            </w:pPr>
            <w:r>
              <w:rPr>
                <w:sz w:val="21"/>
                <w:szCs w:val="21"/>
              </w:rPr>
              <w:t>铜</w:t>
            </w:r>
          </w:p>
        </w:tc>
        <w:tc>
          <w:tcPr>
            <w:tcW w:w="1230" w:type="dxa"/>
            <w:tcBorders>
              <w:tl2br w:val="nil"/>
              <w:tr2bl w:val="nil"/>
            </w:tcBorders>
            <w:vAlign w:val="center"/>
          </w:tcPr>
          <w:p>
            <w:pPr>
              <w:pStyle w:val="119"/>
              <w:spacing w:line="400" w:lineRule="exact"/>
              <w:ind w:firstLine="0" w:firstLineChars="0"/>
              <w:jc w:val="center"/>
              <w:rPr>
                <w:sz w:val="21"/>
                <w:szCs w:val="21"/>
              </w:rPr>
            </w:pPr>
            <w:r>
              <w:rPr>
                <w:sz w:val="21"/>
                <w:szCs w:val="21"/>
              </w:rPr>
              <w:t>铬</w:t>
            </w:r>
          </w:p>
        </w:tc>
        <w:tc>
          <w:tcPr>
            <w:tcW w:w="570" w:type="dxa"/>
            <w:tcBorders>
              <w:tl2br w:val="nil"/>
              <w:tr2bl w:val="nil"/>
            </w:tcBorders>
            <w:vAlign w:val="center"/>
          </w:tcPr>
          <w:p>
            <w:pPr>
              <w:pStyle w:val="119"/>
              <w:spacing w:line="400" w:lineRule="exact"/>
              <w:ind w:firstLine="0" w:firstLineChars="0"/>
              <w:jc w:val="center"/>
              <w:rPr>
                <w:sz w:val="21"/>
                <w:szCs w:val="21"/>
              </w:rPr>
            </w:pPr>
            <w:r>
              <w:rPr>
                <w:sz w:val="21"/>
                <w:szCs w:val="21"/>
              </w:rPr>
              <w:t>镍</w:t>
            </w:r>
          </w:p>
        </w:tc>
        <w:tc>
          <w:tcPr>
            <w:tcW w:w="709" w:type="dxa"/>
            <w:tcBorders>
              <w:tl2br w:val="nil"/>
              <w:tr2bl w:val="nil"/>
            </w:tcBorders>
            <w:vAlign w:val="center"/>
          </w:tcPr>
          <w:p>
            <w:pPr>
              <w:pStyle w:val="119"/>
              <w:spacing w:line="400" w:lineRule="exact"/>
              <w:ind w:firstLine="0" w:firstLineChars="0"/>
              <w:jc w:val="center"/>
              <w:rPr>
                <w:sz w:val="21"/>
                <w:szCs w:val="21"/>
              </w:rPr>
            </w:pPr>
            <w:r>
              <w:rPr>
                <w:sz w:val="21"/>
                <w:szCs w:val="21"/>
              </w:rPr>
              <w:t>汞</w:t>
            </w:r>
          </w:p>
        </w:tc>
        <w:tc>
          <w:tcPr>
            <w:tcW w:w="1053" w:type="dxa"/>
            <w:tcBorders>
              <w:tl2br w:val="nil"/>
              <w:tr2bl w:val="nil"/>
            </w:tcBorders>
            <w:vAlign w:val="center"/>
          </w:tcPr>
          <w:p>
            <w:pPr>
              <w:pStyle w:val="119"/>
              <w:spacing w:line="400" w:lineRule="exact"/>
              <w:ind w:firstLine="0" w:firstLineChars="0"/>
              <w:jc w:val="center"/>
              <w:rPr>
                <w:sz w:val="21"/>
                <w:szCs w:val="21"/>
              </w:rPr>
            </w:pPr>
            <w:r>
              <w:rPr>
                <w:sz w:val="21"/>
                <w:szCs w:val="21"/>
              </w:rPr>
              <w:t>砷</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1434" w:type="dxa"/>
            <w:tcBorders>
              <w:tl2br w:val="nil"/>
              <w:tr2bl w:val="nil"/>
            </w:tcBorders>
            <w:vAlign w:val="center"/>
          </w:tcPr>
          <w:p>
            <w:pPr>
              <w:pStyle w:val="119"/>
              <w:spacing w:line="400" w:lineRule="exact"/>
              <w:ind w:firstLine="0" w:firstLineChars="0"/>
              <w:jc w:val="center"/>
              <w:rPr>
                <w:sz w:val="21"/>
                <w:szCs w:val="21"/>
                <w:lang w:eastAsia="zh-CN"/>
              </w:rPr>
            </w:pPr>
            <w:r>
              <w:rPr>
                <w:sz w:val="21"/>
                <w:szCs w:val="21"/>
                <w:lang w:eastAsia="zh-CN"/>
              </w:rPr>
              <w:t>深井子西南（基本农田）</w:t>
            </w:r>
          </w:p>
        </w:tc>
        <w:tc>
          <w:tcPr>
            <w:tcW w:w="1296" w:type="dxa"/>
            <w:tcBorders>
              <w:tl2br w:val="nil"/>
              <w:tr2bl w:val="nil"/>
            </w:tcBorders>
            <w:vAlign w:val="center"/>
          </w:tcPr>
          <w:p>
            <w:pPr>
              <w:pStyle w:val="119"/>
              <w:spacing w:line="400" w:lineRule="exact"/>
              <w:ind w:firstLine="0" w:firstLineChars="0"/>
              <w:jc w:val="center"/>
              <w:rPr>
                <w:sz w:val="21"/>
                <w:szCs w:val="21"/>
              </w:rPr>
            </w:pPr>
            <w:r>
              <w:rPr>
                <w:sz w:val="21"/>
                <w:szCs w:val="21"/>
              </w:rPr>
              <w:t>7.09</w:t>
            </w:r>
          </w:p>
        </w:tc>
        <w:tc>
          <w:tcPr>
            <w:tcW w:w="654" w:type="dxa"/>
            <w:tcBorders>
              <w:tl2br w:val="nil"/>
              <w:tr2bl w:val="nil"/>
            </w:tcBorders>
            <w:vAlign w:val="center"/>
          </w:tcPr>
          <w:p>
            <w:pPr>
              <w:pStyle w:val="119"/>
              <w:spacing w:line="400" w:lineRule="exact"/>
              <w:ind w:firstLine="0" w:firstLineChars="0"/>
              <w:jc w:val="center"/>
              <w:rPr>
                <w:sz w:val="21"/>
                <w:szCs w:val="21"/>
              </w:rPr>
            </w:pPr>
            <w:r>
              <w:rPr>
                <w:sz w:val="21"/>
                <w:szCs w:val="21"/>
              </w:rPr>
              <w:t>&lt;5</w:t>
            </w:r>
          </w:p>
        </w:tc>
        <w:tc>
          <w:tcPr>
            <w:tcW w:w="587" w:type="dxa"/>
            <w:tcBorders>
              <w:tl2br w:val="nil"/>
              <w:tr2bl w:val="nil"/>
            </w:tcBorders>
            <w:vAlign w:val="center"/>
          </w:tcPr>
          <w:p>
            <w:pPr>
              <w:pStyle w:val="119"/>
              <w:spacing w:line="400" w:lineRule="exact"/>
              <w:ind w:firstLine="0" w:firstLineChars="0"/>
              <w:jc w:val="center"/>
              <w:rPr>
                <w:sz w:val="21"/>
                <w:szCs w:val="21"/>
              </w:rPr>
            </w:pPr>
            <w:r>
              <w:rPr>
                <w:sz w:val="21"/>
                <w:szCs w:val="21"/>
              </w:rPr>
              <w:t>&lt;0.3</w:t>
            </w:r>
          </w:p>
        </w:tc>
        <w:tc>
          <w:tcPr>
            <w:tcW w:w="763" w:type="dxa"/>
            <w:tcBorders>
              <w:tl2br w:val="nil"/>
              <w:tr2bl w:val="nil"/>
            </w:tcBorders>
            <w:vAlign w:val="center"/>
          </w:tcPr>
          <w:p>
            <w:pPr>
              <w:pStyle w:val="119"/>
              <w:spacing w:line="400" w:lineRule="exact"/>
              <w:ind w:firstLine="0" w:firstLineChars="0"/>
              <w:jc w:val="center"/>
              <w:rPr>
                <w:sz w:val="21"/>
                <w:szCs w:val="21"/>
              </w:rPr>
            </w:pPr>
            <w:r>
              <w:rPr>
                <w:sz w:val="21"/>
                <w:szCs w:val="21"/>
              </w:rPr>
              <w:t>67.2</w:t>
            </w:r>
          </w:p>
        </w:tc>
        <w:tc>
          <w:tcPr>
            <w:tcW w:w="723" w:type="dxa"/>
            <w:tcBorders>
              <w:tl2br w:val="nil"/>
              <w:tr2bl w:val="nil"/>
            </w:tcBorders>
            <w:vAlign w:val="center"/>
          </w:tcPr>
          <w:p>
            <w:pPr>
              <w:pStyle w:val="119"/>
              <w:spacing w:line="400" w:lineRule="exact"/>
              <w:ind w:firstLine="0" w:firstLineChars="0"/>
              <w:jc w:val="center"/>
              <w:rPr>
                <w:sz w:val="21"/>
                <w:szCs w:val="21"/>
              </w:rPr>
            </w:pPr>
            <w:r>
              <w:rPr>
                <w:sz w:val="21"/>
                <w:szCs w:val="21"/>
              </w:rPr>
              <w:t>27</w:t>
            </w:r>
          </w:p>
        </w:tc>
        <w:tc>
          <w:tcPr>
            <w:tcW w:w="1230" w:type="dxa"/>
            <w:tcBorders>
              <w:tl2br w:val="nil"/>
              <w:tr2bl w:val="nil"/>
            </w:tcBorders>
            <w:vAlign w:val="center"/>
          </w:tcPr>
          <w:p>
            <w:pPr>
              <w:pStyle w:val="119"/>
              <w:spacing w:line="400" w:lineRule="exact"/>
              <w:ind w:firstLine="0" w:firstLineChars="0"/>
              <w:jc w:val="center"/>
              <w:rPr>
                <w:sz w:val="21"/>
                <w:szCs w:val="21"/>
              </w:rPr>
            </w:pPr>
            <w:r>
              <w:rPr>
                <w:sz w:val="21"/>
                <w:szCs w:val="21"/>
              </w:rPr>
              <w:t>67</w:t>
            </w:r>
          </w:p>
        </w:tc>
        <w:tc>
          <w:tcPr>
            <w:tcW w:w="570" w:type="dxa"/>
            <w:tcBorders>
              <w:tl2br w:val="nil"/>
              <w:tr2bl w:val="nil"/>
            </w:tcBorders>
            <w:vAlign w:val="center"/>
          </w:tcPr>
          <w:p>
            <w:pPr>
              <w:pStyle w:val="119"/>
              <w:spacing w:line="400" w:lineRule="exact"/>
              <w:ind w:firstLine="0" w:firstLineChars="0"/>
              <w:jc w:val="center"/>
              <w:rPr>
                <w:sz w:val="21"/>
                <w:szCs w:val="21"/>
              </w:rPr>
            </w:pPr>
            <w:r>
              <w:rPr>
                <w:sz w:val="21"/>
                <w:szCs w:val="21"/>
              </w:rPr>
              <w:t>34</w:t>
            </w:r>
          </w:p>
        </w:tc>
        <w:tc>
          <w:tcPr>
            <w:tcW w:w="709" w:type="dxa"/>
            <w:tcBorders>
              <w:tl2br w:val="nil"/>
              <w:tr2bl w:val="nil"/>
            </w:tcBorders>
            <w:vAlign w:val="center"/>
          </w:tcPr>
          <w:p>
            <w:pPr>
              <w:pStyle w:val="119"/>
              <w:spacing w:line="400" w:lineRule="exact"/>
              <w:ind w:firstLine="0" w:firstLineChars="0"/>
              <w:jc w:val="center"/>
              <w:rPr>
                <w:sz w:val="21"/>
                <w:szCs w:val="21"/>
              </w:rPr>
            </w:pPr>
            <w:r>
              <w:rPr>
                <w:sz w:val="21"/>
                <w:szCs w:val="21"/>
              </w:rPr>
              <w:t>0.061</w:t>
            </w:r>
          </w:p>
        </w:tc>
        <w:tc>
          <w:tcPr>
            <w:tcW w:w="1053" w:type="dxa"/>
            <w:tcBorders>
              <w:tl2br w:val="nil"/>
              <w:tr2bl w:val="nil"/>
            </w:tcBorders>
            <w:vAlign w:val="center"/>
          </w:tcPr>
          <w:p>
            <w:pPr>
              <w:pStyle w:val="119"/>
              <w:spacing w:line="400" w:lineRule="exact"/>
              <w:ind w:firstLine="0" w:firstLineChars="0"/>
              <w:jc w:val="center"/>
              <w:rPr>
                <w:sz w:val="21"/>
                <w:szCs w:val="21"/>
              </w:rPr>
            </w:pPr>
            <w:r>
              <w:rPr>
                <w:sz w:val="21"/>
                <w:szCs w:val="21"/>
              </w:rPr>
              <w:t>3.27</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87" w:hRule="atLeast"/>
          <w:jc w:val="center"/>
        </w:trPr>
        <w:tc>
          <w:tcPr>
            <w:tcW w:w="1434" w:type="dxa"/>
            <w:tcBorders>
              <w:tl2br w:val="nil"/>
              <w:tr2bl w:val="nil"/>
            </w:tcBorders>
            <w:vAlign w:val="center"/>
          </w:tcPr>
          <w:p>
            <w:pPr>
              <w:pStyle w:val="119"/>
              <w:spacing w:line="400" w:lineRule="exact"/>
              <w:ind w:firstLine="0" w:firstLineChars="0"/>
              <w:jc w:val="center"/>
              <w:rPr>
                <w:sz w:val="21"/>
                <w:szCs w:val="21"/>
              </w:rPr>
            </w:pPr>
            <w:r>
              <w:rPr>
                <w:rFonts w:eastAsia="Times New Roman"/>
                <w:sz w:val="21"/>
                <w:szCs w:val="21"/>
              </w:rPr>
              <w:t xml:space="preserve">GB15618-1995 </w:t>
            </w:r>
            <w:r>
              <w:rPr>
                <w:sz w:val="21"/>
                <w:szCs w:val="21"/>
              </w:rPr>
              <w:t>二级标准</w:t>
            </w:r>
          </w:p>
        </w:tc>
        <w:tc>
          <w:tcPr>
            <w:tcW w:w="1296" w:type="dxa"/>
            <w:tcBorders>
              <w:tl2br w:val="nil"/>
              <w:tr2bl w:val="nil"/>
            </w:tcBorders>
            <w:vAlign w:val="center"/>
          </w:tcPr>
          <w:p>
            <w:pPr>
              <w:pStyle w:val="119"/>
              <w:spacing w:line="400" w:lineRule="exact"/>
              <w:ind w:firstLine="0" w:firstLineChars="0"/>
              <w:jc w:val="center"/>
              <w:rPr>
                <w:sz w:val="21"/>
                <w:szCs w:val="21"/>
              </w:rPr>
            </w:pPr>
            <w:r>
              <w:rPr>
                <w:sz w:val="21"/>
                <w:szCs w:val="21"/>
              </w:rPr>
              <w:t>6.5~7.5</w:t>
            </w:r>
          </w:p>
        </w:tc>
        <w:tc>
          <w:tcPr>
            <w:tcW w:w="654" w:type="dxa"/>
            <w:tcBorders>
              <w:tl2br w:val="nil"/>
              <w:tr2bl w:val="nil"/>
            </w:tcBorders>
            <w:vAlign w:val="center"/>
          </w:tcPr>
          <w:p>
            <w:pPr>
              <w:pStyle w:val="119"/>
              <w:spacing w:line="400" w:lineRule="exact"/>
              <w:ind w:firstLine="0" w:firstLineChars="0"/>
              <w:jc w:val="center"/>
              <w:rPr>
                <w:sz w:val="21"/>
                <w:szCs w:val="21"/>
              </w:rPr>
            </w:pPr>
            <w:r>
              <w:rPr>
                <w:sz w:val="21"/>
                <w:szCs w:val="21"/>
              </w:rPr>
              <w:t>300</w:t>
            </w:r>
          </w:p>
        </w:tc>
        <w:tc>
          <w:tcPr>
            <w:tcW w:w="587" w:type="dxa"/>
            <w:tcBorders>
              <w:tl2br w:val="nil"/>
              <w:tr2bl w:val="nil"/>
            </w:tcBorders>
            <w:vAlign w:val="center"/>
          </w:tcPr>
          <w:p>
            <w:pPr>
              <w:pStyle w:val="119"/>
              <w:spacing w:line="400" w:lineRule="exact"/>
              <w:ind w:firstLine="0" w:firstLineChars="0"/>
              <w:jc w:val="center"/>
              <w:rPr>
                <w:sz w:val="21"/>
                <w:szCs w:val="21"/>
              </w:rPr>
            </w:pPr>
            <w:r>
              <w:rPr>
                <w:sz w:val="21"/>
                <w:szCs w:val="21"/>
              </w:rPr>
              <w:t>0.30</w:t>
            </w:r>
          </w:p>
        </w:tc>
        <w:tc>
          <w:tcPr>
            <w:tcW w:w="763" w:type="dxa"/>
            <w:tcBorders>
              <w:tl2br w:val="nil"/>
              <w:tr2bl w:val="nil"/>
            </w:tcBorders>
            <w:vAlign w:val="center"/>
          </w:tcPr>
          <w:p>
            <w:pPr>
              <w:pStyle w:val="119"/>
              <w:spacing w:line="400" w:lineRule="exact"/>
              <w:ind w:firstLine="0" w:firstLineChars="0"/>
              <w:jc w:val="center"/>
              <w:rPr>
                <w:sz w:val="21"/>
                <w:szCs w:val="21"/>
              </w:rPr>
            </w:pPr>
            <w:r>
              <w:rPr>
                <w:sz w:val="21"/>
                <w:szCs w:val="21"/>
              </w:rPr>
              <w:t>250</w:t>
            </w:r>
          </w:p>
        </w:tc>
        <w:tc>
          <w:tcPr>
            <w:tcW w:w="723" w:type="dxa"/>
            <w:tcBorders>
              <w:tl2br w:val="nil"/>
              <w:tr2bl w:val="nil"/>
            </w:tcBorders>
            <w:vAlign w:val="center"/>
          </w:tcPr>
          <w:p>
            <w:pPr>
              <w:pStyle w:val="119"/>
              <w:spacing w:line="400" w:lineRule="exact"/>
              <w:ind w:firstLine="0" w:firstLineChars="0"/>
              <w:jc w:val="center"/>
              <w:rPr>
                <w:sz w:val="21"/>
                <w:szCs w:val="21"/>
              </w:rPr>
            </w:pPr>
            <w:r>
              <w:rPr>
                <w:sz w:val="21"/>
                <w:szCs w:val="21"/>
              </w:rPr>
              <w:t>100</w:t>
            </w:r>
          </w:p>
        </w:tc>
        <w:tc>
          <w:tcPr>
            <w:tcW w:w="1230" w:type="dxa"/>
            <w:tcBorders>
              <w:tl2br w:val="nil"/>
              <w:tr2bl w:val="nil"/>
            </w:tcBorders>
            <w:vAlign w:val="center"/>
          </w:tcPr>
          <w:p>
            <w:pPr>
              <w:pStyle w:val="119"/>
              <w:spacing w:line="400" w:lineRule="exact"/>
              <w:ind w:firstLine="0" w:firstLineChars="0"/>
              <w:jc w:val="center"/>
              <w:rPr>
                <w:sz w:val="21"/>
                <w:szCs w:val="21"/>
              </w:rPr>
            </w:pPr>
            <w:r>
              <w:rPr>
                <w:sz w:val="21"/>
                <w:szCs w:val="21"/>
              </w:rPr>
              <w:t>200（旱地）</w:t>
            </w:r>
          </w:p>
        </w:tc>
        <w:tc>
          <w:tcPr>
            <w:tcW w:w="570" w:type="dxa"/>
            <w:tcBorders>
              <w:tl2br w:val="nil"/>
              <w:tr2bl w:val="nil"/>
            </w:tcBorders>
            <w:vAlign w:val="center"/>
          </w:tcPr>
          <w:p>
            <w:pPr>
              <w:pStyle w:val="119"/>
              <w:spacing w:line="400" w:lineRule="exact"/>
              <w:ind w:firstLine="0" w:firstLineChars="0"/>
              <w:jc w:val="center"/>
              <w:rPr>
                <w:sz w:val="21"/>
                <w:szCs w:val="21"/>
              </w:rPr>
            </w:pPr>
            <w:r>
              <w:rPr>
                <w:sz w:val="21"/>
                <w:szCs w:val="21"/>
              </w:rPr>
              <w:t>50</w:t>
            </w:r>
          </w:p>
        </w:tc>
        <w:tc>
          <w:tcPr>
            <w:tcW w:w="709" w:type="dxa"/>
            <w:tcBorders>
              <w:tl2br w:val="nil"/>
              <w:tr2bl w:val="nil"/>
            </w:tcBorders>
            <w:vAlign w:val="center"/>
          </w:tcPr>
          <w:p>
            <w:pPr>
              <w:pStyle w:val="119"/>
              <w:spacing w:line="400" w:lineRule="exact"/>
              <w:ind w:firstLine="0" w:firstLineChars="0"/>
              <w:jc w:val="center"/>
              <w:rPr>
                <w:sz w:val="21"/>
                <w:szCs w:val="21"/>
              </w:rPr>
            </w:pPr>
            <w:r>
              <w:rPr>
                <w:sz w:val="21"/>
                <w:szCs w:val="21"/>
              </w:rPr>
              <w:t>0.50</w:t>
            </w:r>
          </w:p>
        </w:tc>
        <w:tc>
          <w:tcPr>
            <w:tcW w:w="1053" w:type="dxa"/>
            <w:tcBorders>
              <w:tl2br w:val="nil"/>
              <w:tr2bl w:val="nil"/>
            </w:tcBorders>
            <w:vAlign w:val="center"/>
          </w:tcPr>
          <w:p>
            <w:pPr>
              <w:pStyle w:val="119"/>
              <w:spacing w:line="400" w:lineRule="exact"/>
              <w:ind w:firstLine="0" w:firstLineChars="0"/>
              <w:jc w:val="center"/>
              <w:rPr>
                <w:sz w:val="21"/>
                <w:szCs w:val="21"/>
              </w:rPr>
            </w:pPr>
            <w:r>
              <w:rPr>
                <w:rFonts w:eastAsia="Times New Roman"/>
                <w:sz w:val="21"/>
                <w:szCs w:val="21"/>
              </w:rPr>
              <w:t>2</w:t>
            </w:r>
            <w:r>
              <w:rPr>
                <w:rFonts w:eastAsia="Times New Roman"/>
                <w:spacing w:val="-100"/>
                <w:sz w:val="21"/>
                <w:szCs w:val="21"/>
              </w:rPr>
              <w:t>5</w:t>
            </w:r>
            <w:r>
              <w:rPr>
                <w:sz w:val="21"/>
                <w:szCs w:val="21"/>
              </w:rPr>
              <w:t>（</w:t>
            </w:r>
            <w:r>
              <w:rPr>
                <w:spacing w:val="-15"/>
                <w:sz w:val="21"/>
                <w:szCs w:val="21"/>
              </w:rPr>
              <w:t>水</w:t>
            </w:r>
            <w:r>
              <w:rPr>
                <w:sz w:val="21"/>
                <w:szCs w:val="21"/>
              </w:rPr>
              <w:t>田）</w:t>
            </w:r>
          </w:p>
        </w:tc>
      </w:tr>
    </w:tbl>
    <w:p>
      <w:pPr>
        <w:pStyle w:val="25"/>
        <w:spacing w:after="0"/>
        <w:ind w:firstLine="480"/>
        <w:rPr>
          <w:lang w:eastAsia="zh-CN"/>
        </w:rPr>
      </w:pPr>
      <w:r>
        <w:rPr>
          <w:rFonts w:hint="eastAsia"/>
          <w:lang w:eastAsia="zh-CN"/>
        </w:rPr>
        <w:t>原</w:t>
      </w:r>
      <w:r>
        <w:rPr>
          <w:lang w:eastAsia="zh-CN"/>
        </w:rPr>
        <w:t>规划区域周边的农田土壤环境质量可以满足《土壤环境质量标准》（</w:t>
      </w:r>
      <w:r>
        <w:rPr>
          <w:rFonts w:eastAsia="Times New Roman"/>
          <w:lang w:eastAsia="zh-CN"/>
        </w:rPr>
        <w:t>GB15618-1995</w:t>
      </w:r>
      <w:r>
        <w:rPr>
          <w:lang w:eastAsia="zh-CN"/>
        </w:rPr>
        <w:t>）二级标准要求。</w:t>
      </w:r>
    </w:p>
    <w:p>
      <w:pPr>
        <w:ind w:firstLine="0" w:firstLineChars="0"/>
        <w:outlineLvl w:val="4"/>
        <w:rPr>
          <w:rFonts w:cs="Times New Roman"/>
          <w:b/>
          <w:bCs/>
          <w:lang w:eastAsia="zh-CN"/>
        </w:rPr>
      </w:pPr>
      <w:r>
        <w:rPr>
          <w:rFonts w:hint="eastAsia" w:cs="Times New Roman"/>
          <w:b/>
          <w:bCs/>
          <w:lang w:eastAsia="zh-CN"/>
        </w:rPr>
        <w:t>3.1.1.4.2土壤环境质量现状补充监测与评价</w:t>
      </w:r>
    </w:p>
    <w:p>
      <w:pPr>
        <w:keepNext w:val="0"/>
        <w:keepLines w:val="0"/>
        <w:pageBreakBefore w:val="0"/>
        <w:widowControl/>
        <w:suppressLineNumbers w:val="0"/>
        <w:kinsoku/>
        <w:wordWrap/>
        <w:overflowPunct/>
        <w:topLinePunct w:val="0"/>
        <w:autoSpaceDE/>
        <w:autoSpaceDN/>
        <w:bidi w:val="0"/>
        <w:adjustRightInd/>
        <w:snapToGrid/>
        <w:jc w:val="both"/>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本次评价收集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2020</w:t>
      </w:r>
      <w:r>
        <w:rPr>
          <w:rFonts w:hint="eastAsia" w:ascii="宋体" w:hAnsi="宋体" w:eastAsia="宋体" w:cs="宋体"/>
          <w:color w:val="000000" w:themeColor="text1"/>
          <w:kern w:val="0"/>
          <w:sz w:val="24"/>
          <w:szCs w:val="24"/>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5</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月沈阳市中正检测技术有限公司对浑南区文溯街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16 </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号及周边的土壤监测对土壤进行评价。 </w:t>
      </w:r>
    </w:p>
    <w:p>
      <w:pPr>
        <w:keepNext w:val="0"/>
        <w:keepLines w:val="0"/>
        <w:pageBreakBefore w:val="0"/>
        <w:widowControl/>
        <w:suppressLineNumbers w:val="0"/>
        <w:kinsoku/>
        <w:wordWrap/>
        <w:overflowPunct/>
        <w:topLinePunct w:val="0"/>
        <w:autoSpaceDE/>
        <w:autoSpaceDN/>
        <w:bidi w:val="0"/>
        <w:adjustRightInd/>
        <w:snapToGrid/>
        <w:jc w:val="both"/>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）监测点位 </w:t>
      </w:r>
    </w:p>
    <w:p>
      <w:pPr>
        <w:keepNext w:val="0"/>
        <w:keepLines w:val="0"/>
        <w:pageBreakBefore w:val="0"/>
        <w:widowControl/>
        <w:suppressLineNumbers w:val="0"/>
        <w:kinsoku/>
        <w:wordWrap/>
        <w:overflowPunct/>
        <w:topLinePunct w:val="0"/>
        <w:autoSpaceDE/>
        <w:autoSpaceDN/>
        <w:bidi w:val="0"/>
        <w:adjustRightInd/>
        <w:snapToGrid/>
        <w:jc w:val="both"/>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设</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个柱状样点，</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个表层样点。 </w:t>
      </w:r>
    </w:p>
    <w:p>
      <w:pPr>
        <w:keepNext w:val="0"/>
        <w:keepLines w:val="0"/>
        <w:pageBreakBefore w:val="0"/>
        <w:widowControl/>
        <w:suppressLineNumbers w:val="0"/>
        <w:kinsoku/>
        <w:wordWrap/>
        <w:overflowPunct/>
        <w:topLinePunct w:val="0"/>
        <w:autoSpaceDE/>
        <w:autoSpaceDN/>
        <w:bidi w:val="0"/>
        <w:adjustRightInd/>
        <w:snapToGrid/>
        <w:jc w:val="both"/>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）监测项目 </w:t>
      </w:r>
    </w:p>
    <w:p>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砷、镉、六价铬、铜、铅、汞、镍、四氯化碳、氯仿、氯甲烷、</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1,1-</w:t>
      </w:r>
      <w:r>
        <w:rPr>
          <w:rFonts w:hint="eastAsia" w:ascii="宋体" w:hAnsi="宋体" w:eastAsia="宋体" w:cs="宋体"/>
          <w:color w:val="000000" w:themeColor="text1"/>
          <w:kern w:val="0"/>
          <w:sz w:val="24"/>
          <w:szCs w:val="24"/>
          <w:lang w:val="en-US" w:eastAsia="zh-CN" w:bidi="ar"/>
          <w14:textFill>
            <w14:solidFill>
              <w14:schemeClr w14:val="tx1"/>
            </w14:solidFill>
          </w14:textFill>
        </w:rPr>
        <w:t>二氯乙烷、</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w:t>
      </w:r>
      <w:r>
        <w:rPr>
          <w:rFonts w:hint="eastAsia" w:ascii="宋体" w:hAnsi="宋体" w:eastAsia="宋体" w:cs="宋体"/>
          <w:color w:val="000000" w:themeColor="text1"/>
          <w:kern w:val="0"/>
          <w:sz w:val="24"/>
          <w:szCs w:val="24"/>
          <w:lang w:val="en-US" w:eastAsia="zh-CN" w:bidi="ar"/>
          <w14:textFill>
            <w14:solidFill>
              <w14:schemeClr w14:val="tx1"/>
            </w14:solidFill>
          </w14:textFill>
        </w:rPr>
        <w:t>二氯乙烷、</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1,1-</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二氯乙烯、顺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二氯乙烯、反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w:t>
      </w:r>
      <w:r>
        <w:rPr>
          <w:rFonts w:hint="eastAsia" w:ascii="宋体" w:hAnsi="宋体" w:eastAsia="宋体" w:cs="宋体"/>
          <w:color w:val="000000" w:themeColor="text1"/>
          <w:kern w:val="0"/>
          <w:sz w:val="24"/>
          <w:szCs w:val="24"/>
          <w:lang w:val="en-US" w:eastAsia="zh-CN" w:bidi="ar"/>
          <w14:textFill>
            <w14:solidFill>
              <w14:schemeClr w14:val="tx1"/>
            </w14:solidFill>
          </w14:textFill>
        </w:rPr>
        <w:t>二氯乙烯、二氯甲烷、</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w:t>
      </w:r>
      <w:r>
        <w:rPr>
          <w:rFonts w:hint="eastAsia" w:ascii="宋体" w:hAnsi="宋体" w:eastAsia="宋体" w:cs="宋体"/>
          <w:color w:val="000000" w:themeColor="text1"/>
          <w:kern w:val="0"/>
          <w:sz w:val="24"/>
          <w:szCs w:val="24"/>
          <w:lang w:val="en-US" w:eastAsia="zh-CN" w:bidi="ar"/>
          <w14:textFill>
            <w14:solidFill>
              <w14:schemeClr w14:val="tx1"/>
            </w14:solidFill>
          </w14:textFill>
        </w:rPr>
        <w:t>二氯丙烷、</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1,1,1,2-</w:t>
      </w:r>
      <w:r>
        <w:rPr>
          <w:rFonts w:hint="eastAsia" w:ascii="宋体" w:hAnsi="宋体" w:eastAsia="宋体" w:cs="宋体"/>
          <w:color w:val="000000" w:themeColor="text1"/>
          <w:kern w:val="0"/>
          <w:sz w:val="24"/>
          <w:szCs w:val="24"/>
          <w:lang w:val="en-US" w:eastAsia="zh-CN" w:bidi="ar"/>
          <w14:textFill>
            <w14:solidFill>
              <w14:schemeClr w14:val="tx1"/>
            </w14:solidFill>
          </w14:textFill>
        </w:rPr>
        <w:t>四氯乙烷、</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1,1,2,2-</w:t>
      </w:r>
      <w:r>
        <w:rPr>
          <w:rFonts w:hint="eastAsia" w:ascii="宋体" w:hAnsi="宋体" w:eastAsia="宋体" w:cs="宋体"/>
          <w:color w:val="000000" w:themeColor="text1"/>
          <w:kern w:val="0"/>
          <w:sz w:val="24"/>
          <w:szCs w:val="24"/>
          <w:lang w:val="en-US" w:eastAsia="zh-CN" w:bidi="ar"/>
          <w14:textFill>
            <w14:solidFill>
              <w14:schemeClr w14:val="tx1"/>
            </w14:solidFill>
          </w14:textFill>
        </w:rPr>
        <w:t>四氯乙烷、四氯乙烯、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1,1,1-</w:t>
      </w:r>
      <w:r>
        <w:rPr>
          <w:rFonts w:hint="eastAsia" w:ascii="宋体" w:hAnsi="宋体" w:eastAsia="宋体" w:cs="宋体"/>
          <w:color w:val="000000" w:themeColor="text1"/>
          <w:kern w:val="0"/>
          <w:sz w:val="24"/>
          <w:szCs w:val="24"/>
          <w:lang w:val="en-US" w:eastAsia="zh-CN" w:bidi="ar"/>
          <w14:textFill>
            <w14:solidFill>
              <w14:schemeClr w14:val="tx1"/>
            </w14:solidFill>
          </w14:textFill>
        </w:rPr>
        <w:t>三氯乙烷、</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1,1,2-</w:t>
      </w:r>
      <w:r>
        <w:rPr>
          <w:rFonts w:hint="eastAsia" w:ascii="宋体" w:hAnsi="宋体" w:eastAsia="宋体" w:cs="宋体"/>
          <w:color w:val="000000" w:themeColor="text1"/>
          <w:kern w:val="0"/>
          <w:sz w:val="24"/>
          <w:szCs w:val="24"/>
          <w:lang w:val="en-US" w:eastAsia="zh-CN" w:bidi="ar"/>
          <w14:textFill>
            <w14:solidFill>
              <w14:schemeClr w14:val="tx1"/>
            </w14:solidFill>
          </w14:textFill>
        </w:rPr>
        <w:t>三氯乙烷、三氯乙烯、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1,2,3-</w:t>
      </w:r>
      <w:r>
        <w:rPr>
          <w:rFonts w:hint="eastAsia" w:ascii="宋体" w:hAnsi="宋体" w:eastAsia="宋体" w:cs="宋体"/>
          <w:color w:val="000000" w:themeColor="text1"/>
          <w:kern w:val="0"/>
          <w:sz w:val="24"/>
          <w:szCs w:val="24"/>
          <w:lang w:val="en-US" w:eastAsia="zh-CN" w:bidi="ar"/>
          <w14:textFill>
            <w14:solidFill>
              <w14:schemeClr w14:val="tx1"/>
            </w14:solidFill>
          </w14:textFill>
        </w:rPr>
        <w:t>三氯丙烷、氯乙烯、苯、氯苯、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w:t>
      </w:r>
      <w:r>
        <w:rPr>
          <w:rFonts w:hint="eastAsia" w:ascii="宋体" w:hAnsi="宋体" w:eastAsia="宋体" w:cs="宋体"/>
          <w:color w:val="000000" w:themeColor="text1"/>
          <w:kern w:val="0"/>
          <w:sz w:val="24"/>
          <w:szCs w:val="24"/>
          <w:lang w:val="en-US" w:eastAsia="zh-CN" w:bidi="ar"/>
          <w14:textFill>
            <w14:solidFill>
              <w14:schemeClr w14:val="tx1"/>
            </w14:solidFill>
          </w14:textFill>
        </w:rPr>
        <w:t>二氯苯、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1,4-</w:t>
      </w:r>
      <w:r>
        <w:rPr>
          <w:rFonts w:hint="eastAsia" w:ascii="宋体" w:hAnsi="宋体" w:eastAsia="宋体" w:cs="宋体"/>
          <w:color w:val="000000" w:themeColor="text1"/>
          <w:kern w:val="0"/>
          <w:sz w:val="24"/>
          <w:szCs w:val="24"/>
          <w:lang w:val="en-US" w:eastAsia="zh-CN" w:bidi="ar"/>
          <w14:textFill>
            <w14:solidFill>
              <w14:schemeClr w14:val="tx1"/>
            </w14:solidFill>
          </w14:textFill>
        </w:rPr>
        <w:t>二氯苯、乙苯、苯乙烯、甲苯、间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对二甲苯、邻二甲苯、硝基苯、苯胺、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w:t>
      </w:r>
      <w:r>
        <w:rPr>
          <w:rFonts w:hint="eastAsia" w:ascii="宋体" w:hAnsi="宋体" w:eastAsia="宋体" w:cs="宋体"/>
          <w:color w:val="000000" w:themeColor="text1"/>
          <w:kern w:val="0"/>
          <w:sz w:val="24"/>
          <w:szCs w:val="24"/>
          <w:lang w:val="en-US" w:eastAsia="zh-CN" w:bidi="ar"/>
          <w14:textFill>
            <w14:solidFill>
              <w14:schemeClr w14:val="tx1"/>
            </w14:solidFill>
          </w14:textFill>
        </w:rPr>
        <w:t>氯苯酚、苯并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eastAsia" w:ascii="宋体" w:hAnsi="宋体" w:eastAsia="宋体" w:cs="宋体"/>
          <w:color w:val="000000" w:themeColor="text1"/>
          <w:kern w:val="0"/>
          <w:sz w:val="24"/>
          <w:szCs w:val="24"/>
          <w:lang w:val="en-US" w:eastAsia="zh-CN" w:bidi="ar"/>
          <w14:textFill>
            <w14:solidFill>
              <w14:schemeClr w14:val="tx1"/>
            </w14:solidFill>
          </w14:textFill>
        </w:rPr>
        <w:t>蒽、苯并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eastAsia" w:ascii="宋体" w:hAnsi="宋体" w:eastAsia="宋体" w:cs="宋体"/>
          <w:color w:val="000000" w:themeColor="text1"/>
          <w:kern w:val="0"/>
          <w:sz w:val="24"/>
          <w:szCs w:val="24"/>
          <w:lang w:val="en-US" w:eastAsia="zh-CN" w:bidi="ar"/>
          <w14:textFill>
            <w14:solidFill>
              <w14:schemeClr w14:val="tx1"/>
            </w14:solidFill>
          </w14:textFill>
        </w:rPr>
        <w:t>芘、苯并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[b]</w:t>
      </w:r>
      <w:r>
        <w:rPr>
          <w:rFonts w:hint="eastAsia" w:ascii="宋体" w:hAnsi="宋体" w:eastAsia="宋体" w:cs="宋体"/>
          <w:color w:val="000000" w:themeColor="text1"/>
          <w:kern w:val="0"/>
          <w:sz w:val="24"/>
          <w:szCs w:val="24"/>
          <w:lang w:val="en-US" w:eastAsia="zh-CN" w:bidi="ar"/>
          <w14:textFill>
            <w14:solidFill>
              <w14:schemeClr w14:val="tx1"/>
            </w14:solidFill>
          </w14:textFill>
        </w:rPr>
        <w:t>荧蒽、苯并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[k]</w:t>
      </w:r>
      <w:r>
        <w:rPr>
          <w:rFonts w:hint="eastAsia" w:ascii="宋体" w:hAnsi="宋体" w:eastAsia="宋体" w:cs="宋体"/>
          <w:color w:val="000000" w:themeColor="text1"/>
          <w:kern w:val="0"/>
          <w:sz w:val="24"/>
          <w:szCs w:val="24"/>
          <w:lang w:val="en-US" w:eastAsia="zh-CN" w:bidi="ar"/>
          <w14:textFill>
            <w14:solidFill>
              <w14:schemeClr w14:val="tx1"/>
            </w14:solidFill>
          </w14:textFill>
        </w:rPr>
        <w:t>荧蒽、䓛、二苯并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[a,h]</w:t>
      </w:r>
      <w:r>
        <w:rPr>
          <w:rFonts w:hint="eastAsia" w:ascii="宋体" w:hAnsi="宋体" w:eastAsia="宋体" w:cs="宋体"/>
          <w:color w:val="000000" w:themeColor="text1"/>
          <w:kern w:val="0"/>
          <w:sz w:val="24"/>
          <w:szCs w:val="24"/>
          <w:lang w:val="en-US" w:eastAsia="zh-CN" w:bidi="ar"/>
          <w14:textFill>
            <w14:solidFill>
              <w14:schemeClr w14:val="tx1"/>
            </w14:solidFill>
          </w14:textFill>
        </w:rPr>
        <w:t>蒽、茚并（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1,2,3-c,d</w:t>
      </w:r>
      <w:r>
        <w:rPr>
          <w:rFonts w:hint="eastAsia" w:ascii="宋体" w:hAnsi="宋体" w:eastAsia="宋体" w:cs="宋体"/>
          <w:color w:val="000000" w:themeColor="text1"/>
          <w:kern w:val="0"/>
          <w:sz w:val="24"/>
          <w:szCs w:val="24"/>
          <w:lang w:val="en-US" w:eastAsia="zh-CN" w:bidi="ar"/>
          <w14:textFill>
            <w14:solidFill>
              <w14:schemeClr w14:val="tx1"/>
            </w14:solidFill>
          </w14:textFill>
        </w:rPr>
        <w:t>）芘、萘。</w:t>
      </w:r>
    </w:p>
    <w:p>
      <w:pPr>
        <w:keepNext w:val="0"/>
        <w:keepLines w:val="0"/>
        <w:pageBreakBefore w:val="0"/>
        <w:widowControl/>
        <w:suppressLineNumbers w:val="0"/>
        <w:kinsoku/>
        <w:wordWrap/>
        <w:overflowPunct/>
        <w:topLinePunct w:val="0"/>
        <w:autoSpaceDE/>
        <w:autoSpaceDN/>
        <w:bidi w:val="0"/>
        <w:adjustRightInd/>
        <w:snapToGrid/>
        <w:jc w:val="both"/>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）监测频次 </w:t>
      </w:r>
    </w:p>
    <w:p>
      <w:pPr>
        <w:keepNext w:val="0"/>
        <w:keepLines w:val="0"/>
        <w:pageBreakBefore w:val="0"/>
        <w:widowControl/>
        <w:suppressLineNumbers w:val="0"/>
        <w:kinsoku/>
        <w:wordWrap/>
        <w:overflowPunct/>
        <w:topLinePunct w:val="0"/>
        <w:autoSpaceDE/>
        <w:autoSpaceDN/>
        <w:bidi w:val="0"/>
        <w:adjustRightInd/>
        <w:snapToGrid/>
        <w:jc w:val="both"/>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监测</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宋体" w:hAnsi="宋体" w:eastAsia="宋体" w:cs="宋体"/>
          <w:color w:val="000000" w:themeColor="text1"/>
          <w:kern w:val="0"/>
          <w:sz w:val="24"/>
          <w:szCs w:val="24"/>
          <w:lang w:val="en-US" w:eastAsia="zh-CN" w:bidi="ar"/>
          <w14:textFill>
            <w14:solidFill>
              <w14:schemeClr w14:val="tx1"/>
            </w14:solidFill>
          </w14:textFill>
        </w:rPr>
        <w:t>天，每天监测</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次。 </w:t>
      </w:r>
    </w:p>
    <w:p>
      <w:pPr>
        <w:keepNext w:val="0"/>
        <w:keepLines w:val="0"/>
        <w:pageBreakBefore w:val="0"/>
        <w:widowControl/>
        <w:suppressLineNumbers w:val="0"/>
        <w:kinsoku/>
        <w:wordWrap/>
        <w:overflowPunct/>
        <w:topLinePunct w:val="0"/>
        <w:autoSpaceDE/>
        <w:autoSpaceDN/>
        <w:bidi w:val="0"/>
        <w:adjustRightInd/>
        <w:snapToGrid/>
        <w:jc w:val="both"/>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4</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）监测结果 </w:t>
      </w:r>
    </w:p>
    <w:p>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文溯街</w:t>
      </w:r>
      <w:r>
        <w:rPr>
          <w:rFonts w:hint="default" w:ascii="宋体" w:hAnsi="宋体" w:eastAsia="宋体" w:cs="宋体"/>
          <w:color w:val="000000" w:themeColor="text1"/>
          <w:kern w:val="0"/>
          <w:sz w:val="24"/>
          <w:szCs w:val="24"/>
          <w:lang w:val="en-US" w:eastAsia="zh-CN" w:bidi="ar"/>
          <w14:textFill>
            <w14:solidFill>
              <w14:schemeClr w14:val="tx1"/>
            </w14:solidFill>
          </w14:textFill>
        </w:rPr>
        <w:t>16</w:t>
      </w:r>
      <w:r>
        <w:rPr>
          <w:rFonts w:hint="eastAsia" w:ascii="宋体" w:hAnsi="宋体" w:eastAsia="宋体" w:cs="宋体"/>
          <w:color w:val="000000" w:themeColor="text1"/>
          <w:kern w:val="0"/>
          <w:sz w:val="24"/>
          <w:szCs w:val="24"/>
          <w:lang w:val="en-US" w:eastAsia="zh-CN" w:bidi="ar"/>
          <w14:textFill>
            <w14:solidFill>
              <w14:schemeClr w14:val="tx1"/>
            </w14:solidFill>
          </w14:textFill>
        </w:rPr>
        <w:t>号及周边土壤监测结果见表</w:t>
      </w:r>
      <w:r>
        <w:rPr>
          <w:rFonts w:hint="default" w:ascii="宋体" w:hAnsi="宋体" w:eastAsia="宋体" w:cs="宋体"/>
          <w:color w:val="000000" w:themeColor="text1"/>
          <w:kern w:val="0"/>
          <w:sz w:val="24"/>
          <w:szCs w:val="24"/>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1</w:t>
      </w:r>
      <w:r>
        <w:rPr>
          <w:rFonts w:hint="default"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10</w:t>
      </w:r>
      <w:r>
        <w:rPr>
          <w:rFonts w:hint="default"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表</w:t>
      </w:r>
      <w:r>
        <w:rPr>
          <w:rFonts w:hint="default" w:ascii="宋体" w:hAnsi="宋体" w:eastAsia="宋体" w:cs="宋体"/>
          <w:color w:val="000000" w:themeColor="text1"/>
          <w:kern w:val="0"/>
          <w:sz w:val="24"/>
          <w:szCs w:val="24"/>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1</w:t>
      </w:r>
      <w:r>
        <w:rPr>
          <w:rFonts w:hint="default"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12。</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表</w:t>
      </w:r>
      <w:r>
        <w:rPr>
          <w:rFonts w:hint="default" w:ascii="宋体" w:hAnsi="宋体" w:eastAsia="宋体" w:cs="宋体"/>
          <w:b/>
          <w:bCs/>
          <w:color w:val="000000" w:themeColor="text1"/>
          <w:kern w:val="0"/>
          <w:sz w:val="24"/>
          <w:szCs w:val="24"/>
          <w:lang w:val="en-US" w:eastAsia="zh-CN" w:bidi="ar"/>
          <w14:textFill>
            <w14:solidFill>
              <w14:schemeClr w14:val="tx1"/>
            </w14:solidFill>
          </w14:textFill>
        </w:rPr>
        <w:t>3.</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1</w:t>
      </w:r>
      <w:r>
        <w:rPr>
          <w:rFonts w:hint="default" w:ascii="宋体" w:hAnsi="宋体" w:eastAsia="宋体" w:cs="宋体"/>
          <w:b/>
          <w:bCs/>
          <w:color w:val="000000" w:themeColor="text1"/>
          <w:kern w:val="0"/>
          <w:sz w:val="24"/>
          <w:szCs w:val="24"/>
          <w:lang w:val="en-US" w:eastAsia="zh-CN" w:bidi="ar"/>
          <w14:textFill>
            <w14:solidFill>
              <w14:schemeClr w14:val="tx1"/>
            </w14:solidFill>
          </w14:textFill>
        </w:rPr>
        <w:t>-</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10</w:t>
      </w:r>
      <w:r>
        <w:rPr>
          <w:rFonts w:hint="default" w:ascii="宋体" w:hAnsi="宋体" w:eastAsia="宋体" w:cs="宋体"/>
          <w:b/>
          <w:bCs/>
          <w:color w:val="000000" w:themeColor="text1"/>
          <w:kern w:val="0"/>
          <w:sz w:val="24"/>
          <w:szCs w:val="24"/>
          <w:lang w:val="en-US" w:eastAsia="zh-CN" w:bidi="ar"/>
          <w14:textFill>
            <w14:solidFill>
              <w14:schemeClr w14:val="tx1"/>
            </w14:solidFill>
          </w14:textFill>
        </w:rPr>
        <w:t xml:space="preserve"> </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文溯街</w:t>
      </w:r>
      <w:r>
        <w:rPr>
          <w:rFonts w:hint="default" w:ascii="宋体" w:hAnsi="宋体" w:eastAsia="宋体" w:cs="宋体"/>
          <w:b/>
          <w:bCs/>
          <w:color w:val="000000" w:themeColor="text1"/>
          <w:kern w:val="0"/>
          <w:sz w:val="24"/>
          <w:szCs w:val="24"/>
          <w:lang w:val="en-US" w:eastAsia="zh-CN" w:bidi="ar"/>
          <w14:textFill>
            <w14:solidFill>
              <w14:schemeClr w14:val="tx1"/>
            </w14:solidFill>
          </w14:textFill>
        </w:rPr>
        <w:t>16</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号厂区柱状土壤检测结果一览表</w:t>
      </w:r>
    </w:p>
    <w:tbl>
      <w:tblPr>
        <w:tblStyle w:val="118"/>
        <w:tblW w:w="890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7"/>
        <w:gridCol w:w="1966"/>
        <w:gridCol w:w="1090"/>
        <w:gridCol w:w="1089"/>
        <w:gridCol w:w="1092"/>
        <w:gridCol w:w="998"/>
        <w:gridCol w:w="1133"/>
        <w:gridCol w:w="81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jc w:val="center"/>
        </w:trPr>
        <w:tc>
          <w:tcPr>
            <w:tcW w:w="727" w:type="dxa"/>
            <w:vMerge w:val="restart"/>
            <w:tcBorders>
              <w:top w:val="single" w:color="000000" w:sz="10" w:space="0"/>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采样</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0"/>
                <w:w w:val="98"/>
                <w:sz w:val="21"/>
                <w:szCs w:val="21"/>
              </w:rPr>
              <w:t>日期</w:t>
            </w:r>
          </w:p>
        </w:tc>
        <w:tc>
          <w:tcPr>
            <w:tcW w:w="1966" w:type="dxa"/>
            <w:vMerge w:val="restart"/>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检测项目</w:t>
            </w:r>
          </w:p>
        </w:tc>
        <w:tc>
          <w:tcPr>
            <w:tcW w:w="5402" w:type="dxa"/>
            <w:gridSpan w:val="5"/>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检测结果</w:t>
            </w:r>
          </w:p>
        </w:tc>
        <w:tc>
          <w:tcPr>
            <w:tcW w:w="811" w:type="dxa"/>
            <w:vMerge w:val="restart"/>
            <w:tcBorders>
              <w:top w:val="single" w:color="000000" w:sz="10"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9" w:hRule="atLeast"/>
          <w:jc w:val="center"/>
        </w:trPr>
        <w:tc>
          <w:tcPr>
            <w:tcW w:w="727"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6"/>
                <w:sz w:val="21"/>
                <w:szCs w:val="21"/>
              </w:rPr>
              <w:t>1#</w:t>
            </w:r>
            <w:r>
              <w:rPr>
                <w:rFonts w:ascii="宋体" w:hAnsi="宋体" w:eastAsia="宋体" w:cs="宋体"/>
                <w:color w:val="auto"/>
                <w:spacing w:val="-6"/>
                <w:sz w:val="21"/>
                <w:szCs w:val="21"/>
              </w:rPr>
              <w:t>柱状表</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6"/>
                <w:sz w:val="21"/>
                <w:szCs w:val="21"/>
              </w:rPr>
              <w:t>1#</w:t>
            </w:r>
            <w:r>
              <w:rPr>
                <w:rFonts w:ascii="宋体" w:hAnsi="宋体" w:eastAsia="宋体" w:cs="宋体"/>
                <w:color w:val="auto"/>
                <w:spacing w:val="-6"/>
                <w:sz w:val="21"/>
                <w:szCs w:val="21"/>
              </w:rPr>
              <w:t>柱状中</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sz w:val="21"/>
                <w:szCs w:val="21"/>
              </w:rPr>
              <w:t>1#</w:t>
            </w:r>
            <w:r>
              <w:rPr>
                <w:rFonts w:ascii="宋体" w:hAnsi="宋体" w:eastAsia="宋体" w:cs="宋体"/>
                <w:color w:val="auto"/>
                <w:spacing w:val="-5"/>
                <w:sz w:val="21"/>
                <w:szCs w:val="21"/>
              </w:rPr>
              <w:t>柱状深</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10"/>
                <w:w w:val="102"/>
                <w:sz w:val="21"/>
                <w:szCs w:val="21"/>
              </w:rPr>
              <w:t>2#</w:t>
            </w:r>
            <w:r>
              <w:rPr>
                <w:rFonts w:ascii="宋体" w:hAnsi="宋体" w:eastAsia="宋体" w:cs="宋体"/>
                <w:color w:val="auto"/>
                <w:spacing w:val="10"/>
                <w:w w:val="102"/>
                <w:sz w:val="21"/>
                <w:szCs w:val="21"/>
              </w:rPr>
              <w:t>柱状</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表</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1"/>
                <w:sz w:val="21"/>
                <w:szCs w:val="21"/>
              </w:rPr>
              <w:t>2#</w:t>
            </w:r>
            <w:r>
              <w:rPr>
                <w:rFonts w:ascii="宋体" w:hAnsi="宋体" w:eastAsia="宋体" w:cs="宋体"/>
                <w:color w:val="auto"/>
                <w:spacing w:val="-1"/>
                <w:sz w:val="21"/>
                <w:szCs w:val="21"/>
              </w:rPr>
              <w:t>柱状中</w:t>
            </w:r>
          </w:p>
        </w:tc>
        <w:tc>
          <w:tcPr>
            <w:tcW w:w="811" w:type="dxa"/>
            <w:vMerge w:val="continue"/>
            <w:tcBorders>
              <w:top w:val="nil"/>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jc w:val="center"/>
        </w:trPr>
        <w:tc>
          <w:tcPr>
            <w:tcW w:w="727" w:type="dxa"/>
            <w:vMerge w:val="restart"/>
            <w:tcBorders>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2020</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年</w:t>
            </w:r>
            <w:r>
              <w:rPr>
                <w:rFonts w:ascii="Times New Roman" w:hAnsi="Times New Roman" w:eastAsia="Times New Roman" w:cs="Times New Roman"/>
                <w:color w:val="auto"/>
                <w:spacing w:val="-3"/>
                <w:sz w:val="21"/>
                <w:szCs w:val="21"/>
              </w:rPr>
              <w:t>05</w:t>
            </w:r>
            <w:r>
              <w:rPr>
                <w:rFonts w:ascii="宋体" w:hAnsi="宋体" w:eastAsia="宋体" w:cs="宋体"/>
                <w:color w:val="auto"/>
                <w:spacing w:val="-3"/>
                <w:sz w:val="21"/>
                <w:szCs w:val="21"/>
              </w:rPr>
              <w:t>月</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2"/>
                <w:sz w:val="21"/>
                <w:szCs w:val="21"/>
              </w:rPr>
              <w:t>23</w:t>
            </w:r>
            <w:r>
              <w:rPr>
                <w:rFonts w:ascii="宋体" w:hAnsi="宋体" w:eastAsia="宋体" w:cs="宋体"/>
                <w:color w:val="auto"/>
                <w:spacing w:val="-2"/>
                <w:sz w:val="21"/>
                <w:szCs w:val="21"/>
              </w:rPr>
              <w:t>日</w:t>
            </w: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9.31</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7"/>
                <w:sz w:val="21"/>
                <w:szCs w:val="21"/>
              </w:rPr>
              <w:t>9.</w:t>
            </w:r>
            <w:r>
              <w:rPr>
                <w:rFonts w:ascii="Times New Roman" w:hAnsi="Times New Roman" w:eastAsia="Times New Roman" w:cs="Times New Roman"/>
                <w:color w:val="auto"/>
                <w:spacing w:val="-27"/>
                <w:sz w:val="21"/>
                <w:szCs w:val="21"/>
              </w:rPr>
              <w:t xml:space="preserve"> </w:t>
            </w:r>
            <w:r>
              <w:rPr>
                <w:rFonts w:ascii="Times New Roman" w:hAnsi="Times New Roman" w:eastAsia="Times New Roman" w:cs="Times New Roman"/>
                <w:color w:val="auto"/>
                <w:spacing w:val="-5"/>
                <w:w w:val="97"/>
                <w:sz w:val="21"/>
                <w:szCs w:val="21"/>
              </w:rPr>
              <w:t>14</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8.52</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7"/>
                <w:sz w:val="21"/>
                <w:szCs w:val="21"/>
              </w:rPr>
              <w:t>11.2</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10.</w:t>
            </w:r>
            <w:r>
              <w:rPr>
                <w:rFonts w:ascii="Times New Roman" w:hAnsi="Times New Roman" w:eastAsia="Times New Roman" w:cs="Times New Roman"/>
                <w:color w:val="auto"/>
                <w:spacing w:val="-28"/>
                <w:sz w:val="21"/>
                <w:szCs w:val="21"/>
              </w:rPr>
              <w:t xml:space="preserve"> </w:t>
            </w:r>
            <w:r>
              <w:rPr>
                <w:rFonts w:ascii="Times New Roman" w:hAnsi="Times New Roman" w:eastAsia="Times New Roman" w:cs="Times New Roman"/>
                <w:color w:val="auto"/>
                <w:spacing w:val="-5"/>
                <w:w w:val="99"/>
                <w:sz w:val="21"/>
                <w:szCs w:val="21"/>
              </w:rPr>
              <w:t>1</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镉</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0.42</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0.38</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0.34</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0.42</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0.34</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六价铬</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1"/>
                <w:sz w:val="21"/>
                <w:szCs w:val="21"/>
              </w:rPr>
              <w:t>2</w:t>
            </w:r>
            <w:r>
              <w:rPr>
                <w:rFonts w:ascii="Times New Roman" w:hAnsi="Times New Roman" w:eastAsia="Times New Roman" w:cs="Times New Roman"/>
                <w:color w:val="auto"/>
                <w:spacing w:val="-52"/>
                <w:sz w:val="21"/>
                <w:szCs w:val="21"/>
              </w:rPr>
              <w:t xml:space="preserve"> </w:t>
            </w:r>
            <w:r>
              <w:rPr>
                <w:rFonts w:ascii="宋体" w:hAnsi="宋体" w:eastAsia="宋体" w:cs="宋体"/>
                <w:color w:val="auto"/>
                <w:spacing w:val="-1"/>
                <w:sz w:val="21"/>
                <w:szCs w:val="21"/>
              </w:rPr>
              <w:t>（</w:t>
            </w:r>
            <w:r>
              <w:rPr>
                <w:rFonts w:ascii="Times New Roman" w:hAnsi="Times New Roman" w:eastAsia="Times New Roman" w:cs="Times New Roman"/>
                <w:color w:val="auto"/>
                <w:spacing w:val="-1"/>
                <w:sz w:val="21"/>
                <w:szCs w:val="21"/>
              </w:rPr>
              <w:t>L</w:t>
            </w:r>
            <w:r>
              <w:rPr>
                <w:rFonts w:ascii="宋体" w:hAnsi="宋体" w:eastAsia="宋体" w:cs="宋体"/>
                <w:color w:val="auto"/>
                <w:spacing w:val="-1"/>
                <w:sz w:val="21"/>
                <w:szCs w:val="21"/>
              </w:rPr>
              <w:t>）</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2"/>
                <w:sz w:val="21"/>
                <w:szCs w:val="21"/>
              </w:rPr>
              <w:t>2</w:t>
            </w:r>
            <w:r>
              <w:rPr>
                <w:rFonts w:ascii="宋体" w:hAnsi="宋体" w:eastAsia="宋体" w:cs="宋体"/>
                <w:color w:val="auto"/>
                <w:spacing w:val="-2"/>
                <w:sz w:val="21"/>
                <w:szCs w:val="21"/>
              </w:rPr>
              <w:t>（</w:t>
            </w:r>
            <w:r>
              <w:rPr>
                <w:rFonts w:ascii="Times New Roman" w:hAnsi="Times New Roman" w:eastAsia="Times New Roman" w:cs="Times New Roman"/>
                <w:color w:val="auto"/>
                <w:spacing w:val="-2"/>
                <w:sz w:val="21"/>
                <w:szCs w:val="21"/>
              </w:rPr>
              <w:t>L</w:t>
            </w:r>
            <w:r>
              <w:rPr>
                <w:rFonts w:ascii="宋体" w:hAnsi="宋体" w:eastAsia="宋体" w:cs="宋体"/>
                <w:color w:val="auto"/>
                <w:spacing w:val="-2"/>
                <w:sz w:val="21"/>
                <w:szCs w:val="21"/>
              </w:rPr>
              <w:t>）</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2"/>
                <w:sz w:val="21"/>
                <w:szCs w:val="21"/>
              </w:rPr>
              <w:t>2</w:t>
            </w:r>
            <w:r>
              <w:rPr>
                <w:rFonts w:ascii="Times New Roman" w:hAnsi="Times New Roman" w:eastAsia="Times New Roman" w:cs="Times New Roman"/>
                <w:color w:val="auto"/>
                <w:spacing w:val="-51"/>
                <w:sz w:val="21"/>
                <w:szCs w:val="21"/>
              </w:rPr>
              <w:t xml:space="preserve"> </w:t>
            </w:r>
            <w:r>
              <w:rPr>
                <w:rFonts w:ascii="宋体" w:hAnsi="宋体" w:eastAsia="宋体" w:cs="宋体"/>
                <w:color w:val="auto"/>
                <w:spacing w:val="-2"/>
                <w:sz w:val="21"/>
                <w:szCs w:val="21"/>
              </w:rPr>
              <w:t>（</w:t>
            </w:r>
            <w:r>
              <w:rPr>
                <w:rFonts w:ascii="Times New Roman" w:hAnsi="Times New Roman" w:eastAsia="Times New Roman" w:cs="Times New Roman"/>
                <w:color w:val="auto"/>
                <w:spacing w:val="-2"/>
                <w:sz w:val="21"/>
                <w:szCs w:val="21"/>
              </w:rPr>
              <w:t>L</w:t>
            </w:r>
            <w:r>
              <w:rPr>
                <w:rFonts w:ascii="宋体" w:hAnsi="宋体" w:eastAsia="宋体" w:cs="宋体"/>
                <w:color w:val="auto"/>
                <w:spacing w:val="-2"/>
                <w:sz w:val="21"/>
                <w:szCs w:val="21"/>
              </w:rPr>
              <w:t>）</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2"/>
                <w:sz w:val="21"/>
                <w:szCs w:val="21"/>
              </w:rPr>
              <w:t>2</w:t>
            </w:r>
            <w:r>
              <w:rPr>
                <w:rFonts w:ascii="Times New Roman" w:hAnsi="Times New Roman" w:eastAsia="Times New Roman" w:cs="Times New Roman"/>
                <w:color w:val="auto"/>
                <w:spacing w:val="-51"/>
                <w:sz w:val="21"/>
                <w:szCs w:val="21"/>
              </w:rPr>
              <w:t xml:space="preserve"> </w:t>
            </w:r>
            <w:r>
              <w:rPr>
                <w:rFonts w:ascii="宋体" w:hAnsi="宋体" w:eastAsia="宋体" w:cs="宋体"/>
                <w:color w:val="auto"/>
                <w:spacing w:val="-2"/>
                <w:sz w:val="21"/>
                <w:szCs w:val="21"/>
              </w:rPr>
              <w:t>（</w:t>
            </w:r>
            <w:r>
              <w:rPr>
                <w:rFonts w:ascii="Times New Roman" w:hAnsi="Times New Roman" w:eastAsia="Times New Roman" w:cs="Times New Roman"/>
                <w:color w:val="auto"/>
                <w:spacing w:val="-2"/>
                <w:sz w:val="21"/>
                <w:szCs w:val="21"/>
              </w:rPr>
              <w:t>L</w:t>
            </w:r>
            <w:r>
              <w:rPr>
                <w:rFonts w:ascii="宋体" w:hAnsi="宋体" w:eastAsia="宋体" w:cs="宋体"/>
                <w:color w:val="auto"/>
                <w:spacing w:val="-2"/>
                <w:sz w:val="21"/>
                <w:szCs w:val="21"/>
              </w:rPr>
              <w:t>）</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1"/>
                <w:sz w:val="21"/>
                <w:szCs w:val="21"/>
              </w:rPr>
              <w:t>2</w:t>
            </w:r>
            <w:r>
              <w:rPr>
                <w:rFonts w:ascii="Times New Roman" w:hAnsi="Times New Roman" w:eastAsia="Times New Roman" w:cs="Times New Roman"/>
                <w:color w:val="auto"/>
                <w:spacing w:val="-52"/>
                <w:sz w:val="21"/>
                <w:szCs w:val="21"/>
              </w:rPr>
              <w:t xml:space="preserve"> </w:t>
            </w:r>
            <w:r>
              <w:rPr>
                <w:rFonts w:ascii="宋体" w:hAnsi="宋体" w:eastAsia="宋体" w:cs="宋体"/>
                <w:color w:val="auto"/>
                <w:spacing w:val="-1"/>
                <w:sz w:val="21"/>
                <w:szCs w:val="21"/>
              </w:rPr>
              <w:t>（</w:t>
            </w:r>
            <w:r>
              <w:rPr>
                <w:rFonts w:ascii="Times New Roman" w:hAnsi="Times New Roman" w:eastAsia="Times New Roman" w:cs="Times New Roman"/>
                <w:color w:val="auto"/>
                <w:spacing w:val="-1"/>
                <w:sz w:val="21"/>
                <w:szCs w:val="21"/>
              </w:rPr>
              <w:t>L</w:t>
            </w:r>
            <w:r>
              <w:rPr>
                <w:rFonts w:ascii="宋体" w:hAnsi="宋体" w:eastAsia="宋体" w:cs="宋体"/>
                <w:color w:val="auto"/>
                <w:spacing w:val="-1"/>
                <w:sz w:val="21"/>
                <w:szCs w:val="21"/>
              </w:rPr>
              <w:t>）</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铜</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24</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22</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21</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25</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21</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铅</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26</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24</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22</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37</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35</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汞</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1.09</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1.04</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1.00</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91"/>
                <w:sz w:val="21"/>
                <w:szCs w:val="21"/>
              </w:rPr>
              <w:t>1.</w:t>
            </w:r>
            <w:r>
              <w:rPr>
                <w:rFonts w:ascii="Times New Roman" w:hAnsi="Times New Roman" w:eastAsia="Times New Roman" w:cs="Times New Roman"/>
                <w:color w:val="auto"/>
                <w:spacing w:val="-25"/>
                <w:sz w:val="21"/>
                <w:szCs w:val="21"/>
              </w:rPr>
              <w:t xml:space="preserve"> </w:t>
            </w:r>
            <w:r>
              <w:rPr>
                <w:rFonts w:ascii="Times New Roman" w:hAnsi="Times New Roman" w:eastAsia="Times New Roman" w:cs="Times New Roman"/>
                <w:color w:val="auto"/>
                <w:spacing w:val="-4"/>
                <w:w w:val="91"/>
                <w:sz w:val="21"/>
                <w:szCs w:val="21"/>
              </w:rPr>
              <w:t>18</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91"/>
                <w:sz w:val="21"/>
                <w:szCs w:val="21"/>
              </w:rPr>
              <w:t>1.</w:t>
            </w:r>
            <w:r>
              <w:rPr>
                <w:rFonts w:ascii="Times New Roman" w:hAnsi="Times New Roman" w:eastAsia="Times New Roman" w:cs="Times New Roman"/>
                <w:color w:val="auto"/>
                <w:spacing w:val="-27"/>
                <w:sz w:val="21"/>
                <w:szCs w:val="21"/>
              </w:rPr>
              <w:t xml:space="preserve"> </w:t>
            </w:r>
            <w:r>
              <w:rPr>
                <w:rFonts w:ascii="Times New Roman" w:hAnsi="Times New Roman" w:eastAsia="Times New Roman" w:cs="Times New Roman"/>
                <w:color w:val="auto"/>
                <w:spacing w:val="-4"/>
                <w:w w:val="91"/>
                <w:sz w:val="21"/>
                <w:szCs w:val="21"/>
              </w:rPr>
              <w:t>14</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镍</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39</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36</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32</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40</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36</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8"/>
                <w:sz w:val="21"/>
                <w:szCs w:val="21"/>
              </w:rPr>
              <w:t>四氯化碳</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5.0</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4.6</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4.2</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3.7</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3.4</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氯仿</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w w:val="101"/>
                <w:sz w:val="21"/>
                <w:szCs w:val="21"/>
              </w:rPr>
              <w:t>39.3</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37.7</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29.3</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28.6</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27.6</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氯甲烷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5.6</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5.0</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4.8</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14.6</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14.</w:t>
            </w:r>
            <w:r>
              <w:rPr>
                <w:rFonts w:ascii="Times New Roman" w:hAnsi="Times New Roman" w:eastAsia="Times New Roman" w:cs="Times New Roman"/>
                <w:color w:val="auto"/>
                <w:spacing w:val="-28"/>
                <w:sz w:val="21"/>
                <w:szCs w:val="21"/>
              </w:rPr>
              <w:t xml:space="preserve"> </w:t>
            </w:r>
            <w:r>
              <w:rPr>
                <w:rFonts w:ascii="Times New Roman" w:hAnsi="Times New Roman" w:eastAsia="Times New Roman" w:cs="Times New Roman"/>
                <w:color w:val="auto"/>
                <w:spacing w:val="-5"/>
                <w:w w:val="99"/>
                <w:sz w:val="21"/>
                <w:szCs w:val="21"/>
              </w:rPr>
              <w:t>1</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9"/>
                <w:sz w:val="21"/>
                <w:szCs w:val="21"/>
              </w:rPr>
              <w:t>1,</w:t>
            </w:r>
            <w:r>
              <w:rPr>
                <w:rFonts w:ascii="Times New Roman" w:hAnsi="Times New Roman" w:eastAsia="Times New Roman" w:cs="Times New Roman"/>
                <w:color w:val="auto"/>
                <w:spacing w:val="-28"/>
                <w:sz w:val="21"/>
                <w:szCs w:val="21"/>
              </w:rPr>
              <w:t xml:space="preserve"> </w:t>
            </w:r>
            <w:r>
              <w:rPr>
                <w:rFonts w:ascii="Times New Roman" w:hAnsi="Times New Roman" w:eastAsia="Times New Roman" w:cs="Times New Roman"/>
                <w:color w:val="auto"/>
                <w:spacing w:val="-5"/>
                <w:w w:val="99"/>
                <w:sz w:val="21"/>
                <w:szCs w:val="21"/>
              </w:rPr>
              <w:t>1-</w:t>
            </w:r>
            <w:r>
              <w:rPr>
                <w:rFonts w:ascii="宋体" w:hAnsi="宋体" w:eastAsia="宋体" w:cs="宋体"/>
                <w:color w:val="auto"/>
                <w:spacing w:val="-5"/>
                <w:w w:val="99"/>
                <w:sz w:val="21"/>
                <w:szCs w:val="21"/>
              </w:rPr>
              <w:t>二氯乙烷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1,2-</w:t>
            </w:r>
            <w:r>
              <w:rPr>
                <w:rFonts w:ascii="宋体" w:hAnsi="宋体" w:eastAsia="宋体" w:cs="宋体"/>
                <w:color w:val="auto"/>
                <w:spacing w:val="-4"/>
                <w:sz w:val="21"/>
                <w:szCs w:val="21"/>
              </w:rPr>
              <w:t>二氯乙烷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9"/>
                <w:sz w:val="21"/>
                <w:szCs w:val="21"/>
              </w:rPr>
              <w:t>1,</w:t>
            </w:r>
            <w:r>
              <w:rPr>
                <w:rFonts w:ascii="Times New Roman" w:hAnsi="Times New Roman" w:eastAsia="Times New Roman" w:cs="Times New Roman"/>
                <w:color w:val="auto"/>
                <w:spacing w:val="-28"/>
                <w:sz w:val="21"/>
                <w:szCs w:val="21"/>
              </w:rPr>
              <w:t xml:space="preserve"> </w:t>
            </w:r>
            <w:r>
              <w:rPr>
                <w:rFonts w:ascii="Times New Roman" w:hAnsi="Times New Roman" w:eastAsia="Times New Roman" w:cs="Times New Roman"/>
                <w:color w:val="auto"/>
                <w:spacing w:val="-5"/>
                <w:w w:val="99"/>
                <w:sz w:val="21"/>
                <w:szCs w:val="21"/>
              </w:rPr>
              <w:t>1-</w:t>
            </w:r>
            <w:r>
              <w:rPr>
                <w:rFonts w:ascii="宋体" w:hAnsi="宋体" w:eastAsia="宋体" w:cs="宋体"/>
                <w:color w:val="auto"/>
                <w:spacing w:val="-5"/>
                <w:w w:val="99"/>
                <w:sz w:val="21"/>
                <w:szCs w:val="21"/>
              </w:rPr>
              <w:t>二氯乙烯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顺</w:t>
            </w:r>
            <w:r>
              <w:rPr>
                <w:rFonts w:ascii="宋体" w:hAnsi="宋体" w:eastAsia="宋体" w:cs="宋体"/>
                <w:color w:val="auto"/>
                <w:spacing w:val="26"/>
                <w:sz w:val="21"/>
                <w:szCs w:val="21"/>
              </w:rPr>
              <w:t xml:space="preserve"> </w:t>
            </w:r>
            <w:r>
              <w:rPr>
                <w:rFonts w:ascii="Times New Roman" w:hAnsi="Times New Roman" w:eastAsia="Times New Roman" w:cs="Times New Roman"/>
                <w:color w:val="auto"/>
                <w:spacing w:val="-4"/>
                <w:sz w:val="21"/>
                <w:szCs w:val="21"/>
              </w:rPr>
              <w:t>1,2-</w:t>
            </w:r>
            <w:r>
              <w:rPr>
                <w:rFonts w:ascii="宋体" w:hAnsi="宋体" w:eastAsia="宋体" w:cs="宋体"/>
                <w:color w:val="auto"/>
                <w:spacing w:val="-4"/>
                <w:sz w:val="21"/>
                <w:szCs w:val="21"/>
              </w:rPr>
              <w:t>二氯乙烯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反</w:t>
            </w:r>
            <w:r>
              <w:rPr>
                <w:rFonts w:ascii="宋体" w:hAnsi="宋体" w:eastAsia="宋体" w:cs="宋体"/>
                <w:color w:val="auto"/>
                <w:spacing w:val="26"/>
                <w:sz w:val="21"/>
                <w:szCs w:val="21"/>
              </w:rPr>
              <w:t xml:space="preserve"> </w:t>
            </w:r>
            <w:r>
              <w:rPr>
                <w:rFonts w:ascii="Times New Roman" w:hAnsi="Times New Roman" w:eastAsia="Times New Roman" w:cs="Times New Roman"/>
                <w:color w:val="auto"/>
                <w:spacing w:val="-4"/>
                <w:sz w:val="21"/>
                <w:szCs w:val="21"/>
              </w:rPr>
              <w:t>1,2-</w:t>
            </w:r>
            <w:r>
              <w:rPr>
                <w:rFonts w:ascii="宋体" w:hAnsi="宋体" w:eastAsia="宋体" w:cs="宋体"/>
                <w:color w:val="auto"/>
                <w:spacing w:val="-4"/>
                <w:sz w:val="21"/>
                <w:szCs w:val="21"/>
              </w:rPr>
              <w:t>二氯乙烯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1.4(L)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1.4(L)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1.4(L)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1.4(L)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1.4(L)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二氯甲烷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1.36×103</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1.26×103</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734</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716</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689</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1,2-</w:t>
            </w:r>
            <w:r>
              <w:rPr>
                <w:rFonts w:ascii="宋体" w:hAnsi="宋体" w:eastAsia="宋体" w:cs="宋体"/>
                <w:color w:val="auto"/>
                <w:spacing w:val="-4"/>
                <w:sz w:val="21"/>
                <w:szCs w:val="21"/>
              </w:rPr>
              <w:t>二氯丙烷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sz w:val="21"/>
                <w:szCs w:val="21"/>
              </w:rPr>
              <w:t>1(L)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sz w:val="21"/>
                <w:szCs w:val="21"/>
              </w:rPr>
              <w:t>1(L)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2.2</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2"/>
                <w:sz w:val="21"/>
                <w:szCs w:val="21"/>
              </w:rPr>
              <w:t>2.1</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1.8</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7"/>
                <w:sz w:val="21"/>
                <w:szCs w:val="21"/>
              </w:rPr>
              <w:t>1,</w:t>
            </w:r>
            <w:r>
              <w:rPr>
                <w:rFonts w:ascii="Times New Roman" w:hAnsi="Times New Roman" w:eastAsia="Times New Roman" w:cs="Times New Roman"/>
                <w:color w:val="auto"/>
                <w:spacing w:val="-24"/>
                <w:sz w:val="21"/>
                <w:szCs w:val="21"/>
              </w:rPr>
              <w:t xml:space="preserve"> </w:t>
            </w:r>
            <w:r>
              <w:rPr>
                <w:rFonts w:ascii="Times New Roman" w:hAnsi="Times New Roman" w:eastAsia="Times New Roman" w:cs="Times New Roman"/>
                <w:color w:val="auto"/>
                <w:spacing w:val="-5"/>
                <w:w w:val="97"/>
                <w:sz w:val="21"/>
                <w:szCs w:val="21"/>
              </w:rPr>
              <w:t>1,</w:t>
            </w:r>
            <w:r>
              <w:rPr>
                <w:rFonts w:ascii="Times New Roman" w:hAnsi="Times New Roman" w:eastAsia="Times New Roman" w:cs="Times New Roman"/>
                <w:color w:val="auto"/>
                <w:spacing w:val="-27"/>
                <w:sz w:val="21"/>
                <w:szCs w:val="21"/>
              </w:rPr>
              <w:t xml:space="preserve"> </w:t>
            </w:r>
            <w:r>
              <w:rPr>
                <w:rFonts w:ascii="Times New Roman" w:hAnsi="Times New Roman" w:eastAsia="Times New Roman" w:cs="Times New Roman"/>
                <w:color w:val="auto"/>
                <w:spacing w:val="-5"/>
                <w:w w:val="97"/>
                <w:sz w:val="21"/>
                <w:szCs w:val="21"/>
              </w:rPr>
              <w:t>1,2-</w:t>
            </w:r>
            <w:r>
              <w:rPr>
                <w:rFonts w:ascii="Times New Roman" w:hAnsi="Times New Roman" w:eastAsia="Times New Roman" w:cs="Times New Roman"/>
                <w:color w:val="auto"/>
                <w:spacing w:val="-27"/>
                <w:sz w:val="21"/>
                <w:szCs w:val="21"/>
              </w:rPr>
              <w:t xml:space="preserve"> </w:t>
            </w:r>
            <w:r>
              <w:rPr>
                <w:rFonts w:ascii="宋体" w:hAnsi="宋体" w:eastAsia="宋体" w:cs="宋体"/>
                <w:color w:val="auto"/>
                <w:spacing w:val="-5"/>
                <w:w w:val="97"/>
                <w:sz w:val="21"/>
                <w:szCs w:val="21"/>
              </w:rPr>
              <w:t>四氯乙烷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8"/>
                <w:sz w:val="21"/>
                <w:szCs w:val="21"/>
              </w:rPr>
              <w:t>1,</w:t>
            </w:r>
            <w:r>
              <w:rPr>
                <w:rFonts w:ascii="Times New Roman" w:hAnsi="Times New Roman" w:eastAsia="Times New Roman" w:cs="Times New Roman"/>
                <w:color w:val="auto"/>
                <w:spacing w:val="-14"/>
                <w:sz w:val="21"/>
                <w:szCs w:val="21"/>
              </w:rPr>
              <w:t xml:space="preserve"> </w:t>
            </w:r>
            <w:r>
              <w:rPr>
                <w:rFonts w:ascii="Times New Roman" w:hAnsi="Times New Roman" w:eastAsia="Times New Roman" w:cs="Times New Roman"/>
                <w:color w:val="auto"/>
                <w:spacing w:val="-5"/>
                <w:w w:val="98"/>
                <w:sz w:val="21"/>
                <w:szCs w:val="21"/>
              </w:rPr>
              <w:t>1,2,2-</w:t>
            </w:r>
            <w:r>
              <w:rPr>
                <w:rFonts w:ascii="Times New Roman" w:hAnsi="Times New Roman" w:eastAsia="Times New Roman" w:cs="Times New Roman"/>
                <w:color w:val="auto"/>
                <w:spacing w:val="-27"/>
                <w:sz w:val="21"/>
                <w:szCs w:val="21"/>
              </w:rPr>
              <w:t xml:space="preserve"> </w:t>
            </w:r>
            <w:r>
              <w:rPr>
                <w:rFonts w:ascii="宋体" w:hAnsi="宋体" w:eastAsia="宋体" w:cs="宋体"/>
                <w:color w:val="auto"/>
                <w:spacing w:val="-5"/>
                <w:w w:val="98"/>
                <w:sz w:val="21"/>
                <w:szCs w:val="21"/>
              </w:rPr>
              <w:t>四氯乙烷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8"/>
                <w:sz w:val="21"/>
                <w:szCs w:val="21"/>
              </w:rPr>
              <w:t>四氯乙烯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9.8</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8.9</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7.4</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7.2</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6.9</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8"/>
                <w:sz w:val="21"/>
                <w:szCs w:val="21"/>
              </w:rPr>
              <w:t>1,</w:t>
            </w:r>
            <w:r>
              <w:rPr>
                <w:rFonts w:ascii="Times New Roman" w:hAnsi="Times New Roman" w:eastAsia="Times New Roman" w:cs="Times New Roman"/>
                <w:color w:val="auto"/>
                <w:spacing w:val="-27"/>
                <w:sz w:val="21"/>
                <w:szCs w:val="21"/>
              </w:rPr>
              <w:t xml:space="preserve"> </w:t>
            </w:r>
            <w:r>
              <w:rPr>
                <w:rFonts w:ascii="Times New Roman" w:hAnsi="Times New Roman" w:eastAsia="Times New Roman" w:cs="Times New Roman"/>
                <w:color w:val="auto"/>
                <w:spacing w:val="-5"/>
                <w:w w:val="98"/>
                <w:sz w:val="21"/>
                <w:szCs w:val="21"/>
              </w:rPr>
              <w:t>1,</w:t>
            </w:r>
            <w:r>
              <w:rPr>
                <w:rFonts w:ascii="Times New Roman" w:hAnsi="Times New Roman" w:eastAsia="Times New Roman" w:cs="Times New Roman"/>
                <w:color w:val="auto"/>
                <w:spacing w:val="-28"/>
                <w:sz w:val="21"/>
                <w:szCs w:val="21"/>
              </w:rPr>
              <w:t xml:space="preserve"> </w:t>
            </w:r>
            <w:r>
              <w:rPr>
                <w:rFonts w:ascii="Times New Roman" w:hAnsi="Times New Roman" w:eastAsia="Times New Roman" w:cs="Times New Roman"/>
                <w:color w:val="auto"/>
                <w:spacing w:val="-5"/>
                <w:w w:val="98"/>
                <w:sz w:val="21"/>
                <w:szCs w:val="21"/>
              </w:rPr>
              <w:t>1-</w:t>
            </w:r>
            <w:r>
              <w:rPr>
                <w:rFonts w:ascii="宋体" w:hAnsi="宋体" w:eastAsia="宋体" w:cs="宋体"/>
                <w:color w:val="auto"/>
                <w:spacing w:val="-5"/>
                <w:w w:val="98"/>
                <w:sz w:val="21"/>
                <w:szCs w:val="21"/>
              </w:rPr>
              <w:t>三氯乙烷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9"/>
                <w:sz w:val="21"/>
                <w:szCs w:val="21"/>
              </w:rPr>
              <w:t>1,</w:t>
            </w:r>
            <w:r>
              <w:rPr>
                <w:rFonts w:ascii="Times New Roman" w:hAnsi="Times New Roman" w:eastAsia="Times New Roman" w:cs="Times New Roman"/>
                <w:color w:val="auto"/>
                <w:spacing w:val="-15"/>
                <w:sz w:val="21"/>
                <w:szCs w:val="21"/>
              </w:rPr>
              <w:t xml:space="preserve"> </w:t>
            </w:r>
            <w:r>
              <w:rPr>
                <w:rFonts w:ascii="Times New Roman" w:hAnsi="Times New Roman" w:eastAsia="Times New Roman" w:cs="Times New Roman"/>
                <w:color w:val="auto"/>
                <w:spacing w:val="-5"/>
                <w:w w:val="99"/>
                <w:sz w:val="21"/>
                <w:szCs w:val="21"/>
              </w:rPr>
              <w:t>1,2-</w:t>
            </w:r>
            <w:r>
              <w:rPr>
                <w:rFonts w:ascii="宋体" w:hAnsi="宋体" w:eastAsia="宋体" w:cs="宋体"/>
                <w:color w:val="auto"/>
                <w:spacing w:val="-5"/>
                <w:w w:val="99"/>
                <w:sz w:val="21"/>
                <w:szCs w:val="21"/>
              </w:rPr>
              <w:t>三氯乙烷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三氯乙烯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5.6</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w w:val="101"/>
                <w:sz w:val="21"/>
                <w:szCs w:val="21"/>
              </w:rPr>
              <w:t>4.9</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5.8</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5.7</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5.5</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3"/>
                <w:sz w:val="21"/>
                <w:szCs w:val="21"/>
              </w:rPr>
              <w:t>1,2,3-</w:t>
            </w:r>
            <w:r>
              <w:rPr>
                <w:rFonts w:ascii="宋体" w:hAnsi="宋体" w:eastAsia="宋体" w:cs="宋体"/>
                <w:color w:val="auto"/>
                <w:spacing w:val="-3"/>
                <w:sz w:val="21"/>
                <w:szCs w:val="21"/>
              </w:rPr>
              <w:t>三氯丙烷</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36.4</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34.2</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40.2</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39.2</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37.7</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氯乙烯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2.8</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2.3</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4.4</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4.2</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4.5</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氯苯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1,2-</w:t>
            </w:r>
            <w:r>
              <w:rPr>
                <w:rFonts w:ascii="宋体" w:hAnsi="宋体" w:eastAsia="宋体" w:cs="宋体"/>
                <w:color w:val="auto"/>
                <w:spacing w:val="-4"/>
                <w:sz w:val="21"/>
                <w:szCs w:val="21"/>
              </w:rPr>
              <w:t>二氯苯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1,4-</w:t>
            </w:r>
            <w:r>
              <w:rPr>
                <w:rFonts w:ascii="宋体" w:hAnsi="宋体" w:eastAsia="宋体" w:cs="宋体"/>
                <w:color w:val="auto"/>
                <w:spacing w:val="-4"/>
                <w:sz w:val="21"/>
                <w:szCs w:val="21"/>
              </w:rPr>
              <w:t>二氯苯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4"/>
                <w:sz w:val="21"/>
                <w:szCs w:val="21"/>
              </w:rPr>
              <w:t>乙苯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1.5</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2.3</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2.2</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2.8</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苯乙烯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sz w:val="21"/>
                <w:szCs w:val="21"/>
              </w:rPr>
              <w:t>1(L)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sz w:val="21"/>
                <w:szCs w:val="21"/>
              </w:rPr>
              <w:t>1(L)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sz w:val="21"/>
                <w:szCs w:val="21"/>
              </w:rPr>
              <w:t>1(L)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sz w:val="21"/>
                <w:szCs w:val="21"/>
              </w:rPr>
              <w:t>1(L)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sz w:val="21"/>
                <w:szCs w:val="21"/>
              </w:rPr>
              <w:t>1(L)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9"/>
                <w:sz w:val="21"/>
                <w:szCs w:val="21"/>
              </w:rPr>
              <w:t>甲苯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10.9</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9.8</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15.0</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14.6</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14.7</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restart"/>
            <w:tcBorders>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2020</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年</w:t>
            </w:r>
            <w:r>
              <w:rPr>
                <w:rFonts w:ascii="Times New Roman" w:hAnsi="Times New Roman" w:eastAsia="Times New Roman" w:cs="Times New Roman"/>
                <w:color w:val="auto"/>
                <w:spacing w:val="-3"/>
                <w:sz w:val="21"/>
                <w:szCs w:val="21"/>
              </w:rPr>
              <w:t>05</w:t>
            </w:r>
            <w:r>
              <w:rPr>
                <w:rFonts w:ascii="宋体" w:hAnsi="宋体" w:eastAsia="宋体" w:cs="宋体"/>
                <w:color w:val="auto"/>
                <w:spacing w:val="-3"/>
                <w:sz w:val="21"/>
                <w:szCs w:val="21"/>
              </w:rPr>
              <w:t>月</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2"/>
                <w:sz w:val="21"/>
                <w:szCs w:val="21"/>
              </w:rPr>
              <w:t>23</w:t>
            </w:r>
            <w:r>
              <w:rPr>
                <w:rFonts w:ascii="宋体" w:hAnsi="宋体" w:eastAsia="宋体" w:cs="宋体"/>
                <w:color w:val="auto"/>
                <w:spacing w:val="-2"/>
                <w:sz w:val="21"/>
                <w:szCs w:val="21"/>
              </w:rPr>
              <w:t>日</w:t>
            </w: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0"/>
                <w:w w:val="108"/>
                <w:sz w:val="21"/>
                <w:szCs w:val="21"/>
              </w:rPr>
              <w:t>间</w:t>
            </w:r>
            <w:r>
              <w:rPr>
                <w:rFonts w:ascii="Times New Roman" w:hAnsi="Times New Roman" w:eastAsia="Times New Roman" w:cs="Times New Roman"/>
                <w:color w:val="auto"/>
                <w:spacing w:val="10"/>
                <w:w w:val="108"/>
                <w:sz w:val="21"/>
                <w:szCs w:val="21"/>
              </w:rPr>
              <w:t>+</w:t>
            </w:r>
            <w:r>
              <w:rPr>
                <w:rFonts w:ascii="宋体" w:hAnsi="宋体" w:eastAsia="宋体" w:cs="宋体"/>
                <w:color w:val="auto"/>
                <w:spacing w:val="10"/>
                <w:w w:val="108"/>
                <w:sz w:val="21"/>
                <w:szCs w:val="21"/>
              </w:rPr>
              <w:t>对二甲苯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1.6</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1.3</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1.9</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1.9</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邻二甲苯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6.4</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5.8</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9.1</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8.4</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8.5</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硝基苯</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0.09(L)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2"/>
                <w:sz w:val="21"/>
                <w:szCs w:val="21"/>
              </w:rPr>
              <w:t>2-</w:t>
            </w:r>
            <w:r>
              <w:rPr>
                <w:rFonts w:ascii="宋体" w:hAnsi="宋体" w:eastAsia="宋体" w:cs="宋体"/>
                <w:color w:val="auto"/>
                <w:spacing w:val="-2"/>
                <w:sz w:val="21"/>
                <w:szCs w:val="21"/>
              </w:rPr>
              <w:t>氯酚</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11.8</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6.40</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0.04(L)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0.04(L)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0.04(L)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苯胺</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0.02(L)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0.02(L)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0.02(L)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0.02(L)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0.02(L)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sz w:val="21"/>
                <w:szCs w:val="21"/>
              </w:rPr>
              <w:t>苯并</w:t>
            </w:r>
            <w:r>
              <w:rPr>
                <w:rFonts w:ascii="Times New Roman" w:hAnsi="Times New Roman" w:eastAsia="Times New Roman" w:cs="Times New Roman"/>
                <w:color w:val="auto"/>
                <w:spacing w:val="18"/>
                <w:sz w:val="21"/>
                <w:szCs w:val="21"/>
              </w:rPr>
              <w:t>(a)</w:t>
            </w:r>
            <w:r>
              <w:rPr>
                <w:rFonts w:ascii="宋体" w:hAnsi="宋体" w:eastAsia="宋体" w:cs="宋体"/>
                <w:color w:val="auto"/>
                <w:spacing w:val="18"/>
                <w:sz w:val="21"/>
                <w:szCs w:val="21"/>
              </w:rPr>
              <w:t>蒽</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䓛</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sz w:val="21"/>
                <w:szCs w:val="21"/>
              </w:rPr>
              <w:t>苯并</w:t>
            </w:r>
            <w:r>
              <w:rPr>
                <w:rFonts w:ascii="Times New Roman" w:hAnsi="Times New Roman" w:eastAsia="Times New Roman" w:cs="Times New Roman"/>
                <w:color w:val="auto"/>
                <w:spacing w:val="18"/>
                <w:sz w:val="21"/>
                <w:szCs w:val="21"/>
              </w:rPr>
              <w:t>(b)</w:t>
            </w:r>
            <w:r>
              <w:rPr>
                <w:rFonts w:ascii="Times New Roman" w:hAnsi="Times New Roman" w:eastAsia="Times New Roman" w:cs="Times New Roman"/>
                <w:color w:val="auto"/>
                <w:spacing w:val="15"/>
                <w:w w:val="101"/>
                <w:sz w:val="21"/>
                <w:szCs w:val="21"/>
              </w:rPr>
              <w:t xml:space="preserve">  </w:t>
            </w:r>
            <w:r>
              <w:rPr>
                <w:rFonts w:ascii="宋体" w:hAnsi="宋体" w:eastAsia="宋体" w:cs="宋体"/>
                <w:color w:val="auto"/>
                <w:spacing w:val="18"/>
                <w:sz w:val="21"/>
                <w:szCs w:val="21"/>
              </w:rPr>
              <w:t>荧蒽</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0.2(L)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0.2(L)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0.2(L)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0.2(L)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0.2(L)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w w:val="101"/>
                <w:sz w:val="21"/>
                <w:szCs w:val="21"/>
              </w:rPr>
              <w:t>苯并</w:t>
            </w:r>
            <w:r>
              <w:rPr>
                <w:rFonts w:ascii="Times New Roman" w:hAnsi="Times New Roman" w:eastAsia="Times New Roman" w:cs="Times New Roman"/>
                <w:color w:val="auto"/>
                <w:spacing w:val="18"/>
                <w:w w:val="101"/>
                <w:sz w:val="21"/>
                <w:szCs w:val="21"/>
              </w:rPr>
              <w:t>(k)</w:t>
            </w:r>
            <w:r>
              <w:rPr>
                <w:rFonts w:ascii="宋体" w:hAnsi="宋体" w:eastAsia="宋体" w:cs="宋体"/>
                <w:color w:val="auto"/>
                <w:spacing w:val="18"/>
                <w:w w:val="101"/>
                <w:sz w:val="21"/>
                <w:szCs w:val="21"/>
              </w:rPr>
              <w:t>荧蒽</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sz w:val="21"/>
                <w:szCs w:val="21"/>
              </w:rPr>
              <w:t>苯并</w:t>
            </w:r>
            <w:r>
              <w:rPr>
                <w:rFonts w:ascii="Times New Roman" w:hAnsi="Times New Roman" w:eastAsia="Times New Roman" w:cs="Times New Roman"/>
                <w:color w:val="auto"/>
                <w:spacing w:val="18"/>
                <w:sz w:val="21"/>
                <w:szCs w:val="21"/>
              </w:rPr>
              <w:t>(a)</w:t>
            </w:r>
            <w:r>
              <w:rPr>
                <w:rFonts w:ascii="宋体" w:hAnsi="宋体" w:eastAsia="宋体" w:cs="宋体"/>
                <w:color w:val="auto"/>
                <w:spacing w:val="18"/>
                <w:sz w:val="21"/>
                <w:szCs w:val="21"/>
              </w:rPr>
              <w:t>芘</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4"/>
                <w:w w:val="101"/>
                <w:sz w:val="21"/>
                <w:szCs w:val="21"/>
              </w:rPr>
              <w:t>茚并</w:t>
            </w:r>
            <w:r>
              <w:rPr>
                <w:rFonts w:ascii="Times New Roman" w:hAnsi="Times New Roman" w:eastAsia="Times New Roman" w:cs="Times New Roman"/>
                <w:color w:val="auto"/>
                <w:spacing w:val="14"/>
                <w:w w:val="101"/>
                <w:sz w:val="21"/>
                <w:szCs w:val="21"/>
              </w:rPr>
              <w:t>(1,2,3-cd)</w:t>
            </w:r>
            <w:r>
              <w:rPr>
                <w:rFonts w:ascii="宋体" w:hAnsi="宋体" w:eastAsia="宋体" w:cs="宋体"/>
                <w:color w:val="auto"/>
                <w:spacing w:val="14"/>
                <w:w w:val="101"/>
                <w:sz w:val="21"/>
                <w:szCs w:val="21"/>
              </w:rPr>
              <w:t>芘</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7"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sz w:val="21"/>
                <w:szCs w:val="21"/>
              </w:rPr>
              <w:t>二苯并</w:t>
            </w:r>
            <w:r>
              <w:rPr>
                <w:rFonts w:ascii="Times New Roman" w:hAnsi="Times New Roman" w:eastAsia="Times New Roman" w:cs="Times New Roman"/>
                <w:color w:val="auto"/>
                <w:spacing w:val="18"/>
                <w:sz w:val="21"/>
                <w:szCs w:val="21"/>
              </w:rPr>
              <w:t>(a,h)</w:t>
            </w:r>
            <w:r>
              <w:rPr>
                <w:rFonts w:ascii="宋体" w:hAnsi="宋体" w:eastAsia="宋体" w:cs="宋体"/>
                <w:color w:val="auto"/>
                <w:spacing w:val="18"/>
                <w:sz w:val="21"/>
                <w:szCs w:val="21"/>
              </w:rPr>
              <w:t>蒽</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jc w:val="center"/>
        </w:trPr>
        <w:tc>
          <w:tcPr>
            <w:tcW w:w="727"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966"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萘</w:t>
            </w:r>
          </w:p>
        </w:tc>
        <w:tc>
          <w:tcPr>
            <w:tcW w:w="1090"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089"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092"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998"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0.09(L)</w:t>
            </w:r>
          </w:p>
        </w:tc>
        <w:tc>
          <w:tcPr>
            <w:tcW w:w="811"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bl>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续表 3.</w:t>
      </w:r>
      <w:r>
        <w:rPr>
          <w:rFonts w:hint="eastAsia" w:ascii="宋体" w:hAnsi="宋体" w:cs="宋体"/>
          <w:b/>
          <w:bCs/>
          <w:color w:val="000000" w:themeColor="text1"/>
          <w:kern w:val="0"/>
          <w:sz w:val="24"/>
          <w:szCs w:val="24"/>
          <w:lang w:val="en-US" w:eastAsia="zh-CN" w:bidi="ar"/>
          <w14:textFill>
            <w14:solidFill>
              <w14:schemeClr w14:val="tx1"/>
            </w14:solidFill>
          </w14:textFill>
        </w:rPr>
        <w:t>1</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w:t>
      </w:r>
      <w:r>
        <w:rPr>
          <w:rFonts w:hint="eastAsia" w:ascii="宋体" w:hAnsi="宋体" w:cs="宋体"/>
          <w:b/>
          <w:bCs/>
          <w:color w:val="000000" w:themeColor="text1"/>
          <w:kern w:val="0"/>
          <w:sz w:val="24"/>
          <w:szCs w:val="24"/>
          <w:lang w:val="en-US" w:eastAsia="zh-CN" w:bidi="ar"/>
          <w14:textFill>
            <w14:solidFill>
              <w14:schemeClr w14:val="tx1"/>
            </w14:solidFill>
          </w14:textFill>
        </w:rPr>
        <w:t>11</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 xml:space="preserve">   文溯街 16 号厂区柱状土壤检测结果一览表</w:t>
      </w:r>
    </w:p>
    <w:tbl>
      <w:tblPr>
        <w:tblStyle w:val="118"/>
        <w:tblW w:w="8906" w:type="dxa"/>
        <w:jc w:val="center"/>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725"/>
        <w:gridCol w:w="2117"/>
        <w:gridCol w:w="1325"/>
        <w:gridCol w:w="1327"/>
        <w:gridCol w:w="1325"/>
        <w:gridCol w:w="1077"/>
        <w:gridCol w:w="1010"/>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6" w:hRule="atLeast"/>
          <w:jc w:val="center"/>
        </w:trPr>
        <w:tc>
          <w:tcPr>
            <w:tcW w:w="72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采样</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0"/>
                <w:w w:val="98"/>
                <w:sz w:val="21"/>
                <w:szCs w:val="21"/>
              </w:rPr>
              <w:t>日期</w:t>
            </w:r>
          </w:p>
        </w:tc>
        <w:tc>
          <w:tcPr>
            <w:tcW w:w="211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检测项目</w:t>
            </w:r>
          </w:p>
        </w:tc>
        <w:tc>
          <w:tcPr>
            <w:tcW w:w="5054"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检测结果</w:t>
            </w:r>
          </w:p>
        </w:tc>
        <w:tc>
          <w:tcPr>
            <w:tcW w:w="101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单位</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9"/>
                <w:w w:val="109"/>
                <w:sz w:val="21"/>
                <w:szCs w:val="21"/>
              </w:rPr>
              <w:t>2#</w:t>
            </w:r>
            <w:r>
              <w:rPr>
                <w:rFonts w:ascii="宋体" w:hAnsi="宋体" w:eastAsia="宋体" w:cs="宋体"/>
                <w:color w:val="auto"/>
                <w:spacing w:val="9"/>
                <w:w w:val="109"/>
                <w:sz w:val="21"/>
                <w:szCs w:val="21"/>
              </w:rPr>
              <w:t>柱状深</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9"/>
                <w:w w:val="109"/>
                <w:sz w:val="21"/>
                <w:szCs w:val="21"/>
              </w:rPr>
              <w:t>3#</w:t>
            </w:r>
            <w:r>
              <w:rPr>
                <w:rFonts w:ascii="宋体" w:hAnsi="宋体" w:eastAsia="宋体" w:cs="宋体"/>
                <w:color w:val="auto"/>
                <w:spacing w:val="9"/>
                <w:w w:val="109"/>
                <w:sz w:val="21"/>
                <w:szCs w:val="21"/>
              </w:rPr>
              <w:t>柱状表</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10"/>
                <w:w w:val="108"/>
                <w:sz w:val="21"/>
                <w:szCs w:val="21"/>
              </w:rPr>
              <w:t>3#</w:t>
            </w:r>
            <w:r>
              <w:rPr>
                <w:rFonts w:ascii="宋体" w:hAnsi="宋体" w:eastAsia="宋体" w:cs="宋体"/>
                <w:color w:val="auto"/>
                <w:spacing w:val="10"/>
                <w:w w:val="108"/>
                <w:sz w:val="21"/>
                <w:szCs w:val="21"/>
              </w:rPr>
              <w:t>柱状中</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9"/>
                <w:w w:val="109"/>
                <w:sz w:val="21"/>
                <w:szCs w:val="21"/>
              </w:rPr>
              <w:t>3#</w:t>
            </w:r>
            <w:r>
              <w:rPr>
                <w:rFonts w:ascii="宋体" w:hAnsi="宋体" w:eastAsia="宋体" w:cs="宋体"/>
                <w:color w:val="auto"/>
                <w:spacing w:val="9"/>
                <w:w w:val="109"/>
                <w:sz w:val="21"/>
                <w:szCs w:val="21"/>
              </w:rPr>
              <w:t>柱状深</w:t>
            </w:r>
          </w:p>
        </w:tc>
        <w:tc>
          <w:tcPr>
            <w:tcW w:w="101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PrEx>
        <w:trPr>
          <w:trHeight w:val="242" w:hRule="atLeast"/>
          <w:jc w:val="center"/>
        </w:trPr>
        <w:tc>
          <w:tcPr>
            <w:tcW w:w="72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2020</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宋体" w:hAnsi="宋体" w:eastAsia="宋体" w:cs="宋体"/>
                <w:color w:val="auto"/>
                <w:spacing w:val="-6"/>
                <w:sz w:val="21"/>
                <w:szCs w:val="21"/>
              </w:rPr>
              <w:t>年</w:t>
            </w:r>
            <w:r>
              <w:rPr>
                <w:rFonts w:ascii="宋体" w:hAnsi="宋体" w:eastAsia="宋体" w:cs="宋体"/>
                <w:color w:val="auto"/>
                <w:spacing w:val="-45"/>
                <w:sz w:val="21"/>
                <w:szCs w:val="21"/>
              </w:rPr>
              <w:t xml:space="preserve"> </w:t>
            </w:r>
            <w:r>
              <w:rPr>
                <w:rFonts w:ascii="Times New Roman" w:hAnsi="Times New Roman" w:eastAsia="Times New Roman" w:cs="Times New Roman"/>
                <w:color w:val="auto"/>
                <w:spacing w:val="-6"/>
                <w:sz w:val="21"/>
                <w:szCs w:val="21"/>
              </w:rPr>
              <w:t>05</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宋体" w:hAnsi="宋体" w:eastAsia="宋体" w:cs="宋体"/>
                <w:color w:val="auto"/>
                <w:spacing w:val="-7"/>
                <w:sz w:val="21"/>
                <w:szCs w:val="21"/>
              </w:rPr>
              <w:t>月</w:t>
            </w:r>
            <w:r>
              <w:rPr>
                <w:rFonts w:ascii="宋体" w:hAnsi="宋体" w:eastAsia="宋体" w:cs="宋体"/>
                <w:color w:val="auto"/>
                <w:spacing w:val="-46"/>
                <w:sz w:val="21"/>
                <w:szCs w:val="21"/>
              </w:rPr>
              <w:t xml:space="preserve"> </w:t>
            </w:r>
            <w:r>
              <w:rPr>
                <w:rFonts w:ascii="Times New Roman" w:hAnsi="Times New Roman" w:eastAsia="Times New Roman" w:cs="Times New Roman"/>
                <w:color w:val="auto"/>
                <w:spacing w:val="-7"/>
                <w:sz w:val="21"/>
                <w:szCs w:val="21"/>
              </w:rPr>
              <w:t>23</w:t>
            </w: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日</w:t>
            </w: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11.6</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5.1</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6.72</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7.46</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镉</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0.45</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0.45</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0.41</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0.43</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六价铬</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1"/>
                <w:sz w:val="21"/>
                <w:szCs w:val="21"/>
              </w:rPr>
              <w:t>2</w:t>
            </w:r>
            <w:r>
              <w:rPr>
                <w:rFonts w:ascii="Times New Roman" w:hAnsi="Times New Roman" w:eastAsia="Times New Roman" w:cs="Times New Roman"/>
                <w:color w:val="auto"/>
                <w:spacing w:val="-52"/>
                <w:sz w:val="21"/>
                <w:szCs w:val="21"/>
              </w:rPr>
              <w:t xml:space="preserve"> </w:t>
            </w:r>
            <w:r>
              <w:rPr>
                <w:rFonts w:ascii="宋体" w:hAnsi="宋体" w:eastAsia="宋体" w:cs="宋体"/>
                <w:color w:val="auto"/>
                <w:spacing w:val="-1"/>
                <w:sz w:val="21"/>
                <w:szCs w:val="21"/>
              </w:rPr>
              <w:t>（</w:t>
            </w:r>
            <w:r>
              <w:rPr>
                <w:rFonts w:ascii="Times New Roman" w:hAnsi="Times New Roman" w:eastAsia="Times New Roman" w:cs="Times New Roman"/>
                <w:color w:val="auto"/>
                <w:spacing w:val="-1"/>
                <w:sz w:val="21"/>
                <w:szCs w:val="21"/>
              </w:rPr>
              <w:t>L</w:t>
            </w:r>
            <w:r>
              <w:rPr>
                <w:rFonts w:ascii="宋体" w:hAnsi="宋体" w:eastAsia="宋体" w:cs="宋体"/>
                <w:color w:val="auto"/>
                <w:spacing w:val="-1"/>
                <w:sz w:val="21"/>
                <w:szCs w:val="21"/>
              </w:rPr>
              <w:t>）</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2"/>
                <w:sz w:val="21"/>
                <w:szCs w:val="21"/>
              </w:rPr>
              <w:t>2</w:t>
            </w:r>
            <w:r>
              <w:rPr>
                <w:rFonts w:ascii="Times New Roman" w:hAnsi="Times New Roman" w:eastAsia="Times New Roman" w:cs="Times New Roman"/>
                <w:color w:val="auto"/>
                <w:spacing w:val="-51"/>
                <w:sz w:val="21"/>
                <w:szCs w:val="21"/>
              </w:rPr>
              <w:t xml:space="preserve"> </w:t>
            </w:r>
            <w:r>
              <w:rPr>
                <w:rFonts w:ascii="宋体" w:hAnsi="宋体" w:eastAsia="宋体" w:cs="宋体"/>
                <w:color w:val="auto"/>
                <w:spacing w:val="-2"/>
                <w:sz w:val="21"/>
                <w:szCs w:val="21"/>
              </w:rPr>
              <w:t>（</w:t>
            </w:r>
            <w:r>
              <w:rPr>
                <w:rFonts w:ascii="Times New Roman" w:hAnsi="Times New Roman" w:eastAsia="Times New Roman" w:cs="Times New Roman"/>
                <w:color w:val="auto"/>
                <w:spacing w:val="-2"/>
                <w:sz w:val="21"/>
                <w:szCs w:val="21"/>
              </w:rPr>
              <w:t>L</w:t>
            </w:r>
            <w:r>
              <w:rPr>
                <w:rFonts w:ascii="宋体" w:hAnsi="宋体" w:eastAsia="宋体" w:cs="宋体"/>
                <w:color w:val="auto"/>
                <w:spacing w:val="-2"/>
                <w:sz w:val="21"/>
                <w:szCs w:val="21"/>
              </w:rPr>
              <w:t>）</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1"/>
                <w:sz w:val="21"/>
                <w:szCs w:val="21"/>
              </w:rPr>
              <w:t>2</w:t>
            </w:r>
            <w:r>
              <w:rPr>
                <w:rFonts w:ascii="Times New Roman" w:hAnsi="Times New Roman" w:eastAsia="Times New Roman" w:cs="Times New Roman"/>
                <w:color w:val="auto"/>
                <w:spacing w:val="-52"/>
                <w:sz w:val="21"/>
                <w:szCs w:val="21"/>
              </w:rPr>
              <w:t xml:space="preserve"> </w:t>
            </w:r>
            <w:r>
              <w:rPr>
                <w:rFonts w:ascii="宋体" w:hAnsi="宋体" w:eastAsia="宋体" w:cs="宋体"/>
                <w:color w:val="auto"/>
                <w:spacing w:val="-1"/>
                <w:sz w:val="21"/>
                <w:szCs w:val="21"/>
              </w:rPr>
              <w:t>（</w:t>
            </w:r>
            <w:r>
              <w:rPr>
                <w:rFonts w:ascii="Times New Roman" w:hAnsi="Times New Roman" w:eastAsia="Times New Roman" w:cs="Times New Roman"/>
                <w:color w:val="auto"/>
                <w:spacing w:val="-1"/>
                <w:sz w:val="21"/>
                <w:szCs w:val="21"/>
              </w:rPr>
              <w:t>L</w:t>
            </w:r>
            <w:r>
              <w:rPr>
                <w:rFonts w:ascii="宋体" w:hAnsi="宋体" w:eastAsia="宋体" w:cs="宋体"/>
                <w:color w:val="auto"/>
                <w:spacing w:val="-1"/>
                <w:sz w:val="21"/>
                <w:szCs w:val="21"/>
              </w:rPr>
              <w:t>）</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2"/>
                <w:sz w:val="21"/>
                <w:szCs w:val="21"/>
              </w:rPr>
              <w:t>2</w:t>
            </w:r>
            <w:r>
              <w:rPr>
                <w:rFonts w:ascii="Times New Roman" w:hAnsi="Times New Roman" w:eastAsia="Times New Roman" w:cs="Times New Roman"/>
                <w:color w:val="auto"/>
                <w:spacing w:val="-51"/>
                <w:sz w:val="21"/>
                <w:szCs w:val="21"/>
              </w:rPr>
              <w:t xml:space="preserve"> </w:t>
            </w:r>
            <w:r>
              <w:rPr>
                <w:rFonts w:ascii="宋体" w:hAnsi="宋体" w:eastAsia="宋体" w:cs="宋体"/>
                <w:color w:val="auto"/>
                <w:spacing w:val="-2"/>
                <w:sz w:val="21"/>
                <w:szCs w:val="21"/>
              </w:rPr>
              <w:t>（</w:t>
            </w:r>
            <w:r>
              <w:rPr>
                <w:rFonts w:ascii="Times New Roman" w:hAnsi="Times New Roman" w:eastAsia="Times New Roman" w:cs="Times New Roman"/>
                <w:color w:val="auto"/>
                <w:spacing w:val="-2"/>
                <w:sz w:val="21"/>
                <w:szCs w:val="21"/>
              </w:rPr>
              <w:t>L</w:t>
            </w:r>
            <w:r>
              <w:rPr>
                <w:rFonts w:ascii="宋体" w:hAnsi="宋体" w:eastAsia="宋体" w:cs="宋体"/>
                <w:color w:val="auto"/>
                <w:spacing w:val="-2"/>
                <w:sz w:val="21"/>
                <w:szCs w:val="21"/>
              </w:rPr>
              <w:t>）</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铜</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22</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20</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27</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23</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铅</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23</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24</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24</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23</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汞</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1.01</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0.985</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0.734</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0.780</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镍</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38</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37</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41</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43</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8"/>
                <w:sz w:val="21"/>
                <w:szCs w:val="21"/>
              </w:rPr>
              <w:t>四氯化碳</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18.8</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8.8</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9.7</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11.0</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氯仿</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42.</w:t>
            </w:r>
            <w:r>
              <w:rPr>
                <w:rFonts w:ascii="Times New Roman" w:hAnsi="Times New Roman" w:eastAsia="Times New Roman" w:cs="Times New Roman"/>
                <w:color w:val="auto"/>
                <w:spacing w:val="-26"/>
                <w:sz w:val="21"/>
                <w:szCs w:val="21"/>
              </w:rPr>
              <w:t xml:space="preserve"> </w:t>
            </w:r>
            <w:r>
              <w:rPr>
                <w:rFonts w:ascii="Times New Roman" w:hAnsi="Times New Roman" w:eastAsia="Times New Roman" w:cs="Times New Roman"/>
                <w:color w:val="auto"/>
                <w:spacing w:val="-1"/>
                <w:sz w:val="21"/>
                <w:szCs w:val="21"/>
              </w:rPr>
              <w:t>1</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42.2</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47.7</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54.</w:t>
            </w:r>
            <w:r>
              <w:rPr>
                <w:rFonts w:ascii="Times New Roman" w:hAnsi="Times New Roman" w:eastAsia="Times New Roman" w:cs="Times New Roman"/>
                <w:color w:val="auto"/>
                <w:spacing w:val="-23"/>
                <w:sz w:val="21"/>
                <w:szCs w:val="21"/>
              </w:rPr>
              <w:t xml:space="preserve"> </w:t>
            </w:r>
            <w:r>
              <w:rPr>
                <w:rFonts w:ascii="Times New Roman" w:hAnsi="Times New Roman" w:eastAsia="Times New Roman" w:cs="Times New Roman"/>
                <w:color w:val="auto"/>
                <w:spacing w:val="-3"/>
                <w:sz w:val="21"/>
                <w:szCs w:val="21"/>
              </w:rPr>
              <w:t>1</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氯甲烷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9.7</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2.7</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3.2</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2"/>
                <w:sz w:val="21"/>
                <w:szCs w:val="21"/>
              </w:rPr>
              <w:t>4.1</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9"/>
                <w:sz w:val="21"/>
                <w:szCs w:val="21"/>
              </w:rPr>
              <w:t>1,</w:t>
            </w:r>
            <w:r>
              <w:rPr>
                <w:rFonts w:ascii="Times New Roman" w:hAnsi="Times New Roman" w:eastAsia="Times New Roman" w:cs="Times New Roman"/>
                <w:color w:val="auto"/>
                <w:spacing w:val="-26"/>
                <w:sz w:val="21"/>
                <w:szCs w:val="21"/>
              </w:rPr>
              <w:t xml:space="preserve"> </w:t>
            </w:r>
            <w:r>
              <w:rPr>
                <w:rFonts w:ascii="Times New Roman" w:hAnsi="Times New Roman" w:eastAsia="Times New Roman" w:cs="Times New Roman"/>
                <w:color w:val="auto"/>
                <w:spacing w:val="-5"/>
                <w:w w:val="99"/>
                <w:sz w:val="21"/>
                <w:szCs w:val="21"/>
              </w:rPr>
              <w:t>1-</w:t>
            </w:r>
            <w:r>
              <w:rPr>
                <w:rFonts w:ascii="宋体" w:hAnsi="宋体" w:eastAsia="宋体" w:cs="宋体"/>
                <w:color w:val="auto"/>
                <w:spacing w:val="-5"/>
                <w:w w:val="99"/>
                <w:sz w:val="21"/>
                <w:szCs w:val="21"/>
              </w:rPr>
              <w:t>二氯乙烷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1.2</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1,2-</w:t>
            </w:r>
            <w:r>
              <w:rPr>
                <w:rFonts w:ascii="宋体" w:hAnsi="宋体" w:eastAsia="宋体" w:cs="宋体"/>
                <w:color w:val="auto"/>
                <w:spacing w:val="-4"/>
                <w:sz w:val="21"/>
                <w:szCs w:val="21"/>
              </w:rPr>
              <w:t>二氯乙烷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1.3</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2"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9"/>
                <w:sz w:val="21"/>
                <w:szCs w:val="21"/>
              </w:rPr>
              <w:t>1,</w:t>
            </w:r>
            <w:r>
              <w:rPr>
                <w:rFonts w:ascii="Times New Roman" w:hAnsi="Times New Roman" w:eastAsia="Times New Roman" w:cs="Times New Roman"/>
                <w:color w:val="auto"/>
                <w:spacing w:val="-26"/>
                <w:sz w:val="21"/>
                <w:szCs w:val="21"/>
              </w:rPr>
              <w:t xml:space="preserve"> </w:t>
            </w:r>
            <w:r>
              <w:rPr>
                <w:rFonts w:ascii="Times New Roman" w:hAnsi="Times New Roman" w:eastAsia="Times New Roman" w:cs="Times New Roman"/>
                <w:color w:val="auto"/>
                <w:spacing w:val="-5"/>
                <w:w w:val="99"/>
                <w:sz w:val="21"/>
                <w:szCs w:val="21"/>
              </w:rPr>
              <w:t>1-</w:t>
            </w:r>
            <w:r>
              <w:rPr>
                <w:rFonts w:ascii="宋体" w:hAnsi="宋体" w:eastAsia="宋体" w:cs="宋体"/>
                <w:color w:val="auto"/>
                <w:spacing w:val="-5"/>
                <w:w w:val="99"/>
                <w:sz w:val="21"/>
                <w:szCs w:val="21"/>
              </w:rPr>
              <w:t>二氯乙烯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1.0</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顺</w:t>
            </w:r>
            <w:r>
              <w:rPr>
                <w:rFonts w:ascii="宋体" w:hAnsi="宋体" w:eastAsia="宋体" w:cs="宋体"/>
                <w:color w:val="auto"/>
                <w:spacing w:val="33"/>
                <w:sz w:val="21"/>
                <w:szCs w:val="21"/>
              </w:rPr>
              <w:t xml:space="preserve"> </w:t>
            </w:r>
            <w:r>
              <w:rPr>
                <w:rFonts w:ascii="Times New Roman" w:hAnsi="Times New Roman" w:eastAsia="Times New Roman" w:cs="Times New Roman"/>
                <w:color w:val="auto"/>
                <w:spacing w:val="-5"/>
                <w:sz w:val="21"/>
                <w:szCs w:val="21"/>
              </w:rPr>
              <w:t>1,2-</w:t>
            </w:r>
            <w:r>
              <w:rPr>
                <w:rFonts w:ascii="宋体" w:hAnsi="宋体" w:eastAsia="宋体" w:cs="宋体"/>
                <w:color w:val="auto"/>
                <w:spacing w:val="-5"/>
                <w:sz w:val="21"/>
                <w:szCs w:val="21"/>
              </w:rPr>
              <w:t>二氯乙烯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1.3</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反</w:t>
            </w:r>
            <w:r>
              <w:rPr>
                <w:rFonts w:ascii="宋体" w:hAnsi="宋体" w:eastAsia="宋体" w:cs="宋体"/>
                <w:color w:val="auto"/>
                <w:spacing w:val="33"/>
                <w:sz w:val="21"/>
                <w:szCs w:val="21"/>
              </w:rPr>
              <w:t xml:space="preserve"> </w:t>
            </w:r>
            <w:r>
              <w:rPr>
                <w:rFonts w:ascii="Times New Roman" w:hAnsi="Times New Roman" w:eastAsia="Times New Roman" w:cs="Times New Roman"/>
                <w:color w:val="auto"/>
                <w:spacing w:val="-5"/>
                <w:sz w:val="21"/>
                <w:szCs w:val="21"/>
              </w:rPr>
              <w:t>1,2-</w:t>
            </w:r>
            <w:r>
              <w:rPr>
                <w:rFonts w:ascii="宋体" w:hAnsi="宋体" w:eastAsia="宋体" w:cs="宋体"/>
                <w:color w:val="auto"/>
                <w:spacing w:val="-5"/>
                <w:sz w:val="21"/>
                <w:szCs w:val="21"/>
              </w:rPr>
              <w:t>二氯乙烯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1.4(L)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1.4(L)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1.4</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1.4</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二氯甲烷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514</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515</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445</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506</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1,2-</w:t>
            </w:r>
            <w:r>
              <w:rPr>
                <w:rFonts w:ascii="宋体" w:hAnsi="宋体" w:eastAsia="宋体" w:cs="宋体"/>
                <w:color w:val="auto"/>
                <w:spacing w:val="-4"/>
                <w:sz w:val="21"/>
                <w:szCs w:val="21"/>
              </w:rPr>
              <w:t>二氯丙烷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99"/>
                <w:sz w:val="21"/>
                <w:szCs w:val="21"/>
              </w:rPr>
              <w:t>1.</w:t>
            </w:r>
            <w:r>
              <w:rPr>
                <w:rFonts w:ascii="Times New Roman" w:hAnsi="Times New Roman" w:eastAsia="Times New Roman" w:cs="Times New Roman"/>
                <w:color w:val="auto"/>
                <w:spacing w:val="-16"/>
                <w:sz w:val="21"/>
                <w:szCs w:val="21"/>
              </w:rPr>
              <w:t xml:space="preserve"> </w:t>
            </w:r>
            <w:r>
              <w:rPr>
                <w:rFonts w:ascii="Times New Roman" w:hAnsi="Times New Roman" w:eastAsia="Times New Roman" w:cs="Times New Roman"/>
                <w:color w:val="auto"/>
                <w:spacing w:val="4"/>
                <w:w w:val="99"/>
                <w:sz w:val="21"/>
                <w:szCs w:val="21"/>
              </w:rPr>
              <w:t>1(L)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sz w:val="21"/>
                <w:szCs w:val="21"/>
              </w:rPr>
              <w:t>1(L)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w:t>
            </w:r>
            <w:r>
              <w:rPr>
                <w:rFonts w:ascii="Times New Roman" w:hAnsi="Times New Roman" w:eastAsia="Times New Roman" w:cs="Times New Roman"/>
                <w:color w:val="auto"/>
                <w:spacing w:val="-15"/>
                <w:sz w:val="21"/>
                <w:szCs w:val="21"/>
              </w:rPr>
              <w:t xml:space="preserve"> </w:t>
            </w:r>
            <w:r>
              <w:rPr>
                <w:rFonts w:ascii="Times New Roman" w:hAnsi="Times New Roman" w:eastAsia="Times New Roman" w:cs="Times New Roman"/>
                <w:color w:val="auto"/>
                <w:spacing w:val="-2"/>
                <w:sz w:val="21"/>
                <w:szCs w:val="21"/>
              </w:rPr>
              <w:t>1</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2"/>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2"/>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7"/>
                <w:sz w:val="21"/>
                <w:szCs w:val="21"/>
              </w:rPr>
              <w:t xml:space="preserve"> </w:t>
            </w: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sz w:val="21"/>
                <w:szCs w:val="21"/>
              </w:rPr>
              <w:t>（</w:t>
            </w:r>
            <w:r>
              <w:rPr>
                <w:rFonts w:ascii="Times New Roman" w:hAnsi="Times New Roman" w:eastAsia="Times New Roman" w:cs="Times New Roman"/>
                <w:color w:val="auto"/>
                <w:spacing w:val="4"/>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7"/>
                <w:sz w:val="21"/>
                <w:szCs w:val="21"/>
              </w:rPr>
              <w:t>1,</w:t>
            </w:r>
            <w:r>
              <w:rPr>
                <w:rFonts w:ascii="Times New Roman" w:hAnsi="Times New Roman" w:eastAsia="Times New Roman" w:cs="Times New Roman"/>
                <w:color w:val="auto"/>
                <w:spacing w:val="-24"/>
                <w:sz w:val="21"/>
                <w:szCs w:val="21"/>
              </w:rPr>
              <w:t xml:space="preserve"> </w:t>
            </w:r>
            <w:r>
              <w:rPr>
                <w:rFonts w:ascii="Times New Roman" w:hAnsi="Times New Roman" w:eastAsia="Times New Roman" w:cs="Times New Roman"/>
                <w:color w:val="auto"/>
                <w:spacing w:val="-5"/>
                <w:w w:val="97"/>
                <w:sz w:val="21"/>
                <w:szCs w:val="21"/>
              </w:rPr>
              <w:t>1,</w:t>
            </w:r>
            <w:r>
              <w:rPr>
                <w:rFonts w:ascii="Times New Roman" w:hAnsi="Times New Roman" w:eastAsia="Times New Roman" w:cs="Times New Roman"/>
                <w:color w:val="auto"/>
                <w:spacing w:val="-27"/>
                <w:sz w:val="21"/>
                <w:szCs w:val="21"/>
              </w:rPr>
              <w:t xml:space="preserve"> </w:t>
            </w:r>
            <w:r>
              <w:rPr>
                <w:rFonts w:ascii="Times New Roman" w:hAnsi="Times New Roman" w:eastAsia="Times New Roman" w:cs="Times New Roman"/>
                <w:color w:val="auto"/>
                <w:spacing w:val="-5"/>
                <w:w w:val="97"/>
                <w:sz w:val="21"/>
                <w:szCs w:val="21"/>
              </w:rPr>
              <w:t>1,2-</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5"/>
                <w:w w:val="97"/>
                <w:sz w:val="21"/>
                <w:szCs w:val="21"/>
              </w:rPr>
              <w:t>四氯乙烷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1.2</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8"/>
                <w:sz w:val="21"/>
                <w:szCs w:val="21"/>
              </w:rPr>
              <w:t>1,</w:t>
            </w:r>
            <w:r>
              <w:rPr>
                <w:rFonts w:ascii="Times New Roman" w:hAnsi="Times New Roman" w:eastAsia="Times New Roman" w:cs="Times New Roman"/>
                <w:color w:val="auto"/>
                <w:spacing w:val="-14"/>
                <w:sz w:val="21"/>
                <w:szCs w:val="21"/>
              </w:rPr>
              <w:t xml:space="preserve"> </w:t>
            </w:r>
            <w:r>
              <w:rPr>
                <w:rFonts w:ascii="Times New Roman" w:hAnsi="Times New Roman" w:eastAsia="Times New Roman" w:cs="Times New Roman"/>
                <w:color w:val="auto"/>
                <w:spacing w:val="-5"/>
                <w:w w:val="98"/>
                <w:sz w:val="21"/>
                <w:szCs w:val="21"/>
              </w:rPr>
              <w:t>1,2,2-</w:t>
            </w:r>
            <w:r>
              <w:rPr>
                <w:rFonts w:ascii="Times New Roman" w:hAnsi="Times New Roman" w:eastAsia="Times New Roman" w:cs="Times New Roman"/>
                <w:color w:val="auto"/>
                <w:spacing w:val="-29"/>
                <w:sz w:val="21"/>
                <w:szCs w:val="21"/>
              </w:rPr>
              <w:t xml:space="preserve"> </w:t>
            </w:r>
            <w:r>
              <w:rPr>
                <w:rFonts w:ascii="宋体" w:hAnsi="宋体" w:eastAsia="宋体" w:cs="宋体"/>
                <w:color w:val="auto"/>
                <w:spacing w:val="-5"/>
                <w:w w:val="98"/>
                <w:sz w:val="21"/>
                <w:szCs w:val="21"/>
              </w:rPr>
              <w:t>四氯乙烷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1.4</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1.4</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8"/>
                <w:sz w:val="21"/>
                <w:szCs w:val="21"/>
              </w:rPr>
              <w:t>四氯乙烯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25.8</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25.9</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12.8</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14.6</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8"/>
                <w:sz w:val="21"/>
                <w:szCs w:val="21"/>
              </w:rPr>
              <w:t>1,</w:t>
            </w:r>
            <w:r>
              <w:rPr>
                <w:rFonts w:ascii="Times New Roman" w:hAnsi="Times New Roman" w:eastAsia="Times New Roman" w:cs="Times New Roman"/>
                <w:color w:val="auto"/>
                <w:spacing w:val="-27"/>
                <w:sz w:val="21"/>
                <w:szCs w:val="21"/>
              </w:rPr>
              <w:t xml:space="preserve"> </w:t>
            </w:r>
            <w:r>
              <w:rPr>
                <w:rFonts w:ascii="Times New Roman" w:hAnsi="Times New Roman" w:eastAsia="Times New Roman" w:cs="Times New Roman"/>
                <w:color w:val="auto"/>
                <w:spacing w:val="-5"/>
                <w:w w:val="98"/>
                <w:sz w:val="21"/>
                <w:szCs w:val="21"/>
              </w:rPr>
              <w:t>1,</w:t>
            </w:r>
            <w:r>
              <w:rPr>
                <w:rFonts w:ascii="Times New Roman" w:hAnsi="Times New Roman" w:eastAsia="Times New Roman" w:cs="Times New Roman"/>
                <w:color w:val="auto"/>
                <w:spacing w:val="-28"/>
                <w:sz w:val="21"/>
                <w:szCs w:val="21"/>
              </w:rPr>
              <w:t xml:space="preserve"> </w:t>
            </w:r>
            <w:r>
              <w:rPr>
                <w:rFonts w:ascii="Times New Roman" w:hAnsi="Times New Roman" w:eastAsia="Times New Roman" w:cs="Times New Roman"/>
                <w:color w:val="auto"/>
                <w:spacing w:val="-5"/>
                <w:w w:val="98"/>
                <w:sz w:val="21"/>
                <w:szCs w:val="21"/>
              </w:rPr>
              <w:t>1-</w:t>
            </w:r>
            <w:r>
              <w:rPr>
                <w:rFonts w:ascii="宋体" w:hAnsi="宋体" w:eastAsia="宋体" w:cs="宋体"/>
                <w:color w:val="auto"/>
                <w:spacing w:val="-5"/>
                <w:w w:val="98"/>
                <w:sz w:val="21"/>
                <w:szCs w:val="21"/>
              </w:rPr>
              <w:t>三氯乙烷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1.3</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1.3</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5"/>
                <w:w w:val="99"/>
                <w:sz w:val="21"/>
                <w:szCs w:val="21"/>
              </w:rPr>
              <w:t>1,</w:t>
            </w:r>
            <w:r>
              <w:rPr>
                <w:rFonts w:ascii="Times New Roman" w:hAnsi="Times New Roman" w:eastAsia="Times New Roman" w:cs="Times New Roman"/>
                <w:color w:val="auto"/>
                <w:spacing w:val="-15"/>
                <w:sz w:val="21"/>
                <w:szCs w:val="21"/>
              </w:rPr>
              <w:t xml:space="preserve"> </w:t>
            </w:r>
            <w:r>
              <w:rPr>
                <w:rFonts w:ascii="Times New Roman" w:hAnsi="Times New Roman" w:eastAsia="Times New Roman" w:cs="Times New Roman"/>
                <w:color w:val="auto"/>
                <w:spacing w:val="-5"/>
                <w:w w:val="99"/>
                <w:sz w:val="21"/>
                <w:szCs w:val="21"/>
              </w:rPr>
              <w:t>1,2-</w:t>
            </w:r>
            <w:r>
              <w:rPr>
                <w:rFonts w:ascii="宋体" w:hAnsi="宋体" w:eastAsia="宋体" w:cs="宋体"/>
                <w:color w:val="auto"/>
                <w:spacing w:val="-5"/>
                <w:w w:val="99"/>
                <w:sz w:val="21"/>
                <w:szCs w:val="21"/>
              </w:rPr>
              <w:t>三氯乙烷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1.2</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三氯乙烯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5.8</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5.1</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5.4</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6.1</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3"/>
                <w:sz w:val="21"/>
                <w:szCs w:val="21"/>
              </w:rPr>
              <w:t>1,2,3-</w:t>
            </w:r>
            <w:r>
              <w:rPr>
                <w:rFonts w:ascii="宋体" w:hAnsi="宋体" w:eastAsia="宋体" w:cs="宋体"/>
                <w:color w:val="auto"/>
                <w:spacing w:val="-3"/>
                <w:sz w:val="21"/>
                <w:szCs w:val="21"/>
              </w:rPr>
              <w:t>三氯丙烷</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42.2</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22.3</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30.3</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34.5</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2"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氯乙烯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1.0</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1.0</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3.6</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3.6</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2.6</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3.0</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氯苯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1.2</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1.2</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1,2-</w:t>
            </w:r>
            <w:r>
              <w:rPr>
                <w:rFonts w:ascii="宋体" w:hAnsi="宋体" w:eastAsia="宋体" w:cs="宋体"/>
                <w:color w:val="auto"/>
                <w:spacing w:val="-4"/>
                <w:sz w:val="21"/>
                <w:szCs w:val="21"/>
              </w:rPr>
              <w:t>二氯苯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1.5</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1,4-</w:t>
            </w:r>
            <w:r>
              <w:rPr>
                <w:rFonts w:ascii="宋体" w:hAnsi="宋体" w:eastAsia="宋体" w:cs="宋体"/>
                <w:color w:val="auto"/>
                <w:spacing w:val="-4"/>
                <w:sz w:val="21"/>
                <w:szCs w:val="21"/>
              </w:rPr>
              <w:t>二氯苯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1.5</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3"/>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3"/>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5"/>
                <w:sz w:val="21"/>
                <w:szCs w:val="21"/>
              </w:rPr>
              <w:t>1.5</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w w:val="105"/>
                <w:sz w:val="21"/>
                <w:szCs w:val="21"/>
              </w:rPr>
              <w:t>（</w:t>
            </w:r>
            <w:r>
              <w:rPr>
                <w:rFonts w:ascii="Times New Roman" w:hAnsi="Times New Roman" w:eastAsia="Times New Roman" w:cs="Times New Roman"/>
                <w:color w:val="auto"/>
                <w:spacing w:val="4"/>
                <w:w w:val="105"/>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4"/>
                <w:sz w:val="21"/>
                <w:szCs w:val="21"/>
              </w:rPr>
              <w:t>乙苯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2.4</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2.4</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2.6</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3.1</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苯乙烯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99"/>
                <w:sz w:val="21"/>
                <w:szCs w:val="21"/>
              </w:rPr>
              <w:t>1.</w:t>
            </w:r>
            <w:r>
              <w:rPr>
                <w:rFonts w:ascii="Times New Roman" w:hAnsi="Times New Roman" w:eastAsia="Times New Roman" w:cs="Times New Roman"/>
                <w:color w:val="auto"/>
                <w:spacing w:val="-16"/>
                <w:sz w:val="21"/>
                <w:szCs w:val="21"/>
              </w:rPr>
              <w:t xml:space="preserve"> </w:t>
            </w:r>
            <w:r>
              <w:rPr>
                <w:rFonts w:ascii="Times New Roman" w:hAnsi="Times New Roman" w:eastAsia="Times New Roman" w:cs="Times New Roman"/>
                <w:color w:val="auto"/>
                <w:spacing w:val="4"/>
                <w:w w:val="99"/>
                <w:sz w:val="21"/>
                <w:szCs w:val="21"/>
              </w:rPr>
              <w:t>1(L)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sz w:val="21"/>
                <w:szCs w:val="21"/>
              </w:rPr>
              <w:t>1(L)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w:t>
            </w:r>
            <w:r>
              <w:rPr>
                <w:rFonts w:ascii="Times New Roman" w:hAnsi="Times New Roman" w:eastAsia="Times New Roman" w:cs="Times New Roman"/>
                <w:color w:val="auto"/>
                <w:spacing w:val="-15"/>
                <w:sz w:val="21"/>
                <w:szCs w:val="21"/>
              </w:rPr>
              <w:t xml:space="preserve"> </w:t>
            </w:r>
            <w:r>
              <w:rPr>
                <w:rFonts w:ascii="Times New Roman" w:hAnsi="Times New Roman" w:eastAsia="Times New Roman" w:cs="Times New Roman"/>
                <w:color w:val="auto"/>
                <w:spacing w:val="-2"/>
                <w:sz w:val="21"/>
                <w:szCs w:val="21"/>
              </w:rPr>
              <w:t>1</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2"/>
                <w:sz w:val="21"/>
                <w:szCs w:val="21"/>
              </w:rPr>
              <w:t>（</w:t>
            </w:r>
            <w:r>
              <w:rPr>
                <w:rFonts w:ascii="宋体" w:hAnsi="宋体" w:eastAsia="宋体" w:cs="宋体"/>
                <w:color w:val="auto"/>
                <w:spacing w:val="-53"/>
                <w:sz w:val="21"/>
                <w:szCs w:val="21"/>
              </w:rPr>
              <w:t xml:space="preserve"> </w:t>
            </w:r>
            <w:r>
              <w:rPr>
                <w:rFonts w:ascii="Times New Roman" w:hAnsi="Times New Roman" w:eastAsia="Times New Roman" w:cs="Times New Roman"/>
                <w:color w:val="auto"/>
                <w:spacing w:val="-2"/>
                <w:sz w:val="21"/>
                <w:szCs w:val="21"/>
              </w:rPr>
              <w:t>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17"/>
                <w:sz w:val="21"/>
                <w:szCs w:val="21"/>
              </w:rPr>
              <w:t xml:space="preserve"> </w:t>
            </w:r>
            <w:r>
              <w:rPr>
                <w:rFonts w:ascii="Times New Roman" w:hAnsi="Times New Roman" w:eastAsia="Times New Roman" w:cs="Times New Roman"/>
                <w:color w:val="auto"/>
                <w:spacing w:val="4"/>
                <w:sz w:val="21"/>
                <w:szCs w:val="21"/>
              </w:rPr>
              <w:t>1</w:t>
            </w:r>
            <w:r>
              <w:rPr>
                <w:rFonts w:ascii="Times New Roman" w:hAnsi="Times New Roman" w:eastAsia="Times New Roman" w:cs="Times New Roman"/>
                <w:color w:val="auto"/>
                <w:spacing w:val="-30"/>
                <w:sz w:val="21"/>
                <w:szCs w:val="21"/>
              </w:rPr>
              <w:t xml:space="preserve"> </w:t>
            </w:r>
            <w:r>
              <w:rPr>
                <w:rFonts w:ascii="宋体" w:hAnsi="宋体" w:eastAsia="宋体" w:cs="宋体"/>
                <w:color w:val="auto"/>
                <w:spacing w:val="4"/>
                <w:sz w:val="21"/>
                <w:szCs w:val="21"/>
              </w:rPr>
              <w:t>（</w:t>
            </w:r>
            <w:r>
              <w:rPr>
                <w:rFonts w:ascii="Times New Roman" w:hAnsi="Times New Roman" w:eastAsia="Times New Roman" w:cs="Times New Roman"/>
                <w:color w:val="auto"/>
                <w:spacing w:val="4"/>
                <w:sz w:val="21"/>
                <w:szCs w:val="21"/>
              </w:rPr>
              <w:t>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9"/>
                <w:sz w:val="21"/>
                <w:szCs w:val="21"/>
              </w:rPr>
              <w:t>甲苯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14.5</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11.5</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12.5</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11.9</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0"/>
                <w:w w:val="108"/>
                <w:sz w:val="21"/>
                <w:szCs w:val="21"/>
              </w:rPr>
              <w:t>间</w:t>
            </w:r>
            <w:r>
              <w:rPr>
                <w:rFonts w:ascii="Times New Roman" w:hAnsi="Times New Roman" w:eastAsia="Times New Roman" w:cs="Times New Roman"/>
                <w:color w:val="auto"/>
                <w:spacing w:val="10"/>
                <w:w w:val="108"/>
                <w:sz w:val="21"/>
                <w:szCs w:val="21"/>
              </w:rPr>
              <w:t>+</w:t>
            </w:r>
            <w:r>
              <w:rPr>
                <w:rFonts w:ascii="宋体" w:hAnsi="宋体" w:eastAsia="宋体" w:cs="宋体"/>
                <w:color w:val="auto"/>
                <w:spacing w:val="10"/>
                <w:w w:val="108"/>
                <w:sz w:val="21"/>
                <w:szCs w:val="21"/>
              </w:rPr>
              <w:t>对二甲苯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2"/>
                <w:sz w:val="21"/>
                <w:szCs w:val="21"/>
              </w:rPr>
              <w:t>2.1</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2"/>
                <w:sz w:val="21"/>
                <w:szCs w:val="21"/>
              </w:rPr>
              <w:t>2.1</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sz w:val="21"/>
                <w:szCs w:val="21"/>
              </w:rPr>
              <w:t>1.5</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1.7</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邻二甲苯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99"/>
                <w:sz w:val="21"/>
                <w:szCs w:val="21"/>
              </w:rPr>
              <w:t>10.2</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6.2</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7.4</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8.3</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7"/>
                <w:sz w:val="21"/>
                <w:szCs w:val="21"/>
              </w:rPr>
              <w:t>μg/kg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硝基苯</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0.09(L)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6"/>
                <w:sz w:val="21"/>
                <w:szCs w:val="21"/>
              </w:rPr>
              <w:t>2</w:t>
            </w:r>
            <w:r>
              <w:rPr>
                <w:rFonts w:ascii="Times New Roman" w:hAnsi="Times New Roman" w:eastAsia="Times New Roman" w:cs="Times New Roman"/>
                <w:color w:val="auto"/>
                <w:spacing w:val="-25"/>
                <w:sz w:val="21"/>
                <w:szCs w:val="21"/>
              </w:rPr>
              <w:t xml:space="preserve"> </w:t>
            </w:r>
            <w:r>
              <w:rPr>
                <w:rFonts w:ascii="Times New Roman" w:hAnsi="Times New Roman" w:eastAsia="Times New Roman" w:cs="Times New Roman"/>
                <w:color w:val="auto"/>
                <w:spacing w:val="-6"/>
                <w:sz w:val="21"/>
                <w:szCs w:val="21"/>
              </w:rPr>
              <w:t>-</w:t>
            </w:r>
            <w:r>
              <w:rPr>
                <w:rFonts w:ascii="Times New Roman" w:hAnsi="Times New Roman" w:eastAsia="Times New Roman" w:cs="Times New Roman"/>
                <w:color w:val="auto"/>
                <w:spacing w:val="-17"/>
                <w:sz w:val="21"/>
                <w:szCs w:val="21"/>
              </w:rPr>
              <w:t xml:space="preserve"> </w:t>
            </w:r>
            <w:r>
              <w:rPr>
                <w:rFonts w:ascii="宋体" w:hAnsi="宋体" w:eastAsia="宋体" w:cs="宋体"/>
                <w:color w:val="auto"/>
                <w:spacing w:val="-6"/>
                <w:sz w:val="21"/>
                <w:szCs w:val="21"/>
              </w:rPr>
              <w:t>氯苯酚</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0.04(L)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0.04(L)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2.98</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2.51</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2"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苯胺</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0.02(L)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0.02(L)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0.02(L)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10"/>
                <w:sz w:val="21"/>
                <w:szCs w:val="21"/>
              </w:rPr>
              <w:t>0.02(L)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sz w:val="21"/>
                <w:szCs w:val="21"/>
              </w:rPr>
              <w:t>苯并</w:t>
            </w:r>
            <w:r>
              <w:rPr>
                <w:rFonts w:ascii="Times New Roman" w:hAnsi="Times New Roman" w:eastAsia="Times New Roman" w:cs="Times New Roman"/>
                <w:color w:val="auto"/>
                <w:spacing w:val="18"/>
                <w:sz w:val="21"/>
                <w:szCs w:val="21"/>
              </w:rPr>
              <w:t>(a)</w:t>
            </w:r>
            <w:r>
              <w:rPr>
                <w:rFonts w:ascii="宋体" w:hAnsi="宋体" w:eastAsia="宋体" w:cs="宋体"/>
                <w:color w:val="auto"/>
                <w:spacing w:val="18"/>
                <w:sz w:val="21"/>
                <w:szCs w:val="21"/>
              </w:rPr>
              <w:t>蒽</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䓛</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sz w:val="21"/>
                <w:szCs w:val="21"/>
              </w:rPr>
              <w:t>苯并</w:t>
            </w:r>
            <w:r>
              <w:rPr>
                <w:rFonts w:ascii="Times New Roman" w:hAnsi="Times New Roman" w:eastAsia="Times New Roman" w:cs="Times New Roman"/>
                <w:color w:val="auto"/>
                <w:spacing w:val="18"/>
                <w:sz w:val="21"/>
                <w:szCs w:val="21"/>
              </w:rPr>
              <w:t>(b)</w:t>
            </w:r>
            <w:r>
              <w:rPr>
                <w:rFonts w:ascii="Times New Roman" w:hAnsi="Times New Roman" w:eastAsia="Times New Roman" w:cs="Times New Roman"/>
                <w:color w:val="auto"/>
                <w:spacing w:val="14"/>
                <w:w w:val="101"/>
                <w:sz w:val="21"/>
                <w:szCs w:val="21"/>
              </w:rPr>
              <w:t xml:space="preserve">  </w:t>
            </w:r>
            <w:r>
              <w:rPr>
                <w:rFonts w:ascii="宋体" w:hAnsi="宋体" w:eastAsia="宋体" w:cs="宋体"/>
                <w:color w:val="auto"/>
                <w:spacing w:val="18"/>
                <w:sz w:val="21"/>
                <w:szCs w:val="21"/>
              </w:rPr>
              <w:t>荧蒽</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0.2(L)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0.2(L)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0.2(L)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9"/>
                <w:sz w:val="21"/>
                <w:szCs w:val="21"/>
              </w:rPr>
              <w:t>0.2(L)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w w:val="101"/>
                <w:sz w:val="21"/>
                <w:szCs w:val="21"/>
              </w:rPr>
              <w:t>苯并</w:t>
            </w:r>
            <w:r>
              <w:rPr>
                <w:rFonts w:ascii="Times New Roman" w:hAnsi="Times New Roman" w:eastAsia="Times New Roman" w:cs="Times New Roman"/>
                <w:color w:val="auto"/>
                <w:spacing w:val="18"/>
                <w:w w:val="101"/>
                <w:sz w:val="21"/>
                <w:szCs w:val="21"/>
              </w:rPr>
              <w:t>(k)</w:t>
            </w:r>
            <w:r>
              <w:rPr>
                <w:rFonts w:ascii="宋体" w:hAnsi="宋体" w:eastAsia="宋体" w:cs="宋体"/>
                <w:color w:val="auto"/>
                <w:spacing w:val="18"/>
                <w:w w:val="101"/>
                <w:sz w:val="21"/>
                <w:szCs w:val="21"/>
              </w:rPr>
              <w:t>荧蒽</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sz w:val="21"/>
                <w:szCs w:val="21"/>
              </w:rPr>
              <w:t>苯并</w:t>
            </w:r>
            <w:r>
              <w:rPr>
                <w:rFonts w:ascii="Times New Roman" w:hAnsi="Times New Roman" w:eastAsia="Times New Roman" w:cs="Times New Roman"/>
                <w:color w:val="auto"/>
                <w:spacing w:val="18"/>
                <w:sz w:val="21"/>
                <w:szCs w:val="21"/>
              </w:rPr>
              <w:t>(a)</w:t>
            </w:r>
            <w:r>
              <w:rPr>
                <w:rFonts w:ascii="宋体" w:hAnsi="宋体" w:eastAsia="宋体" w:cs="宋体"/>
                <w:color w:val="auto"/>
                <w:spacing w:val="18"/>
                <w:sz w:val="21"/>
                <w:szCs w:val="21"/>
              </w:rPr>
              <w:t>芘</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4"/>
                <w:w w:val="101"/>
                <w:sz w:val="21"/>
                <w:szCs w:val="21"/>
              </w:rPr>
              <w:t>茚并</w:t>
            </w:r>
            <w:r>
              <w:rPr>
                <w:rFonts w:ascii="Times New Roman" w:hAnsi="Times New Roman" w:eastAsia="Times New Roman" w:cs="Times New Roman"/>
                <w:color w:val="auto"/>
                <w:spacing w:val="14"/>
                <w:w w:val="101"/>
                <w:sz w:val="21"/>
                <w:szCs w:val="21"/>
              </w:rPr>
              <w:t>(1,2,3-cd)</w:t>
            </w:r>
            <w:r>
              <w:rPr>
                <w:rFonts w:ascii="宋体" w:hAnsi="宋体" w:eastAsia="宋体" w:cs="宋体"/>
                <w:color w:val="auto"/>
                <w:spacing w:val="14"/>
                <w:w w:val="101"/>
                <w:sz w:val="21"/>
                <w:szCs w:val="21"/>
              </w:rPr>
              <w:t>芘</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8"/>
                <w:sz w:val="21"/>
                <w:szCs w:val="21"/>
              </w:rPr>
              <w:t>二苯并</w:t>
            </w:r>
            <w:r>
              <w:rPr>
                <w:rFonts w:ascii="Times New Roman" w:hAnsi="Times New Roman" w:eastAsia="Times New Roman" w:cs="Times New Roman"/>
                <w:color w:val="auto"/>
                <w:spacing w:val="18"/>
                <w:sz w:val="21"/>
                <w:szCs w:val="21"/>
              </w:rPr>
              <w:t>(a,h)</w:t>
            </w:r>
            <w:r>
              <w:rPr>
                <w:rFonts w:ascii="宋体" w:hAnsi="宋体" w:eastAsia="宋体" w:cs="宋体"/>
                <w:color w:val="auto"/>
                <w:spacing w:val="18"/>
                <w:sz w:val="21"/>
                <w:szCs w:val="21"/>
              </w:rPr>
              <w:t>蒽</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3"/>
                <w:sz w:val="21"/>
                <w:szCs w:val="21"/>
              </w:rPr>
              <w:t>0.</w:t>
            </w:r>
            <w:r>
              <w:rPr>
                <w:rFonts w:ascii="Times New Roman" w:hAnsi="Times New Roman" w:eastAsia="Times New Roman" w:cs="Times New Roman"/>
                <w:color w:val="auto"/>
                <w:spacing w:val="-18"/>
                <w:sz w:val="21"/>
                <w:szCs w:val="21"/>
              </w:rPr>
              <w:t xml:space="preserve"> </w:t>
            </w:r>
            <w:r>
              <w:rPr>
                <w:rFonts w:ascii="Times New Roman" w:hAnsi="Times New Roman" w:eastAsia="Times New Roman" w:cs="Times New Roman"/>
                <w:color w:val="auto"/>
                <w:spacing w:val="4"/>
                <w:w w:val="103"/>
                <w:sz w:val="21"/>
                <w:szCs w:val="21"/>
              </w:rPr>
              <w:t>1(L)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w:t>
            </w:r>
            <w:r>
              <w:rPr>
                <w:rFonts w:ascii="Times New Roman" w:hAnsi="Times New Roman" w:eastAsia="Times New Roman" w:cs="Times New Roman"/>
                <w:color w:val="auto"/>
                <w:spacing w:val="-20"/>
                <w:sz w:val="21"/>
                <w:szCs w:val="21"/>
              </w:rPr>
              <w:t xml:space="preserve"> </w:t>
            </w:r>
            <w:r>
              <w:rPr>
                <w:rFonts w:ascii="Times New Roman" w:hAnsi="Times New Roman" w:eastAsia="Times New Roman" w:cs="Times New Roman"/>
                <w:color w:val="auto"/>
                <w:spacing w:val="4"/>
                <w:w w:val="104"/>
                <w:sz w:val="21"/>
                <w:szCs w:val="21"/>
              </w:rPr>
              <w:t>1(L)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10"/>
                <w:sz w:val="21"/>
                <w:szCs w:val="21"/>
              </w:rPr>
              <w:t>mg/kg</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PrEx>
        <w:trPr>
          <w:trHeight w:val="255" w:hRule="atLeast"/>
          <w:jc w:val="center"/>
        </w:trPr>
        <w:tc>
          <w:tcPr>
            <w:tcW w:w="7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Arial"/>
                <w:color w:val="auto"/>
                <w:sz w:val="21"/>
                <w:szCs w:val="21"/>
              </w:rPr>
            </w:pPr>
          </w:p>
        </w:tc>
        <w:tc>
          <w:tcPr>
            <w:tcW w:w="21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宋体" w:hAnsi="宋体" w:eastAsia="宋体" w:cs="宋体"/>
                <w:color w:val="auto"/>
                <w:sz w:val="21"/>
                <w:szCs w:val="21"/>
              </w:rPr>
            </w:pPr>
            <w:r>
              <w:rPr>
                <w:rFonts w:ascii="宋体" w:hAnsi="宋体" w:eastAsia="宋体" w:cs="宋体"/>
                <w:color w:val="auto"/>
                <w:sz w:val="21"/>
                <w:szCs w:val="21"/>
              </w:rPr>
              <w:t>萘</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0.09(L)</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0.09(L)</w:t>
            </w:r>
          </w:p>
        </w:tc>
        <w:tc>
          <w:tcPr>
            <w:tcW w:w="1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0.09(L)</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w w:val="104"/>
                <w:sz w:val="21"/>
                <w:szCs w:val="21"/>
              </w:rPr>
              <w:t>0.09(L)</w:t>
            </w:r>
          </w:p>
        </w:tc>
        <w:tc>
          <w:tcPr>
            <w:tcW w:w="10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w w:val="104"/>
                <w:sz w:val="21"/>
                <w:szCs w:val="21"/>
              </w:rPr>
              <w:t>mg/kg</w:t>
            </w:r>
          </w:p>
        </w:tc>
      </w:tr>
    </w:tbl>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表 3.1-1</w:t>
      </w:r>
      <w:r>
        <w:rPr>
          <w:rFonts w:hint="eastAsia" w:ascii="宋体" w:hAnsi="宋体" w:cs="宋体"/>
          <w:b/>
          <w:bCs/>
          <w:color w:val="000000" w:themeColor="text1"/>
          <w:kern w:val="0"/>
          <w:sz w:val="24"/>
          <w:szCs w:val="24"/>
          <w:lang w:val="en-US" w:eastAsia="zh-CN" w:bidi="ar"/>
          <w14:textFill>
            <w14:solidFill>
              <w14:schemeClr w14:val="tx1"/>
            </w14:solidFill>
          </w14:textFill>
        </w:rPr>
        <w:t>2</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 xml:space="preserve">    文溯街 16 号厂区及周边表层土壤检测结果一览表</w:t>
      </w:r>
    </w:p>
    <w:tbl>
      <w:tblPr>
        <w:tblStyle w:val="6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4"/>
        <w:gridCol w:w="1533"/>
        <w:gridCol w:w="1646"/>
        <w:gridCol w:w="1204"/>
        <w:gridCol w:w="2033"/>
        <w:gridCol w:w="1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采样日期</w:t>
            </w:r>
          </w:p>
        </w:tc>
        <w:tc>
          <w:tcPr>
            <w:tcW w:w="1533"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检测项目</w:t>
            </w:r>
          </w:p>
        </w:tc>
        <w:tc>
          <w:tcPr>
            <w:tcW w:w="4883" w:type="dxa"/>
            <w:gridSpan w:val="3"/>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检测结果</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default" w:ascii="宋体" w:hAnsi="宋体" w:eastAsia="宋体" w:cs="宋体"/>
                <w:b w:val="0"/>
                <w:bCs w:val="0"/>
                <w:color w:val="auto"/>
                <w:kern w:val="0"/>
                <w:sz w:val="21"/>
                <w:szCs w:val="21"/>
                <w:lang w:val="en-US" w:eastAsia="zh-CN" w:bidi="ar"/>
              </w:rPr>
            </w:pPr>
          </w:p>
        </w:tc>
        <w:tc>
          <w:tcPr>
            <w:tcW w:w="1533"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val="0"/>
                <w:bCs w:val="0"/>
                <w:color w:val="auto"/>
                <w:kern w:val="0"/>
                <w:sz w:val="21"/>
                <w:szCs w:val="21"/>
                <w:lang w:val="en-US" w:eastAsia="zh-CN" w:bidi="ar"/>
              </w:rPr>
            </w:pPr>
          </w:p>
        </w:tc>
        <w:tc>
          <w:tcPr>
            <w:tcW w:w="1646"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hint="eastAsia" w:eastAsia="宋体"/>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4#表</w:t>
            </w:r>
          </w:p>
        </w:tc>
        <w:tc>
          <w:tcPr>
            <w:tcW w:w="120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hint="eastAsia" w:eastAsia="宋体"/>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5#表</w:t>
            </w:r>
          </w:p>
        </w:tc>
        <w:tc>
          <w:tcPr>
            <w:tcW w:w="2033"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hint="eastAsia" w:eastAsia="宋体"/>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5#表</w:t>
            </w:r>
          </w:p>
        </w:tc>
        <w:tc>
          <w:tcPr>
            <w:tcW w:w="1090"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hint="eastAsia" w:eastAsia="宋体"/>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default" w:ascii="宋体" w:hAnsi="宋体" w:eastAsia="宋体" w:cs="宋体"/>
                <w:b w:val="0"/>
                <w:bCs w:val="0"/>
                <w:color w:val="auto"/>
                <w:kern w:val="0"/>
                <w:sz w:val="21"/>
                <w:szCs w:val="21"/>
                <w:lang w:val="en-US" w:eastAsia="zh-CN" w:bidi="ar"/>
              </w:rPr>
              <w:t>2020</w:t>
            </w:r>
            <w:r>
              <w:rPr>
                <w:rFonts w:hint="eastAsia" w:ascii="宋体" w:hAnsi="宋体" w:eastAsia="宋体" w:cs="宋体"/>
                <w:b w:val="0"/>
                <w:bCs w:val="0"/>
                <w:color w:val="auto"/>
                <w:kern w:val="0"/>
                <w:sz w:val="21"/>
                <w:szCs w:val="21"/>
                <w:lang w:val="en-US" w:eastAsia="zh-CN" w:bidi="ar"/>
              </w:rPr>
              <w:t>年</w:t>
            </w:r>
            <w:r>
              <w:rPr>
                <w:rFonts w:hint="default" w:ascii="宋体" w:hAnsi="宋体" w:eastAsia="宋体" w:cs="宋体"/>
                <w:b w:val="0"/>
                <w:bCs w:val="0"/>
                <w:color w:val="auto"/>
                <w:kern w:val="0"/>
                <w:sz w:val="21"/>
                <w:szCs w:val="21"/>
                <w:lang w:val="en-US" w:eastAsia="zh-CN" w:bidi="ar"/>
              </w:rPr>
              <w:t>05</w:t>
            </w:r>
            <w:r>
              <w:rPr>
                <w:rFonts w:hint="eastAsia" w:ascii="宋体" w:hAnsi="宋体" w:eastAsia="宋体" w:cs="宋体"/>
                <w:b w:val="0"/>
                <w:bCs w:val="0"/>
                <w:color w:val="auto"/>
                <w:kern w:val="0"/>
                <w:sz w:val="21"/>
                <w:szCs w:val="21"/>
                <w:lang w:val="en-US" w:eastAsia="zh-CN" w:bidi="ar"/>
              </w:rPr>
              <w:t>月</w:t>
            </w:r>
            <w:r>
              <w:rPr>
                <w:rFonts w:hint="default" w:ascii="宋体" w:hAnsi="宋体" w:eastAsia="宋体" w:cs="宋体"/>
                <w:b w:val="0"/>
                <w:bCs w:val="0"/>
                <w:color w:val="auto"/>
                <w:kern w:val="0"/>
                <w:sz w:val="21"/>
                <w:szCs w:val="21"/>
                <w:lang w:val="en-US" w:eastAsia="zh-CN" w:bidi="ar"/>
              </w:rPr>
              <w:t>23</w:t>
            </w:r>
            <w:r>
              <w:rPr>
                <w:rFonts w:hint="eastAsia" w:ascii="宋体" w:hAnsi="宋体" w:eastAsia="宋体" w:cs="宋体"/>
                <w:b w:val="0"/>
                <w:bCs w:val="0"/>
                <w:color w:val="auto"/>
                <w:kern w:val="0"/>
                <w:sz w:val="21"/>
                <w:szCs w:val="21"/>
                <w:lang w:val="en-US" w:eastAsia="zh-CN" w:bidi="ar"/>
              </w:rPr>
              <w:t>日</w:t>
            </w: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hint="default" w:eastAsia="宋体"/>
                <w:b w:val="0"/>
                <w:bCs w:val="0"/>
                <w:color w:val="auto"/>
                <w:sz w:val="21"/>
                <w:szCs w:val="21"/>
                <w:vertAlign w:val="baseline"/>
                <w:lang w:val="en-US" w:eastAsia="zh-CN"/>
              </w:rPr>
            </w:pPr>
            <w:r>
              <w:rPr>
                <w:rFonts w:hint="eastAsia"/>
                <w:b w:val="0"/>
                <w:bCs w:val="0"/>
                <w:color w:val="auto"/>
                <w:sz w:val="21"/>
                <w:szCs w:val="21"/>
                <w:vertAlign w:val="baseline"/>
                <w:lang w:val="en-US" w:eastAsia="zh-CN"/>
              </w:rPr>
              <w:t>7.38</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hint="default" w:eastAsia="宋体"/>
                <w:b w:val="0"/>
                <w:bCs w:val="0"/>
                <w:color w:val="auto"/>
                <w:sz w:val="21"/>
                <w:szCs w:val="21"/>
                <w:vertAlign w:val="baseline"/>
                <w:lang w:val="en-US" w:eastAsia="zh-CN"/>
              </w:rPr>
            </w:pPr>
            <w:r>
              <w:rPr>
                <w:rFonts w:ascii="Times New Roman" w:hAnsi="Times New Roman" w:eastAsia="Times New Roman" w:cs="Times New Roman"/>
                <w:b w:val="0"/>
                <w:bCs w:val="0"/>
                <w:color w:val="auto"/>
                <w:spacing w:val="-3"/>
                <w:sz w:val="21"/>
                <w:szCs w:val="21"/>
              </w:rPr>
              <w:t>6.52</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hint="default" w:eastAsia="宋体"/>
                <w:b w:val="0"/>
                <w:bCs w:val="0"/>
                <w:color w:val="auto"/>
                <w:sz w:val="21"/>
                <w:szCs w:val="21"/>
                <w:vertAlign w:val="baseline"/>
                <w:lang w:val="en-US" w:eastAsia="zh-CN"/>
              </w:rPr>
            </w:pPr>
            <w:r>
              <w:rPr>
                <w:rFonts w:ascii="Times New Roman" w:hAnsi="Times New Roman" w:eastAsia="Times New Roman" w:cs="Times New Roman"/>
                <w:b w:val="0"/>
                <w:bCs w:val="0"/>
                <w:color w:val="auto"/>
                <w:spacing w:val="-5"/>
                <w:sz w:val="21"/>
                <w:szCs w:val="21"/>
              </w:rPr>
              <w:t>11.2</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hint="eastAsia" w:eastAsia="宋体"/>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镉</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0.45</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0.42</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0.47</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六价铬</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2</w:t>
            </w:r>
            <w:r>
              <w:rPr>
                <w:rFonts w:ascii="Times New Roman" w:hAnsi="Times New Roman" w:eastAsia="Times New Roman" w:cs="Times New Roman"/>
                <w:b w:val="0"/>
                <w:bCs w:val="0"/>
                <w:color w:val="auto"/>
                <w:spacing w:val="-51"/>
                <w:sz w:val="21"/>
                <w:szCs w:val="21"/>
              </w:rPr>
              <w:t xml:space="preserve"> </w:t>
            </w:r>
            <w:r>
              <w:rPr>
                <w:rFonts w:ascii="宋体" w:hAnsi="宋体" w:eastAsia="宋体" w:cs="宋体"/>
                <w:b w:val="0"/>
                <w:bCs w:val="0"/>
                <w:color w:val="auto"/>
                <w:spacing w:val="-2"/>
                <w:sz w:val="21"/>
                <w:szCs w:val="21"/>
              </w:rPr>
              <w:t>（</w:t>
            </w:r>
            <w:r>
              <w:rPr>
                <w:rFonts w:ascii="Times New Roman" w:hAnsi="Times New Roman" w:eastAsia="Times New Roman" w:cs="Times New Roman"/>
                <w:b w:val="0"/>
                <w:bCs w:val="0"/>
                <w:color w:val="auto"/>
                <w:spacing w:val="-2"/>
                <w:sz w:val="21"/>
                <w:szCs w:val="21"/>
              </w:rPr>
              <w:t>L</w:t>
            </w:r>
            <w:r>
              <w:rPr>
                <w:rFonts w:ascii="宋体" w:hAnsi="宋体" w:eastAsia="宋体" w:cs="宋体"/>
                <w:b w:val="0"/>
                <w:bCs w:val="0"/>
                <w:color w:val="auto"/>
                <w:spacing w:val="-2"/>
                <w:sz w:val="21"/>
                <w:szCs w:val="21"/>
              </w:rPr>
              <w:t>）</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2</w:t>
            </w:r>
            <w:r>
              <w:rPr>
                <w:rFonts w:ascii="Times New Roman" w:hAnsi="Times New Roman" w:eastAsia="Times New Roman" w:cs="Times New Roman"/>
                <w:b w:val="0"/>
                <w:bCs w:val="0"/>
                <w:color w:val="auto"/>
                <w:spacing w:val="-51"/>
                <w:sz w:val="21"/>
                <w:szCs w:val="21"/>
              </w:rPr>
              <w:t xml:space="preserve"> </w:t>
            </w:r>
            <w:r>
              <w:rPr>
                <w:rFonts w:ascii="宋体" w:hAnsi="宋体" w:eastAsia="宋体" w:cs="宋体"/>
                <w:b w:val="0"/>
                <w:bCs w:val="0"/>
                <w:color w:val="auto"/>
                <w:spacing w:val="-2"/>
                <w:sz w:val="21"/>
                <w:szCs w:val="21"/>
              </w:rPr>
              <w:t>（</w:t>
            </w:r>
            <w:r>
              <w:rPr>
                <w:rFonts w:ascii="Times New Roman" w:hAnsi="Times New Roman" w:eastAsia="Times New Roman" w:cs="Times New Roman"/>
                <w:b w:val="0"/>
                <w:bCs w:val="0"/>
                <w:color w:val="auto"/>
                <w:spacing w:val="-2"/>
                <w:sz w:val="21"/>
                <w:szCs w:val="21"/>
              </w:rPr>
              <w:t>L</w:t>
            </w:r>
            <w:r>
              <w:rPr>
                <w:rFonts w:ascii="宋体" w:hAnsi="宋体" w:eastAsia="宋体" w:cs="宋体"/>
                <w:b w:val="0"/>
                <w:bCs w:val="0"/>
                <w:color w:val="auto"/>
                <w:spacing w:val="-2"/>
                <w:sz w:val="21"/>
                <w:szCs w:val="21"/>
              </w:rPr>
              <w:t>）</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2</w:t>
            </w:r>
            <w:r>
              <w:rPr>
                <w:rFonts w:ascii="Times New Roman" w:hAnsi="Times New Roman" w:eastAsia="Times New Roman" w:cs="Times New Roman"/>
                <w:b w:val="0"/>
                <w:bCs w:val="0"/>
                <w:color w:val="auto"/>
                <w:spacing w:val="-51"/>
                <w:sz w:val="21"/>
                <w:szCs w:val="21"/>
              </w:rPr>
              <w:t xml:space="preserve"> </w:t>
            </w:r>
            <w:r>
              <w:rPr>
                <w:rFonts w:ascii="宋体" w:hAnsi="宋体" w:eastAsia="宋体" w:cs="宋体"/>
                <w:b w:val="0"/>
                <w:bCs w:val="0"/>
                <w:color w:val="auto"/>
                <w:spacing w:val="-2"/>
                <w:sz w:val="21"/>
                <w:szCs w:val="21"/>
              </w:rPr>
              <w:t>（</w:t>
            </w:r>
            <w:r>
              <w:rPr>
                <w:rFonts w:ascii="Times New Roman" w:hAnsi="Times New Roman" w:eastAsia="Times New Roman" w:cs="Times New Roman"/>
                <w:b w:val="0"/>
                <w:bCs w:val="0"/>
                <w:color w:val="auto"/>
                <w:spacing w:val="-2"/>
                <w:sz w:val="21"/>
                <w:szCs w:val="21"/>
              </w:rPr>
              <w:t>L</w:t>
            </w:r>
            <w:r>
              <w:rPr>
                <w:rFonts w:ascii="宋体" w:hAnsi="宋体" w:eastAsia="宋体" w:cs="宋体"/>
                <w:b w:val="0"/>
                <w:bCs w:val="0"/>
                <w:color w:val="auto"/>
                <w:spacing w:val="-2"/>
                <w:sz w:val="21"/>
                <w:szCs w:val="21"/>
              </w:rPr>
              <w:t>）</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铜</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24</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20</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28</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铅</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24</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30</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34</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汞</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0.774</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0.651</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91"/>
                <w:sz w:val="21"/>
                <w:szCs w:val="21"/>
              </w:rPr>
              <w:t>1.</w:t>
            </w:r>
            <w:r>
              <w:rPr>
                <w:rFonts w:ascii="Times New Roman" w:hAnsi="Times New Roman" w:eastAsia="Times New Roman" w:cs="Times New Roman"/>
                <w:b w:val="0"/>
                <w:bCs w:val="0"/>
                <w:color w:val="auto"/>
                <w:spacing w:val="-25"/>
                <w:sz w:val="21"/>
                <w:szCs w:val="21"/>
              </w:rPr>
              <w:t xml:space="preserve"> </w:t>
            </w:r>
            <w:r>
              <w:rPr>
                <w:rFonts w:ascii="Times New Roman" w:hAnsi="Times New Roman" w:eastAsia="Times New Roman" w:cs="Times New Roman"/>
                <w:b w:val="0"/>
                <w:bCs w:val="0"/>
                <w:color w:val="auto"/>
                <w:spacing w:val="-4"/>
                <w:w w:val="91"/>
                <w:sz w:val="21"/>
                <w:szCs w:val="21"/>
              </w:rPr>
              <w:t>15</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镍</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41</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43</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45</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四氯化碳</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9.7</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9.8</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9.2</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氯仿</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48.</w:t>
            </w:r>
            <w:r>
              <w:rPr>
                <w:rFonts w:ascii="Times New Roman" w:hAnsi="Times New Roman" w:eastAsia="Times New Roman" w:cs="Times New Roman"/>
                <w:b w:val="0"/>
                <w:bCs w:val="0"/>
                <w:color w:val="auto"/>
                <w:spacing w:val="-29"/>
                <w:sz w:val="21"/>
                <w:szCs w:val="21"/>
              </w:rPr>
              <w:t xml:space="preserve"> </w:t>
            </w:r>
            <w:r>
              <w:rPr>
                <w:rFonts w:ascii="Times New Roman" w:hAnsi="Times New Roman" w:eastAsia="Times New Roman" w:cs="Times New Roman"/>
                <w:b w:val="0"/>
                <w:bCs w:val="0"/>
                <w:color w:val="auto"/>
                <w:spacing w:val="-1"/>
                <w:sz w:val="21"/>
                <w:szCs w:val="21"/>
              </w:rPr>
              <w:t>1</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48.</w:t>
            </w:r>
            <w:r>
              <w:rPr>
                <w:rFonts w:ascii="Times New Roman" w:hAnsi="Times New Roman" w:eastAsia="Times New Roman" w:cs="Times New Roman"/>
                <w:b w:val="0"/>
                <w:bCs w:val="0"/>
                <w:color w:val="auto"/>
                <w:spacing w:val="-29"/>
                <w:sz w:val="21"/>
                <w:szCs w:val="21"/>
              </w:rPr>
              <w:t xml:space="preserve"> </w:t>
            </w:r>
            <w:r>
              <w:rPr>
                <w:rFonts w:ascii="Times New Roman" w:hAnsi="Times New Roman" w:eastAsia="Times New Roman" w:cs="Times New Roman"/>
                <w:b w:val="0"/>
                <w:bCs w:val="0"/>
                <w:color w:val="auto"/>
                <w:spacing w:val="-1"/>
                <w:sz w:val="21"/>
                <w:szCs w:val="21"/>
              </w:rPr>
              <w:t>1</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45.</w:t>
            </w:r>
            <w:r>
              <w:rPr>
                <w:rFonts w:ascii="Times New Roman" w:hAnsi="Times New Roman" w:eastAsia="Times New Roman" w:cs="Times New Roman"/>
                <w:b w:val="0"/>
                <w:bCs w:val="0"/>
                <w:color w:val="auto"/>
                <w:spacing w:val="-24"/>
                <w:sz w:val="21"/>
                <w:szCs w:val="21"/>
              </w:rPr>
              <w:t xml:space="preserve"> </w:t>
            </w:r>
            <w:r>
              <w:rPr>
                <w:rFonts w:ascii="Times New Roman" w:hAnsi="Times New Roman" w:eastAsia="Times New Roman" w:cs="Times New Roman"/>
                <w:b w:val="0"/>
                <w:bCs w:val="0"/>
                <w:color w:val="auto"/>
                <w:spacing w:val="-1"/>
                <w:sz w:val="21"/>
                <w:szCs w:val="21"/>
              </w:rPr>
              <w:t>1</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氯甲烷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3.8</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3.5</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3.2</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default" w:ascii="Times New Roman" w:hAnsi="Times New Roman" w:eastAsia="宋体" w:cs="Times New Roman"/>
                <w:b w:val="0"/>
                <w:bCs w:val="0"/>
                <w:color w:val="auto"/>
                <w:kern w:val="0"/>
                <w:sz w:val="21"/>
                <w:szCs w:val="21"/>
                <w:lang w:val="en-US" w:eastAsia="zh-CN" w:bidi="ar"/>
              </w:rPr>
              <w:t>1,1-</w:t>
            </w:r>
            <w:r>
              <w:rPr>
                <w:rFonts w:hint="eastAsia" w:ascii="宋体" w:hAnsi="宋体" w:eastAsia="宋体" w:cs="宋体"/>
                <w:b w:val="0"/>
                <w:bCs w:val="0"/>
                <w:color w:val="auto"/>
                <w:kern w:val="0"/>
                <w:sz w:val="21"/>
                <w:szCs w:val="21"/>
                <w:lang w:val="en-US" w:eastAsia="zh-CN" w:bidi="ar"/>
              </w:rPr>
              <w:t>二氯乙烷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1.2</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1.2</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1.2</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default" w:ascii="Times New Roman" w:hAnsi="Times New Roman" w:eastAsia="宋体" w:cs="Times New Roman"/>
                <w:b w:val="0"/>
                <w:bCs w:val="0"/>
                <w:color w:val="auto"/>
                <w:kern w:val="0"/>
                <w:sz w:val="21"/>
                <w:szCs w:val="21"/>
                <w:lang w:val="en-US" w:eastAsia="zh-CN" w:bidi="ar"/>
              </w:rPr>
              <w:t>1,2-</w:t>
            </w:r>
            <w:r>
              <w:rPr>
                <w:rFonts w:hint="eastAsia" w:ascii="宋体" w:hAnsi="宋体" w:eastAsia="宋体" w:cs="宋体"/>
                <w:b w:val="0"/>
                <w:bCs w:val="0"/>
                <w:color w:val="auto"/>
                <w:kern w:val="0"/>
                <w:sz w:val="21"/>
                <w:szCs w:val="21"/>
                <w:lang w:val="en-US" w:eastAsia="zh-CN" w:bidi="ar"/>
              </w:rPr>
              <w:t>二氯乙烷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1.3</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1.3</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1.3</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default" w:ascii="Times New Roman" w:hAnsi="Times New Roman" w:eastAsia="宋体" w:cs="Times New Roman"/>
                <w:b w:val="0"/>
                <w:bCs w:val="0"/>
                <w:color w:val="auto"/>
                <w:kern w:val="0"/>
                <w:sz w:val="21"/>
                <w:szCs w:val="21"/>
                <w:lang w:val="en-US" w:eastAsia="zh-CN" w:bidi="ar"/>
              </w:rPr>
              <w:t>1,1-</w:t>
            </w:r>
            <w:r>
              <w:rPr>
                <w:rFonts w:hint="eastAsia" w:ascii="宋体" w:hAnsi="宋体" w:eastAsia="宋体" w:cs="宋体"/>
                <w:b w:val="0"/>
                <w:bCs w:val="0"/>
                <w:color w:val="auto"/>
                <w:kern w:val="0"/>
                <w:sz w:val="21"/>
                <w:szCs w:val="21"/>
                <w:lang w:val="en-US" w:eastAsia="zh-CN" w:bidi="ar"/>
              </w:rPr>
              <w:t>二氯乙烯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1.0</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1.0</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1.0</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 xml:space="preserve">顺 </w:t>
            </w:r>
            <w:r>
              <w:rPr>
                <w:rFonts w:hint="default" w:ascii="Times New Roman" w:hAnsi="Times New Roman" w:eastAsia="宋体" w:cs="Times New Roman"/>
                <w:b w:val="0"/>
                <w:bCs w:val="0"/>
                <w:color w:val="auto"/>
                <w:kern w:val="0"/>
                <w:sz w:val="21"/>
                <w:szCs w:val="21"/>
                <w:lang w:val="en-US" w:eastAsia="zh-CN" w:bidi="ar"/>
              </w:rPr>
              <w:t>1,2-</w:t>
            </w:r>
            <w:r>
              <w:rPr>
                <w:rFonts w:hint="eastAsia" w:ascii="宋体" w:hAnsi="宋体" w:eastAsia="宋体" w:cs="宋体"/>
                <w:b w:val="0"/>
                <w:bCs w:val="0"/>
                <w:color w:val="auto"/>
                <w:kern w:val="0"/>
                <w:sz w:val="21"/>
                <w:szCs w:val="21"/>
                <w:lang w:val="en-US" w:eastAsia="zh-CN" w:bidi="ar"/>
              </w:rPr>
              <w:t>二氯乙烯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1.3</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1.3</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1.3</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 xml:space="preserve">反 </w:t>
            </w:r>
            <w:r>
              <w:rPr>
                <w:rFonts w:hint="default" w:ascii="Times New Roman" w:hAnsi="Times New Roman" w:eastAsia="宋体" w:cs="Times New Roman"/>
                <w:b w:val="0"/>
                <w:bCs w:val="0"/>
                <w:color w:val="auto"/>
                <w:kern w:val="0"/>
                <w:sz w:val="21"/>
                <w:szCs w:val="21"/>
                <w:lang w:val="en-US" w:eastAsia="zh-CN" w:bidi="ar"/>
              </w:rPr>
              <w:t>1,2-</w:t>
            </w:r>
            <w:r>
              <w:rPr>
                <w:rFonts w:hint="eastAsia" w:ascii="宋体" w:hAnsi="宋体" w:eastAsia="宋体" w:cs="宋体"/>
                <w:b w:val="0"/>
                <w:bCs w:val="0"/>
                <w:color w:val="auto"/>
                <w:kern w:val="0"/>
                <w:sz w:val="21"/>
                <w:szCs w:val="21"/>
                <w:lang w:val="en-US" w:eastAsia="zh-CN" w:bidi="ar"/>
              </w:rPr>
              <w:t>二氯乙烯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1.4</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1.4</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1.4</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二氯甲烷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453</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450</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422</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default" w:ascii="Times New Roman" w:hAnsi="Times New Roman" w:eastAsia="宋体" w:cs="Times New Roman"/>
                <w:b w:val="0"/>
                <w:bCs w:val="0"/>
                <w:color w:val="auto"/>
                <w:kern w:val="0"/>
                <w:sz w:val="21"/>
                <w:szCs w:val="21"/>
                <w:lang w:val="en-US" w:eastAsia="zh-CN" w:bidi="ar"/>
              </w:rPr>
              <w:t>1,2-</w:t>
            </w:r>
            <w:r>
              <w:rPr>
                <w:rFonts w:hint="eastAsia" w:ascii="宋体" w:hAnsi="宋体" w:eastAsia="宋体" w:cs="宋体"/>
                <w:b w:val="0"/>
                <w:bCs w:val="0"/>
                <w:color w:val="auto"/>
                <w:kern w:val="0"/>
                <w:sz w:val="21"/>
                <w:szCs w:val="21"/>
                <w:lang w:val="en-US" w:eastAsia="zh-CN" w:bidi="ar"/>
              </w:rPr>
              <w:t>二氯丙烷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1.</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5"/>
                <w:sz w:val="21"/>
                <w:szCs w:val="21"/>
              </w:rPr>
              <w:t>1</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pacing w:val="-5"/>
                <w:sz w:val="21"/>
                <w:szCs w:val="21"/>
              </w:rPr>
              <w:t>（</w:t>
            </w:r>
            <w:r>
              <w:rPr>
                <w:rFonts w:ascii="Times New Roman" w:hAnsi="Times New Roman" w:eastAsia="Times New Roman" w:cs="Times New Roman"/>
                <w:b w:val="0"/>
                <w:bCs w:val="0"/>
                <w:color w:val="auto"/>
                <w:spacing w:val="-5"/>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1.</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5"/>
                <w:sz w:val="21"/>
                <w:szCs w:val="21"/>
              </w:rPr>
              <w:t>1</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pacing w:val="-5"/>
                <w:sz w:val="21"/>
                <w:szCs w:val="21"/>
              </w:rPr>
              <w:t>（</w:t>
            </w:r>
            <w:r>
              <w:rPr>
                <w:rFonts w:ascii="Times New Roman" w:hAnsi="Times New Roman" w:eastAsia="Times New Roman" w:cs="Times New Roman"/>
                <w:b w:val="0"/>
                <w:bCs w:val="0"/>
                <w:color w:val="auto"/>
                <w:spacing w:val="-5"/>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1.</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5"/>
                <w:sz w:val="21"/>
                <w:szCs w:val="21"/>
              </w:rPr>
              <w:t>1</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pacing w:val="-5"/>
                <w:sz w:val="21"/>
                <w:szCs w:val="21"/>
              </w:rPr>
              <w:t>（</w:t>
            </w:r>
            <w:r>
              <w:rPr>
                <w:rFonts w:ascii="Times New Roman" w:hAnsi="Times New Roman" w:eastAsia="Times New Roman" w:cs="Times New Roman"/>
                <w:b w:val="0"/>
                <w:bCs w:val="0"/>
                <w:color w:val="auto"/>
                <w:spacing w:val="-5"/>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default" w:ascii="Times New Roman" w:hAnsi="Times New Roman" w:eastAsia="宋体" w:cs="Times New Roman"/>
                <w:b w:val="0"/>
                <w:bCs w:val="0"/>
                <w:color w:val="auto"/>
                <w:kern w:val="0"/>
                <w:sz w:val="21"/>
                <w:szCs w:val="21"/>
                <w:lang w:val="en-US" w:eastAsia="zh-CN" w:bidi="ar"/>
              </w:rPr>
              <w:t>1,1,1,2-</w:t>
            </w:r>
            <w:r>
              <w:rPr>
                <w:rFonts w:hint="eastAsia" w:ascii="宋体" w:hAnsi="宋体" w:eastAsia="宋体" w:cs="宋体"/>
                <w:b w:val="0"/>
                <w:bCs w:val="0"/>
                <w:color w:val="auto"/>
                <w:kern w:val="0"/>
                <w:sz w:val="21"/>
                <w:szCs w:val="21"/>
                <w:lang w:val="en-US" w:eastAsia="zh-CN" w:bidi="ar"/>
              </w:rPr>
              <w:t>四氯乙烷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1.2</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1.2</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1.2</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default" w:ascii="Times New Roman" w:hAnsi="Times New Roman" w:eastAsia="宋体" w:cs="Times New Roman"/>
                <w:b w:val="0"/>
                <w:bCs w:val="0"/>
                <w:color w:val="auto"/>
                <w:kern w:val="0"/>
                <w:sz w:val="21"/>
                <w:szCs w:val="21"/>
                <w:lang w:val="en-US" w:eastAsia="zh-CN" w:bidi="ar"/>
              </w:rPr>
              <w:t>1,1,2,2-</w:t>
            </w:r>
            <w:r>
              <w:rPr>
                <w:rFonts w:hint="eastAsia" w:ascii="宋体" w:hAnsi="宋体" w:eastAsia="宋体" w:cs="宋体"/>
                <w:b w:val="0"/>
                <w:bCs w:val="0"/>
                <w:color w:val="auto"/>
                <w:kern w:val="0"/>
                <w:sz w:val="21"/>
                <w:szCs w:val="21"/>
                <w:lang w:val="en-US" w:eastAsia="zh-CN" w:bidi="ar"/>
              </w:rPr>
              <w:t>四氯乙烷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1.4</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1.4</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1.4</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eastAsia" w:ascii="宋体" w:hAnsi="宋体" w:eastAsia="宋体" w:cs="宋体"/>
                <w:b w:val="0"/>
                <w:bCs w:val="0"/>
                <w:color w:val="auto"/>
                <w:kern w:val="0"/>
                <w:sz w:val="21"/>
                <w:szCs w:val="21"/>
                <w:lang w:val="en-US" w:eastAsia="zh-CN" w:bidi="ar"/>
              </w:rPr>
              <w:t>四氯乙烯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w w:val="99"/>
                <w:sz w:val="21"/>
                <w:szCs w:val="21"/>
              </w:rPr>
              <w:t>13.</w:t>
            </w:r>
            <w:r>
              <w:rPr>
                <w:rFonts w:ascii="Times New Roman" w:hAnsi="Times New Roman" w:eastAsia="Times New Roman" w:cs="Times New Roman"/>
                <w:b w:val="0"/>
                <w:bCs w:val="0"/>
                <w:color w:val="auto"/>
                <w:spacing w:val="-30"/>
                <w:sz w:val="21"/>
                <w:szCs w:val="21"/>
              </w:rPr>
              <w:t xml:space="preserve"> </w:t>
            </w:r>
            <w:r>
              <w:rPr>
                <w:rFonts w:ascii="Times New Roman" w:hAnsi="Times New Roman" w:eastAsia="Times New Roman" w:cs="Times New Roman"/>
                <w:b w:val="0"/>
                <w:bCs w:val="0"/>
                <w:color w:val="auto"/>
                <w:spacing w:val="-5"/>
                <w:w w:val="99"/>
                <w:sz w:val="21"/>
                <w:szCs w:val="21"/>
              </w:rPr>
              <w:t>1</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w w:val="99"/>
                <w:sz w:val="21"/>
                <w:szCs w:val="21"/>
              </w:rPr>
              <w:t>13.0</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sz w:val="21"/>
                <w:szCs w:val="21"/>
              </w:rPr>
              <w:t>12.9</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default" w:ascii="Times New Roman" w:hAnsi="Times New Roman" w:eastAsia="宋体" w:cs="Times New Roman"/>
                <w:b w:val="0"/>
                <w:bCs w:val="0"/>
                <w:color w:val="auto"/>
                <w:kern w:val="0"/>
                <w:sz w:val="21"/>
                <w:szCs w:val="21"/>
                <w:lang w:val="en-US" w:eastAsia="zh-CN" w:bidi="ar"/>
              </w:rPr>
              <w:t>1,1,1-</w:t>
            </w:r>
            <w:r>
              <w:rPr>
                <w:rFonts w:hint="eastAsia" w:ascii="宋体" w:hAnsi="宋体" w:eastAsia="宋体" w:cs="宋体"/>
                <w:b w:val="0"/>
                <w:bCs w:val="0"/>
                <w:color w:val="auto"/>
                <w:kern w:val="0"/>
                <w:sz w:val="21"/>
                <w:szCs w:val="21"/>
                <w:lang w:val="en-US" w:eastAsia="zh-CN" w:bidi="ar"/>
              </w:rPr>
              <w:t>三氯乙烷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1.3</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1.3</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1.3</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eastAsia="宋体"/>
                <w:b w:val="0"/>
                <w:bCs w:val="0"/>
                <w:color w:val="auto"/>
                <w:sz w:val="21"/>
                <w:szCs w:val="21"/>
                <w:vertAlign w:val="baseline"/>
              </w:rPr>
            </w:pPr>
            <w:r>
              <w:rPr>
                <w:rFonts w:hint="default" w:ascii="Times New Roman" w:hAnsi="Times New Roman" w:eastAsia="宋体" w:cs="Times New Roman"/>
                <w:b w:val="0"/>
                <w:bCs w:val="0"/>
                <w:color w:val="auto"/>
                <w:kern w:val="0"/>
                <w:sz w:val="21"/>
                <w:szCs w:val="21"/>
                <w:lang w:val="en-US" w:eastAsia="zh-CN" w:bidi="ar"/>
              </w:rPr>
              <w:t>1,1,2-</w:t>
            </w:r>
            <w:r>
              <w:rPr>
                <w:rFonts w:hint="eastAsia" w:ascii="宋体" w:hAnsi="宋体" w:eastAsia="宋体" w:cs="宋体"/>
                <w:b w:val="0"/>
                <w:bCs w:val="0"/>
                <w:color w:val="auto"/>
                <w:kern w:val="0"/>
                <w:sz w:val="21"/>
                <w:szCs w:val="21"/>
                <w:lang w:val="en-US" w:eastAsia="zh-CN" w:bidi="ar"/>
              </w:rPr>
              <w:t>三氯乙烷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1.2</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1.2</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1.2</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三氯乙烯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5.5</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sz w:val="21"/>
                <w:szCs w:val="21"/>
              </w:rPr>
              <w:t>5.4</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sz w:val="21"/>
                <w:szCs w:val="21"/>
              </w:rPr>
              <w:t>5.4</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color w:val="auto"/>
                <w:kern w:val="0"/>
                <w:sz w:val="21"/>
                <w:szCs w:val="21"/>
                <w:lang w:val="en-US" w:eastAsia="zh-CN" w:bidi="ar"/>
              </w:rPr>
              <w:t>1,2,3-</w:t>
            </w:r>
            <w:r>
              <w:rPr>
                <w:rFonts w:hint="eastAsia" w:ascii="宋体" w:hAnsi="宋体" w:eastAsia="宋体" w:cs="宋体"/>
                <w:b w:val="0"/>
                <w:bCs w:val="0"/>
                <w:color w:val="auto"/>
                <w:kern w:val="0"/>
                <w:sz w:val="21"/>
                <w:szCs w:val="21"/>
                <w:lang w:val="en-US" w:eastAsia="zh-CN" w:bidi="ar"/>
              </w:rPr>
              <w:t>三氯丙烷</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2"/>
                <w:sz w:val="21"/>
                <w:szCs w:val="21"/>
              </w:rPr>
              <w:t>30.9</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30.6</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w w:val="101"/>
                <w:sz w:val="21"/>
                <w:szCs w:val="21"/>
              </w:rPr>
              <w:t>29.2</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氯乙烯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1.0</w:t>
            </w:r>
            <w:r>
              <w:rPr>
                <w:rFonts w:ascii="宋体" w:hAnsi="宋体" w:eastAsia="宋体" w:cs="宋体"/>
                <w:b w:val="0"/>
                <w:bCs w:val="0"/>
                <w:color w:val="auto"/>
                <w:spacing w:val="-5"/>
                <w:sz w:val="21"/>
                <w:szCs w:val="21"/>
              </w:rPr>
              <w:t>（</w:t>
            </w:r>
            <w:r>
              <w:rPr>
                <w:rFonts w:ascii="Times New Roman" w:hAnsi="Times New Roman" w:eastAsia="Times New Roman" w:cs="Times New Roman"/>
                <w:b w:val="0"/>
                <w:bCs w:val="0"/>
                <w:color w:val="auto"/>
                <w:spacing w:val="-5"/>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1.0</w:t>
            </w:r>
            <w:r>
              <w:rPr>
                <w:rFonts w:ascii="宋体" w:hAnsi="宋体" w:eastAsia="宋体" w:cs="宋体"/>
                <w:b w:val="0"/>
                <w:bCs w:val="0"/>
                <w:color w:val="auto"/>
                <w:spacing w:val="-5"/>
                <w:sz w:val="21"/>
                <w:szCs w:val="21"/>
              </w:rPr>
              <w:t>（</w:t>
            </w:r>
            <w:r>
              <w:rPr>
                <w:rFonts w:ascii="Times New Roman" w:hAnsi="Times New Roman" w:eastAsia="Times New Roman" w:cs="Times New Roman"/>
                <w:b w:val="0"/>
                <w:bCs w:val="0"/>
                <w:color w:val="auto"/>
                <w:spacing w:val="-5"/>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1.0</w:t>
            </w:r>
            <w:r>
              <w:rPr>
                <w:rFonts w:ascii="宋体" w:hAnsi="宋体" w:eastAsia="宋体" w:cs="宋体"/>
                <w:b w:val="0"/>
                <w:bCs w:val="0"/>
                <w:color w:val="auto"/>
                <w:spacing w:val="-5"/>
                <w:sz w:val="21"/>
                <w:szCs w:val="21"/>
              </w:rPr>
              <w:t>（</w:t>
            </w:r>
            <w:r>
              <w:rPr>
                <w:rFonts w:ascii="Times New Roman" w:hAnsi="Times New Roman" w:eastAsia="Times New Roman" w:cs="Times New Roman"/>
                <w:b w:val="0"/>
                <w:bCs w:val="0"/>
                <w:color w:val="auto"/>
                <w:spacing w:val="-5"/>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2.7</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w w:val="102"/>
                <w:sz w:val="21"/>
                <w:szCs w:val="21"/>
              </w:rPr>
              <w:t>2.1</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2.9</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氯苯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1.2</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1.2</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1.2</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color w:val="auto"/>
                <w:kern w:val="0"/>
                <w:sz w:val="21"/>
                <w:szCs w:val="21"/>
                <w:lang w:val="en-US" w:eastAsia="zh-CN" w:bidi="ar"/>
              </w:rPr>
              <w:t>1,2-</w:t>
            </w:r>
            <w:r>
              <w:rPr>
                <w:rFonts w:hint="eastAsia" w:ascii="宋体" w:hAnsi="宋体" w:eastAsia="宋体" w:cs="宋体"/>
                <w:b w:val="0"/>
                <w:bCs w:val="0"/>
                <w:color w:val="auto"/>
                <w:kern w:val="0"/>
                <w:sz w:val="21"/>
                <w:szCs w:val="21"/>
                <w:lang w:val="en-US" w:eastAsia="zh-CN" w:bidi="ar"/>
              </w:rPr>
              <w:t>二氯苯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1.5</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1.5</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5"/>
                <w:sz w:val="21"/>
                <w:szCs w:val="21"/>
              </w:rPr>
              <w:t>1.5</w:t>
            </w:r>
            <w:r>
              <w:rPr>
                <w:rFonts w:ascii="Times New Roman" w:hAnsi="Times New Roman" w:eastAsia="Times New Roman" w:cs="Times New Roman"/>
                <w:b w:val="0"/>
                <w:bCs w:val="0"/>
                <w:color w:val="auto"/>
                <w:spacing w:val="-30"/>
                <w:sz w:val="21"/>
                <w:szCs w:val="21"/>
              </w:rPr>
              <w:t xml:space="preserve"> </w:t>
            </w:r>
            <w:r>
              <w:rPr>
                <w:rFonts w:ascii="宋体" w:hAnsi="宋体" w:eastAsia="宋体" w:cs="宋体"/>
                <w:b w:val="0"/>
                <w:bCs w:val="0"/>
                <w:color w:val="auto"/>
                <w:spacing w:val="4"/>
                <w:w w:val="105"/>
                <w:sz w:val="21"/>
                <w:szCs w:val="21"/>
              </w:rPr>
              <w:t>（</w:t>
            </w:r>
            <w:r>
              <w:rPr>
                <w:rFonts w:ascii="Times New Roman" w:hAnsi="Times New Roman" w:eastAsia="Times New Roman" w:cs="Times New Roman"/>
                <w:b w:val="0"/>
                <w:bCs w:val="0"/>
                <w:color w:val="auto"/>
                <w:spacing w:val="4"/>
                <w:w w:val="105"/>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color w:val="auto"/>
                <w:kern w:val="0"/>
                <w:sz w:val="21"/>
                <w:szCs w:val="21"/>
                <w:lang w:val="en-US" w:eastAsia="zh-CN" w:bidi="ar"/>
              </w:rPr>
              <w:t>1,4-</w:t>
            </w:r>
            <w:r>
              <w:rPr>
                <w:rFonts w:hint="eastAsia" w:ascii="宋体" w:hAnsi="宋体" w:eastAsia="宋体" w:cs="宋体"/>
                <w:b w:val="0"/>
                <w:bCs w:val="0"/>
                <w:color w:val="auto"/>
                <w:kern w:val="0"/>
                <w:sz w:val="21"/>
                <w:szCs w:val="21"/>
                <w:lang w:val="en-US" w:eastAsia="zh-CN" w:bidi="ar"/>
              </w:rPr>
              <w:t>二氯苯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1.5</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1.5</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z w:val="21"/>
                <w:szCs w:val="21"/>
              </w:rPr>
              <w:t>1.5</w:t>
            </w:r>
            <w:r>
              <w:rPr>
                <w:rFonts w:ascii="Times New Roman" w:hAnsi="Times New Roman" w:eastAsia="Times New Roman" w:cs="Times New Roman"/>
                <w:b w:val="0"/>
                <w:bCs w:val="0"/>
                <w:color w:val="auto"/>
                <w:spacing w:val="-47"/>
                <w:sz w:val="21"/>
                <w:szCs w:val="21"/>
              </w:rPr>
              <w:t xml:space="preserve"> </w:t>
            </w:r>
            <w:r>
              <w:rPr>
                <w:rFonts w:ascii="宋体" w:hAnsi="宋体" w:eastAsia="宋体" w:cs="宋体"/>
                <w:b w:val="0"/>
                <w:bCs w:val="0"/>
                <w:color w:val="auto"/>
                <w:sz w:val="21"/>
                <w:szCs w:val="21"/>
              </w:rPr>
              <w:t>（</w:t>
            </w:r>
            <w:r>
              <w:rPr>
                <w:rFonts w:ascii="Times New Roman" w:hAnsi="Times New Roman" w:eastAsia="Times New Roman" w:cs="Times New Roman"/>
                <w:b w:val="0"/>
                <w:bCs w:val="0"/>
                <w:color w:val="auto"/>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乙苯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sz w:val="21"/>
                <w:szCs w:val="21"/>
              </w:rPr>
              <w:t>1.8</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sz w:val="21"/>
                <w:szCs w:val="21"/>
              </w:rPr>
              <w:t>1.8</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sz w:val="21"/>
                <w:szCs w:val="21"/>
              </w:rPr>
              <w:t>1.8</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苯乙烯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w w:val="96"/>
                <w:sz w:val="21"/>
                <w:szCs w:val="21"/>
              </w:rPr>
              <w:t>1.</w:t>
            </w:r>
            <w:r>
              <w:rPr>
                <w:rFonts w:ascii="Times New Roman" w:hAnsi="Times New Roman" w:eastAsia="Times New Roman" w:cs="Times New Roman"/>
                <w:b w:val="0"/>
                <w:bCs w:val="0"/>
                <w:color w:val="auto"/>
                <w:spacing w:val="-24"/>
                <w:sz w:val="21"/>
                <w:szCs w:val="21"/>
              </w:rPr>
              <w:t xml:space="preserve"> </w:t>
            </w:r>
            <w:r>
              <w:rPr>
                <w:rFonts w:ascii="Times New Roman" w:hAnsi="Times New Roman" w:eastAsia="Times New Roman" w:cs="Times New Roman"/>
                <w:b w:val="0"/>
                <w:bCs w:val="0"/>
                <w:color w:val="auto"/>
                <w:spacing w:val="-5"/>
                <w:w w:val="96"/>
                <w:sz w:val="21"/>
                <w:szCs w:val="21"/>
              </w:rPr>
              <w:t>1</w:t>
            </w:r>
            <w:r>
              <w:rPr>
                <w:rFonts w:ascii="宋体" w:hAnsi="宋体" w:eastAsia="宋体" w:cs="宋体"/>
                <w:b w:val="0"/>
                <w:bCs w:val="0"/>
                <w:color w:val="auto"/>
                <w:spacing w:val="-5"/>
                <w:w w:val="96"/>
                <w:sz w:val="21"/>
                <w:szCs w:val="21"/>
              </w:rPr>
              <w:t>（</w:t>
            </w:r>
            <w:r>
              <w:rPr>
                <w:rFonts w:ascii="Times New Roman" w:hAnsi="Times New Roman" w:eastAsia="Times New Roman" w:cs="Times New Roman"/>
                <w:b w:val="0"/>
                <w:bCs w:val="0"/>
                <w:color w:val="auto"/>
                <w:spacing w:val="-5"/>
                <w:w w:val="96"/>
                <w:sz w:val="21"/>
                <w:szCs w:val="21"/>
              </w:rPr>
              <w:t>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w w:val="96"/>
                <w:sz w:val="21"/>
                <w:szCs w:val="21"/>
              </w:rPr>
              <w:t>1.</w:t>
            </w:r>
            <w:r>
              <w:rPr>
                <w:rFonts w:ascii="Times New Roman" w:hAnsi="Times New Roman" w:eastAsia="Times New Roman" w:cs="Times New Roman"/>
                <w:b w:val="0"/>
                <w:bCs w:val="0"/>
                <w:color w:val="auto"/>
                <w:spacing w:val="-24"/>
                <w:sz w:val="21"/>
                <w:szCs w:val="21"/>
              </w:rPr>
              <w:t xml:space="preserve"> </w:t>
            </w:r>
            <w:r>
              <w:rPr>
                <w:rFonts w:ascii="Times New Roman" w:hAnsi="Times New Roman" w:eastAsia="Times New Roman" w:cs="Times New Roman"/>
                <w:b w:val="0"/>
                <w:bCs w:val="0"/>
                <w:color w:val="auto"/>
                <w:spacing w:val="-5"/>
                <w:w w:val="96"/>
                <w:sz w:val="21"/>
                <w:szCs w:val="21"/>
              </w:rPr>
              <w:t>1</w:t>
            </w:r>
            <w:r>
              <w:rPr>
                <w:rFonts w:ascii="宋体" w:hAnsi="宋体" w:eastAsia="宋体" w:cs="宋体"/>
                <w:b w:val="0"/>
                <w:bCs w:val="0"/>
                <w:color w:val="auto"/>
                <w:spacing w:val="-5"/>
                <w:w w:val="96"/>
                <w:sz w:val="21"/>
                <w:szCs w:val="21"/>
              </w:rPr>
              <w:t>（</w:t>
            </w:r>
            <w:r>
              <w:rPr>
                <w:rFonts w:ascii="Times New Roman" w:hAnsi="Times New Roman" w:eastAsia="Times New Roman" w:cs="Times New Roman"/>
                <w:b w:val="0"/>
                <w:bCs w:val="0"/>
                <w:color w:val="auto"/>
                <w:spacing w:val="-5"/>
                <w:w w:val="96"/>
                <w:sz w:val="21"/>
                <w:szCs w:val="21"/>
              </w:rPr>
              <w:t>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w w:val="96"/>
                <w:sz w:val="21"/>
                <w:szCs w:val="21"/>
              </w:rPr>
              <w:t>1.</w:t>
            </w:r>
            <w:r>
              <w:rPr>
                <w:rFonts w:ascii="Times New Roman" w:hAnsi="Times New Roman" w:eastAsia="Times New Roman" w:cs="Times New Roman"/>
                <w:b w:val="0"/>
                <w:bCs w:val="0"/>
                <w:color w:val="auto"/>
                <w:spacing w:val="-24"/>
                <w:sz w:val="21"/>
                <w:szCs w:val="21"/>
              </w:rPr>
              <w:t xml:space="preserve"> </w:t>
            </w:r>
            <w:r>
              <w:rPr>
                <w:rFonts w:ascii="Times New Roman" w:hAnsi="Times New Roman" w:eastAsia="Times New Roman" w:cs="Times New Roman"/>
                <w:b w:val="0"/>
                <w:bCs w:val="0"/>
                <w:color w:val="auto"/>
                <w:spacing w:val="-5"/>
                <w:w w:val="96"/>
                <w:sz w:val="21"/>
                <w:szCs w:val="21"/>
              </w:rPr>
              <w:t>1</w:t>
            </w:r>
            <w:r>
              <w:rPr>
                <w:rFonts w:ascii="宋体" w:hAnsi="宋体" w:eastAsia="宋体" w:cs="宋体"/>
                <w:b w:val="0"/>
                <w:bCs w:val="0"/>
                <w:color w:val="auto"/>
                <w:spacing w:val="-5"/>
                <w:w w:val="96"/>
                <w:sz w:val="21"/>
                <w:szCs w:val="21"/>
              </w:rPr>
              <w:t>（</w:t>
            </w:r>
            <w:r>
              <w:rPr>
                <w:rFonts w:ascii="Times New Roman" w:hAnsi="Times New Roman" w:eastAsia="Times New Roman" w:cs="Times New Roman"/>
                <w:b w:val="0"/>
                <w:bCs w:val="0"/>
                <w:color w:val="auto"/>
                <w:spacing w:val="-5"/>
                <w:w w:val="96"/>
                <w:sz w:val="21"/>
                <w:szCs w:val="21"/>
              </w:rPr>
              <w:t>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甲苯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w w:val="99"/>
                <w:sz w:val="21"/>
                <w:szCs w:val="21"/>
              </w:rPr>
              <w:t>10.7</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w w:val="99"/>
                <w:sz w:val="21"/>
                <w:szCs w:val="21"/>
              </w:rPr>
              <w:t>10.4</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w w:val="99"/>
                <w:sz w:val="21"/>
                <w:szCs w:val="21"/>
              </w:rPr>
              <w:t>10.4</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b w:val="0"/>
                <w:bCs w:val="0"/>
                <w:color w:val="auto"/>
                <w:sz w:val="21"/>
                <w:szCs w:val="21"/>
              </w:rPr>
            </w:pPr>
            <w:r>
              <w:rPr>
                <w:rFonts w:hint="default" w:ascii="Times New Roman" w:hAnsi="Times New Roman" w:eastAsia="宋体" w:cs="Times New Roman"/>
                <w:b w:val="0"/>
                <w:bCs w:val="0"/>
                <w:color w:val="auto"/>
                <w:kern w:val="0"/>
                <w:sz w:val="21"/>
                <w:szCs w:val="21"/>
                <w:lang w:val="en-US" w:eastAsia="zh-CN" w:bidi="ar"/>
              </w:rPr>
              <w:t>2020</w:t>
            </w:r>
            <w:r>
              <w:rPr>
                <w:rFonts w:hint="eastAsia" w:ascii="宋体" w:hAnsi="宋体" w:eastAsia="宋体" w:cs="宋体"/>
                <w:b w:val="0"/>
                <w:bCs w:val="0"/>
                <w:color w:val="auto"/>
                <w:kern w:val="0"/>
                <w:sz w:val="21"/>
                <w:szCs w:val="21"/>
                <w:lang w:val="en-US" w:eastAsia="zh-CN" w:bidi="ar"/>
              </w:rPr>
              <w:t>年</w:t>
            </w:r>
            <w:r>
              <w:rPr>
                <w:rFonts w:hint="default" w:ascii="Times New Roman" w:hAnsi="Times New Roman" w:eastAsia="宋体" w:cs="Times New Roman"/>
                <w:b w:val="0"/>
                <w:bCs w:val="0"/>
                <w:color w:val="auto"/>
                <w:kern w:val="0"/>
                <w:sz w:val="21"/>
                <w:szCs w:val="21"/>
                <w:lang w:val="en-US" w:eastAsia="zh-CN" w:bidi="ar"/>
              </w:rPr>
              <w:t>05</w:t>
            </w:r>
            <w:r>
              <w:rPr>
                <w:rFonts w:hint="eastAsia" w:ascii="宋体" w:hAnsi="宋体" w:eastAsia="宋体" w:cs="宋体"/>
                <w:b w:val="0"/>
                <w:bCs w:val="0"/>
                <w:color w:val="auto"/>
                <w:kern w:val="0"/>
                <w:sz w:val="21"/>
                <w:szCs w:val="21"/>
                <w:lang w:val="en-US" w:eastAsia="zh-CN" w:bidi="ar"/>
              </w:rPr>
              <w:t>月</w:t>
            </w:r>
            <w:r>
              <w:rPr>
                <w:rFonts w:hint="default" w:ascii="Times New Roman" w:hAnsi="Times New Roman" w:eastAsia="宋体" w:cs="Times New Roman"/>
                <w:b w:val="0"/>
                <w:bCs w:val="0"/>
                <w:color w:val="auto"/>
                <w:kern w:val="0"/>
                <w:sz w:val="21"/>
                <w:szCs w:val="21"/>
                <w:lang w:val="en-US" w:eastAsia="zh-CN" w:bidi="ar"/>
              </w:rPr>
              <w:t>2</w:t>
            </w:r>
            <w:r>
              <w:rPr>
                <w:rFonts w:hint="eastAsia" w:ascii="Times New Roman" w:hAnsi="Times New Roman" w:eastAsia="宋体" w:cs="Times New Roman"/>
                <w:b w:val="0"/>
                <w:bCs w:val="0"/>
                <w:color w:val="auto"/>
                <w:kern w:val="0"/>
                <w:sz w:val="21"/>
                <w:szCs w:val="21"/>
                <w:lang w:val="en-US" w:eastAsia="zh-CN" w:bidi="ar"/>
              </w:rPr>
              <w:t>3</w:t>
            </w:r>
            <w:r>
              <w:rPr>
                <w:rFonts w:hint="eastAsia" w:ascii="宋体" w:hAnsi="宋体" w:eastAsia="宋体" w:cs="宋体"/>
                <w:b w:val="0"/>
                <w:bCs w:val="0"/>
                <w:color w:val="auto"/>
                <w:kern w:val="0"/>
                <w:sz w:val="21"/>
                <w:szCs w:val="21"/>
                <w:lang w:val="en-US" w:eastAsia="zh-CN" w:bidi="ar"/>
              </w:rPr>
              <w:t>日</w:t>
            </w:r>
          </w:p>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间</w:t>
            </w:r>
            <w:r>
              <w:rPr>
                <w:rFonts w:hint="default" w:ascii="Times New Roman" w:hAnsi="Times New Roman" w:eastAsia="宋体" w:cs="Times New Roman"/>
                <w:b w:val="0"/>
                <w:bCs w:val="0"/>
                <w:color w:val="auto"/>
                <w:kern w:val="0"/>
                <w:sz w:val="21"/>
                <w:szCs w:val="21"/>
                <w:lang w:val="en-US" w:eastAsia="zh-CN" w:bidi="ar"/>
              </w:rPr>
              <w:t>+</w:t>
            </w:r>
            <w:r>
              <w:rPr>
                <w:rFonts w:hint="eastAsia" w:ascii="宋体" w:hAnsi="宋体" w:eastAsia="宋体" w:cs="宋体"/>
                <w:b w:val="0"/>
                <w:bCs w:val="0"/>
                <w:color w:val="auto"/>
                <w:kern w:val="0"/>
                <w:sz w:val="21"/>
                <w:szCs w:val="21"/>
                <w:lang w:val="en-US" w:eastAsia="zh-CN" w:bidi="ar"/>
              </w:rPr>
              <w:t>对二甲苯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1.5</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1.5</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5"/>
                <w:sz w:val="21"/>
                <w:szCs w:val="21"/>
              </w:rPr>
              <w:t>1.5</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邻二甲苯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1"/>
                <w:sz w:val="21"/>
                <w:szCs w:val="21"/>
              </w:rPr>
              <w:t>7.5</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7.4</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7.2</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硝基苯</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0.09(L)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0.09(L)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0.09(L)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default" w:ascii="Times New Roman" w:hAnsi="Times New Roman" w:eastAsia="宋体" w:cs="Times New Roman"/>
                <w:b w:val="0"/>
                <w:bCs w:val="0"/>
                <w:color w:val="auto"/>
                <w:kern w:val="0"/>
                <w:sz w:val="21"/>
                <w:szCs w:val="21"/>
                <w:lang w:val="en-US" w:eastAsia="zh-CN" w:bidi="ar"/>
              </w:rPr>
              <w:t>2-</w:t>
            </w:r>
            <w:r>
              <w:rPr>
                <w:rFonts w:hint="eastAsia" w:ascii="宋体" w:hAnsi="宋体" w:eastAsia="宋体" w:cs="宋体"/>
                <w:b w:val="0"/>
                <w:bCs w:val="0"/>
                <w:color w:val="auto"/>
                <w:kern w:val="0"/>
                <w:sz w:val="21"/>
                <w:szCs w:val="21"/>
                <w:lang w:val="en-US" w:eastAsia="zh-CN" w:bidi="ar"/>
              </w:rPr>
              <w:t>氯酚</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10"/>
                <w:sz w:val="21"/>
                <w:szCs w:val="21"/>
              </w:rPr>
              <w:t>0.04(L)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10"/>
                <w:sz w:val="21"/>
                <w:szCs w:val="21"/>
              </w:rPr>
              <w:t>0.04(L)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10"/>
                <w:sz w:val="21"/>
                <w:szCs w:val="21"/>
              </w:rPr>
              <w:t>0.04(L)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苯胺</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10"/>
                <w:sz w:val="21"/>
                <w:szCs w:val="21"/>
              </w:rPr>
              <w:t>0.02(L)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10"/>
                <w:sz w:val="21"/>
                <w:szCs w:val="21"/>
              </w:rPr>
              <w:t>0.02(L)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10"/>
                <w:sz w:val="21"/>
                <w:szCs w:val="21"/>
              </w:rPr>
              <w:t>0.02(L)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苯并</w:t>
            </w:r>
            <w:r>
              <w:rPr>
                <w:rFonts w:hint="default" w:ascii="Times New Roman" w:hAnsi="Times New Roman" w:eastAsia="宋体" w:cs="Times New Roman"/>
                <w:b w:val="0"/>
                <w:bCs w:val="0"/>
                <w:color w:val="auto"/>
                <w:kern w:val="0"/>
                <w:sz w:val="21"/>
                <w:szCs w:val="21"/>
                <w:lang w:val="en-US" w:eastAsia="zh-CN" w:bidi="ar"/>
              </w:rPr>
              <w:t>(a)</w:t>
            </w:r>
            <w:r>
              <w:rPr>
                <w:rFonts w:hint="eastAsia" w:ascii="宋体" w:hAnsi="宋体" w:eastAsia="宋体" w:cs="宋体"/>
                <w:b w:val="0"/>
                <w:bCs w:val="0"/>
                <w:color w:val="auto"/>
                <w:kern w:val="0"/>
                <w:sz w:val="21"/>
                <w:szCs w:val="21"/>
                <w:lang w:val="en-US" w:eastAsia="zh-CN" w:bidi="ar"/>
              </w:rPr>
              <w:t>蒽</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䓛</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苯并</w:t>
            </w:r>
            <w:r>
              <w:rPr>
                <w:rFonts w:hint="default" w:ascii="Times New Roman" w:hAnsi="Times New Roman" w:eastAsia="宋体" w:cs="Times New Roman"/>
                <w:b w:val="0"/>
                <w:bCs w:val="0"/>
                <w:color w:val="auto"/>
                <w:kern w:val="0"/>
                <w:sz w:val="21"/>
                <w:szCs w:val="21"/>
                <w:lang w:val="en-US" w:eastAsia="zh-CN" w:bidi="ar"/>
              </w:rPr>
              <w:t xml:space="preserve">(b) </w:t>
            </w:r>
            <w:r>
              <w:rPr>
                <w:rFonts w:hint="eastAsia" w:ascii="宋体" w:hAnsi="宋体" w:eastAsia="宋体" w:cs="宋体"/>
                <w:b w:val="0"/>
                <w:bCs w:val="0"/>
                <w:color w:val="auto"/>
                <w:kern w:val="0"/>
                <w:sz w:val="21"/>
                <w:szCs w:val="21"/>
                <w:lang w:val="en-US" w:eastAsia="zh-CN" w:bidi="ar"/>
              </w:rPr>
              <w:t>荧蒽</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9"/>
                <w:sz w:val="21"/>
                <w:szCs w:val="21"/>
              </w:rPr>
              <w:t>0.2(L)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9"/>
                <w:sz w:val="21"/>
                <w:szCs w:val="21"/>
              </w:rPr>
              <w:t>0.2(L)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9"/>
                <w:sz w:val="21"/>
                <w:szCs w:val="21"/>
              </w:rPr>
              <w:t>0.2(L)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苯并</w:t>
            </w:r>
            <w:r>
              <w:rPr>
                <w:rFonts w:hint="default" w:ascii="Times New Roman" w:hAnsi="Times New Roman" w:eastAsia="宋体" w:cs="Times New Roman"/>
                <w:b w:val="0"/>
                <w:bCs w:val="0"/>
                <w:color w:val="auto"/>
                <w:kern w:val="0"/>
                <w:sz w:val="21"/>
                <w:szCs w:val="21"/>
                <w:lang w:val="en-US" w:eastAsia="zh-CN" w:bidi="ar"/>
              </w:rPr>
              <w:t>(k)</w:t>
            </w:r>
            <w:r>
              <w:rPr>
                <w:rFonts w:hint="eastAsia" w:ascii="宋体" w:hAnsi="宋体" w:eastAsia="宋体" w:cs="宋体"/>
                <w:b w:val="0"/>
                <w:bCs w:val="0"/>
                <w:color w:val="auto"/>
                <w:kern w:val="0"/>
                <w:sz w:val="21"/>
                <w:szCs w:val="21"/>
                <w:lang w:val="en-US" w:eastAsia="zh-CN" w:bidi="ar"/>
              </w:rPr>
              <w:t>荧蒽</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苯并</w:t>
            </w:r>
            <w:r>
              <w:rPr>
                <w:rFonts w:hint="default" w:ascii="Times New Roman" w:hAnsi="Times New Roman" w:eastAsia="宋体" w:cs="Times New Roman"/>
                <w:b w:val="0"/>
                <w:bCs w:val="0"/>
                <w:color w:val="auto"/>
                <w:kern w:val="0"/>
                <w:sz w:val="21"/>
                <w:szCs w:val="21"/>
                <w:lang w:val="en-US" w:eastAsia="zh-CN" w:bidi="ar"/>
              </w:rPr>
              <w:t>(a)</w:t>
            </w:r>
            <w:r>
              <w:rPr>
                <w:rFonts w:hint="eastAsia" w:ascii="宋体" w:hAnsi="宋体" w:eastAsia="宋体" w:cs="宋体"/>
                <w:b w:val="0"/>
                <w:bCs w:val="0"/>
                <w:color w:val="auto"/>
                <w:kern w:val="0"/>
                <w:sz w:val="21"/>
                <w:szCs w:val="21"/>
                <w:lang w:val="en-US" w:eastAsia="zh-CN" w:bidi="ar"/>
              </w:rPr>
              <w:t>芘</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茚并</w:t>
            </w:r>
            <w:r>
              <w:rPr>
                <w:rFonts w:hint="default" w:ascii="Times New Roman" w:hAnsi="Times New Roman" w:eastAsia="宋体" w:cs="Times New Roman"/>
                <w:b w:val="0"/>
                <w:bCs w:val="0"/>
                <w:color w:val="auto"/>
                <w:kern w:val="0"/>
                <w:sz w:val="21"/>
                <w:szCs w:val="21"/>
                <w:lang w:val="en-US" w:eastAsia="zh-CN" w:bidi="ar"/>
              </w:rPr>
              <w:t>(1,2,3-cd)</w:t>
            </w:r>
            <w:r>
              <w:rPr>
                <w:rFonts w:hint="eastAsia" w:ascii="宋体" w:hAnsi="宋体" w:eastAsia="宋体" w:cs="宋体"/>
                <w:b w:val="0"/>
                <w:bCs w:val="0"/>
                <w:color w:val="auto"/>
                <w:kern w:val="0"/>
                <w:sz w:val="21"/>
                <w:szCs w:val="21"/>
                <w:lang w:val="en-US" w:eastAsia="zh-CN" w:bidi="ar"/>
              </w:rPr>
              <w:t>芘</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二苯并</w:t>
            </w:r>
            <w:r>
              <w:rPr>
                <w:rFonts w:hint="default" w:ascii="Times New Roman" w:hAnsi="Times New Roman" w:eastAsia="宋体" w:cs="Times New Roman"/>
                <w:b w:val="0"/>
                <w:bCs w:val="0"/>
                <w:color w:val="auto"/>
                <w:kern w:val="0"/>
                <w:sz w:val="21"/>
                <w:szCs w:val="21"/>
                <w:lang w:val="en-US" w:eastAsia="zh-CN" w:bidi="ar"/>
              </w:rPr>
              <w:t>(a,h)</w:t>
            </w:r>
            <w:r>
              <w:rPr>
                <w:rFonts w:hint="eastAsia" w:ascii="宋体" w:hAnsi="宋体" w:eastAsia="宋体" w:cs="宋体"/>
                <w:b w:val="0"/>
                <w:bCs w:val="0"/>
                <w:color w:val="auto"/>
                <w:kern w:val="0"/>
                <w:sz w:val="21"/>
                <w:szCs w:val="21"/>
                <w:lang w:val="en-US" w:eastAsia="zh-CN" w:bidi="ar"/>
              </w:rPr>
              <w:t>蒽</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4"/>
                <w:w w:val="104"/>
                <w:sz w:val="21"/>
                <w:szCs w:val="21"/>
              </w:rPr>
              <w:t>0.</w:t>
            </w:r>
            <w:r>
              <w:rPr>
                <w:rFonts w:ascii="Times New Roman" w:hAnsi="Times New Roman" w:eastAsia="Times New Roman" w:cs="Times New Roman"/>
                <w:b w:val="0"/>
                <w:bCs w:val="0"/>
                <w:color w:val="auto"/>
                <w:spacing w:val="-20"/>
                <w:sz w:val="21"/>
                <w:szCs w:val="21"/>
              </w:rPr>
              <w:t xml:space="preserve"> </w:t>
            </w:r>
            <w:r>
              <w:rPr>
                <w:rFonts w:ascii="Times New Roman" w:hAnsi="Times New Roman" w:eastAsia="Times New Roman" w:cs="Times New Roman"/>
                <w:b w:val="0"/>
                <w:bCs w:val="0"/>
                <w:color w:val="auto"/>
                <w:spacing w:val="4"/>
                <w:w w:val="104"/>
                <w:sz w:val="21"/>
                <w:szCs w:val="21"/>
              </w:rPr>
              <w:t>1(L)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vMerge w:val="continue"/>
            <w:vAlign w:val="center"/>
          </w:tcPr>
          <w:p>
            <w:pPr>
              <w:pStyle w:val="87"/>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p>
        </w:tc>
        <w:tc>
          <w:tcPr>
            <w:tcW w:w="1533"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val="0"/>
                <w:bCs w:val="0"/>
                <w:color w:val="auto"/>
                <w:kern w:val="0"/>
                <w:sz w:val="21"/>
                <w:szCs w:val="21"/>
                <w:lang w:val="en-US" w:eastAsia="zh-CN" w:bidi="ar"/>
              </w:rPr>
            </w:pPr>
            <w:r>
              <w:rPr>
                <w:rFonts w:hint="eastAsia" w:ascii="宋体" w:hAnsi="宋体" w:eastAsia="宋体" w:cs="宋体"/>
                <w:b w:val="0"/>
                <w:bCs w:val="0"/>
                <w:color w:val="auto"/>
                <w:kern w:val="0"/>
                <w:sz w:val="21"/>
                <w:szCs w:val="21"/>
                <w:lang w:val="en-US" w:eastAsia="zh-CN" w:bidi="ar"/>
              </w:rPr>
              <w:t>萘</w:t>
            </w:r>
          </w:p>
        </w:tc>
        <w:tc>
          <w:tcPr>
            <w:tcW w:w="1646"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0.09(L)</w:t>
            </w:r>
          </w:p>
        </w:tc>
        <w:tc>
          <w:tcPr>
            <w:tcW w:w="1204"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0.09(L)</w:t>
            </w:r>
          </w:p>
        </w:tc>
        <w:tc>
          <w:tcPr>
            <w:tcW w:w="2033"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ascii="Times New Roman" w:hAnsi="Times New Roman" w:eastAsia="Times New Roman" w:cs="Times New Roman"/>
                <w:b w:val="0"/>
                <w:bCs w:val="0"/>
                <w:color w:val="auto"/>
                <w:spacing w:val="3"/>
                <w:sz w:val="21"/>
                <w:szCs w:val="21"/>
              </w:rPr>
              <w:t>0.09(L)</w:t>
            </w:r>
          </w:p>
        </w:tc>
        <w:tc>
          <w:tcPr>
            <w:tcW w:w="1090" w:type="dxa"/>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textAlignment w:val="auto"/>
              <w:rPr>
                <w:rFonts w:eastAsia="宋体"/>
                <w:b w:val="0"/>
                <w:bCs w:val="0"/>
                <w:color w:val="auto"/>
                <w:sz w:val="21"/>
                <w:szCs w:val="21"/>
                <w:vertAlign w:val="baseline"/>
              </w:rPr>
            </w:pPr>
            <w:r>
              <w:rPr>
                <w:rFonts w:hint="eastAsia" w:eastAsia="宋体"/>
                <w:b w:val="0"/>
                <w:bCs w:val="0"/>
                <w:color w:val="auto"/>
                <w:sz w:val="21"/>
                <w:szCs w:val="21"/>
                <w:vertAlign w:val="baseline"/>
                <w:lang w:val="en-US" w:eastAsia="zh-CN"/>
              </w:rPr>
              <w:t>mg/kg</w:t>
            </w:r>
          </w:p>
        </w:tc>
      </w:tr>
    </w:tbl>
    <w:p>
      <w:pPr>
        <w:ind w:firstLine="0" w:firstLineChars="0"/>
        <w:rPr>
          <w:lang w:eastAsia="zh-CN"/>
        </w:rPr>
      </w:pPr>
    </w:p>
    <w:p>
      <w:pPr>
        <w:keepNext/>
        <w:keepLines/>
        <w:tabs>
          <w:tab w:val="left" w:pos="1302"/>
        </w:tabs>
        <w:adjustRightInd w:val="0"/>
        <w:ind w:firstLine="0" w:firstLineChars="0"/>
        <w:jc w:val="left"/>
        <w:outlineLvl w:val="3"/>
        <w:rPr>
          <w:rFonts w:cs="Times New Roman"/>
          <w:b/>
          <w:bCs/>
          <w:lang w:eastAsia="zh-CN"/>
        </w:rPr>
      </w:pPr>
      <w:r>
        <w:rPr>
          <w:rFonts w:hint="eastAsia" w:cs="Times New Roman"/>
          <w:b/>
          <w:bCs/>
          <w:lang w:eastAsia="zh-CN"/>
        </w:rPr>
        <w:t>3.1.1.5地下水环境质量变化趋势</w:t>
      </w:r>
    </w:p>
    <w:p>
      <w:pPr>
        <w:ind w:firstLine="0" w:firstLineChars="0"/>
        <w:outlineLvl w:val="4"/>
        <w:rPr>
          <w:rFonts w:cs="Times New Roman"/>
          <w:b/>
          <w:bCs/>
          <w:lang w:eastAsia="zh-CN"/>
        </w:rPr>
      </w:pPr>
      <w:r>
        <w:rPr>
          <w:rFonts w:hint="eastAsia" w:cs="Times New Roman"/>
          <w:b/>
          <w:bCs/>
          <w:lang w:eastAsia="zh-CN"/>
        </w:rPr>
        <w:t>3.1.1.5.1原规划环评地下水环境质量</w:t>
      </w:r>
    </w:p>
    <w:p>
      <w:pPr>
        <w:tabs>
          <w:tab w:val="left" w:pos="1176"/>
        </w:tabs>
        <w:ind w:firstLine="480"/>
        <w:rPr>
          <w:rFonts w:cs="Times New Roman" w:eastAsiaTheme="minorEastAsia"/>
          <w:lang w:eastAsia="zh-CN"/>
        </w:rPr>
      </w:pPr>
      <w:r>
        <w:rPr>
          <w:rFonts w:cs="Times New Roman" w:eastAsiaTheme="minorEastAsia"/>
          <w:lang w:eastAsia="zh-CN"/>
        </w:rPr>
        <w:t>（1）区域地下水常规监测结果</w:t>
      </w:r>
    </w:p>
    <w:p>
      <w:pPr>
        <w:tabs>
          <w:tab w:val="left" w:pos="1176"/>
        </w:tabs>
        <w:ind w:firstLine="480"/>
        <w:rPr>
          <w:rFonts w:cs="Times New Roman" w:eastAsiaTheme="minorEastAsia"/>
          <w:lang w:eastAsia="zh-CN"/>
        </w:rPr>
      </w:pPr>
      <w:r>
        <w:rPr>
          <w:rFonts w:cs="Times New Roman" w:eastAsiaTheme="minorEastAsia"/>
          <w:lang w:eastAsia="zh-CN"/>
        </w:rPr>
        <w:t>原规划环评</w:t>
      </w:r>
      <w:r>
        <w:rPr>
          <w:rFonts w:cs="Times New Roman" w:eastAsiaTheme="minorEastAsia"/>
          <w:spacing w:val="-10"/>
          <w:lang w:eastAsia="zh-CN"/>
        </w:rPr>
        <w:t>收集</w:t>
      </w:r>
      <w:r>
        <w:rPr>
          <w:rFonts w:cs="Times New Roman" w:eastAsiaTheme="minorEastAsia"/>
          <w:lang w:eastAsia="zh-CN"/>
        </w:rPr>
        <w:t>2012</w:t>
      </w:r>
      <w:r>
        <w:rPr>
          <w:rFonts w:cs="Times New Roman" w:eastAsiaTheme="minorEastAsia"/>
          <w:spacing w:val="-11"/>
          <w:lang w:eastAsia="zh-CN"/>
        </w:rPr>
        <w:t>年东陵</w:t>
      </w:r>
      <w:r>
        <w:rPr>
          <w:rFonts w:cs="Times New Roman" w:eastAsiaTheme="minorEastAsia"/>
          <w:lang w:eastAsia="zh-CN"/>
        </w:rPr>
        <w:t>（浑南</w:t>
      </w:r>
      <w:r>
        <w:rPr>
          <w:rFonts w:cs="Times New Roman" w:eastAsiaTheme="minorEastAsia"/>
          <w:spacing w:val="-33"/>
          <w:lang w:eastAsia="zh-CN"/>
        </w:rPr>
        <w:t>）</w:t>
      </w:r>
      <w:r>
        <w:rPr>
          <w:rFonts w:cs="Times New Roman" w:eastAsiaTheme="minorEastAsia"/>
          <w:lang w:eastAsia="zh-CN"/>
        </w:rPr>
        <w:t>区环境质量报告对浑南供水公司饮用水源和2010年东陵（浑南）区环境质量报告麦子屯的监测结果。祥</w:t>
      </w:r>
      <w:r>
        <w:rPr>
          <w:rFonts w:cs="Times New Roman" w:eastAsiaTheme="minorEastAsia"/>
          <w:spacing w:val="-6"/>
          <w:lang w:eastAsia="zh-CN"/>
        </w:rPr>
        <w:t>见表</w:t>
      </w:r>
      <w:r>
        <w:rPr>
          <w:rFonts w:cs="Times New Roman" w:eastAsiaTheme="minorEastAsia"/>
          <w:lang w:eastAsia="zh-CN"/>
        </w:rPr>
        <w:t>3.1-10。</w:t>
      </w:r>
    </w:p>
    <w:p>
      <w:pPr>
        <w:tabs>
          <w:tab w:val="left" w:pos="1176"/>
        </w:tabs>
        <w:spacing w:line="240" w:lineRule="auto"/>
        <w:ind w:firstLine="0" w:firstLineChars="0"/>
        <w:jc w:val="center"/>
        <w:rPr>
          <w:rFonts w:cs="Times New Roman"/>
          <w:b/>
          <w:bCs/>
          <w:szCs w:val="32"/>
          <w:lang w:eastAsia="zh-CN"/>
        </w:rPr>
      </w:pPr>
      <w:r>
        <w:rPr>
          <w:rFonts w:cs="Times New Roman"/>
          <w:b/>
          <w:bCs/>
          <w:lang w:eastAsia="zh-CN"/>
        </w:rPr>
        <w:t xml:space="preserve">表3.1-10 </w:t>
      </w:r>
      <w:r>
        <w:rPr>
          <w:rFonts w:cs="Times New Roman"/>
          <w:lang w:eastAsia="zh-CN"/>
        </w:rPr>
        <w:t xml:space="preserve"> </w:t>
      </w:r>
      <w:r>
        <w:rPr>
          <w:rFonts w:cs="Times New Roman"/>
          <w:b/>
          <w:bCs/>
          <w:szCs w:val="32"/>
          <w:lang w:eastAsia="zh-CN"/>
        </w:rPr>
        <w:t>规划区域周边土壤环境监测结果统计表 单位：mg/L</w:t>
      </w:r>
    </w:p>
    <w:tbl>
      <w:tblPr>
        <w:tblStyle w:val="64"/>
        <w:tblW w:w="8827" w:type="dxa"/>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061"/>
        <w:gridCol w:w="791"/>
        <w:gridCol w:w="954"/>
        <w:gridCol w:w="1310"/>
        <w:gridCol w:w="681"/>
        <w:gridCol w:w="628"/>
        <w:gridCol w:w="1407"/>
        <w:gridCol w:w="995"/>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6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项目</w:t>
            </w:r>
          </w:p>
        </w:tc>
        <w:tc>
          <w:tcPr>
            <w:tcW w:w="79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PH</w:t>
            </w:r>
          </w:p>
        </w:tc>
        <w:tc>
          <w:tcPr>
            <w:tcW w:w="954"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硝酸盐</w:t>
            </w:r>
          </w:p>
        </w:tc>
        <w:tc>
          <w:tcPr>
            <w:tcW w:w="1310"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亚硝酸盐氮</w:t>
            </w:r>
          </w:p>
        </w:tc>
        <w:tc>
          <w:tcPr>
            <w:tcW w:w="68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硬度</w:t>
            </w:r>
          </w:p>
        </w:tc>
        <w:tc>
          <w:tcPr>
            <w:tcW w:w="62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Mn</w:t>
            </w:r>
          </w:p>
        </w:tc>
        <w:tc>
          <w:tcPr>
            <w:tcW w:w="1407"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高锰酸盐指数</w:t>
            </w:r>
          </w:p>
        </w:tc>
        <w:tc>
          <w:tcPr>
            <w:tcW w:w="995"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氟化物</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6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浑南供水公司</w:t>
            </w:r>
          </w:p>
        </w:tc>
        <w:tc>
          <w:tcPr>
            <w:tcW w:w="79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6.54</w:t>
            </w:r>
          </w:p>
        </w:tc>
        <w:tc>
          <w:tcPr>
            <w:tcW w:w="954"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5.73</w:t>
            </w:r>
          </w:p>
        </w:tc>
        <w:tc>
          <w:tcPr>
            <w:tcW w:w="1310"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0.006</w:t>
            </w:r>
          </w:p>
        </w:tc>
        <w:tc>
          <w:tcPr>
            <w:tcW w:w="68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174</w:t>
            </w:r>
          </w:p>
        </w:tc>
        <w:tc>
          <w:tcPr>
            <w:tcW w:w="62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0.002</w:t>
            </w:r>
          </w:p>
        </w:tc>
        <w:tc>
          <w:tcPr>
            <w:tcW w:w="1407"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1.0</w:t>
            </w:r>
          </w:p>
        </w:tc>
        <w:tc>
          <w:tcPr>
            <w:tcW w:w="995"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0016</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6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麦子屯</w:t>
            </w:r>
          </w:p>
        </w:tc>
        <w:tc>
          <w:tcPr>
            <w:tcW w:w="79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6.64</w:t>
            </w:r>
          </w:p>
        </w:tc>
        <w:tc>
          <w:tcPr>
            <w:tcW w:w="954"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4.47</w:t>
            </w:r>
          </w:p>
        </w:tc>
        <w:tc>
          <w:tcPr>
            <w:tcW w:w="1310"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w:t>
            </w:r>
          </w:p>
        </w:tc>
        <w:tc>
          <w:tcPr>
            <w:tcW w:w="68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244</w:t>
            </w:r>
          </w:p>
        </w:tc>
        <w:tc>
          <w:tcPr>
            <w:tcW w:w="62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0.05</w:t>
            </w:r>
          </w:p>
        </w:tc>
        <w:tc>
          <w:tcPr>
            <w:tcW w:w="1407"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0.6</w:t>
            </w:r>
          </w:p>
        </w:tc>
        <w:tc>
          <w:tcPr>
            <w:tcW w:w="995"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0.290</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06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GB/T14848-93Ⅲ类</w:t>
            </w:r>
          </w:p>
        </w:tc>
        <w:tc>
          <w:tcPr>
            <w:tcW w:w="79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6.5-8.5</w:t>
            </w:r>
          </w:p>
        </w:tc>
        <w:tc>
          <w:tcPr>
            <w:tcW w:w="954"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20</w:t>
            </w:r>
          </w:p>
        </w:tc>
        <w:tc>
          <w:tcPr>
            <w:tcW w:w="1310"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0.02</w:t>
            </w:r>
          </w:p>
        </w:tc>
        <w:tc>
          <w:tcPr>
            <w:tcW w:w="681"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450</w:t>
            </w:r>
          </w:p>
        </w:tc>
        <w:tc>
          <w:tcPr>
            <w:tcW w:w="628"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1</w:t>
            </w:r>
          </w:p>
        </w:tc>
        <w:tc>
          <w:tcPr>
            <w:tcW w:w="1407"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3.0</w:t>
            </w:r>
          </w:p>
        </w:tc>
        <w:tc>
          <w:tcPr>
            <w:tcW w:w="995" w:type="dxa"/>
            <w:tcBorders>
              <w:tl2br w:val="nil"/>
              <w:tr2bl w:val="nil"/>
            </w:tcBorders>
            <w:vAlign w:val="center"/>
          </w:tcPr>
          <w:p>
            <w:pPr>
              <w:pStyle w:val="119"/>
              <w:spacing w:line="400" w:lineRule="exact"/>
              <w:ind w:firstLine="0" w:firstLineChars="0"/>
              <w:jc w:val="center"/>
              <w:rPr>
                <w:rFonts w:cs="Times New Roman"/>
                <w:sz w:val="21"/>
                <w:szCs w:val="21"/>
                <w:lang w:eastAsia="zh-CN"/>
              </w:rPr>
            </w:pPr>
            <w:r>
              <w:rPr>
                <w:rFonts w:cs="Times New Roman"/>
                <w:sz w:val="21"/>
                <w:szCs w:val="21"/>
                <w:lang w:eastAsia="zh-CN"/>
              </w:rPr>
              <w:t>1</w:t>
            </w:r>
          </w:p>
        </w:tc>
      </w:tr>
    </w:tbl>
    <w:p>
      <w:pPr>
        <w:pStyle w:val="87"/>
        <w:spacing w:line="360" w:lineRule="auto"/>
        <w:ind w:firstLine="480" w:firstLineChars="200"/>
        <w:rPr>
          <w:rFonts w:eastAsiaTheme="minorEastAsia"/>
          <w:szCs w:val="24"/>
        </w:rPr>
      </w:pPr>
      <w:r>
        <w:rPr>
          <w:rFonts w:eastAsiaTheme="minorEastAsia"/>
          <w:szCs w:val="24"/>
        </w:rPr>
        <w:t>浑南供水公司引用水源所监测因子的监测结果可以满足Ⅲ类标准限值，麦子屯地下水监测指标可以满足</w:t>
      </w:r>
      <w:r>
        <w:rPr>
          <w:szCs w:val="24"/>
        </w:rPr>
        <w:t>Ⅲ</w:t>
      </w:r>
      <w:r>
        <w:rPr>
          <w:rFonts w:eastAsiaTheme="minorEastAsia"/>
          <w:szCs w:val="24"/>
        </w:rPr>
        <w:t>类标准要求。</w:t>
      </w:r>
    </w:p>
    <w:p>
      <w:pPr>
        <w:pStyle w:val="25"/>
        <w:spacing w:after="0"/>
        <w:ind w:firstLine="480"/>
        <w:rPr>
          <w:rFonts w:cs="Times New Roman"/>
          <w:lang w:eastAsia="zh-CN"/>
        </w:rPr>
      </w:pPr>
      <w:r>
        <w:rPr>
          <w:rFonts w:cs="Times New Roman" w:eastAsiaTheme="minorEastAsia"/>
          <w:lang w:eastAsia="zh-CN"/>
        </w:rPr>
        <w:t>（2）</w:t>
      </w:r>
      <w:r>
        <w:rPr>
          <w:rFonts w:cs="Times New Roman"/>
          <w:lang w:eastAsia="zh-CN"/>
        </w:rPr>
        <w:t>饮用水源常规监测结果</w:t>
      </w:r>
    </w:p>
    <w:p>
      <w:pPr>
        <w:pStyle w:val="25"/>
        <w:spacing w:after="0"/>
        <w:ind w:firstLine="480"/>
        <w:rPr>
          <w:rFonts w:cs="Times New Roman"/>
          <w:lang w:eastAsia="zh-CN"/>
        </w:rPr>
      </w:pPr>
      <w:r>
        <w:rPr>
          <w:rFonts w:cs="Times New Roman"/>
          <w:lang w:eastAsia="zh-CN"/>
        </w:rPr>
        <w:t>评价收集</w:t>
      </w:r>
      <w:r>
        <w:rPr>
          <w:rFonts w:eastAsia="Times New Roman" w:cs="Times New Roman"/>
          <w:lang w:eastAsia="zh-CN"/>
        </w:rPr>
        <w:t>2013</w:t>
      </w:r>
      <w:r>
        <w:rPr>
          <w:rFonts w:cs="Times New Roman"/>
          <w:lang w:eastAsia="zh-CN"/>
        </w:rPr>
        <w:t>年浑南新区环境质量报告对浑南供水公司饮用水源的监测结果， 详见表</w:t>
      </w:r>
      <w:r>
        <w:rPr>
          <w:rFonts w:eastAsia="Times New Roman" w:cs="Times New Roman"/>
          <w:lang w:eastAsia="zh-CN"/>
        </w:rPr>
        <w:t>3.1-7</w:t>
      </w:r>
      <w:r>
        <w:rPr>
          <w:rFonts w:cs="Times New Roman"/>
          <w:lang w:eastAsia="zh-CN"/>
        </w:rPr>
        <w:t>和附图</w:t>
      </w:r>
      <w:r>
        <w:rPr>
          <w:rFonts w:eastAsia="Times New Roman" w:cs="Times New Roman"/>
          <w:lang w:eastAsia="zh-CN"/>
        </w:rPr>
        <w:t>3-3</w:t>
      </w:r>
      <w:r>
        <w:rPr>
          <w:rFonts w:cs="Times New Roman"/>
          <w:lang w:eastAsia="zh-CN"/>
        </w:rPr>
        <w:t>。</w:t>
      </w:r>
    </w:p>
    <w:p>
      <w:pPr>
        <w:pStyle w:val="25"/>
        <w:spacing w:after="0"/>
        <w:ind w:firstLine="444"/>
        <w:rPr>
          <w:lang w:eastAsia="zh-CN"/>
        </w:rPr>
      </w:pPr>
      <w:r>
        <w:rPr>
          <w:rFonts w:cs="Times New Roman"/>
          <w:spacing w:val="-9"/>
          <w:lang w:eastAsia="zh-CN"/>
        </w:rPr>
        <w:t>从监测结果可知，浑南供水公司饮用水源</w:t>
      </w:r>
      <w:r>
        <w:rPr>
          <w:rFonts w:eastAsia="Times New Roman" w:cs="Times New Roman"/>
          <w:lang w:eastAsia="zh-CN"/>
        </w:rPr>
        <w:t>13#</w:t>
      </w:r>
      <w:r>
        <w:rPr>
          <w:rFonts w:cs="Times New Roman"/>
          <w:spacing w:val="-34"/>
          <w:lang w:eastAsia="zh-CN"/>
        </w:rPr>
        <w:t xml:space="preserve">和 </w:t>
      </w:r>
      <w:r>
        <w:rPr>
          <w:rFonts w:eastAsia="Times New Roman" w:cs="Times New Roman"/>
          <w:lang w:eastAsia="zh-CN"/>
        </w:rPr>
        <w:t>15#</w:t>
      </w:r>
      <w:r>
        <w:rPr>
          <w:rFonts w:cs="Times New Roman"/>
          <w:spacing w:val="-4"/>
          <w:lang w:eastAsia="zh-CN"/>
        </w:rPr>
        <w:t>井锰出现超标现象，为沈阳地区地质结构性污染，其余井水质均满足Ⅲ类标准要求。</w:t>
      </w:r>
    </w:p>
    <w:p>
      <w:pPr>
        <w:spacing w:line="364" w:lineRule="auto"/>
        <w:ind w:firstLine="480"/>
        <w:rPr>
          <w:lang w:eastAsia="zh-CN"/>
        </w:rPr>
        <w:sectPr>
          <w:footerReference r:id="rId20" w:type="default"/>
          <w:pgSz w:w="11910" w:h="16840"/>
          <w:pgMar w:top="1389" w:right="1179" w:bottom="1389" w:left="1746" w:header="1320" w:footer="993" w:gutter="0"/>
          <w:pgBorders>
            <w:top w:val="none" w:sz="0" w:space="0"/>
            <w:left w:val="none" w:sz="0" w:space="0"/>
            <w:bottom w:val="none" w:sz="0" w:space="0"/>
            <w:right w:val="none" w:sz="0" w:space="0"/>
          </w:pgBorders>
          <w:cols w:space="720" w:num="1"/>
        </w:sectPr>
      </w:pPr>
    </w:p>
    <w:p>
      <w:pPr>
        <w:tabs>
          <w:tab w:val="left" w:pos="910"/>
        </w:tabs>
        <w:spacing w:line="240" w:lineRule="auto"/>
        <w:ind w:firstLine="0" w:firstLineChars="0"/>
        <w:jc w:val="center"/>
        <w:rPr>
          <w:rFonts w:cs="Times New Roman"/>
          <w:b/>
          <w:bCs/>
          <w:szCs w:val="32"/>
          <w:lang w:eastAsia="zh-CN"/>
        </w:rPr>
      </w:pPr>
      <w:r>
        <w:rPr>
          <w:rFonts w:cs="Times New Roman"/>
          <w:b/>
          <w:bCs/>
          <w:szCs w:val="32"/>
          <w:lang w:eastAsia="zh-CN"/>
        </w:rPr>
        <w:t>表</w:t>
      </w:r>
      <w:r>
        <w:rPr>
          <w:rFonts w:cs="Times New Roman"/>
          <w:b/>
          <w:bCs/>
          <w:spacing w:val="-54"/>
          <w:szCs w:val="32"/>
          <w:lang w:eastAsia="zh-CN"/>
        </w:rPr>
        <w:t xml:space="preserve"> </w:t>
      </w:r>
      <w:r>
        <w:rPr>
          <w:rFonts w:cs="Times New Roman"/>
          <w:b/>
          <w:bCs/>
          <w:szCs w:val="32"/>
          <w:lang w:eastAsia="zh-CN"/>
        </w:rPr>
        <w:t>3.1-7</w:t>
      </w:r>
      <w:r>
        <w:rPr>
          <w:rFonts w:cs="Times New Roman"/>
          <w:b/>
          <w:bCs/>
          <w:szCs w:val="32"/>
          <w:lang w:eastAsia="zh-CN"/>
        </w:rPr>
        <w:tab/>
      </w:r>
      <w:r>
        <w:rPr>
          <w:rFonts w:hint="eastAsia" w:cs="Times New Roman"/>
          <w:b/>
          <w:bCs/>
          <w:szCs w:val="32"/>
          <w:lang w:val="en-US" w:eastAsia="zh-CN"/>
        </w:rPr>
        <w:t>2013年</w:t>
      </w:r>
      <w:r>
        <w:rPr>
          <w:rFonts w:cs="Times New Roman"/>
          <w:b/>
          <w:bCs/>
          <w:szCs w:val="32"/>
          <w:lang w:eastAsia="zh-CN"/>
        </w:rPr>
        <w:t>区域地下水现状监测一览表</w:t>
      </w:r>
    </w:p>
    <w:tbl>
      <w:tblPr>
        <w:tblStyle w:val="64"/>
        <w:tblW w:w="0" w:type="auto"/>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015"/>
        <w:gridCol w:w="1625"/>
        <w:gridCol w:w="1356"/>
        <w:gridCol w:w="1225"/>
        <w:gridCol w:w="1189"/>
        <w:gridCol w:w="873"/>
        <w:gridCol w:w="872"/>
        <w:gridCol w:w="873"/>
        <w:gridCol w:w="873"/>
        <w:gridCol w:w="881"/>
        <w:gridCol w:w="1836"/>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项目</w:t>
            </w:r>
          </w:p>
        </w:tc>
        <w:tc>
          <w:tcPr>
            <w:tcW w:w="9767" w:type="dxa"/>
            <w:gridSpan w:val="9"/>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浑南供水公司</w:t>
            </w:r>
          </w:p>
        </w:tc>
        <w:tc>
          <w:tcPr>
            <w:tcW w:w="1836" w:type="dxa"/>
            <w:vMerge w:val="restart"/>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GB/T14848-93Ⅲ类</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0"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水井编号</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8</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9</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10</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12</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13</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15</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16</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平均值</w:t>
            </w:r>
          </w:p>
        </w:tc>
        <w:tc>
          <w:tcPr>
            <w:tcW w:w="1836" w:type="dxa"/>
            <w:vMerge w:val="continue"/>
            <w:tcBorders>
              <w:tl2br w:val="nil"/>
              <w:tr2bl w:val="nil"/>
            </w:tcBorders>
            <w:vAlign w:val="center"/>
          </w:tcPr>
          <w:p>
            <w:pPr>
              <w:spacing w:line="360" w:lineRule="exact"/>
              <w:ind w:firstLine="0" w:firstLineChars="0"/>
              <w:jc w:val="center"/>
              <w:rPr>
                <w:rFonts w:cs="Times New Roman"/>
                <w:sz w:val="21"/>
                <w:szCs w:val="21"/>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pH</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6.7</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6.7</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6.7</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6.7</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6.6</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6.6</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6.6</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6.6</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6.7</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6.5-8.5</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硝酸盐</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3.9</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2.8</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1.2</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2.9</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2.4</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1.0</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0.9</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1.8</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2.1</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≤20</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0"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氰化物</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≤0.05</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挥发酚</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≤0.002</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氟化物</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0.27</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0.32</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0.31</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0.27</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0.29</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0.36</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0.38</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0.27</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0.31</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0"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硫酸盐</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133</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90</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97</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100</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83</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70</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93</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107</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97</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≤250</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氯化物</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59</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51</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51</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61</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59</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51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61</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57</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≤250</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铁</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0.03</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&lt;0.007</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0.008</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0.008</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0.014</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0.016</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0.015</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&lt;0.007</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0.011</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≤0.3</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0"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锰</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0.002</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0.016</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0.002</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0.03</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0.074</w:t>
            </w:r>
          </w:p>
        </w:tc>
        <w:tc>
          <w:tcPr>
            <w:tcW w:w="872" w:type="dxa"/>
            <w:tcBorders>
              <w:tl2br w:val="nil"/>
              <w:tr2bl w:val="nil"/>
            </w:tcBorders>
            <w:vAlign w:val="center"/>
          </w:tcPr>
          <w:p>
            <w:pPr>
              <w:pStyle w:val="119"/>
              <w:spacing w:line="360" w:lineRule="exact"/>
              <w:ind w:firstLine="0" w:firstLineChars="0"/>
              <w:jc w:val="center"/>
              <w:rPr>
                <w:rFonts w:cs="Times New Roman"/>
                <w:b/>
                <w:sz w:val="21"/>
                <w:szCs w:val="21"/>
              </w:rPr>
            </w:pPr>
            <w:r>
              <w:rPr>
                <w:rFonts w:cs="Times New Roman"/>
                <w:b/>
                <w:sz w:val="21"/>
                <w:szCs w:val="21"/>
              </w:rPr>
              <w:t>1.31</w:t>
            </w:r>
          </w:p>
        </w:tc>
        <w:tc>
          <w:tcPr>
            <w:tcW w:w="873" w:type="dxa"/>
            <w:tcBorders>
              <w:tl2br w:val="nil"/>
              <w:tr2bl w:val="nil"/>
            </w:tcBorders>
            <w:vAlign w:val="center"/>
          </w:tcPr>
          <w:p>
            <w:pPr>
              <w:pStyle w:val="119"/>
              <w:spacing w:line="360" w:lineRule="exact"/>
              <w:ind w:firstLine="0" w:firstLineChars="0"/>
              <w:jc w:val="center"/>
              <w:rPr>
                <w:rFonts w:cs="Times New Roman"/>
                <w:b/>
                <w:sz w:val="21"/>
                <w:szCs w:val="21"/>
              </w:rPr>
            </w:pPr>
            <w:r>
              <w:rPr>
                <w:rFonts w:cs="Times New Roman"/>
                <w:b/>
                <w:sz w:val="21"/>
                <w:szCs w:val="21"/>
              </w:rPr>
              <w:t>1.68</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0.08</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0.399</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≤0.1</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铜</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&lt;0.005</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&lt;0.005</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&lt;0.005</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&lt;0.005</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&lt;0.005</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&lt;0.005</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&lt;0.005</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&lt;0.005</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&lt;0.005</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锌</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0.006</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0.022</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0.022</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0.015</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0.017</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0.32</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0.053</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0"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硒</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砷</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&lt;0.001</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≤0.05</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1"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汞</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&lt;0.0001</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&lt;0.0001</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&lt;0.0001</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&lt;0.0001</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&lt;0.0001</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&lt;0.0001</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≤0.001</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3"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镉</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&lt;0.002</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≤0.01</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1"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六价铬</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&lt;0.004</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&lt;0.004</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&lt;0.004</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&lt;0.004</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&lt;0.004</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&lt;0.004</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&lt;0.004</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&lt;0.004</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&lt;0.004</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≤0.05</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2"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铅</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&lt;0.01</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&lt;0.01</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&lt;0.01</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&lt;0.01</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&lt;0.01</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&lt;0.01</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≤0.05</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5"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总硬度</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244</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206</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197</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200</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188</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167</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196</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212</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201</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≤450</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201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溶解性固体</w:t>
            </w:r>
          </w:p>
        </w:tc>
        <w:tc>
          <w:tcPr>
            <w:tcW w:w="16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389</w:t>
            </w:r>
          </w:p>
        </w:tc>
        <w:tc>
          <w:tcPr>
            <w:tcW w:w="135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313</w:t>
            </w:r>
          </w:p>
        </w:tc>
        <w:tc>
          <w:tcPr>
            <w:tcW w:w="1225"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301</w:t>
            </w:r>
          </w:p>
        </w:tc>
        <w:tc>
          <w:tcPr>
            <w:tcW w:w="1189"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306</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306</w:t>
            </w:r>
          </w:p>
        </w:tc>
        <w:tc>
          <w:tcPr>
            <w:tcW w:w="872"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255</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301</w:t>
            </w:r>
          </w:p>
        </w:tc>
        <w:tc>
          <w:tcPr>
            <w:tcW w:w="873"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306</w:t>
            </w:r>
          </w:p>
        </w:tc>
        <w:tc>
          <w:tcPr>
            <w:tcW w:w="881"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310</w:t>
            </w:r>
          </w:p>
        </w:tc>
        <w:tc>
          <w:tcPr>
            <w:tcW w:w="1836" w:type="dxa"/>
            <w:tcBorders>
              <w:tl2br w:val="nil"/>
              <w:tr2bl w:val="nil"/>
            </w:tcBorders>
            <w:vAlign w:val="center"/>
          </w:tcPr>
          <w:p>
            <w:pPr>
              <w:pStyle w:val="119"/>
              <w:spacing w:line="360" w:lineRule="exact"/>
              <w:ind w:firstLine="0" w:firstLineChars="0"/>
              <w:jc w:val="center"/>
              <w:rPr>
                <w:rFonts w:cs="Times New Roman"/>
                <w:sz w:val="21"/>
                <w:szCs w:val="21"/>
              </w:rPr>
            </w:pPr>
            <w:r>
              <w:rPr>
                <w:rFonts w:cs="Times New Roman"/>
                <w:sz w:val="21"/>
                <w:szCs w:val="21"/>
              </w:rPr>
              <w:t>≤1000</w:t>
            </w:r>
          </w:p>
        </w:tc>
      </w:tr>
    </w:tbl>
    <w:p>
      <w:pPr>
        <w:pStyle w:val="87"/>
        <w:spacing w:line="360" w:lineRule="auto"/>
        <w:ind w:firstLine="480" w:firstLineChars="200"/>
        <w:rPr>
          <w:rFonts w:eastAsiaTheme="minorEastAsia"/>
          <w:szCs w:val="24"/>
        </w:rPr>
        <w:sectPr>
          <w:pgSz w:w="16838" w:h="11906" w:orient="landscape"/>
          <w:pgMar w:top="1689" w:right="1431" w:bottom="1309" w:left="1601" w:header="907" w:footer="1434" w:gutter="0"/>
          <w:pgBorders>
            <w:top w:val="none" w:sz="0" w:space="0"/>
            <w:left w:val="none" w:sz="0" w:space="0"/>
            <w:bottom w:val="none" w:sz="0" w:space="0"/>
            <w:right w:val="none" w:sz="0" w:space="0"/>
          </w:pgBorders>
          <w:cols w:space="720" w:num="1"/>
        </w:sectPr>
      </w:pPr>
    </w:p>
    <w:p>
      <w:pPr>
        <w:ind w:firstLine="0" w:firstLineChars="0"/>
        <w:outlineLvl w:val="4"/>
        <w:rPr>
          <w:rFonts w:cs="Times New Roman"/>
          <w:b/>
          <w:bCs/>
          <w:lang w:eastAsia="zh-CN"/>
        </w:rPr>
      </w:pPr>
      <w:r>
        <w:rPr>
          <w:rFonts w:hint="eastAsia" w:cs="Times New Roman"/>
          <w:b/>
          <w:bCs/>
          <w:lang w:eastAsia="zh-CN"/>
        </w:rPr>
        <w:t>3.1.1.5.2地下水环境质量现状补充监测与评价</w:t>
      </w:r>
    </w:p>
    <w:p>
      <w:pPr>
        <w:numPr>
          <w:ilvl w:val="0"/>
          <w:numId w:val="9"/>
        </w:numPr>
        <w:ind w:firstLine="482"/>
        <w:rPr>
          <w:rFonts w:cs="Times New Roman"/>
          <w:b/>
          <w:bCs/>
          <w:lang w:eastAsia="zh-CN"/>
        </w:rPr>
      </w:pPr>
      <w:r>
        <w:rPr>
          <w:rFonts w:hint="eastAsia" w:cs="Times New Roman"/>
          <w:b/>
          <w:bCs/>
          <w:lang w:eastAsia="zh-CN"/>
        </w:rPr>
        <w:t>区域地下水环境质量现状监测</w:t>
      </w:r>
    </w:p>
    <w:p>
      <w:pPr>
        <w:ind w:firstLine="480"/>
        <w:rPr>
          <w:rFonts w:cs="Times New Roman"/>
          <w:lang w:eastAsia="zh-CN"/>
        </w:rPr>
      </w:pPr>
      <w:r>
        <w:rPr>
          <w:rFonts w:hint="eastAsia" w:cs="Times New Roman"/>
          <w:lang w:eastAsia="zh-CN"/>
        </w:rPr>
        <w:t>区域地下水环境质量数据引用《浑南区环境质量报告书》（20</w:t>
      </w:r>
      <w:r>
        <w:rPr>
          <w:rFonts w:hint="eastAsia" w:cs="Times New Roman"/>
          <w:lang w:val="en-US" w:eastAsia="zh-CN"/>
        </w:rPr>
        <w:t>20</w:t>
      </w:r>
      <w:r>
        <w:rPr>
          <w:rFonts w:hint="eastAsia" w:cs="Times New Roman"/>
          <w:lang w:eastAsia="zh-CN"/>
        </w:rPr>
        <w:t>年）监测数据。</w:t>
      </w:r>
      <w:r>
        <w:rPr>
          <w:rFonts w:hint="eastAsia" w:cs="Times New Roman"/>
          <w:lang w:eastAsia="zh-CN"/>
        </w:rPr>
        <w:br w:type="textWrapping"/>
      </w:r>
      <w:r>
        <w:rPr>
          <w:rFonts w:hint="eastAsia" w:cs="Times New Roman"/>
          <w:lang w:eastAsia="zh-CN"/>
        </w:rPr>
        <w:t>浑南区共设监测井位5眼，分别为王滨乡政府、小张二村、麦子屯、南大甸子村和李相街道办事处。20</w:t>
      </w:r>
      <w:r>
        <w:rPr>
          <w:rFonts w:hint="eastAsia" w:cs="Times New Roman"/>
          <w:lang w:val="en-US" w:eastAsia="zh-CN"/>
        </w:rPr>
        <w:t>20</w:t>
      </w:r>
      <w:r>
        <w:rPr>
          <w:rFonts w:hint="eastAsia" w:cs="Times New Roman"/>
          <w:lang w:eastAsia="zh-CN"/>
        </w:rPr>
        <w:t>年浑南区所有监测井23项污染指标均达到《地下水质量标准》（GB/T14848-2017）Ⅲ类标准。20</w:t>
      </w:r>
      <w:r>
        <w:rPr>
          <w:rFonts w:hint="eastAsia" w:cs="Times New Roman"/>
          <w:lang w:val="en-US" w:eastAsia="zh-CN"/>
        </w:rPr>
        <w:t>20</w:t>
      </w:r>
      <w:r>
        <w:rPr>
          <w:rFonts w:hint="eastAsia" w:cs="Times New Roman"/>
          <w:lang w:eastAsia="zh-CN"/>
        </w:rPr>
        <w:t>年浑南区地下水主要污染物监测结果见表3.1-12。</w:t>
      </w:r>
    </w:p>
    <w:p>
      <w:pPr>
        <w:spacing w:line="240" w:lineRule="auto"/>
        <w:ind w:firstLine="0" w:firstLineChars="0"/>
        <w:jc w:val="center"/>
        <w:rPr>
          <w:rFonts w:cs="Times New Roman"/>
          <w:b/>
          <w:bCs/>
          <w:lang w:eastAsia="zh-CN"/>
        </w:rPr>
      </w:pPr>
      <w:r>
        <w:rPr>
          <w:rFonts w:hint="eastAsia" w:cs="Times New Roman"/>
          <w:b/>
          <w:bCs/>
          <w:lang w:eastAsia="zh-CN"/>
        </w:rPr>
        <w:t>表3.1-12 浑南区地下水主要污染物监测结果汇总表 单位：mg/L</w:t>
      </w:r>
    </w:p>
    <w:tbl>
      <w:tblPr>
        <w:tblStyle w:val="64"/>
        <w:tblW w:w="5000" w:type="pct"/>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Layout w:type="autofit"/>
        <w:tblCellMar>
          <w:top w:w="0" w:type="dxa"/>
          <w:left w:w="108" w:type="dxa"/>
          <w:bottom w:w="0" w:type="dxa"/>
          <w:right w:w="108" w:type="dxa"/>
        </w:tblCellMar>
      </w:tblPr>
      <w:tblGrid>
        <w:gridCol w:w="1441"/>
        <w:gridCol w:w="933"/>
        <w:gridCol w:w="933"/>
        <w:gridCol w:w="1255"/>
        <w:gridCol w:w="935"/>
        <w:gridCol w:w="1209"/>
        <w:gridCol w:w="1211"/>
        <w:gridCol w:w="1207"/>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trHeight w:val="482" w:hRule="atLeast"/>
          <w:tblHeader/>
        </w:trPr>
        <w:tc>
          <w:tcPr>
            <w:tcW w:w="7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  目</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氯化物</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亚硝酸盐氮</w:t>
            </w:r>
          </w:p>
        </w:tc>
        <w:tc>
          <w:tcPr>
            <w:tcW w:w="68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六价铬</w:t>
            </w:r>
          </w:p>
        </w:tc>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硫酸盐</w:t>
            </w:r>
          </w:p>
        </w:tc>
        <w:tc>
          <w:tcPr>
            <w:tcW w:w="66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氟化物</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总硬度</w:t>
            </w:r>
          </w:p>
        </w:tc>
        <w:tc>
          <w:tcPr>
            <w:tcW w:w="66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硝酸盐氮</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trPr>
        <w:tc>
          <w:tcPr>
            <w:tcW w:w="789" w:type="pct"/>
            <w:shd w:val="clear" w:color="auto" w:fill="auto"/>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2020年全区年均值</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41.81</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0.0022</w:t>
            </w:r>
          </w:p>
        </w:tc>
        <w:tc>
          <w:tcPr>
            <w:tcW w:w="68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0.002</w:t>
            </w:r>
          </w:p>
        </w:tc>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78.54</w:t>
            </w:r>
          </w:p>
        </w:tc>
        <w:tc>
          <w:tcPr>
            <w:tcW w:w="66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0.23</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381.2</w:t>
            </w:r>
          </w:p>
        </w:tc>
        <w:tc>
          <w:tcPr>
            <w:tcW w:w="66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6.51</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trPr>
        <w:tc>
          <w:tcPr>
            <w:tcW w:w="7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《地下水质量标准》（GB/T 14848-93）Ⅲ类水质标准</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≤0.02</w:t>
            </w:r>
          </w:p>
        </w:tc>
        <w:tc>
          <w:tcPr>
            <w:tcW w:w="68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≤0.05</w:t>
            </w:r>
          </w:p>
        </w:tc>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66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≤450</w:t>
            </w:r>
          </w:p>
        </w:tc>
        <w:tc>
          <w:tcPr>
            <w:tcW w:w="66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trPr>
        <w:tc>
          <w:tcPr>
            <w:tcW w:w="7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《地下水质量标准》（GB/T 14848-2017）Ⅲ类水质标准</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≤1.00</w:t>
            </w:r>
          </w:p>
        </w:tc>
        <w:tc>
          <w:tcPr>
            <w:tcW w:w="68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≤0.05</w:t>
            </w:r>
          </w:p>
        </w:tc>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66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≤450</w:t>
            </w:r>
          </w:p>
        </w:tc>
        <w:tc>
          <w:tcPr>
            <w:tcW w:w="66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82" w:hRule="atLeast"/>
        </w:trPr>
        <w:tc>
          <w:tcPr>
            <w:tcW w:w="7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超标倍数</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8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82" w:hRule="atLeast"/>
        </w:trPr>
        <w:tc>
          <w:tcPr>
            <w:tcW w:w="7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超标率</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8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trPr>
        <w:tc>
          <w:tcPr>
            <w:tcW w:w="7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最大值</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73.40</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0.005</w:t>
            </w:r>
          </w:p>
        </w:tc>
        <w:tc>
          <w:tcPr>
            <w:tcW w:w="68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0.004L</w:t>
            </w:r>
          </w:p>
        </w:tc>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110.65</w:t>
            </w:r>
          </w:p>
        </w:tc>
        <w:tc>
          <w:tcPr>
            <w:tcW w:w="66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0.30</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396.4</w:t>
            </w:r>
          </w:p>
        </w:tc>
        <w:tc>
          <w:tcPr>
            <w:tcW w:w="66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396.4</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trPr>
        <w:tc>
          <w:tcPr>
            <w:tcW w:w="7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最小值</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23.18</w:t>
            </w:r>
          </w:p>
        </w:tc>
        <w:tc>
          <w:tcPr>
            <w:tcW w:w="51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0.003L</w:t>
            </w:r>
          </w:p>
        </w:tc>
        <w:tc>
          <w:tcPr>
            <w:tcW w:w="68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0.004L</w:t>
            </w:r>
          </w:p>
        </w:tc>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45.20</w:t>
            </w:r>
          </w:p>
        </w:tc>
        <w:tc>
          <w:tcPr>
            <w:tcW w:w="662"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0.15</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370.3</w:t>
            </w:r>
          </w:p>
        </w:tc>
        <w:tc>
          <w:tcPr>
            <w:tcW w:w="661"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370.3</w:t>
            </w:r>
          </w:p>
        </w:tc>
      </w:tr>
    </w:tbl>
    <w:p>
      <w:pPr>
        <w:ind w:firstLine="480"/>
        <w:rPr>
          <w:rFonts w:cs="Times New Roman"/>
          <w:lang w:eastAsia="zh-CN"/>
        </w:rPr>
      </w:pPr>
      <w:r>
        <w:rPr>
          <w:rFonts w:hint="eastAsia" w:cs="Times New Roman"/>
          <w:lang w:eastAsia="zh-CN"/>
        </w:rPr>
        <w:t>浑南区地下水污染属于以“三氮”为主的有机行污染，相对较高的项目主要为硝酸盐氮。有机污染物主要源于地表水的长期污染和侧向补给作用。通过大力度的整治，浑南区地表水污染近几年来有所缓和，地下水井位分布在河流两岸，其水质受河流侧向补给影响较大，对地下水三氮浓度产生一定影响。</w:t>
      </w:r>
    </w:p>
    <w:p>
      <w:pPr>
        <w:numPr>
          <w:ilvl w:val="0"/>
          <w:numId w:val="9"/>
        </w:numPr>
        <w:ind w:firstLine="482"/>
        <w:rPr>
          <w:rFonts w:cs="Times New Roman"/>
          <w:b/>
          <w:bCs/>
          <w:lang w:eastAsia="zh-CN"/>
        </w:rPr>
      </w:pPr>
      <w:r>
        <w:rPr>
          <w:rFonts w:hint="eastAsia" w:cs="Times New Roman"/>
          <w:b/>
          <w:bCs/>
          <w:lang w:eastAsia="zh-CN"/>
        </w:rPr>
        <w:t>地下水环境质量现状监测</w:t>
      </w:r>
    </w:p>
    <w:p>
      <w:pPr>
        <w:spacing w:before="258" w:line="359" w:lineRule="auto"/>
        <w:ind w:left="110" w:right="107" w:firstLine="485"/>
        <w:rPr>
          <w:rFonts w:ascii="宋体" w:hAnsi="宋体" w:eastAsia="宋体" w:cs="宋体"/>
          <w:sz w:val="24"/>
          <w:szCs w:val="24"/>
        </w:rPr>
      </w:pPr>
      <w:r>
        <w:rPr>
          <w:rFonts w:ascii="宋体" w:hAnsi="宋体" w:eastAsia="宋体" w:cs="宋体"/>
          <w:spacing w:val="-4"/>
          <w:sz w:val="24"/>
          <w:szCs w:val="24"/>
        </w:rPr>
        <w:t>本次评价收集《八水厂浑南李巴彦水源井迁建工程项目环境影响报告书》</w:t>
      </w:r>
      <w:r>
        <w:rPr>
          <w:rFonts w:ascii="宋体" w:hAnsi="宋体" w:eastAsia="宋体" w:cs="宋体"/>
          <w:spacing w:val="48"/>
          <w:sz w:val="24"/>
          <w:szCs w:val="24"/>
        </w:rPr>
        <w:t xml:space="preserve"> </w:t>
      </w:r>
      <w:r>
        <w:rPr>
          <w:rFonts w:ascii="宋体" w:hAnsi="宋体" w:eastAsia="宋体" w:cs="宋体"/>
          <w:spacing w:val="-4"/>
          <w:sz w:val="24"/>
          <w:szCs w:val="24"/>
        </w:rPr>
        <w:t>中对</w:t>
      </w:r>
      <w:r>
        <w:rPr>
          <w:rFonts w:ascii="宋体" w:hAnsi="宋体" w:eastAsia="宋体" w:cs="宋体"/>
          <w:sz w:val="24"/>
          <w:szCs w:val="24"/>
        </w:rPr>
        <w:t xml:space="preserve"> </w:t>
      </w:r>
      <w:r>
        <w:rPr>
          <w:rFonts w:ascii="宋体" w:hAnsi="宋体" w:eastAsia="宋体" w:cs="宋体"/>
          <w:spacing w:val="-4"/>
          <w:sz w:val="24"/>
          <w:szCs w:val="24"/>
        </w:rPr>
        <w:t>区域的地下水监测数据进行评价。沈阳自然达环境工程咨询有限公司于</w:t>
      </w:r>
      <w:r>
        <w:rPr>
          <w:rFonts w:ascii="宋体" w:hAnsi="宋体" w:eastAsia="宋体" w:cs="宋体"/>
          <w:spacing w:val="-18"/>
          <w:sz w:val="24"/>
          <w:szCs w:val="24"/>
        </w:rPr>
        <w:t xml:space="preserve"> </w:t>
      </w:r>
      <w:r>
        <w:rPr>
          <w:rFonts w:ascii="Times New Roman" w:hAnsi="Times New Roman" w:eastAsia="Times New Roman" w:cs="Times New Roman"/>
          <w:spacing w:val="-4"/>
          <w:sz w:val="24"/>
          <w:szCs w:val="24"/>
        </w:rPr>
        <w:t>2019</w:t>
      </w:r>
      <w:r>
        <w:rPr>
          <w:rFonts w:ascii="Times New Roman" w:hAnsi="Times New Roman" w:eastAsia="Times New Roman" w:cs="Times New Roman"/>
          <w:spacing w:val="11"/>
          <w:sz w:val="24"/>
          <w:szCs w:val="24"/>
        </w:rPr>
        <w:t xml:space="preserve"> </w:t>
      </w:r>
      <w:r>
        <w:rPr>
          <w:rFonts w:ascii="宋体" w:hAnsi="宋体" w:eastAsia="宋体" w:cs="宋体"/>
          <w:spacing w:val="-4"/>
          <w:sz w:val="24"/>
          <w:szCs w:val="24"/>
        </w:rPr>
        <w:t>年</w:t>
      </w:r>
      <w:r>
        <w:rPr>
          <w:rFonts w:ascii="宋体" w:hAnsi="宋体" w:eastAsia="宋体" w:cs="宋体"/>
          <w:spacing w:val="-49"/>
          <w:sz w:val="24"/>
          <w:szCs w:val="24"/>
        </w:rPr>
        <w:t xml:space="preserve"> </w:t>
      </w:r>
      <w:r>
        <w:rPr>
          <w:rFonts w:ascii="Times New Roman" w:hAnsi="Times New Roman" w:eastAsia="Times New Roman" w:cs="Times New Roman"/>
          <w:spacing w:val="-4"/>
          <w:sz w:val="24"/>
          <w:szCs w:val="24"/>
        </w:rPr>
        <w:t>5</w:t>
      </w:r>
      <w:r>
        <w:rPr>
          <w:rFonts w:ascii="Times New Roman" w:hAnsi="Times New Roman" w:eastAsia="Times New Roman" w:cs="Times New Roman"/>
          <w:spacing w:val="15"/>
          <w:w w:val="101"/>
          <w:sz w:val="24"/>
          <w:szCs w:val="24"/>
        </w:rPr>
        <w:t xml:space="preserve"> </w:t>
      </w:r>
      <w:r>
        <w:rPr>
          <w:rFonts w:ascii="宋体" w:hAnsi="宋体" w:eastAsia="宋体" w:cs="宋体"/>
          <w:spacing w:val="-4"/>
          <w:sz w:val="24"/>
          <w:szCs w:val="24"/>
        </w:rPr>
        <w:t>月</w:t>
      </w:r>
      <w:r>
        <w:rPr>
          <w:rFonts w:ascii="宋体" w:hAnsi="宋体" w:eastAsia="宋体" w:cs="宋体"/>
          <w:sz w:val="24"/>
          <w:szCs w:val="24"/>
        </w:rPr>
        <w:t xml:space="preserve"> </w:t>
      </w:r>
      <w:r>
        <w:rPr>
          <w:rFonts w:ascii="Times New Roman" w:hAnsi="Times New Roman" w:eastAsia="Times New Roman" w:cs="Times New Roman"/>
          <w:spacing w:val="-3"/>
          <w:sz w:val="24"/>
          <w:szCs w:val="24"/>
        </w:rPr>
        <w:t>21</w:t>
      </w:r>
      <w:r>
        <w:rPr>
          <w:rFonts w:ascii="Times New Roman" w:hAnsi="Times New Roman" w:eastAsia="Times New Roman" w:cs="Times New Roman"/>
          <w:spacing w:val="61"/>
          <w:sz w:val="24"/>
          <w:szCs w:val="24"/>
        </w:rPr>
        <w:t xml:space="preserve"> </w:t>
      </w:r>
      <w:r>
        <w:rPr>
          <w:rFonts w:ascii="宋体" w:hAnsi="宋体" w:eastAsia="宋体" w:cs="宋体"/>
          <w:spacing w:val="-3"/>
          <w:sz w:val="24"/>
          <w:szCs w:val="24"/>
        </w:rPr>
        <w:t>日对项目地下水上游地区石庙子村</w:t>
      </w:r>
      <w:r>
        <w:rPr>
          <w:rFonts w:ascii="宋体" w:hAnsi="宋体" w:eastAsia="宋体" w:cs="宋体"/>
          <w:spacing w:val="-32"/>
          <w:sz w:val="24"/>
          <w:szCs w:val="24"/>
        </w:rPr>
        <w:t xml:space="preserve"> </w:t>
      </w:r>
      <w:r>
        <w:rPr>
          <w:rFonts w:ascii="Times New Roman" w:hAnsi="Times New Roman" w:eastAsia="Times New Roman" w:cs="Times New Roman"/>
          <w:spacing w:val="-3"/>
          <w:sz w:val="24"/>
          <w:szCs w:val="24"/>
        </w:rPr>
        <w:t>1</w:t>
      </w:r>
      <w:r>
        <w:rPr>
          <w:rFonts w:ascii="宋体" w:hAnsi="宋体" w:eastAsia="宋体" w:cs="宋体"/>
          <w:spacing w:val="-3"/>
          <w:sz w:val="24"/>
          <w:szCs w:val="24"/>
        </w:rPr>
        <w:t>个点位进行了取样监测，辽宁绿海森源环境</w:t>
      </w:r>
      <w:r>
        <w:rPr>
          <w:rFonts w:ascii="宋体" w:hAnsi="宋体" w:eastAsia="宋体" w:cs="宋体"/>
          <w:sz w:val="24"/>
          <w:szCs w:val="24"/>
        </w:rPr>
        <w:t xml:space="preserve"> </w:t>
      </w:r>
      <w:r>
        <w:rPr>
          <w:rFonts w:ascii="宋体" w:hAnsi="宋体" w:eastAsia="宋体" w:cs="宋体"/>
          <w:spacing w:val="-3"/>
          <w:sz w:val="24"/>
          <w:szCs w:val="24"/>
        </w:rPr>
        <w:t>检测有限公司于</w:t>
      </w:r>
      <w:r>
        <w:rPr>
          <w:rFonts w:ascii="Times New Roman" w:hAnsi="Times New Roman" w:eastAsia="Times New Roman" w:cs="Times New Roman"/>
          <w:spacing w:val="-3"/>
          <w:sz w:val="24"/>
          <w:szCs w:val="24"/>
        </w:rPr>
        <w:t>2019</w:t>
      </w:r>
      <w:r>
        <w:rPr>
          <w:rFonts w:ascii="宋体" w:hAnsi="宋体" w:eastAsia="宋体" w:cs="宋体"/>
          <w:spacing w:val="-3"/>
          <w:sz w:val="24"/>
          <w:szCs w:val="24"/>
        </w:rPr>
        <w:t>年</w:t>
      </w:r>
      <w:r>
        <w:rPr>
          <w:rFonts w:ascii="宋体" w:hAnsi="宋体" w:eastAsia="宋体" w:cs="宋体"/>
          <w:spacing w:val="-46"/>
          <w:sz w:val="24"/>
          <w:szCs w:val="24"/>
        </w:rPr>
        <w:t xml:space="preserve"> </w:t>
      </w:r>
      <w:r>
        <w:rPr>
          <w:rFonts w:ascii="Times New Roman" w:hAnsi="Times New Roman" w:eastAsia="Times New Roman" w:cs="Times New Roman"/>
          <w:spacing w:val="-3"/>
          <w:sz w:val="24"/>
          <w:szCs w:val="24"/>
        </w:rPr>
        <w:t>5</w:t>
      </w:r>
      <w:r>
        <w:rPr>
          <w:rFonts w:ascii="宋体" w:hAnsi="宋体" w:eastAsia="宋体" w:cs="宋体"/>
          <w:spacing w:val="-3"/>
          <w:sz w:val="24"/>
          <w:szCs w:val="24"/>
        </w:rPr>
        <w:t>月</w:t>
      </w:r>
      <w:r>
        <w:rPr>
          <w:rFonts w:ascii="宋体" w:hAnsi="宋体" w:eastAsia="宋体" w:cs="宋体"/>
          <w:spacing w:val="-53"/>
          <w:sz w:val="24"/>
          <w:szCs w:val="24"/>
        </w:rPr>
        <w:t xml:space="preserve"> </w:t>
      </w:r>
      <w:r>
        <w:rPr>
          <w:rFonts w:ascii="Times New Roman" w:hAnsi="Times New Roman" w:eastAsia="Times New Roman" w:cs="Times New Roman"/>
          <w:spacing w:val="-3"/>
          <w:sz w:val="24"/>
          <w:szCs w:val="24"/>
        </w:rPr>
        <w:t>29</w:t>
      </w:r>
      <w:r>
        <w:rPr>
          <w:rFonts w:ascii="宋体" w:hAnsi="宋体" w:eastAsia="宋体" w:cs="宋体"/>
          <w:spacing w:val="-3"/>
          <w:sz w:val="24"/>
          <w:szCs w:val="24"/>
        </w:rPr>
        <w:t>日对项目中游和下游地区共计</w:t>
      </w:r>
      <w:r>
        <w:rPr>
          <w:rFonts w:ascii="宋体" w:hAnsi="宋体" w:eastAsia="宋体" w:cs="宋体"/>
          <w:spacing w:val="-54"/>
          <w:sz w:val="24"/>
          <w:szCs w:val="24"/>
        </w:rPr>
        <w:t xml:space="preserve"> </w:t>
      </w:r>
      <w:r>
        <w:rPr>
          <w:rFonts w:ascii="Times New Roman" w:hAnsi="Times New Roman" w:eastAsia="Times New Roman" w:cs="Times New Roman"/>
          <w:spacing w:val="-3"/>
          <w:sz w:val="24"/>
          <w:szCs w:val="24"/>
        </w:rPr>
        <w:t>4</w:t>
      </w:r>
      <w:r>
        <w:rPr>
          <w:rFonts w:ascii="宋体" w:hAnsi="宋体" w:eastAsia="宋体" w:cs="宋体"/>
          <w:spacing w:val="-3"/>
          <w:sz w:val="24"/>
          <w:szCs w:val="24"/>
        </w:rPr>
        <w:t>个点位进行了取样</w:t>
      </w:r>
      <w:r>
        <w:rPr>
          <w:rFonts w:ascii="宋体" w:hAnsi="宋体" w:eastAsia="宋体" w:cs="宋体"/>
          <w:sz w:val="24"/>
          <w:szCs w:val="24"/>
        </w:rPr>
        <w:t xml:space="preserve"> </w:t>
      </w:r>
      <w:r>
        <w:rPr>
          <w:rFonts w:ascii="宋体" w:hAnsi="宋体" w:eastAsia="宋体" w:cs="宋体"/>
          <w:spacing w:val="-1"/>
          <w:sz w:val="24"/>
          <w:szCs w:val="24"/>
        </w:rPr>
        <w:t>监测。水质监测数据见表</w:t>
      </w:r>
      <w:r>
        <w:rPr>
          <w:rFonts w:ascii="宋体" w:hAnsi="宋体" w:eastAsia="宋体" w:cs="宋体"/>
          <w:spacing w:val="-49"/>
          <w:sz w:val="24"/>
          <w:szCs w:val="24"/>
        </w:rPr>
        <w:t xml:space="preserve"> </w:t>
      </w:r>
      <w:r>
        <w:rPr>
          <w:rFonts w:ascii="Times New Roman" w:hAnsi="Times New Roman" w:eastAsia="Times New Roman" w:cs="Times New Roman"/>
          <w:spacing w:val="-1"/>
          <w:sz w:val="24"/>
          <w:szCs w:val="24"/>
        </w:rPr>
        <w:t>3.</w:t>
      </w:r>
      <w:r>
        <w:rPr>
          <w:rFonts w:hint="eastAsia" w:ascii="Times New Roman" w:hAnsi="Times New Roman" w:eastAsia="宋体" w:cs="Times New Roman"/>
          <w:spacing w:val="-1"/>
          <w:sz w:val="24"/>
          <w:szCs w:val="24"/>
          <w:lang w:val="en-US" w:eastAsia="zh-CN"/>
        </w:rPr>
        <w:t>1</w:t>
      </w:r>
      <w:r>
        <w:rPr>
          <w:rFonts w:ascii="Times New Roman" w:hAnsi="Times New Roman" w:eastAsia="Times New Roman" w:cs="Times New Roman"/>
          <w:spacing w:val="-1"/>
          <w:sz w:val="24"/>
          <w:szCs w:val="24"/>
        </w:rPr>
        <w:t>-</w:t>
      </w:r>
      <w:r>
        <w:rPr>
          <w:rFonts w:hint="eastAsia" w:ascii="Times New Roman" w:hAnsi="Times New Roman" w:eastAsia="宋体" w:cs="Times New Roman"/>
          <w:spacing w:val="-1"/>
          <w:sz w:val="24"/>
          <w:szCs w:val="24"/>
          <w:lang w:val="en-US" w:eastAsia="zh-CN"/>
        </w:rPr>
        <w:t>13</w:t>
      </w:r>
      <w:r>
        <w:rPr>
          <w:rFonts w:ascii="宋体" w:hAnsi="宋体" w:eastAsia="宋体" w:cs="宋体"/>
          <w:spacing w:val="-1"/>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黑体" w:hAnsi="黑体" w:eastAsia="黑体" w:cs="黑体"/>
          <w:b/>
          <w:bCs/>
          <w:sz w:val="24"/>
          <w:szCs w:val="24"/>
        </w:rPr>
      </w:pPr>
      <w:r>
        <w:rPr>
          <w:rFonts w:ascii="黑体" w:hAnsi="黑体" w:eastAsia="黑体" w:cs="黑体"/>
          <w:b/>
          <w:bCs/>
          <w:spacing w:val="-2"/>
          <w:sz w:val="24"/>
          <w:szCs w:val="24"/>
        </w:rPr>
        <w:t>表</w:t>
      </w:r>
      <w:r>
        <w:rPr>
          <w:rFonts w:ascii="黑体" w:hAnsi="黑体" w:eastAsia="黑体" w:cs="黑体"/>
          <w:b/>
          <w:bCs/>
          <w:spacing w:val="-37"/>
          <w:sz w:val="24"/>
          <w:szCs w:val="24"/>
        </w:rPr>
        <w:t xml:space="preserve"> </w:t>
      </w:r>
      <w:r>
        <w:rPr>
          <w:rFonts w:ascii="Times New Roman" w:hAnsi="Times New Roman" w:eastAsia="Times New Roman" w:cs="Times New Roman"/>
          <w:b/>
          <w:bCs/>
          <w:spacing w:val="-2"/>
          <w:sz w:val="24"/>
          <w:szCs w:val="24"/>
        </w:rPr>
        <w:t>3.</w:t>
      </w:r>
      <w:r>
        <w:rPr>
          <w:rFonts w:hint="eastAsia" w:ascii="Times New Roman" w:hAnsi="Times New Roman" w:eastAsia="宋体" w:cs="Times New Roman"/>
          <w:b/>
          <w:bCs/>
          <w:spacing w:val="-2"/>
          <w:sz w:val="24"/>
          <w:szCs w:val="24"/>
          <w:lang w:val="en-US" w:eastAsia="zh-CN"/>
        </w:rPr>
        <w:t>1-13</w:t>
      </w:r>
      <w:r>
        <w:rPr>
          <w:rFonts w:ascii="Times New Roman" w:hAnsi="Times New Roman" w:eastAsia="Times New Roman" w:cs="Times New Roman"/>
          <w:b/>
          <w:bCs/>
          <w:spacing w:val="1"/>
          <w:sz w:val="24"/>
          <w:szCs w:val="24"/>
        </w:rPr>
        <w:t xml:space="preserve">     </w:t>
      </w:r>
      <w:r>
        <w:rPr>
          <w:rFonts w:ascii="黑体" w:hAnsi="黑体" w:eastAsia="黑体" w:cs="黑体"/>
          <w:b/>
          <w:bCs/>
          <w:spacing w:val="-2"/>
          <w:sz w:val="24"/>
          <w:szCs w:val="24"/>
        </w:rPr>
        <w:t>评价区地下水水质监测数据表</w:t>
      </w:r>
    </w:p>
    <w:p>
      <w:pPr>
        <w:spacing w:line="47" w:lineRule="exact"/>
      </w:pPr>
    </w:p>
    <w:tbl>
      <w:tblPr>
        <w:tblStyle w:val="118"/>
        <w:tblW w:w="851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66"/>
        <w:gridCol w:w="1133"/>
        <w:gridCol w:w="993"/>
        <w:gridCol w:w="1301"/>
        <w:gridCol w:w="905"/>
        <w:gridCol w:w="905"/>
        <w:gridCol w:w="904"/>
        <w:gridCol w:w="907"/>
        <w:gridCol w:w="90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1" w:hRule="atLeast"/>
          <w:jc w:val="center"/>
        </w:trPr>
        <w:tc>
          <w:tcPr>
            <w:tcW w:w="1699" w:type="dxa"/>
            <w:gridSpan w:val="2"/>
            <w:tcBorders>
              <w:top w:val="single" w:color="000000" w:sz="10" w:space="0"/>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3"/>
                <w:sz w:val="21"/>
                <w:szCs w:val="21"/>
              </w:rPr>
              <w:t>检测项目</w:t>
            </w:r>
          </w:p>
        </w:tc>
        <w:tc>
          <w:tcPr>
            <w:tcW w:w="993" w:type="dxa"/>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单位</w:t>
            </w:r>
          </w:p>
        </w:tc>
        <w:tc>
          <w:tcPr>
            <w:tcW w:w="1301" w:type="dxa"/>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Times New Roman" w:hAnsi="Times New Roman" w:eastAsia="Times New Roman" w:cs="Times New Roman"/>
                <w:spacing w:val="2"/>
                <w:sz w:val="21"/>
                <w:szCs w:val="21"/>
              </w:rPr>
              <w:t xml:space="preserve">GB/T14848 </w:t>
            </w:r>
            <w:r>
              <w:rPr>
                <w:rFonts w:ascii="Times New Roman" w:hAnsi="Times New Roman" w:eastAsia="Times New Roman" w:cs="Times New Roman"/>
                <w:spacing w:val="-1"/>
                <w:sz w:val="21"/>
                <w:szCs w:val="21"/>
              </w:rPr>
              <w:t>-2017</w:t>
            </w:r>
            <w:r>
              <w:rPr>
                <w:rFonts w:ascii="Times New Roman" w:hAnsi="Times New Roman" w:eastAsia="Times New Roman" w:cs="Times New Roman"/>
                <w:spacing w:val="24"/>
                <w:w w:val="101"/>
                <w:sz w:val="21"/>
                <w:szCs w:val="21"/>
              </w:rPr>
              <w:t xml:space="preserve"> </w:t>
            </w:r>
            <w:r>
              <w:rPr>
                <w:rFonts w:ascii="宋体" w:hAnsi="宋体" w:eastAsia="宋体" w:cs="宋体"/>
                <w:spacing w:val="-1"/>
                <w:sz w:val="21"/>
                <w:szCs w:val="21"/>
              </w:rPr>
              <w:t>Ⅲ类</w:t>
            </w:r>
          </w:p>
        </w:tc>
        <w:tc>
          <w:tcPr>
            <w:tcW w:w="905" w:type="dxa"/>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宋体" w:hAnsi="宋体" w:eastAsia="宋体" w:cs="宋体"/>
                <w:spacing w:val="-7"/>
                <w:sz w:val="21"/>
                <w:szCs w:val="21"/>
              </w:rPr>
              <w:t>杨官</w:t>
            </w:r>
            <w:r>
              <w:rPr>
                <w:rFonts w:ascii="宋体" w:hAnsi="宋体" w:eastAsia="宋体" w:cs="宋体"/>
                <w:spacing w:val="-34"/>
                <w:sz w:val="21"/>
                <w:szCs w:val="21"/>
              </w:rPr>
              <w:t xml:space="preserve"> </w:t>
            </w:r>
            <w:r>
              <w:rPr>
                <w:rFonts w:ascii="Times New Roman" w:hAnsi="Times New Roman" w:eastAsia="Times New Roman" w:cs="Times New Roman"/>
                <w:spacing w:val="-7"/>
                <w:sz w:val="21"/>
                <w:szCs w:val="21"/>
              </w:rPr>
              <w:t>1#</w:t>
            </w:r>
          </w:p>
        </w:tc>
        <w:tc>
          <w:tcPr>
            <w:tcW w:w="905" w:type="dxa"/>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宋体" w:hAnsi="宋体" w:eastAsia="宋体" w:cs="宋体"/>
                <w:spacing w:val="-2"/>
                <w:sz w:val="21"/>
                <w:szCs w:val="21"/>
              </w:rPr>
              <w:t>杨官</w:t>
            </w:r>
            <w:r>
              <w:rPr>
                <w:rFonts w:ascii="宋体" w:hAnsi="宋体" w:eastAsia="宋体" w:cs="宋体"/>
                <w:spacing w:val="-54"/>
                <w:sz w:val="21"/>
                <w:szCs w:val="21"/>
              </w:rPr>
              <w:t xml:space="preserve"> </w:t>
            </w:r>
            <w:r>
              <w:rPr>
                <w:rFonts w:ascii="Times New Roman" w:hAnsi="Times New Roman" w:eastAsia="Times New Roman" w:cs="Times New Roman"/>
                <w:spacing w:val="-2"/>
                <w:sz w:val="21"/>
                <w:szCs w:val="21"/>
              </w:rPr>
              <w:t>2#</w:t>
            </w:r>
          </w:p>
        </w:tc>
        <w:tc>
          <w:tcPr>
            <w:tcW w:w="904" w:type="dxa"/>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杨官</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13#</w:t>
            </w:r>
          </w:p>
        </w:tc>
        <w:tc>
          <w:tcPr>
            <w:tcW w:w="907" w:type="dxa"/>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宋体" w:hAnsi="宋体" w:eastAsia="宋体" w:cs="宋体"/>
                <w:spacing w:val="1"/>
                <w:sz w:val="21"/>
                <w:szCs w:val="21"/>
              </w:rPr>
              <w:t>李巴彦</w:t>
            </w:r>
            <w:r>
              <w:rPr>
                <w:rFonts w:ascii="宋体" w:hAnsi="宋体" w:eastAsia="宋体" w:cs="宋体"/>
                <w:spacing w:val="2"/>
                <w:sz w:val="21"/>
                <w:szCs w:val="21"/>
              </w:rPr>
              <w:t xml:space="preserve"> </w:t>
            </w:r>
            <w:r>
              <w:rPr>
                <w:rFonts w:ascii="Times New Roman" w:hAnsi="Times New Roman" w:eastAsia="Times New Roman" w:cs="Times New Roman"/>
                <w:spacing w:val="-4"/>
                <w:sz w:val="21"/>
                <w:szCs w:val="21"/>
              </w:rPr>
              <w:t>5#</w:t>
            </w:r>
          </w:p>
        </w:tc>
        <w:tc>
          <w:tcPr>
            <w:tcW w:w="905" w:type="dxa"/>
            <w:tcBorders>
              <w:top w:val="single" w:color="000000" w:sz="10" w:space="0"/>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石庙子</w:t>
            </w:r>
            <w:r>
              <w:rPr>
                <w:rFonts w:ascii="宋体" w:hAnsi="宋体" w:eastAsia="宋体" w:cs="宋体"/>
                <w:sz w:val="21"/>
                <w:szCs w:val="21"/>
              </w:rPr>
              <w:t xml:space="preserve"> 村</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色度</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度</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0"/>
                <w:w w:val="99"/>
                <w:sz w:val="21"/>
                <w:szCs w:val="21"/>
              </w:rPr>
              <w:t>15</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6"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1"/>
                <w:sz w:val="21"/>
                <w:szCs w:val="21"/>
              </w:rPr>
              <w:t>浑浊度</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NTU</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w:t>
            </w:r>
            <w:r>
              <w:rPr>
                <w:rFonts w:ascii="Times New Roman" w:hAnsi="Times New Roman" w:eastAsia="Times New Roman" w:cs="Times New Roman"/>
                <w:spacing w:val="9"/>
                <w:w w:val="101"/>
                <w:sz w:val="21"/>
                <w:szCs w:val="21"/>
              </w:rPr>
              <w:t xml:space="preserve"> </w:t>
            </w:r>
            <w:r>
              <w:rPr>
                <w:rFonts w:ascii="Times New Roman" w:hAnsi="Times New Roman" w:eastAsia="Times New Roman" w:cs="Times New Roman"/>
                <w:spacing w:val="-3"/>
                <w:sz w:val="21"/>
                <w:szCs w:val="21"/>
              </w:rPr>
              <w:t>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臭和味</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无异臭异</w:t>
            </w:r>
            <w:r>
              <w:rPr>
                <w:rFonts w:ascii="宋体" w:hAnsi="宋体" w:eastAsia="宋体" w:cs="宋体"/>
                <w:spacing w:val="3"/>
                <w:sz w:val="21"/>
                <w:szCs w:val="21"/>
              </w:rPr>
              <w:t xml:space="preserve"> </w:t>
            </w:r>
            <w:r>
              <w:rPr>
                <w:rFonts w:ascii="宋体" w:hAnsi="宋体" w:eastAsia="宋体" w:cs="宋体"/>
                <w:sz w:val="21"/>
                <w:szCs w:val="21"/>
              </w:rPr>
              <w:t>味</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4</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肉眼可见</w:t>
            </w:r>
            <w:r>
              <w:rPr>
                <w:rFonts w:ascii="宋体" w:hAnsi="宋体" w:eastAsia="宋体" w:cs="宋体"/>
                <w:spacing w:val="1"/>
                <w:sz w:val="21"/>
                <w:szCs w:val="21"/>
              </w:rPr>
              <w:t xml:space="preserve"> </w:t>
            </w:r>
            <w:r>
              <w:rPr>
                <w:rFonts w:ascii="宋体" w:hAnsi="宋体" w:eastAsia="宋体" w:cs="宋体"/>
                <w:sz w:val="21"/>
                <w:szCs w:val="21"/>
              </w:rPr>
              <w:t>物</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不得含有</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8"/>
                <w:sz w:val="21"/>
                <w:szCs w:val="21"/>
              </w:rPr>
              <w:t>温度</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6"/>
                <w:sz w:val="21"/>
                <w:szCs w:val="21"/>
              </w:rPr>
              <w:t>/</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10</w:t>
            </w:r>
            <w:r>
              <w:rPr>
                <w:rFonts w:ascii="Times New Roman" w:hAnsi="Times New Roman" w:eastAsia="Times New Roman" w:cs="Times New Roman"/>
                <w:spacing w:val="32"/>
                <w:w w:val="101"/>
                <w:sz w:val="21"/>
                <w:szCs w:val="21"/>
              </w:rPr>
              <w:t xml:space="preserve"> </w:t>
            </w:r>
            <w:r>
              <w:rPr>
                <w:rFonts w:ascii="Times New Roman" w:hAnsi="Times New Roman" w:eastAsia="Times New Roman" w:cs="Times New Roman"/>
                <w:spacing w:val="-8"/>
                <w:sz w:val="21"/>
                <w:szCs w:val="21"/>
              </w:rPr>
              <w:t>1</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9</w:t>
            </w:r>
            <w:r>
              <w:rPr>
                <w:rFonts w:ascii="Times New Roman" w:hAnsi="Times New Roman" w:eastAsia="Times New Roman" w:cs="Times New Roman"/>
                <w:spacing w:val="10"/>
                <w:w w:val="101"/>
                <w:sz w:val="21"/>
                <w:szCs w:val="21"/>
              </w:rPr>
              <w:t xml:space="preserve"> </w:t>
            </w:r>
            <w:r>
              <w:rPr>
                <w:rFonts w:ascii="Times New Roman" w:hAnsi="Times New Roman" w:eastAsia="Times New Roman" w:cs="Times New Roman"/>
                <w:spacing w:val="-5"/>
                <w:sz w:val="21"/>
                <w:szCs w:val="21"/>
              </w:rPr>
              <w:t>4</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9</w:t>
            </w:r>
            <w:r>
              <w:rPr>
                <w:rFonts w:ascii="Times New Roman" w:hAnsi="Times New Roman" w:eastAsia="Times New Roman" w:cs="Times New Roman"/>
                <w:spacing w:val="16"/>
                <w:sz w:val="21"/>
                <w:szCs w:val="21"/>
              </w:rPr>
              <w:t xml:space="preserve"> </w:t>
            </w:r>
            <w:r>
              <w:rPr>
                <w:rFonts w:ascii="Times New Roman" w:hAnsi="Times New Roman" w:eastAsia="Times New Roman" w:cs="Times New Roman"/>
                <w:spacing w:val="-5"/>
                <w:sz w:val="21"/>
                <w:szCs w:val="21"/>
              </w:rPr>
              <w:t>6</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9</w:t>
            </w:r>
            <w:r>
              <w:rPr>
                <w:rFonts w:ascii="Times New Roman" w:hAnsi="Times New Roman" w:eastAsia="Times New Roman" w:cs="Times New Roman"/>
                <w:spacing w:val="15"/>
                <w:sz w:val="21"/>
                <w:szCs w:val="21"/>
              </w:rPr>
              <w:t xml:space="preserve"> </w:t>
            </w:r>
            <w:r>
              <w:rPr>
                <w:rFonts w:ascii="Times New Roman" w:hAnsi="Times New Roman" w:eastAsia="Times New Roman" w:cs="Times New Roman"/>
                <w:spacing w:val="-5"/>
                <w:sz w:val="21"/>
                <w:szCs w:val="21"/>
              </w:rPr>
              <w:t>7</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6"/>
                <w:sz w:val="21"/>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Times New Roman" w:hAnsi="Times New Roman" w:eastAsia="Times New Roman" w:cs="Times New Roman"/>
                <w:spacing w:val="-2"/>
                <w:sz w:val="21"/>
                <w:szCs w:val="21"/>
              </w:rPr>
              <w:t>PH</w:t>
            </w:r>
            <w:r>
              <w:rPr>
                <w:rFonts w:ascii="Times New Roman" w:hAnsi="Times New Roman" w:eastAsia="Times New Roman" w:cs="Times New Roman"/>
                <w:spacing w:val="20"/>
                <w:w w:val="101"/>
                <w:sz w:val="21"/>
                <w:szCs w:val="21"/>
              </w:rPr>
              <w:t xml:space="preserve"> </w:t>
            </w:r>
            <w:r>
              <w:rPr>
                <w:rFonts w:ascii="宋体" w:hAnsi="宋体" w:eastAsia="宋体" w:cs="宋体"/>
                <w:spacing w:val="-2"/>
                <w:sz w:val="21"/>
                <w:szCs w:val="21"/>
              </w:rPr>
              <w:t>值</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w w:val="101"/>
                <w:sz w:val="21"/>
                <w:szCs w:val="21"/>
              </w:rPr>
              <w:t>/</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6.5-8.5</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7.24</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97"/>
                <w:sz w:val="21"/>
                <w:szCs w:val="21"/>
              </w:rPr>
              <w:t>7.</w:t>
            </w:r>
            <w:r>
              <w:rPr>
                <w:rFonts w:ascii="Times New Roman" w:hAnsi="Times New Roman" w:eastAsia="Times New Roman" w:cs="Times New Roman"/>
                <w:spacing w:val="-24"/>
                <w:sz w:val="21"/>
                <w:szCs w:val="21"/>
              </w:rPr>
              <w:t xml:space="preserve"> </w:t>
            </w:r>
            <w:r>
              <w:rPr>
                <w:rFonts w:ascii="Times New Roman" w:hAnsi="Times New Roman" w:eastAsia="Times New Roman" w:cs="Times New Roman"/>
                <w:spacing w:val="-5"/>
                <w:w w:val="97"/>
                <w:sz w:val="21"/>
                <w:szCs w:val="21"/>
              </w:rPr>
              <w:t>16</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7.35</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6.98</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6.82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8"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高锰酸盐</w:t>
            </w:r>
            <w:r>
              <w:rPr>
                <w:rFonts w:ascii="宋体" w:hAnsi="宋体" w:eastAsia="宋体" w:cs="宋体"/>
                <w:sz w:val="21"/>
                <w:szCs w:val="21"/>
              </w:rPr>
              <w:t xml:space="preserve"> </w:t>
            </w:r>
            <w:r>
              <w:rPr>
                <w:rFonts w:ascii="宋体" w:hAnsi="宋体" w:eastAsia="宋体" w:cs="宋体"/>
                <w:spacing w:val="-2"/>
                <w:sz w:val="21"/>
                <w:szCs w:val="21"/>
              </w:rPr>
              <w:t>指数</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3.0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4"/>
                <w:sz w:val="21"/>
                <w:szCs w:val="21"/>
              </w:rPr>
              <w:t>2.1</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w w:val="101"/>
                <w:sz w:val="21"/>
                <w:szCs w:val="21"/>
              </w:rPr>
              <w:t>2.2</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w w:val="101"/>
                <w:sz w:val="21"/>
                <w:szCs w:val="21"/>
              </w:rPr>
              <w:t>2.2</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1.2</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w w:val="101"/>
                <w:sz w:val="21"/>
                <w:szCs w:val="21"/>
              </w:rPr>
              <w:t>1.1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6"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8</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宋体" w:hAnsi="宋体" w:eastAsia="宋体" w:cs="宋体"/>
                <w:spacing w:val="-1"/>
                <w:sz w:val="21"/>
                <w:szCs w:val="21"/>
              </w:rPr>
              <w:t>氯化物</w:t>
            </w:r>
            <w:r>
              <w:rPr>
                <w:rFonts w:ascii="宋体" w:hAnsi="宋体" w:eastAsia="宋体" w:cs="宋体"/>
                <w:spacing w:val="-40"/>
                <w:sz w:val="21"/>
                <w:szCs w:val="21"/>
              </w:rPr>
              <w:t xml:space="preserve"> </w:t>
            </w:r>
            <w:r>
              <w:rPr>
                <w:rFonts w:ascii="Times New Roman" w:hAnsi="Times New Roman" w:eastAsia="Times New Roman" w:cs="Times New Roman"/>
                <w:spacing w:val="-1"/>
                <w:sz w:val="21"/>
                <w:szCs w:val="21"/>
              </w:rPr>
              <w:t>CI</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6"/>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250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55.8</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51.7</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54.7</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50.3</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71.5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4"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9</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position w:val="5"/>
                <w:sz w:val="21"/>
                <w:szCs w:val="21"/>
              </w:rPr>
              <w:t>硫酸盐</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SO</w:t>
            </w:r>
            <w:r>
              <w:rPr>
                <w:rFonts w:ascii="Times New Roman" w:hAnsi="Times New Roman" w:eastAsia="Times New Roman" w:cs="Times New Roman"/>
                <w:spacing w:val="-3"/>
                <w:position w:val="-1"/>
                <w:sz w:val="21"/>
                <w:szCs w:val="21"/>
              </w:rPr>
              <w:t>4</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250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170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153</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161</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123</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88.3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7"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0"/>
                <w:w w:val="99"/>
                <w:sz w:val="21"/>
                <w:szCs w:val="21"/>
              </w:rPr>
              <w:t>10</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11"/>
                <w:position w:val="5"/>
                <w:sz w:val="21"/>
                <w:szCs w:val="21"/>
              </w:rPr>
              <w:t>总硬度</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6"/>
                <w:w w:val="101"/>
                <w:sz w:val="21"/>
                <w:szCs w:val="21"/>
              </w:rPr>
              <w:t>CaCO</w:t>
            </w:r>
            <w:r>
              <w:rPr>
                <w:rFonts w:ascii="Times New Roman" w:hAnsi="Times New Roman" w:eastAsia="Times New Roman" w:cs="Times New Roman"/>
                <w:spacing w:val="6"/>
                <w:w w:val="101"/>
                <w:position w:val="-1"/>
                <w:sz w:val="21"/>
                <w:szCs w:val="21"/>
              </w:rPr>
              <w:t>3</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301</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297</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283</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252</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3"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0"/>
                <w:w w:val="97"/>
                <w:sz w:val="21"/>
                <w:szCs w:val="21"/>
              </w:rPr>
              <w:t>11</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12"/>
                <w:sz w:val="21"/>
                <w:szCs w:val="21"/>
              </w:rPr>
              <w:t>溶解性总</w:t>
            </w:r>
            <w:r>
              <w:rPr>
                <w:rFonts w:ascii="宋体" w:hAnsi="宋体" w:eastAsia="宋体" w:cs="宋体"/>
                <w:spacing w:val="3"/>
                <w:sz w:val="21"/>
                <w:szCs w:val="21"/>
              </w:rPr>
              <w:t xml:space="preserve"> </w:t>
            </w:r>
            <w:r>
              <w:rPr>
                <w:rFonts w:ascii="宋体" w:hAnsi="宋体" w:eastAsia="宋体" w:cs="宋体"/>
                <w:sz w:val="21"/>
                <w:szCs w:val="21"/>
              </w:rPr>
              <w:t>固体</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1000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580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600</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550</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510</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482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7"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0"/>
                <w:w w:val="99"/>
                <w:sz w:val="21"/>
                <w:szCs w:val="21"/>
              </w:rPr>
              <w:t>12</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宋体" w:hAnsi="宋体" w:eastAsia="宋体" w:cs="宋体"/>
                <w:spacing w:val="13"/>
                <w:sz w:val="21"/>
                <w:szCs w:val="21"/>
              </w:rPr>
              <w:t>硝酸盐氮</w:t>
            </w:r>
            <w:r>
              <w:rPr>
                <w:rFonts w:ascii="宋体" w:hAnsi="宋体" w:eastAsia="宋体" w:cs="宋体"/>
                <w:spacing w:val="2"/>
                <w:sz w:val="21"/>
                <w:szCs w:val="21"/>
              </w:rPr>
              <w:t xml:space="preserve"> </w:t>
            </w:r>
            <w:r>
              <w:rPr>
                <w:rFonts w:ascii="Times New Roman" w:hAnsi="Times New Roman" w:eastAsia="Times New Roman" w:cs="Times New Roman"/>
                <w:spacing w:val="8"/>
                <w:sz w:val="21"/>
                <w:szCs w:val="21"/>
              </w:rPr>
              <w:t>N</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w w:val="101"/>
                <w:sz w:val="21"/>
                <w:szCs w:val="21"/>
              </w:rPr>
              <w:t>20.0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0.33</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0.34</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0.25</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0.93</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97"/>
                <w:sz w:val="21"/>
                <w:szCs w:val="21"/>
              </w:rPr>
              <w:t>3.</w:t>
            </w:r>
            <w:r>
              <w:rPr>
                <w:rFonts w:ascii="Times New Roman" w:hAnsi="Times New Roman" w:eastAsia="Times New Roman" w:cs="Times New Roman"/>
                <w:spacing w:val="-22"/>
                <w:sz w:val="21"/>
                <w:szCs w:val="21"/>
              </w:rPr>
              <w:t xml:space="preserve"> </w:t>
            </w:r>
            <w:r>
              <w:rPr>
                <w:rFonts w:ascii="Times New Roman" w:hAnsi="Times New Roman" w:eastAsia="Times New Roman" w:cs="Times New Roman"/>
                <w:spacing w:val="-5"/>
                <w:w w:val="97"/>
                <w:sz w:val="21"/>
                <w:szCs w:val="21"/>
              </w:rPr>
              <w:t>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0"/>
                <w:w w:val="99"/>
                <w:sz w:val="21"/>
                <w:szCs w:val="21"/>
              </w:rPr>
              <w:t>13</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宋体" w:hAnsi="宋体" w:eastAsia="宋体" w:cs="宋体"/>
                <w:spacing w:val="19"/>
                <w:w w:val="102"/>
                <w:sz w:val="21"/>
                <w:szCs w:val="21"/>
              </w:rPr>
              <w:t>亚硝酸盐</w:t>
            </w:r>
            <w:r>
              <w:rPr>
                <w:rFonts w:ascii="宋体" w:hAnsi="宋体" w:eastAsia="宋体" w:cs="宋体"/>
                <w:sz w:val="21"/>
                <w:szCs w:val="21"/>
              </w:rPr>
              <w:t xml:space="preserve"> </w:t>
            </w:r>
            <w:r>
              <w:rPr>
                <w:rFonts w:ascii="宋体" w:hAnsi="宋体" w:eastAsia="宋体" w:cs="宋体"/>
                <w:spacing w:val="14"/>
                <w:sz w:val="21"/>
                <w:szCs w:val="21"/>
              </w:rPr>
              <w:t>氮</w:t>
            </w:r>
            <w:r>
              <w:rPr>
                <w:rFonts w:ascii="宋体" w:hAnsi="宋体" w:eastAsia="宋体" w:cs="宋体"/>
                <w:spacing w:val="-33"/>
                <w:sz w:val="21"/>
                <w:szCs w:val="21"/>
              </w:rPr>
              <w:t xml:space="preserve"> </w:t>
            </w:r>
            <w:r>
              <w:rPr>
                <w:rFonts w:ascii="Times New Roman" w:hAnsi="Times New Roman" w:eastAsia="Times New Roman" w:cs="Times New Roman"/>
                <w:spacing w:val="14"/>
                <w:sz w:val="21"/>
                <w:szCs w:val="21"/>
              </w:rPr>
              <w:t>N</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1.00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0.286</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0.</w:t>
            </w:r>
            <w:r>
              <w:rPr>
                <w:rFonts w:ascii="Times New Roman" w:hAnsi="Times New Roman" w:eastAsia="Times New Roman" w:cs="Times New Roman"/>
                <w:spacing w:val="-24"/>
                <w:sz w:val="21"/>
                <w:szCs w:val="21"/>
              </w:rPr>
              <w:t xml:space="preserve"> </w:t>
            </w:r>
            <w:r>
              <w:rPr>
                <w:rFonts w:ascii="Times New Roman" w:hAnsi="Times New Roman" w:eastAsia="Times New Roman" w:cs="Times New Roman"/>
                <w:spacing w:val="-5"/>
                <w:sz w:val="21"/>
                <w:szCs w:val="21"/>
              </w:rPr>
              <w:t>142</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0.550</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&lt;0.003</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0.003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6"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14</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宋体" w:hAnsi="宋体" w:eastAsia="宋体" w:cs="宋体"/>
                <w:spacing w:val="13"/>
                <w:w w:val="115"/>
                <w:sz w:val="21"/>
                <w:szCs w:val="21"/>
              </w:rPr>
              <w:t>氨氮</w:t>
            </w:r>
            <w:r>
              <w:rPr>
                <w:rFonts w:ascii="宋体" w:hAnsi="宋体" w:eastAsia="宋体" w:cs="宋体"/>
                <w:spacing w:val="-24"/>
                <w:sz w:val="21"/>
                <w:szCs w:val="21"/>
              </w:rPr>
              <w:t xml:space="preserve"> </w:t>
            </w:r>
            <w:r>
              <w:rPr>
                <w:rFonts w:ascii="Times New Roman" w:hAnsi="Times New Roman" w:eastAsia="Times New Roman" w:cs="Times New Roman"/>
                <w:spacing w:val="13"/>
                <w:w w:val="115"/>
                <w:sz w:val="21"/>
                <w:szCs w:val="21"/>
              </w:rPr>
              <w:t>N</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3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5"/>
                <w:position w:val="-2"/>
                <w:sz w:val="21"/>
                <w:szCs w:val="21"/>
              </w:rPr>
              <w:t>0.50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6"/>
                <w:position w:val="-2"/>
                <w:sz w:val="21"/>
                <w:szCs w:val="21"/>
              </w:rPr>
              <w:t>0.243</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6"/>
                <w:position w:val="-2"/>
                <w:sz w:val="21"/>
                <w:szCs w:val="21"/>
              </w:rPr>
              <w:t>0.258</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6"/>
                <w:position w:val="-2"/>
                <w:sz w:val="21"/>
                <w:szCs w:val="21"/>
              </w:rPr>
              <w:t>0.222</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6"/>
                <w:position w:val="-2"/>
                <w:sz w:val="21"/>
                <w:szCs w:val="21"/>
              </w:rPr>
              <w:t>0.289</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6"/>
                <w:position w:val="-2"/>
                <w:sz w:val="21"/>
                <w:szCs w:val="21"/>
              </w:rPr>
              <w:t>0.045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0"/>
                <w:w w:val="99"/>
                <w:sz w:val="21"/>
                <w:szCs w:val="21"/>
              </w:rPr>
              <w:t>15</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3"/>
                <w:sz w:val="21"/>
                <w:szCs w:val="21"/>
              </w:rPr>
              <w:t>挥发酚类</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0.002</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0.0005</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0.0006</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&lt;0.000</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w w:val="125"/>
                <w:position w:val="-2"/>
                <w:sz w:val="21"/>
                <w:szCs w:val="21"/>
              </w:rPr>
              <w:t>4</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&lt;0.008</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&lt;0.000</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w w:val="118"/>
                <w:position w:val="-2"/>
                <w:sz w:val="21"/>
                <w:szCs w:val="21"/>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01"/>
                <w:position w:val="-2"/>
                <w:sz w:val="21"/>
                <w:szCs w:val="21"/>
              </w:rPr>
              <w:t>16</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15"/>
                <w:w w:val="124"/>
                <w:sz w:val="21"/>
                <w:szCs w:val="21"/>
              </w:rPr>
              <w:t>铁</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6"/>
                <w:w w:val="143"/>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04"/>
                <w:position w:val="-2"/>
                <w:sz w:val="21"/>
                <w:szCs w:val="21"/>
              </w:rPr>
              <w:t>0</w:t>
            </w:r>
            <w:r>
              <w:rPr>
                <w:rFonts w:ascii="Times New Roman" w:hAnsi="Times New Roman" w:eastAsia="Times New Roman" w:cs="Times New Roman"/>
                <w:spacing w:val="24"/>
                <w:w w:val="102"/>
                <w:position w:val="-2"/>
                <w:sz w:val="21"/>
                <w:szCs w:val="21"/>
              </w:rPr>
              <w:t xml:space="preserve"> </w:t>
            </w:r>
            <w:r>
              <w:rPr>
                <w:rFonts w:ascii="Times New Roman" w:hAnsi="Times New Roman" w:eastAsia="Times New Roman" w:cs="Times New Roman"/>
                <w:spacing w:val="8"/>
                <w:w w:val="104"/>
                <w:position w:val="-2"/>
                <w:sz w:val="21"/>
                <w:szCs w:val="21"/>
              </w:rPr>
              <w:t>3</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4"/>
                <w:w w:val="128"/>
                <w:sz w:val="21"/>
                <w:szCs w:val="21"/>
              </w:rPr>
              <w:t>&lt;0</w:t>
            </w:r>
            <w:r>
              <w:rPr>
                <w:rFonts w:ascii="Times New Roman" w:hAnsi="Times New Roman" w:eastAsia="Times New Roman" w:cs="Times New Roman"/>
                <w:spacing w:val="33"/>
                <w:w w:val="101"/>
                <w:sz w:val="21"/>
                <w:szCs w:val="21"/>
              </w:rPr>
              <w:t xml:space="preserve"> </w:t>
            </w:r>
            <w:r>
              <w:rPr>
                <w:rFonts w:ascii="Times New Roman" w:hAnsi="Times New Roman" w:eastAsia="Times New Roman" w:cs="Times New Roman"/>
                <w:spacing w:val="14"/>
                <w:w w:val="128"/>
                <w:sz w:val="21"/>
                <w:szCs w:val="21"/>
              </w:rPr>
              <w:t>03</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4"/>
                <w:w w:val="128"/>
                <w:sz w:val="21"/>
                <w:szCs w:val="21"/>
              </w:rPr>
              <w:t>&lt;0</w:t>
            </w:r>
            <w:r>
              <w:rPr>
                <w:rFonts w:ascii="Times New Roman" w:hAnsi="Times New Roman" w:eastAsia="Times New Roman" w:cs="Times New Roman"/>
                <w:spacing w:val="33"/>
                <w:w w:val="101"/>
                <w:sz w:val="21"/>
                <w:szCs w:val="21"/>
              </w:rPr>
              <w:t xml:space="preserve"> </w:t>
            </w:r>
            <w:r>
              <w:rPr>
                <w:rFonts w:ascii="Times New Roman" w:hAnsi="Times New Roman" w:eastAsia="Times New Roman" w:cs="Times New Roman"/>
                <w:spacing w:val="14"/>
                <w:w w:val="128"/>
                <w:sz w:val="21"/>
                <w:szCs w:val="21"/>
              </w:rPr>
              <w:t>03</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4"/>
                <w:w w:val="128"/>
                <w:sz w:val="21"/>
                <w:szCs w:val="21"/>
              </w:rPr>
              <w:t>&lt;0</w:t>
            </w:r>
            <w:r>
              <w:rPr>
                <w:rFonts w:ascii="Times New Roman" w:hAnsi="Times New Roman" w:eastAsia="Times New Roman" w:cs="Times New Roman"/>
                <w:spacing w:val="33"/>
                <w:w w:val="101"/>
                <w:sz w:val="21"/>
                <w:szCs w:val="21"/>
              </w:rPr>
              <w:t xml:space="preserve"> </w:t>
            </w:r>
            <w:r>
              <w:rPr>
                <w:rFonts w:ascii="Times New Roman" w:hAnsi="Times New Roman" w:eastAsia="Times New Roman" w:cs="Times New Roman"/>
                <w:spacing w:val="14"/>
                <w:w w:val="128"/>
                <w:sz w:val="21"/>
                <w:szCs w:val="21"/>
              </w:rPr>
              <w:t>03</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4"/>
                <w:w w:val="128"/>
                <w:sz w:val="21"/>
                <w:szCs w:val="21"/>
              </w:rPr>
              <w:t>&lt;0</w:t>
            </w:r>
            <w:r>
              <w:rPr>
                <w:rFonts w:ascii="Times New Roman" w:hAnsi="Times New Roman" w:eastAsia="Times New Roman" w:cs="Times New Roman"/>
                <w:spacing w:val="33"/>
                <w:w w:val="101"/>
                <w:sz w:val="21"/>
                <w:szCs w:val="21"/>
              </w:rPr>
              <w:t xml:space="preserve"> </w:t>
            </w:r>
            <w:r>
              <w:rPr>
                <w:rFonts w:ascii="Times New Roman" w:hAnsi="Times New Roman" w:eastAsia="Times New Roman" w:cs="Times New Roman"/>
                <w:spacing w:val="14"/>
                <w:w w:val="128"/>
                <w:sz w:val="21"/>
                <w:szCs w:val="21"/>
              </w:rPr>
              <w:t>03</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02"/>
                <w:position w:val="-2"/>
                <w:sz w:val="21"/>
                <w:szCs w:val="21"/>
              </w:rPr>
              <w:t>0</w:t>
            </w:r>
            <w:r>
              <w:rPr>
                <w:rFonts w:ascii="Times New Roman" w:hAnsi="Times New Roman" w:eastAsia="Times New Roman" w:cs="Times New Roman"/>
                <w:spacing w:val="41"/>
                <w:w w:val="101"/>
                <w:position w:val="-2"/>
                <w:sz w:val="21"/>
                <w:szCs w:val="21"/>
              </w:rPr>
              <w:t xml:space="preserve"> </w:t>
            </w:r>
            <w:r>
              <w:rPr>
                <w:rFonts w:ascii="Times New Roman" w:hAnsi="Times New Roman" w:eastAsia="Times New Roman" w:cs="Times New Roman"/>
                <w:spacing w:val="8"/>
                <w:w w:val="102"/>
                <w:position w:val="-2"/>
                <w:sz w:val="21"/>
                <w:szCs w:val="21"/>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0"/>
                <w:w w:val="99"/>
                <w:position w:val="-2"/>
                <w:sz w:val="21"/>
                <w:szCs w:val="21"/>
              </w:rPr>
              <w:t>17</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10"/>
                <w:sz w:val="21"/>
                <w:szCs w:val="21"/>
              </w:rPr>
              <w:t>锰</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20"/>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98"/>
                <w:position w:val="-2"/>
                <w:sz w:val="21"/>
                <w:szCs w:val="21"/>
              </w:rPr>
              <w:t>0.</w:t>
            </w:r>
            <w:r>
              <w:rPr>
                <w:rFonts w:ascii="Times New Roman" w:hAnsi="Times New Roman" w:eastAsia="Times New Roman" w:cs="Times New Roman"/>
                <w:spacing w:val="-25"/>
                <w:position w:val="-2"/>
                <w:sz w:val="21"/>
                <w:szCs w:val="21"/>
              </w:rPr>
              <w:t xml:space="preserve"> </w:t>
            </w:r>
            <w:r>
              <w:rPr>
                <w:rFonts w:ascii="Times New Roman" w:hAnsi="Times New Roman" w:eastAsia="Times New Roman" w:cs="Times New Roman"/>
                <w:spacing w:val="-5"/>
                <w:w w:val="98"/>
                <w:position w:val="-2"/>
                <w:sz w:val="21"/>
                <w:szCs w:val="21"/>
              </w:rPr>
              <w:t>10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10"/>
                <w:sz w:val="21"/>
                <w:szCs w:val="21"/>
              </w:rPr>
              <w:t>&lt;0</w:t>
            </w:r>
            <w:r>
              <w:rPr>
                <w:rFonts w:ascii="Times New Roman" w:hAnsi="Times New Roman" w:eastAsia="Times New Roman" w:cs="Times New Roman"/>
                <w:spacing w:val="-21"/>
                <w:sz w:val="21"/>
                <w:szCs w:val="21"/>
              </w:rPr>
              <w:t xml:space="preserve"> </w:t>
            </w:r>
            <w:r>
              <w:rPr>
                <w:rFonts w:ascii="Times New Roman" w:hAnsi="Times New Roman" w:eastAsia="Times New Roman" w:cs="Times New Roman"/>
                <w:spacing w:val="8"/>
                <w:w w:val="110"/>
                <w:sz w:val="21"/>
                <w:szCs w:val="21"/>
              </w:rPr>
              <w:t>.01</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0.01</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2"/>
                <w:sz w:val="21"/>
                <w:szCs w:val="21"/>
              </w:rPr>
              <w:t>0.03</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98"/>
                <w:position w:val="-2"/>
                <w:sz w:val="21"/>
                <w:szCs w:val="21"/>
              </w:rPr>
              <w:t>0.</w:t>
            </w:r>
            <w:r>
              <w:rPr>
                <w:rFonts w:ascii="Times New Roman" w:hAnsi="Times New Roman" w:eastAsia="Times New Roman" w:cs="Times New Roman"/>
                <w:spacing w:val="-25"/>
                <w:position w:val="-2"/>
                <w:sz w:val="21"/>
                <w:szCs w:val="21"/>
              </w:rPr>
              <w:t xml:space="preserve"> </w:t>
            </w:r>
            <w:r>
              <w:rPr>
                <w:rFonts w:ascii="Times New Roman" w:hAnsi="Times New Roman" w:eastAsia="Times New Roman" w:cs="Times New Roman"/>
                <w:spacing w:val="-5"/>
                <w:w w:val="98"/>
                <w:position w:val="-2"/>
                <w:sz w:val="21"/>
                <w:szCs w:val="21"/>
              </w:rPr>
              <w:t>14</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2"/>
                <w:sz w:val="21"/>
                <w:szCs w:val="21"/>
              </w:rPr>
              <w:t>0.04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6"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0"/>
                <w:w w:val="99"/>
                <w:position w:val="-2"/>
                <w:sz w:val="21"/>
                <w:szCs w:val="21"/>
              </w:rPr>
              <w:t>18</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19"/>
                <w:w w:val="101"/>
                <w:sz w:val="21"/>
                <w:szCs w:val="21"/>
              </w:rPr>
              <w:t>铜</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20"/>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position w:val="-2"/>
                <w:sz w:val="21"/>
                <w:szCs w:val="21"/>
              </w:rPr>
              <w:t>1.00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10"/>
                <w:sz w:val="21"/>
                <w:szCs w:val="21"/>
              </w:rPr>
              <w:t>&lt;0</w:t>
            </w:r>
            <w:r>
              <w:rPr>
                <w:rFonts w:ascii="Times New Roman" w:hAnsi="Times New Roman" w:eastAsia="Times New Roman" w:cs="Times New Roman"/>
                <w:spacing w:val="-21"/>
                <w:sz w:val="21"/>
                <w:szCs w:val="21"/>
              </w:rPr>
              <w:t xml:space="preserve"> </w:t>
            </w:r>
            <w:r>
              <w:rPr>
                <w:rFonts w:ascii="Times New Roman" w:hAnsi="Times New Roman" w:eastAsia="Times New Roman" w:cs="Times New Roman"/>
                <w:spacing w:val="8"/>
                <w:w w:val="110"/>
                <w:sz w:val="21"/>
                <w:szCs w:val="21"/>
              </w:rPr>
              <w:t>.05</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10"/>
                <w:sz w:val="21"/>
                <w:szCs w:val="21"/>
              </w:rPr>
              <w:t>&lt;0</w:t>
            </w:r>
            <w:r>
              <w:rPr>
                <w:rFonts w:ascii="Times New Roman" w:hAnsi="Times New Roman" w:eastAsia="Times New Roman" w:cs="Times New Roman"/>
                <w:spacing w:val="-21"/>
                <w:sz w:val="21"/>
                <w:szCs w:val="21"/>
              </w:rPr>
              <w:t xml:space="preserve"> </w:t>
            </w:r>
            <w:r>
              <w:rPr>
                <w:rFonts w:ascii="Times New Roman" w:hAnsi="Times New Roman" w:eastAsia="Times New Roman" w:cs="Times New Roman"/>
                <w:spacing w:val="8"/>
                <w:w w:val="110"/>
                <w:sz w:val="21"/>
                <w:szCs w:val="21"/>
              </w:rPr>
              <w:t>.05</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10"/>
                <w:sz w:val="21"/>
                <w:szCs w:val="21"/>
              </w:rPr>
              <w:t>&lt;0</w:t>
            </w:r>
            <w:r>
              <w:rPr>
                <w:rFonts w:ascii="Times New Roman" w:hAnsi="Times New Roman" w:eastAsia="Times New Roman" w:cs="Times New Roman"/>
                <w:spacing w:val="-21"/>
                <w:sz w:val="21"/>
                <w:szCs w:val="21"/>
              </w:rPr>
              <w:t xml:space="preserve"> </w:t>
            </w:r>
            <w:r>
              <w:rPr>
                <w:rFonts w:ascii="Times New Roman" w:hAnsi="Times New Roman" w:eastAsia="Times New Roman" w:cs="Times New Roman"/>
                <w:spacing w:val="8"/>
                <w:w w:val="110"/>
                <w:sz w:val="21"/>
                <w:szCs w:val="21"/>
              </w:rPr>
              <w:t>.05</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10"/>
                <w:sz w:val="21"/>
                <w:szCs w:val="21"/>
              </w:rPr>
              <w:t>&lt;0</w:t>
            </w:r>
            <w:r>
              <w:rPr>
                <w:rFonts w:ascii="Times New Roman" w:hAnsi="Times New Roman" w:eastAsia="Times New Roman" w:cs="Times New Roman"/>
                <w:spacing w:val="-21"/>
                <w:sz w:val="21"/>
                <w:szCs w:val="21"/>
              </w:rPr>
              <w:t xml:space="preserve"> </w:t>
            </w:r>
            <w:r>
              <w:rPr>
                <w:rFonts w:ascii="Times New Roman" w:hAnsi="Times New Roman" w:eastAsia="Times New Roman" w:cs="Times New Roman"/>
                <w:spacing w:val="8"/>
                <w:w w:val="110"/>
                <w:sz w:val="21"/>
                <w:szCs w:val="21"/>
              </w:rPr>
              <w:t>.05</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10"/>
                <w:sz w:val="21"/>
                <w:szCs w:val="21"/>
              </w:rPr>
              <w:t>&lt;0</w:t>
            </w:r>
            <w:r>
              <w:rPr>
                <w:rFonts w:ascii="Times New Roman" w:hAnsi="Times New Roman" w:eastAsia="Times New Roman" w:cs="Times New Roman"/>
                <w:spacing w:val="-21"/>
                <w:sz w:val="21"/>
                <w:szCs w:val="21"/>
              </w:rPr>
              <w:t xml:space="preserve"> </w:t>
            </w:r>
            <w:r>
              <w:rPr>
                <w:rFonts w:ascii="Times New Roman" w:hAnsi="Times New Roman" w:eastAsia="Times New Roman" w:cs="Times New Roman"/>
                <w:spacing w:val="8"/>
                <w:w w:val="110"/>
                <w:sz w:val="21"/>
                <w:szCs w:val="21"/>
              </w:rPr>
              <w:t>.05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0"/>
                <w:w w:val="99"/>
                <w:position w:val="-3"/>
                <w:sz w:val="21"/>
                <w:szCs w:val="21"/>
              </w:rPr>
              <w:t>19</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18"/>
                <w:w w:val="101"/>
                <w:sz w:val="21"/>
                <w:szCs w:val="21"/>
              </w:rPr>
              <w:t>铝</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6"/>
                <w:w w:val="125"/>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position w:val="-3"/>
                <w:sz w:val="21"/>
                <w:szCs w:val="21"/>
              </w:rPr>
              <w:t>0</w:t>
            </w:r>
            <w:r>
              <w:rPr>
                <w:rFonts w:ascii="Times New Roman" w:hAnsi="Times New Roman" w:eastAsia="Times New Roman" w:cs="Times New Roman"/>
                <w:spacing w:val="12"/>
                <w:w w:val="101"/>
                <w:position w:val="-3"/>
                <w:sz w:val="21"/>
                <w:szCs w:val="21"/>
              </w:rPr>
              <w:t xml:space="preserve"> </w:t>
            </w:r>
            <w:r>
              <w:rPr>
                <w:rFonts w:ascii="Times New Roman" w:hAnsi="Times New Roman" w:eastAsia="Times New Roman" w:cs="Times New Roman"/>
                <w:spacing w:val="-4"/>
                <w:position w:val="-3"/>
                <w:sz w:val="21"/>
                <w:szCs w:val="21"/>
              </w:rPr>
              <w:t>20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position w:val="-3"/>
                <w:sz w:val="21"/>
                <w:szCs w:val="21"/>
              </w:rPr>
              <w:t>0</w:t>
            </w:r>
            <w:r>
              <w:rPr>
                <w:rFonts w:ascii="Times New Roman" w:hAnsi="Times New Roman" w:eastAsia="Times New Roman" w:cs="Times New Roman"/>
                <w:spacing w:val="11"/>
                <w:w w:val="101"/>
                <w:position w:val="-3"/>
                <w:sz w:val="21"/>
                <w:szCs w:val="21"/>
              </w:rPr>
              <w:t xml:space="preserve"> </w:t>
            </w:r>
            <w:r>
              <w:rPr>
                <w:rFonts w:ascii="Times New Roman" w:hAnsi="Times New Roman" w:eastAsia="Times New Roman" w:cs="Times New Roman"/>
                <w:spacing w:val="-2"/>
                <w:position w:val="-3"/>
                <w:sz w:val="21"/>
                <w:szCs w:val="21"/>
              </w:rPr>
              <w:t>020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20"/>
                <w:sz w:val="21"/>
                <w:szCs w:val="21"/>
              </w:rPr>
              <w:t>&lt;0</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8"/>
                <w:w w:val="120"/>
                <w:sz w:val="21"/>
                <w:szCs w:val="21"/>
              </w:rPr>
              <w:t>008</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position w:val="-3"/>
                <w:sz w:val="21"/>
                <w:szCs w:val="21"/>
              </w:rPr>
              <w:t>0</w:t>
            </w:r>
            <w:r>
              <w:rPr>
                <w:rFonts w:ascii="Times New Roman" w:hAnsi="Times New Roman" w:eastAsia="Times New Roman" w:cs="Times New Roman"/>
                <w:spacing w:val="15"/>
                <w:w w:val="101"/>
                <w:position w:val="-3"/>
                <w:sz w:val="21"/>
                <w:szCs w:val="21"/>
              </w:rPr>
              <w:t xml:space="preserve"> </w:t>
            </w:r>
            <w:r>
              <w:rPr>
                <w:rFonts w:ascii="Times New Roman" w:hAnsi="Times New Roman" w:eastAsia="Times New Roman" w:cs="Times New Roman"/>
                <w:spacing w:val="-3"/>
                <w:position w:val="-3"/>
                <w:sz w:val="21"/>
                <w:szCs w:val="21"/>
              </w:rPr>
              <w:t>008</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position w:val="-3"/>
                <w:sz w:val="21"/>
                <w:szCs w:val="21"/>
              </w:rPr>
              <w:t>0</w:t>
            </w:r>
            <w:r>
              <w:rPr>
                <w:rFonts w:ascii="Times New Roman" w:hAnsi="Times New Roman" w:eastAsia="Times New Roman" w:cs="Times New Roman"/>
                <w:spacing w:val="15"/>
                <w:w w:val="101"/>
                <w:position w:val="-3"/>
                <w:sz w:val="21"/>
                <w:szCs w:val="21"/>
              </w:rPr>
              <w:t xml:space="preserve"> </w:t>
            </w:r>
            <w:r>
              <w:rPr>
                <w:rFonts w:ascii="Times New Roman" w:hAnsi="Times New Roman" w:eastAsia="Times New Roman" w:cs="Times New Roman"/>
                <w:spacing w:val="-3"/>
                <w:position w:val="-3"/>
                <w:sz w:val="21"/>
                <w:szCs w:val="21"/>
              </w:rPr>
              <w:t>010</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w w:val="120"/>
                <w:sz w:val="21"/>
                <w:szCs w:val="21"/>
              </w:rPr>
              <w:t>&lt;0</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8"/>
                <w:w w:val="120"/>
                <w:sz w:val="21"/>
                <w:szCs w:val="21"/>
              </w:rPr>
              <w:t>008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20</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锌</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6"/>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1.00</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7"/>
                <w:sz w:val="21"/>
                <w:szCs w:val="21"/>
              </w:rPr>
              <w:t>&lt;0.05</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7"/>
                <w:sz w:val="21"/>
                <w:szCs w:val="21"/>
              </w:rPr>
              <w:t>&lt;0.05</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7"/>
                <w:sz w:val="21"/>
                <w:szCs w:val="21"/>
              </w:rPr>
              <w:t>&lt;0.05</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7"/>
                <w:sz w:val="21"/>
                <w:szCs w:val="21"/>
              </w:rPr>
              <w:t>&lt;0.05</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7"/>
                <w:sz w:val="21"/>
                <w:szCs w:val="21"/>
              </w:rPr>
              <w:t>&lt;0.05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21</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砷</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6"/>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0.01</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0.0019</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0.0018</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0.0009</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0.0005</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w w:val="108"/>
                <w:sz w:val="21"/>
                <w:szCs w:val="21"/>
              </w:rPr>
              <w:t>&lt;0.007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22</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氰化物</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12"/>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0</w:t>
            </w:r>
            <w:r>
              <w:rPr>
                <w:rFonts w:ascii="Times New Roman" w:hAnsi="Times New Roman" w:eastAsia="Times New Roman" w:cs="Times New Roman"/>
                <w:spacing w:val="15"/>
                <w:w w:val="101"/>
                <w:sz w:val="21"/>
                <w:szCs w:val="21"/>
              </w:rPr>
              <w:t xml:space="preserve"> </w:t>
            </w:r>
            <w:r>
              <w:rPr>
                <w:rFonts w:ascii="Times New Roman" w:hAnsi="Times New Roman" w:eastAsia="Times New Roman" w:cs="Times New Roman"/>
                <w:spacing w:val="-5"/>
                <w:sz w:val="21"/>
                <w:szCs w:val="21"/>
              </w:rPr>
              <w:t>05</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9"/>
                <w:w w:val="106"/>
                <w:sz w:val="21"/>
                <w:szCs w:val="21"/>
              </w:rPr>
              <w:t>&lt;0</w:t>
            </w:r>
            <w:r>
              <w:rPr>
                <w:rFonts w:ascii="Times New Roman" w:hAnsi="Times New Roman" w:eastAsia="Times New Roman" w:cs="Times New Roman"/>
                <w:spacing w:val="23"/>
                <w:sz w:val="21"/>
                <w:szCs w:val="21"/>
              </w:rPr>
              <w:t xml:space="preserve"> </w:t>
            </w:r>
            <w:r>
              <w:rPr>
                <w:rFonts w:ascii="Times New Roman" w:hAnsi="Times New Roman" w:eastAsia="Times New Roman" w:cs="Times New Roman"/>
                <w:spacing w:val="9"/>
                <w:w w:val="106"/>
                <w:sz w:val="21"/>
                <w:szCs w:val="21"/>
              </w:rPr>
              <w:t>002</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9"/>
                <w:w w:val="106"/>
                <w:sz w:val="21"/>
                <w:szCs w:val="21"/>
              </w:rPr>
              <w:t>&lt;0</w:t>
            </w:r>
            <w:r>
              <w:rPr>
                <w:rFonts w:ascii="Times New Roman" w:hAnsi="Times New Roman" w:eastAsia="Times New Roman" w:cs="Times New Roman"/>
                <w:spacing w:val="23"/>
                <w:sz w:val="21"/>
                <w:szCs w:val="21"/>
              </w:rPr>
              <w:t xml:space="preserve"> </w:t>
            </w:r>
            <w:r>
              <w:rPr>
                <w:rFonts w:ascii="Times New Roman" w:hAnsi="Times New Roman" w:eastAsia="Times New Roman" w:cs="Times New Roman"/>
                <w:spacing w:val="9"/>
                <w:w w:val="106"/>
                <w:sz w:val="21"/>
                <w:szCs w:val="21"/>
              </w:rPr>
              <w:t>002</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9"/>
                <w:w w:val="106"/>
                <w:sz w:val="21"/>
                <w:szCs w:val="21"/>
              </w:rPr>
              <w:t>&lt;0</w:t>
            </w:r>
            <w:r>
              <w:rPr>
                <w:rFonts w:ascii="Times New Roman" w:hAnsi="Times New Roman" w:eastAsia="Times New Roman" w:cs="Times New Roman"/>
                <w:spacing w:val="23"/>
                <w:sz w:val="21"/>
                <w:szCs w:val="21"/>
              </w:rPr>
              <w:t xml:space="preserve"> </w:t>
            </w:r>
            <w:r>
              <w:rPr>
                <w:rFonts w:ascii="Times New Roman" w:hAnsi="Times New Roman" w:eastAsia="Times New Roman" w:cs="Times New Roman"/>
                <w:spacing w:val="9"/>
                <w:w w:val="106"/>
                <w:sz w:val="21"/>
                <w:szCs w:val="21"/>
              </w:rPr>
              <w:t>002</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9"/>
                <w:w w:val="106"/>
                <w:sz w:val="21"/>
                <w:szCs w:val="21"/>
              </w:rPr>
              <w:t>&lt;0</w:t>
            </w:r>
            <w:r>
              <w:rPr>
                <w:rFonts w:ascii="Times New Roman" w:hAnsi="Times New Roman" w:eastAsia="Times New Roman" w:cs="Times New Roman"/>
                <w:spacing w:val="23"/>
                <w:sz w:val="21"/>
                <w:szCs w:val="21"/>
              </w:rPr>
              <w:t xml:space="preserve"> </w:t>
            </w:r>
            <w:r>
              <w:rPr>
                <w:rFonts w:ascii="Times New Roman" w:hAnsi="Times New Roman" w:eastAsia="Times New Roman" w:cs="Times New Roman"/>
                <w:spacing w:val="9"/>
                <w:w w:val="106"/>
                <w:sz w:val="21"/>
                <w:szCs w:val="21"/>
              </w:rPr>
              <w:t>002</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9"/>
                <w:w w:val="106"/>
                <w:sz w:val="21"/>
                <w:szCs w:val="21"/>
              </w:rPr>
              <w:t>&lt;0</w:t>
            </w:r>
            <w:r>
              <w:rPr>
                <w:rFonts w:ascii="Times New Roman" w:hAnsi="Times New Roman" w:eastAsia="Times New Roman" w:cs="Times New Roman"/>
                <w:spacing w:val="23"/>
                <w:sz w:val="21"/>
                <w:szCs w:val="21"/>
              </w:rPr>
              <w:t xml:space="preserve"> </w:t>
            </w:r>
            <w:r>
              <w:rPr>
                <w:rFonts w:ascii="Times New Roman" w:hAnsi="Times New Roman" w:eastAsia="Times New Roman" w:cs="Times New Roman"/>
                <w:spacing w:val="9"/>
                <w:w w:val="106"/>
                <w:sz w:val="21"/>
                <w:szCs w:val="21"/>
              </w:rPr>
              <w:t>004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23</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汞</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0.001</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&lt;0.000</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04</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&lt;0.000</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04</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&lt;0.000</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04</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&lt;0.000</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04</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&lt;0.000</w:t>
            </w:r>
          </w:p>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6"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24</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z w:val="21"/>
                <w:szCs w:val="21"/>
              </w:rPr>
              <w:t>铅</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1"/>
                <w:sz w:val="21"/>
                <w:szCs w:val="21"/>
              </w:rPr>
              <w:t>mg/L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0.01</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1"/>
                <w:sz w:val="21"/>
                <w:szCs w:val="21"/>
              </w:rPr>
              <w:t>&lt;0.001</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1"/>
                <w:sz w:val="21"/>
                <w:szCs w:val="21"/>
              </w:rPr>
              <w:t>&lt;0.001</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1"/>
                <w:sz w:val="21"/>
                <w:szCs w:val="21"/>
              </w:rPr>
              <w:t>&lt;0.001</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w w:val="101"/>
                <w:sz w:val="21"/>
                <w:szCs w:val="21"/>
              </w:rPr>
              <w:t>&lt;0.001</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w w:val="101"/>
                <w:sz w:val="21"/>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7" w:hRule="atLeast"/>
          <w:jc w:val="center"/>
        </w:trPr>
        <w:tc>
          <w:tcPr>
            <w:tcW w:w="566" w:type="dxa"/>
            <w:tcBorders>
              <w:lef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25</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总大肠菌</w:t>
            </w:r>
            <w:r>
              <w:rPr>
                <w:rFonts w:ascii="宋体" w:hAnsi="宋体" w:eastAsia="宋体" w:cs="宋体"/>
                <w:spacing w:val="3"/>
                <w:sz w:val="21"/>
                <w:szCs w:val="21"/>
              </w:rPr>
              <w:t xml:space="preserve"> </w:t>
            </w:r>
            <w:r>
              <w:rPr>
                <w:rFonts w:ascii="宋体" w:hAnsi="宋体" w:eastAsia="宋体" w:cs="宋体"/>
                <w:sz w:val="21"/>
                <w:szCs w:val="21"/>
              </w:rPr>
              <w:t>群</w:t>
            </w:r>
          </w:p>
        </w:tc>
        <w:tc>
          <w:tcPr>
            <w:tcW w:w="993"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position w:val="1"/>
                <w:sz w:val="21"/>
                <w:szCs w:val="21"/>
              </w:rPr>
              <w:t>MNPb</w:t>
            </w:r>
            <w:r>
              <w:rPr>
                <w:rFonts w:ascii="Times New Roman" w:hAnsi="Times New Roman" w:eastAsia="Times New Roman" w:cs="Times New Roman"/>
                <w:spacing w:val="2"/>
                <w:position w:val="-1"/>
                <w:sz w:val="21"/>
                <w:szCs w:val="21"/>
              </w:rPr>
              <w:t>/1</w:t>
            </w:r>
            <w:r>
              <w:rPr>
                <w:rFonts w:ascii="Times New Roman" w:hAnsi="Times New Roman" w:eastAsia="Times New Roman" w:cs="Times New Roman"/>
                <w:position w:val="-1"/>
                <w:sz w:val="21"/>
                <w:szCs w:val="21"/>
              </w:rPr>
              <w:t xml:space="preserve"> </w:t>
            </w:r>
            <w:r>
              <w:rPr>
                <w:rFonts w:ascii="Times New Roman" w:hAnsi="Times New Roman" w:eastAsia="Times New Roman" w:cs="Times New Roman"/>
                <w:sz w:val="21"/>
                <w:szCs w:val="21"/>
              </w:rPr>
              <w:t>00ml</w:t>
            </w:r>
          </w:p>
        </w:tc>
        <w:tc>
          <w:tcPr>
            <w:tcW w:w="1301"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&lt;2</w:t>
            </w:r>
          </w:p>
        </w:tc>
        <w:tc>
          <w:tcPr>
            <w:tcW w:w="905"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&lt;2</w:t>
            </w:r>
          </w:p>
        </w:tc>
        <w:tc>
          <w:tcPr>
            <w:tcW w:w="904"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&lt;2</w:t>
            </w:r>
          </w:p>
        </w:tc>
        <w:tc>
          <w:tcPr>
            <w:tcW w:w="907" w:type="dxa"/>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&lt;2</w:t>
            </w:r>
          </w:p>
        </w:tc>
        <w:tc>
          <w:tcPr>
            <w:tcW w:w="905" w:type="dxa"/>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&lt;2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jc w:val="center"/>
        </w:trPr>
        <w:tc>
          <w:tcPr>
            <w:tcW w:w="566" w:type="dxa"/>
            <w:tcBorders>
              <w:left w:val="nil"/>
              <w:bottom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26</w:t>
            </w:r>
          </w:p>
        </w:tc>
        <w:tc>
          <w:tcPr>
            <w:tcW w:w="113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宋体" w:hAnsi="宋体" w:eastAsia="宋体" w:cs="宋体"/>
                <w:sz w:val="21"/>
                <w:szCs w:val="21"/>
              </w:rPr>
            </w:pPr>
            <w:r>
              <w:rPr>
                <w:rFonts w:ascii="宋体" w:hAnsi="宋体" w:eastAsia="宋体" w:cs="宋体"/>
                <w:spacing w:val="2"/>
                <w:sz w:val="21"/>
                <w:szCs w:val="21"/>
              </w:rPr>
              <w:t>菌落总数</w:t>
            </w:r>
          </w:p>
        </w:tc>
        <w:tc>
          <w:tcPr>
            <w:tcW w:w="99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CFU/ml</w:t>
            </w:r>
          </w:p>
        </w:tc>
        <w:tc>
          <w:tcPr>
            <w:tcW w:w="1301"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100</w:t>
            </w:r>
          </w:p>
        </w:tc>
        <w:tc>
          <w:tcPr>
            <w:tcW w:w="905"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905"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904"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907"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81</w:t>
            </w:r>
          </w:p>
        </w:tc>
        <w:tc>
          <w:tcPr>
            <w:tcW w:w="905"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r>
    </w:tbl>
    <w:p>
      <w:pPr>
        <w:spacing w:before="35" w:line="356" w:lineRule="auto"/>
        <w:ind w:left="121" w:firstLine="502"/>
        <w:rPr>
          <w:rFonts w:ascii="宋体" w:hAnsi="宋体" w:eastAsia="宋体" w:cs="宋体"/>
          <w:sz w:val="24"/>
          <w:szCs w:val="24"/>
        </w:rPr>
      </w:pPr>
      <w:r>
        <w:rPr>
          <w:rFonts w:ascii="宋体" w:hAnsi="宋体" w:eastAsia="宋体" w:cs="宋体"/>
          <w:spacing w:val="8"/>
          <w:sz w:val="24"/>
          <w:szCs w:val="24"/>
        </w:rPr>
        <w:t>由上表可知，区域地下水中除锰元素外其他监测项目满足《地下水质量标准</w:t>
      </w:r>
      <w:r>
        <w:rPr>
          <w:rFonts w:ascii="宋体" w:hAnsi="宋体" w:eastAsia="宋体" w:cs="宋体"/>
          <w:sz w:val="24"/>
          <w:szCs w:val="24"/>
        </w:rPr>
        <w:t xml:space="preserve"> </w:t>
      </w:r>
      <w:r>
        <w:rPr>
          <w:rFonts w:ascii="宋体" w:hAnsi="宋体" w:eastAsia="宋体" w:cs="宋体"/>
          <w:spacing w:val="-5"/>
          <w:sz w:val="24"/>
          <w:szCs w:val="24"/>
        </w:rPr>
        <w:t>（</w:t>
      </w:r>
      <w:r>
        <w:rPr>
          <w:rFonts w:ascii="Times New Roman" w:hAnsi="Times New Roman" w:eastAsia="Times New Roman" w:cs="Times New Roman"/>
          <w:spacing w:val="-5"/>
          <w:sz w:val="24"/>
          <w:szCs w:val="24"/>
        </w:rPr>
        <w:t>GB/T</w:t>
      </w:r>
      <w:r>
        <w:rPr>
          <w:rFonts w:ascii="Times New Roman" w:hAnsi="Times New Roman" w:eastAsia="Times New Roman" w:cs="Times New Roman"/>
          <w:spacing w:val="31"/>
          <w:w w:val="101"/>
          <w:sz w:val="24"/>
          <w:szCs w:val="24"/>
        </w:rPr>
        <w:t xml:space="preserve"> </w:t>
      </w:r>
      <w:r>
        <w:rPr>
          <w:rFonts w:ascii="Times New Roman" w:hAnsi="Times New Roman" w:eastAsia="Times New Roman" w:cs="Times New Roman"/>
          <w:spacing w:val="-5"/>
          <w:sz w:val="24"/>
          <w:szCs w:val="24"/>
        </w:rPr>
        <w:t>14848-2017</w:t>
      </w:r>
      <w:r>
        <w:rPr>
          <w:rFonts w:ascii="宋体" w:hAnsi="宋体" w:eastAsia="宋体" w:cs="宋体"/>
          <w:spacing w:val="-5"/>
          <w:sz w:val="24"/>
          <w:szCs w:val="24"/>
        </w:rPr>
        <w:t>）》Ⅲ类标准，</w:t>
      </w:r>
      <w:r>
        <w:rPr>
          <w:rFonts w:ascii="宋体" w:hAnsi="宋体" w:eastAsia="宋体" w:cs="宋体"/>
          <w:spacing w:val="7"/>
          <w:sz w:val="24"/>
          <w:szCs w:val="24"/>
        </w:rPr>
        <w:t xml:space="preserve"> </w:t>
      </w:r>
      <w:r>
        <w:rPr>
          <w:rFonts w:ascii="宋体" w:hAnsi="宋体" w:eastAsia="宋体" w:cs="宋体"/>
          <w:spacing w:val="-5"/>
          <w:sz w:val="24"/>
          <w:szCs w:val="24"/>
        </w:rPr>
        <w:t>锰元素超标为区域地质性超标。</w:t>
      </w:r>
    </w:p>
    <w:p>
      <w:pPr>
        <w:pStyle w:val="2"/>
        <w:rPr>
          <w:lang w:eastAsia="zh-CN"/>
        </w:rPr>
        <w:sectPr>
          <w:pgSz w:w="11906" w:h="16838"/>
          <w:pgMar w:top="1431" w:right="1309" w:bottom="1601" w:left="1689" w:header="907" w:footer="1434" w:gutter="0"/>
          <w:pgBorders>
            <w:top w:val="none" w:sz="0" w:space="0"/>
            <w:left w:val="none" w:sz="0" w:space="0"/>
            <w:bottom w:val="none" w:sz="0" w:space="0"/>
            <w:right w:val="none" w:sz="0" w:space="0"/>
          </w:pgBorders>
          <w:cols w:space="720" w:num="1"/>
        </w:sectPr>
      </w:pPr>
    </w:p>
    <w:p>
      <w:pPr>
        <w:ind w:firstLine="0" w:firstLineChars="0"/>
        <w:outlineLvl w:val="4"/>
        <w:rPr>
          <w:rFonts w:cs="Times New Roman"/>
          <w:b/>
          <w:bCs/>
          <w:lang w:eastAsia="zh-CN"/>
        </w:rPr>
      </w:pPr>
      <w:r>
        <w:rPr>
          <w:rFonts w:hint="eastAsia" w:cs="Times New Roman"/>
          <w:b/>
          <w:bCs/>
          <w:lang w:eastAsia="zh-CN"/>
        </w:rPr>
        <w:t>3.1.1.5.3地下水环境质量变化趋势分析</w:t>
      </w:r>
    </w:p>
    <w:p>
      <w:pPr>
        <w:ind w:firstLine="480"/>
        <w:rPr>
          <w:rFonts w:hint="eastAsia" w:ascii="Times New Roman" w:hAnsi="Times New Roman" w:eastAsia="宋体" w:cs="Times New Roman"/>
          <w:lang w:eastAsia="zh-CN"/>
        </w:rPr>
      </w:pPr>
      <w:r>
        <w:rPr>
          <w:rFonts w:hint="eastAsia" w:ascii="Times New Roman" w:hAnsi="Times New Roman" w:eastAsia="宋体" w:cs="Times New Roman"/>
          <w:lang w:eastAsia="zh-CN"/>
        </w:rPr>
        <w:t xml:space="preserve"> </w:t>
      </w:r>
      <w:r>
        <w:rPr>
          <w:rFonts w:hint="eastAsia" w:ascii="Times New Roman" w:hAnsi="Times New Roman" w:eastAsia="宋体" w:cs="Times New Roman"/>
          <w:lang w:val="en-US" w:eastAsia="zh-CN"/>
        </w:rPr>
        <w:t>2016年-2020年</w:t>
      </w:r>
      <w:r>
        <w:rPr>
          <w:rFonts w:hint="eastAsia" w:ascii="Times New Roman" w:hAnsi="Times New Roman" w:eastAsia="宋体" w:cs="Times New Roman"/>
          <w:lang w:eastAsia="zh-CN"/>
        </w:rPr>
        <w:t xml:space="preserve">期间全区共设监测井位5眼，分别为王滨乡政府、小张尔村、麦子屯、南大甸子村和李相街道办事处。根据2018年5月1日最新实施的《地下水质量标准》（GB/T14848-2017），2018年之后减少了综合评价规定，使标准具有更广泛的应用性，故不再使用综合评价规定进行水质评价。 </w:t>
      </w:r>
      <w:r>
        <w:rPr>
          <w:rFonts w:hint="eastAsia" w:ascii="Times New Roman" w:hAnsi="Times New Roman" w:eastAsia="宋体" w:cs="Times New Roman"/>
          <w:lang w:val="en-US" w:eastAsia="zh-CN"/>
        </w:rPr>
        <w:t>2016年-2020年</w:t>
      </w:r>
      <w:r>
        <w:rPr>
          <w:rFonts w:hint="eastAsia" w:ascii="Times New Roman" w:hAnsi="Times New Roman" w:eastAsia="宋体" w:cs="Times New Roman"/>
          <w:lang w:eastAsia="zh-CN"/>
        </w:rPr>
        <w:t>期间，除2016年由于当年计划安排监测项目较少以外，其他4年均监测23项污染指标。</w:t>
      </w:r>
    </w:p>
    <w:p>
      <w:pPr>
        <w:ind w:firstLine="480"/>
        <w:rPr>
          <w:rFonts w:hint="eastAsia" w:ascii="Times New Roman" w:hAnsi="Times New Roman" w:eastAsia="宋体" w:cs="Times New Roman"/>
          <w:lang w:eastAsia="zh-CN"/>
        </w:rPr>
      </w:pPr>
      <w:r>
        <w:rPr>
          <w:rFonts w:hint="eastAsia" w:ascii="Times New Roman" w:hAnsi="Times New Roman" w:eastAsia="宋体" w:cs="Times New Roman"/>
          <w:lang w:eastAsia="zh-CN"/>
        </w:rPr>
        <w:t xml:space="preserve"> </w:t>
      </w:r>
      <w:r>
        <w:rPr>
          <w:rFonts w:hint="eastAsia" w:ascii="Times New Roman" w:hAnsi="Times New Roman" w:eastAsia="宋体" w:cs="Times New Roman"/>
          <w:lang w:val="en-US" w:eastAsia="zh-CN"/>
        </w:rPr>
        <w:t>2016年-2020年</w:t>
      </w:r>
      <w:r>
        <w:rPr>
          <w:rFonts w:hint="eastAsia" w:ascii="Times New Roman" w:hAnsi="Times New Roman" w:eastAsia="宋体" w:cs="Times New Roman"/>
          <w:lang w:eastAsia="zh-CN"/>
        </w:rPr>
        <w:t xml:space="preserve">期间浑南区监测井污染指标全部达到《地下水质量标准》其中2016年-2017年按照《地下水质量标准》（GB/T 14848-93）Ⅲ类水质标准执行，新版《地下水质量标准》（GB/T 14848-2017）于2017年10月14日发布，故2018年-2020年按照新标准Ⅲ类水质标准执行。 </w:t>
      </w:r>
      <w:r>
        <w:rPr>
          <w:rFonts w:hint="eastAsia" w:ascii="Times New Roman" w:hAnsi="Times New Roman" w:eastAsia="宋体" w:cs="Times New Roman"/>
          <w:lang w:val="en-US" w:eastAsia="zh-CN"/>
        </w:rPr>
        <w:t>2016年-2020年</w:t>
      </w:r>
      <w:r>
        <w:rPr>
          <w:rFonts w:hint="eastAsia" w:ascii="Times New Roman" w:hAnsi="Times New Roman" w:eastAsia="宋体" w:cs="Times New Roman"/>
          <w:lang w:eastAsia="zh-CN"/>
        </w:rPr>
        <w:t>期间浑南区地下水主要污染物监测结果见表</w:t>
      </w:r>
      <w:r>
        <w:rPr>
          <w:rFonts w:hint="eastAsia" w:ascii="Times New Roman" w:hAnsi="Times New Roman" w:eastAsia="宋体" w:cs="Times New Roman"/>
          <w:lang w:val="en-US" w:eastAsia="zh-CN"/>
        </w:rPr>
        <w:t>3.1-13</w:t>
      </w:r>
      <w:r>
        <w:rPr>
          <w:rFonts w:hint="eastAsia" w:ascii="Times New Roman" w:hAnsi="Times New Roman" w:eastAsia="宋体" w:cs="Times New Roman"/>
          <w:lang w:eastAsia="zh-CN"/>
        </w:rPr>
        <w:t>。</w:t>
      </w:r>
    </w:p>
    <w:p>
      <w:pPr>
        <w:spacing w:line="240" w:lineRule="auto"/>
        <w:ind w:firstLine="0" w:firstLineChars="0"/>
        <w:jc w:val="center"/>
        <w:rPr>
          <w:rFonts w:hint="eastAsia" w:ascii="Times New Roman" w:hAnsi="Times New Roman" w:eastAsia="宋体" w:cs="Times New Roman"/>
          <w:b/>
          <w:bCs/>
          <w:lang w:eastAsia="zh-CN"/>
        </w:rPr>
      </w:pPr>
      <w:r>
        <w:rPr>
          <w:rFonts w:hint="eastAsia" w:ascii="Times New Roman" w:hAnsi="Times New Roman" w:eastAsia="宋体" w:cs="Times New Roman"/>
          <w:b/>
          <w:bCs/>
          <w:lang w:eastAsia="zh-CN"/>
        </w:rPr>
        <w:t>表</w:t>
      </w:r>
      <w:r>
        <w:rPr>
          <w:rFonts w:hint="eastAsia" w:ascii="Times New Roman" w:hAnsi="Times New Roman" w:eastAsia="宋体" w:cs="Times New Roman"/>
          <w:b/>
          <w:bCs/>
          <w:lang w:val="en-US" w:eastAsia="zh-CN"/>
        </w:rPr>
        <w:t>3.1-13</w:t>
      </w:r>
      <w:r>
        <w:rPr>
          <w:rFonts w:hint="eastAsia" w:ascii="Times New Roman" w:hAnsi="Times New Roman" w:eastAsia="宋体" w:cs="Times New Roman"/>
          <w:b/>
          <w:bCs/>
          <w:lang w:eastAsia="zh-CN"/>
        </w:rPr>
        <w:t xml:space="preserve"> 浑南区</w:t>
      </w:r>
      <w:r>
        <w:rPr>
          <w:rFonts w:hint="eastAsia" w:ascii="Times New Roman" w:hAnsi="Times New Roman" w:eastAsia="宋体" w:cs="Times New Roman"/>
          <w:b/>
          <w:bCs/>
          <w:lang w:val="en-US" w:eastAsia="zh-CN"/>
        </w:rPr>
        <w:t>2016年-2020年</w:t>
      </w:r>
      <w:r>
        <w:rPr>
          <w:rFonts w:hint="eastAsia" w:ascii="Times New Roman" w:hAnsi="Times New Roman" w:eastAsia="宋体" w:cs="Times New Roman"/>
          <w:b/>
          <w:bCs/>
          <w:lang w:eastAsia="zh-CN"/>
        </w:rPr>
        <w:t xml:space="preserve">期间地下水主要污染物监测结果汇总表 </w:t>
      </w:r>
      <w:r>
        <w:rPr>
          <w:rFonts w:hint="eastAsia" w:ascii="Times New Roman" w:hAnsi="Times New Roman" w:eastAsia="宋体" w:cs="Times New Roman"/>
          <w:b/>
          <w:bCs/>
          <w:lang w:val="en-US" w:eastAsia="zh-CN"/>
        </w:rPr>
        <w:t xml:space="preserve"> </w:t>
      </w:r>
      <w:r>
        <w:rPr>
          <w:rFonts w:hint="eastAsia" w:ascii="Times New Roman" w:hAnsi="Times New Roman" w:eastAsia="宋体" w:cs="Times New Roman"/>
          <w:b/>
          <w:bCs/>
          <w:lang w:eastAsia="zh-CN"/>
        </w:rPr>
        <w:t>单位：mg/L</w:t>
      </w:r>
    </w:p>
    <w:tbl>
      <w:tblPr>
        <w:tblStyle w:val="64"/>
        <w:tblW w:w="5000"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Layout w:type="autofit"/>
        <w:tblCellMar>
          <w:top w:w="0" w:type="dxa"/>
          <w:left w:w="108" w:type="dxa"/>
          <w:bottom w:w="0" w:type="dxa"/>
          <w:right w:w="108" w:type="dxa"/>
        </w:tblCellMar>
      </w:tblPr>
      <w:tblGrid>
        <w:gridCol w:w="1441"/>
        <w:gridCol w:w="934"/>
        <w:gridCol w:w="934"/>
        <w:gridCol w:w="1254"/>
        <w:gridCol w:w="935"/>
        <w:gridCol w:w="1209"/>
        <w:gridCol w:w="1210"/>
        <w:gridCol w:w="1207"/>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trHeight w:val="482" w:hRule="atLeast"/>
          <w:tblHeader/>
          <w:jc w:val="center"/>
        </w:trPr>
        <w:tc>
          <w:tcPr>
            <w:tcW w:w="77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  目</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氯化物</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亚硝酸盐氮</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六价铬</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硫酸盐</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氟化物</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总硬度</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硝酸盐氮</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2016年全区年均值</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0.0015</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0.002</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173.9</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2017年全区年均值</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94.8</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0.0032</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0.009</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117.12</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0.36</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164.8</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15.96</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2018年全区年均值</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48.08</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0.0024</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0.002</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102.15</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0.19</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235.8</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9.63</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2019年全区年均值</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42.85</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0.0048</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0.002</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79.72</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0.18</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188.4</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6.35</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2020年全区年均值</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41.81</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0.0022</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0.002</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78.54</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0.23</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381.2</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6.51</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《地下水质量标准》（GB/T 14848-93）Ⅲ类水质标准</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≤0.02</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≤0.05</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≤450</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《地下水质量标准》（GB/T 14848-2017）Ⅲ类水质标准</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≤1.00</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≤0.05</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≤450</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超标倍数</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超标率</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最大值</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73.40</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0.005</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0.004L</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110.65</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0.30</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396.4</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396.4</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shd w:val="clear" w:color="auto" w:fill="auto"/>
          <w:tblCellMar>
            <w:top w:w="0" w:type="dxa"/>
            <w:left w:w="108" w:type="dxa"/>
            <w:bottom w:w="0" w:type="dxa"/>
            <w:right w:w="108" w:type="dxa"/>
          </w:tblCellMar>
        </w:tblPrEx>
        <w:trPr>
          <w:cantSplit/>
          <w:trHeight w:val="482" w:hRule="atLeast"/>
          <w:jc w:val="center"/>
        </w:trPr>
        <w:tc>
          <w:tcPr>
            <w:tcW w:w="777"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最小值</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23.18</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0.003L</w:t>
            </w:r>
          </w:p>
        </w:tc>
        <w:tc>
          <w:tcPr>
            <w:tcW w:w="689"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0.004L</w:t>
            </w:r>
          </w:p>
        </w:tc>
        <w:tc>
          <w:tcPr>
            <w:tcW w:w="51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45.20</w:t>
            </w:r>
          </w:p>
        </w:tc>
        <w:tc>
          <w:tcPr>
            <w:tcW w:w="664"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0.15</w:t>
            </w:r>
          </w:p>
        </w:tc>
        <w:tc>
          <w:tcPr>
            <w:tcW w:w="665"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370.3</w:t>
            </w:r>
          </w:p>
        </w:tc>
        <w:tc>
          <w:tcPr>
            <w:tcW w:w="663"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40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370.3</w:t>
            </w:r>
          </w:p>
        </w:tc>
      </w:tr>
    </w:tbl>
    <w:p>
      <w:pPr>
        <w:ind w:firstLine="48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2020年5眼井位年均值与2019年相比，亚硝酸盐氮、硫酸盐、氯化物有所下降，六价铬基本持平，硝酸盐氮、氟化物、总硬度呈上升趋势，其中以总硬度的增加最为明显。</w:t>
      </w:r>
    </w:p>
    <w:p>
      <w:pPr>
        <w:ind w:firstLine="480"/>
        <w:rPr>
          <w:rFonts w:hint="eastAsia" w:cs="Times New Roman"/>
          <w:lang w:eastAsia="zh-CN"/>
        </w:rPr>
      </w:pPr>
      <w:r>
        <w:drawing>
          <wp:inline distT="0" distB="0" distL="114300" distR="114300">
            <wp:extent cx="5314950" cy="2828925"/>
            <wp:effectExtent l="0" t="0" r="0" b="952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26"/>
                    <a:stretch>
                      <a:fillRect/>
                    </a:stretch>
                  </pic:blipFill>
                  <pic:spPr>
                    <a:xfrm>
                      <a:off x="0" y="0"/>
                      <a:ext cx="5314950" cy="2828925"/>
                    </a:xfrm>
                    <a:prstGeom prst="rect">
                      <a:avLst/>
                    </a:prstGeom>
                    <a:noFill/>
                    <a:ln>
                      <a:noFill/>
                    </a:ln>
                  </pic:spPr>
                </pic:pic>
              </a:graphicData>
            </a:graphic>
          </wp:inline>
        </w:drawing>
      </w:r>
    </w:p>
    <w:p>
      <w:pPr>
        <w:ind w:left="0" w:leftChars="0" w:firstLine="0" w:firstLineChars="0"/>
        <w:jc w:val="center"/>
        <w:rPr>
          <w:rFonts w:cs="Times New Roman"/>
          <w:b/>
          <w:lang w:eastAsia="zh-CN"/>
        </w:rPr>
      </w:pPr>
      <w:r>
        <w:rPr>
          <w:rFonts w:cs="Times New Roman"/>
          <w:b/>
          <w:bCs/>
          <w:lang w:eastAsia="zh-CN"/>
        </w:rPr>
        <w:t>图3-3</w:t>
      </w:r>
      <w:r>
        <w:rPr>
          <w:rFonts w:hint="eastAsia" w:cs="Times New Roman"/>
          <w:b/>
          <w:bCs/>
          <w:lang w:eastAsia="zh-CN"/>
        </w:rPr>
        <w:t xml:space="preserve"> </w:t>
      </w:r>
      <w:r>
        <w:rPr>
          <w:rFonts w:cs="Times New Roman"/>
          <w:b/>
          <w:bCs/>
          <w:lang w:eastAsia="zh-CN"/>
        </w:rPr>
        <w:t xml:space="preserve"> </w:t>
      </w:r>
      <w:r>
        <w:rPr>
          <w:rFonts w:hint="eastAsia" w:cs="Times New Roman"/>
          <w:b/>
          <w:lang w:eastAsia="zh-CN"/>
        </w:rPr>
        <w:t>20</w:t>
      </w:r>
      <w:r>
        <w:rPr>
          <w:rFonts w:hint="eastAsia" w:cs="Times New Roman"/>
          <w:b/>
          <w:lang w:val="en-US" w:eastAsia="zh-CN"/>
        </w:rPr>
        <w:t>16-2020</w:t>
      </w:r>
      <w:r>
        <w:rPr>
          <w:rFonts w:hint="eastAsia" w:cs="Times New Roman"/>
          <w:b/>
          <w:lang w:eastAsia="zh-CN"/>
        </w:rPr>
        <w:t>年地下水</w:t>
      </w:r>
      <w:r>
        <w:rPr>
          <w:rFonts w:cs="Times New Roman"/>
          <w:b/>
          <w:lang w:eastAsia="zh-CN"/>
        </w:rPr>
        <w:t>变化趋势</w:t>
      </w:r>
    </w:p>
    <w:p>
      <w:pPr>
        <w:keepNext w:val="0"/>
        <w:keepLines w:val="0"/>
        <w:pageBreakBefore w:val="0"/>
        <w:widowControl w:val="0"/>
        <w:tabs>
          <w:tab w:val="left" w:pos="794"/>
        </w:tabs>
        <w:kinsoku/>
        <w:wordWrap/>
        <w:overflowPunct/>
        <w:topLinePunct w:val="0"/>
        <w:autoSpaceDE/>
        <w:autoSpaceDN/>
        <w:bidi w:val="0"/>
        <w:adjustRightInd/>
        <w:snapToGrid w:val="0"/>
        <w:spacing w:line="360" w:lineRule="auto"/>
        <w:ind w:firstLine="480" w:firstLineChars="200"/>
        <w:textAlignment w:val="auto"/>
        <w:rPr>
          <w:rFonts w:hint="eastAsia" w:cs="Times New Roman"/>
          <w:lang w:eastAsia="zh-CN"/>
        </w:rPr>
      </w:pPr>
      <w:r>
        <w:rPr>
          <w:rFonts w:hint="eastAsia" w:ascii="Times New Roman" w:hAnsi="Times New Roman" w:eastAsia="宋体" w:cs="Times New Roman"/>
          <w:lang w:val="en-US" w:eastAsia="zh-CN"/>
        </w:rPr>
        <w:t>2016年-2020年</w:t>
      </w:r>
      <w:r>
        <w:rPr>
          <w:rFonts w:hint="eastAsia" w:ascii="Times New Roman" w:hAnsi="Times New Roman" w:eastAsia="宋体" w:cs="Times New Roman"/>
          <w:lang w:eastAsia="zh-CN"/>
        </w:rPr>
        <w:t>期间，5眼井位主要污染物中，总硬度整体呈基本上升趋势，亚硝酸盐氮、六价铬、氟化物3项5年间数据基本持平，受现场情况、监测条件、监测方法等等影响，略有轻微浮动，氯化物、硫酸盐、硝酸盐氮3项污染物指标下降趋势最为明显</w:t>
      </w:r>
      <w:r>
        <w:rPr>
          <w:rFonts w:hint="eastAsia" w:cs="Times New Roman"/>
          <w:lang w:eastAsia="zh-CN"/>
        </w:rPr>
        <w:t>。</w:t>
      </w:r>
    </w:p>
    <w:p>
      <w:pPr>
        <w:keepNext w:val="0"/>
        <w:keepLines w:val="0"/>
        <w:pageBreakBefore w:val="0"/>
        <w:widowControl w:val="0"/>
        <w:tabs>
          <w:tab w:val="left" w:pos="794"/>
        </w:tabs>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浑南区地下水污染属于以“三氮”为主的有机型污染，相对较高的项目主要为硝酸盐氮。有机污染主要源于地表水的长期污染和侧向补给作用。整体比较来看，地下水的水质较从前有所改善。</w:t>
      </w:r>
    </w:p>
    <w:p>
      <w:pPr>
        <w:keepNext w:val="0"/>
        <w:keepLines w:val="0"/>
        <w:pageBreakBefore w:val="0"/>
        <w:widowControl w:val="0"/>
        <w:tabs>
          <w:tab w:val="left" w:pos="794"/>
        </w:tabs>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（1）水体污染影响情况</w:t>
      </w:r>
    </w:p>
    <w:p>
      <w:pPr>
        <w:keepNext w:val="0"/>
        <w:keepLines w:val="0"/>
        <w:pageBreakBefore w:val="0"/>
        <w:widowControl w:val="0"/>
        <w:tabs>
          <w:tab w:val="left" w:pos="794"/>
        </w:tabs>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通过大力度的整治，浑南区地表水污染近几年来有所缓和，地下水井位分布在河流两岸，其水质受河流侧向补给影响较大，对地下水中三氮浓度产生一定影响。</w:t>
      </w:r>
    </w:p>
    <w:p>
      <w:pPr>
        <w:keepNext w:val="0"/>
        <w:keepLines w:val="0"/>
        <w:pageBreakBefore w:val="0"/>
        <w:widowControl w:val="0"/>
        <w:tabs>
          <w:tab w:val="left" w:pos="794"/>
        </w:tabs>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（2）源污染影响情况</w:t>
      </w:r>
    </w:p>
    <w:p>
      <w:pPr>
        <w:keepNext w:val="0"/>
        <w:keepLines w:val="0"/>
        <w:pageBreakBefore w:val="0"/>
        <w:widowControl w:val="0"/>
        <w:tabs>
          <w:tab w:val="left" w:pos="794"/>
        </w:tabs>
        <w:kinsoku/>
        <w:wordWrap/>
        <w:overflowPunct/>
        <w:topLinePunct w:val="0"/>
        <w:autoSpaceDE/>
        <w:autoSpaceDN/>
        <w:bidi w:val="0"/>
        <w:adjustRightInd/>
        <w:snapToGrid w:val="0"/>
        <w:spacing w:line="360" w:lineRule="auto"/>
        <w:ind w:firstLine="480" w:firstLineChars="200"/>
        <w:textAlignment w:val="auto"/>
        <w:rPr>
          <w:lang w:eastAsia="zh-CN"/>
        </w:rPr>
        <w:sectPr>
          <w:pgSz w:w="11906" w:h="16838"/>
          <w:pgMar w:top="1431" w:right="1309" w:bottom="1601" w:left="1689" w:header="907" w:footer="1434" w:gutter="0"/>
          <w:pgBorders>
            <w:top w:val="none" w:sz="0" w:space="0"/>
            <w:left w:val="none" w:sz="0" w:space="0"/>
            <w:bottom w:val="none" w:sz="0" w:space="0"/>
            <w:right w:val="none" w:sz="0" w:space="0"/>
          </w:pgBorders>
          <w:cols w:space="720" w:num="1"/>
        </w:sectPr>
      </w:pPr>
      <w:r>
        <w:rPr>
          <w:rFonts w:hint="eastAsia" w:ascii="Times New Roman" w:hAnsi="Times New Roman" w:eastAsia="宋体" w:cs="Times New Roman"/>
          <w:lang w:val="en-US" w:eastAsia="zh-CN"/>
        </w:rPr>
        <w:t>2016年-2020年期间浑南区地下水中总大肠菌群污染状况与2016年-2020年期间相比有所改善，主要受近年来全市范围内的水质整治工作影响，从而减少地下水中总大肠菌群的含量，2016年-2020年期间总大肠菌群含量绝大部分在检出限以下。</w:t>
      </w:r>
    </w:p>
    <w:bookmarkEnd w:id="110"/>
    <w:bookmarkEnd w:id="111"/>
    <w:p>
      <w:pPr>
        <w:pStyle w:val="9"/>
      </w:pPr>
      <w:bookmarkStart w:id="113" w:name="_Toc31812"/>
      <w:bookmarkStart w:id="114" w:name="_Toc14969"/>
      <w:bookmarkStart w:id="115" w:name="_Toc34903918"/>
      <w:r>
        <w:rPr>
          <w:rFonts w:ascii="Times New Roman" w:hAnsi="Times New Roman"/>
          <w:spacing w:val="-1"/>
        </w:rPr>
        <w:t>3.</w:t>
      </w:r>
      <w:r>
        <w:rPr>
          <w:rFonts w:hint="eastAsia" w:ascii="Times New Roman" w:hAnsi="Times New Roman"/>
          <w:spacing w:val="-1"/>
        </w:rPr>
        <w:t>1</w:t>
      </w:r>
      <w:r>
        <w:rPr>
          <w:rFonts w:ascii="Times New Roman" w:hAnsi="Times New Roman"/>
          <w:spacing w:val="-1"/>
        </w:rPr>
        <w:t>.2区域生态环境现状调查与评价</w:t>
      </w:r>
      <w:bookmarkEnd w:id="113"/>
      <w:bookmarkEnd w:id="114"/>
    </w:p>
    <w:p>
      <w:pPr>
        <w:ind w:firstLine="480"/>
        <w:rPr>
          <w:rFonts w:cs="Times New Roman"/>
          <w:lang w:eastAsia="zh-CN"/>
        </w:rPr>
      </w:pPr>
      <w:r>
        <w:rPr>
          <w:rFonts w:cs="Times New Roman"/>
          <w:lang w:eastAsia="zh-CN"/>
        </w:rPr>
        <w:t>规划区域属于城市建成区，生态系统属于城市生态系统，物种结构较为简单，受人类活动影响，物种多样性不够丰富；规划区域位于东北，四季分明，时空结构随一年四季周期性变化明显。</w:t>
      </w:r>
    </w:p>
    <w:p>
      <w:pPr>
        <w:ind w:firstLine="0" w:firstLineChars="0"/>
        <w:outlineLvl w:val="3"/>
        <w:rPr>
          <w:rFonts w:cs="Times New Roman"/>
          <w:lang w:eastAsia="zh-CN"/>
        </w:rPr>
      </w:pPr>
      <w:r>
        <w:rPr>
          <w:rFonts w:cs="Times New Roman"/>
          <w:b/>
          <w:bCs/>
          <w:lang w:eastAsia="zh-CN"/>
        </w:rPr>
        <w:t>3.</w:t>
      </w:r>
      <w:r>
        <w:rPr>
          <w:rFonts w:hint="eastAsia" w:cs="Times New Roman"/>
          <w:b/>
          <w:bCs/>
          <w:lang w:eastAsia="zh-CN"/>
        </w:rPr>
        <w:t>3.2.1</w:t>
      </w:r>
      <w:r>
        <w:rPr>
          <w:rFonts w:cs="Times New Roman"/>
          <w:b/>
          <w:bCs/>
          <w:lang w:eastAsia="zh-CN"/>
        </w:rPr>
        <w:t>区域生态环境功能与保护要求</w:t>
      </w:r>
    </w:p>
    <w:p>
      <w:pPr>
        <w:snapToGrid w:val="0"/>
        <w:ind w:firstLine="480"/>
        <w:rPr>
          <w:rFonts w:cs="Times New Roman"/>
          <w:kern w:val="2"/>
          <w:lang w:eastAsia="zh-CN"/>
        </w:rPr>
      </w:pPr>
      <w:r>
        <w:rPr>
          <w:rFonts w:cs="Times New Roman"/>
          <w:kern w:val="2"/>
          <w:lang w:eastAsia="zh-CN"/>
        </w:rPr>
        <w:t>将评价范围与辽宁省生态功能区划图进行叠加分析，得到评价范围所在的生态功能分区为Ⅱ1-2沈阳市工业污染与城郊农业面源污染防治生态功能区，该功能区概况如下：</w:t>
      </w:r>
    </w:p>
    <w:p>
      <w:pPr>
        <w:snapToGrid w:val="0"/>
        <w:ind w:firstLine="480"/>
        <w:rPr>
          <w:rFonts w:cs="Times New Roman"/>
          <w:kern w:val="2"/>
          <w:lang w:eastAsia="zh-CN"/>
        </w:rPr>
      </w:pPr>
      <w:r>
        <w:rPr>
          <w:rFonts w:cs="Times New Roman"/>
          <w:kern w:val="2"/>
          <w:lang w:eastAsia="zh-CN"/>
        </w:rPr>
        <w:t>本区位于辽宁中部，浑河沿岸，包括沈阳市区全部和绝大部分郊区。</w:t>
      </w:r>
    </w:p>
    <w:p>
      <w:pPr>
        <w:snapToGrid w:val="0"/>
        <w:ind w:firstLine="480"/>
        <w:rPr>
          <w:rFonts w:cs="Times New Roman"/>
          <w:kern w:val="2"/>
          <w:lang w:eastAsia="zh-CN"/>
        </w:rPr>
      </w:pPr>
      <w:r>
        <w:rPr>
          <w:rFonts w:cs="Times New Roman"/>
          <w:kern w:val="2"/>
          <w:lang w:eastAsia="zh-CN"/>
        </w:rPr>
        <w:t>主要水系：浑河。主要地貌：平原、城区。</w:t>
      </w:r>
    </w:p>
    <w:p>
      <w:pPr>
        <w:snapToGrid w:val="0"/>
        <w:ind w:firstLine="480"/>
        <w:rPr>
          <w:rFonts w:cs="Times New Roman"/>
          <w:kern w:val="2"/>
          <w:lang w:eastAsia="zh-CN"/>
        </w:rPr>
      </w:pPr>
      <w:r>
        <w:rPr>
          <w:rFonts w:cs="Times New Roman"/>
          <w:kern w:val="2"/>
          <w:lang w:eastAsia="zh-CN"/>
        </w:rPr>
        <w:t>气候暖温，半湿润，年均气温7-8℃，年均降水700毫米左右，无霜期160天左右。</w:t>
      </w:r>
    </w:p>
    <w:p>
      <w:pPr>
        <w:snapToGrid w:val="0"/>
        <w:ind w:firstLine="480"/>
        <w:rPr>
          <w:rFonts w:cs="Times New Roman"/>
          <w:kern w:val="2"/>
          <w:lang w:eastAsia="zh-CN"/>
        </w:rPr>
      </w:pPr>
      <w:r>
        <w:rPr>
          <w:rFonts w:cs="Times New Roman"/>
          <w:kern w:val="2"/>
          <w:lang w:eastAsia="zh-CN"/>
        </w:rPr>
        <w:t>社会经济概况：是辽宁和东北地区的经济中心，地理位置重要，交通、信息、科技等基础条件优越。人口密集，市场繁荣，经济发达。历史上是全国重工业基地，现在仍是制造业的中心区域。历史遗留的包袱很重，改造和振兴老工业基地的任务十分艰巨。</w:t>
      </w:r>
    </w:p>
    <w:p>
      <w:pPr>
        <w:snapToGrid w:val="0"/>
        <w:ind w:firstLine="480"/>
        <w:rPr>
          <w:rFonts w:cs="Times New Roman"/>
          <w:kern w:val="2"/>
          <w:lang w:eastAsia="zh-CN"/>
        </w:rPr>
      </w:pPr>
      <w:r>
        <w:rPr>
          <w:rFonts w:cs="Times New Roman"/>
          <w:kern w:val="2"/>
          <w:lang w:eastAsia="zh-CN"/>
        </w:rPr>
        <w:t>主要生态环境问题：城区布局不合理，环境结构失调，建设和改造任务重。水资源短缺，地下水位下降，漏斗不断扩大。工业污染治理使城市环境有很大改善，但三废排放量仍居高不下。市区和郊区无序开发和占用土地的势头没有得到遏制，城乡结合部的环境较差。农业面源污染和规模养殖对环境的影响很大。</w:t>
      </w:r>
    </w:p>
    <w:p>
      <w:pPr>
        <w:snapToGrid w:val="0"/>
        <w:ind w:firstLine="480"/>
        <w:rPr>
          <w:rFonts w:cs="Times New Roman"/>
          <w:kern w:val="2"/>
          <w:lang w:eastAsia="zh-CN"/>
        </w:rPr>
      </w:pPr>
      <w:r>
        <w:rPr>
          <w:rFonts w:cs="Times New Roman"/>
          <w:kern w:val="2"/>
          <w:lang w:eastAsia="zh-CN"/>
        </w:rPr>
        <w:t>主要生态服务功能：城市污染防治、郊区面源污染防治。</w:t>
      </w:r>
    </w:p>
    <w:p>
      <w:pPr>
        <w:snapToGrid w:val="0"/>
        <w:ind w:firstLine="480"/>
        <w:rPr>
          <w:rFonts w:cs="Times New Roman"/>
          <w:kern w:val="2"/>
          <w:lang w:eastAsia="zh-CN"/>
        </w:rPr>
      </w:pPr>
      <w:r>
        <w:rPr>
          <w:rFonts w:cs="Times New Roman"/>
          <w:kern w:val="2"/>
          <w:lang w:eastAsia="zh-CN"/>
        </w:rPr>
        <w:t>保护措施与发展方向：创建环保模范城市和生态城市，打造生态型大都市。搞好城市规划布局，科学确定旧城区改造和新城区建设模式。发展循环经济，推广清洁生产，建立节能、高效、低污染产业体系。继续加大城区污染治理力度。郊区农业要大力发展生态农业，降低化学品使用强度，整治规模化畜禽养殖场环境。统筹规划，开源节流，解决城市能源和水资源短缺问题。</w:t>
      </w:r>
    </w:p>
    <w:p>
      <w:pPr>
        <w:pStyle w:val="10"/>
        <w:rPr>
          <w:rFonts w:cs="Times New Roman"/>
          <w:b/>
          <w:bCs/>
          <w:lang w:eastAsia="zh-CN"/>
        </w:rPr>
      </w:pPr>
      <w:bookmarkStart w:id="116" w:name="_Toc279364226"/>
      <w:bookmarkStart w:id="117" w:name="_Toc278394613"/>
      <w:bookmarkStart w:id="118" w:name="_Toc278656125"/>
      <w:bookmarkStart w:id="119" w:name="_Toc278656123"/>
      <w:bookmarkStart w:id="120" w:name="_Toc278394601"/>
      <w:bookmarkStart w:id="121" w:name="_Toc279364224"/>
      <w:r>
        <w:rPr>
          <w:rFonts w:cs="Times New Roman"/>
          <w:b/>
          <w:bCs/>
          <w:lang w:eastAsia="zh-CN"/>
        </w:rPr>
        <w:t>3.</w:t>
      </w:r>
      <w:r>
        <w:rPr>
          <w:rFonts w:hint="eastAsia" w:cs="Times New Roman"/>
          <w:b/>
          <w:bCs/>
          <w:lang w:eastAsia="zh-CN"/>
        </w:rPr>
        <w:t>1.2.2</w:t>
      </w:r>
      <w:r>
        <w:rPr>
          <w:rFonts w:cs="Times New Roman"/>
          <w:b/>
          <w:bCs/>
          <w:lang w:eastAsia="zh-CN"/>
        </w:rPr>
        <w:t>水土流失与土壤侵蚀现状</w:t>
      </w:r>
      <w:bookmarkEnd w:id="116"/>
      <w:bookmarkEnd w:id="117"/>
      <w:bookmarkEnd w:id="118"/>
    </w:p>
    <w:p>
      <w:pPr>
        <w:snapToGrid w:val="0"/>
        <w:ind w:firstLine="480"/>
        <w:rPr>
          <w:rFonts w:cs="Times New Roman"/>
          <w:kern w:val="2"/>
          <w:lang w:eastAsia="zh-CN"/>
        </w:rPr>
      </w:pPr>
      <w:r>
        <w:rPr>
          <w:rFonts w:cs="Times New Roman"/>
          <w:kern w:val="2"/>
          <w:lang w:eastAsia="zh-CN"/>
        </w:rPr>
        <w:t>规划所在区域为平原地区，地势低平，位于辽宁省水土流失的重点监督区，应当监督区域水土流失现状，防止水土流失面积扩大。</w:t>
      </w:r>
    </w:p>
    <w:bookmarkEnd w:id="119"/>
    <w:bookmarkEnd w:id="120"/>
    <w:bookmarkEnd w:id="121"/>
    <w:p>
      <w:pPr>
        <w:ind w:firstLine="480"/>
        <w:rPr>
          <w:rFonts w:cs="Times New Roman"/>
          <w:kern w:val="2"/>
          <w:lang w:eastAsia="zh-CN"/>
        </w:rPr>
      </w:pPr>
      <w:bookmarkStart w:id="122" w:name="_Toc279364228"/>
      <w:r>
        <w:rPr>
          <w:rFonts w:cs="Times New Roman"/>
          <w:kern w:val="2"/>
          <w:lang w:eastAsia="zh-CN"/>
        </w:rPr>
        <w:t>通过现状调查及与辽宁省土壤侵蚀分级图进行叠加，评价范围内土壤侵蚀介于平原沉积区和极微度侵蚀区，土壤侵蚀较轻。</w:t>
      </w:r>
    </w:p>
    <w:bookmarkEnd w:id="122"/>
    <w:p>
      <w:pPr>
        <w:pStyle w:val="10"/>
        <w:rPr>
          <w:rFonts w:cs="Times New Roman"/>
          <w:b/>
          <w:bCs/>
          <w:lang w:eastAsia="zh-CN"/>
        </w:rPr>
      </w:pPr>
      <w:bookmarkStart w:id="123" w:name="_Toc153108117"/>
      <w:r>
        <w:rPr>
          <w:rFonts w:cs="Times New Roman"/>
          <w:b/>
          <w:bCs/>
          <w:lang w:eastAsia="zh-CN"/>
        </w:rPr>
        <w:t>3.</w:t>
      </w:r>
      <w:r>
        <w:rPr>
          <w:rFonts w:hint="eastAsia" w:cs="Times New Roman"/>
          <w:b/>
          <w:bCs/>
          <w:lang w:eastAsia="zh-CN"/>
        </w:rPr>
        <w:t>1.2.3</w:t>
      </w:r>
      <w:r>
        <w:rPr>
          <w:rFonts w:cs="Times New Roman"/>
          <w:b/>
          <w:bCs/>
          <w:lang w:eastAsia="zh-CN"/>
        </w:rPr>
        <w:t>植被现状调查与评价</w:t>
      </w:r>
      <w:bookmarkEnd w:id="123"/>
    </w:p>
    <w:p>
      <w:pPr>
        <w:ind w:firstLine="480"/>
        <w:rPr>
          <w:rFonts w:cs="Times New Roman"/>
          <w:kern w:val="2"/>
          <w:lang w:eastAsia="zh-CN"/>
        </w:rPr>
      </w:pPr>
      <w:r>
        <w:rPr>
          <w:rFonts w:cs="Times New Roman"/>
          <w:kern w:val="2"/>
          <w:lang w:eastAsia="zh-CN"/>
        </w:rPr>
        <w:t>（1）植被区系及主要植被类型</w:t>
      </w:r>
    </w:p>
    <w:p>
      <w:pPr>
        <w:ind w:firstLine="480"/>
        <w:rPr>
          <w:rFonts w:cs="Times New Roman"/>
          <w:kern w:val="2"/>
          <w:lang w:eastAsia="zh-CN"/>
        </w:rPr>
      </w:pPr>
      <w:r>
        <w:rPr>
          <w:rFonts w:cs="Times New Roman"/>
          <w:kern w:val="2"/>
          <w:lang w:eastAsia="zh-CN"/>
        </w:rPr>
        <w:t>该区主要植被类型有道路两侧的人工杨树、人工刺槐、狗尾草群落</w:t>
      </w:r>
      <w:r>
        <w:rPr>
          <w:rFonts w:hint="eastAsia" w:cs="Times New Roman"/>
          <w:kern w:val="2"/>
          <w:lang w:eastAsia="zh-CN"/>
        </w:rPr>
        <w:t>等</w:t>
      </w:r>
      <w:r>
        <w:rPr>
          <w:rFonts w:cs="Times New Roman"/>
          <w:kern w:val="2"/>
          <w:lang w:eastAsia="zh-CN"/>
        </w:rPr>
        <w:t>。</w:t>
      </w:r>
    </w:p>
    <w:p>
      <w:pPr>
        <w:ind w:firstLine="480"/>
        <w:rPr>
          <w:rFonts w:cs="Times New Roman"/>
          <w:kern w:val="2"/>
          <w:lang w:eastAsia="zh-CN"/>
        </w:rPr>
      </w:pPr>
      <w:r>
        <w:rPr>
          <w:rFonts w:cs="Times New Roman"/>
          <w:kern w:val="2"/>
          <w:lang w:eastAsia="zh-CN"/>
        </w:rPr>
        <w:t>（2）植被的生态功能</w:t>
      </w:r>
    </w:p>
    <w:p>
      <w:pPr>
        <w:ind w:firstLine="480"/>
        <w:rPr>
          <w:rFonts w:cs="Times New Roman"/>
          <w:kern w:val="2"/>
          <w:lang w:eastAsia="zh-CN"/>
        </w:rPr>
      </w:pPr>
      <w:r>
        <w:rPr>
          <w:rFonts w:cs="Times New Roman"/>
          <w:kern w:val="2"/>
          <w:lang w:eastAsia="zh-CN"/>
        </w:rPr>
        <w:t>区域的野生植物中，虽然有一些种类具有一定的经济用途，但均未构成一定产量，所以，不具备开发价值。在调查中未发现国家级和省级保护植物。</w:t>
      </w:r>
    </w:p>
    <w:p>
      <w:pPr>
        <w:pStyle w:val="10"/>
        <w:rPr>
          <w:rFonts w:cs="Times New Roman"/>
          <w:b/>
          <w:bCs/>
          <w:lang w:eastAsia="zh-CN"/>
        </w:rPr>
      </w:pPr>
      <w:bookmarkStart w:id="124" w:name="_Toc153108118"/>
      <w:r>
        <w:rPr>
          <w:rFonts w:cs="Times New Roman"/>
          <w:b/>
          <w:bCs/>
          <w:lang w:eastAsia="zh-CN"/>
        </w:rPr>
        <w:t>3.</w:t>
      </w:r>
      <w:r>
        <w:rPr>
          <w:rFonts w:hint="eastAsia" w:cs="Times New Roman"/>
          <w:b/>
          <w:bCs/>
          <w:lang w:eastAsia="zh-CN"/>
        </w:rPr>
        <w:t>1.2.4</w:t>
      </w:r>
      <w:r>
        <w:rPr>
          <w:rFonts w:cs="Times New Roman"/>
          <w:b/>
          <w:bCs/>
          <w:lang w:eastAsia="zh-CN"/>
        </w:rPr>
        <w:t>动物现状调查与评价</w:t>
      </w:r>
      <w:bookmarkEnd w:id="124"/>
    </w:p>
    <w:p>
      <w:pPr>
        <w:keepNext w:val="0"/>
        <w:keepLines w:val="0"/>
        <w:pageBreakBefore w:val="0"/>
        <w:widowControl w:val="0"/>
        <w:kinsoku/>
        <w:wordWrap/>
        <w:overflowPunct/>
        <w:topLinePunct w:val="0"/>
        <w:autoSpaceDE/>
        <w:autoSpaceDN/>
        <w:bidi w:val="0"/>
        <w:adjustRightInd/>
        <w:snapToGrid/>
        <w:textAlignment w:val="auto"/>
        <w:outlineLvl w:val="9"/>
        <w:rPr>
          <w:rFonts w:hint="eastAsia" w:cs="Times New Roman"/>
          <w:kern w:val="2"/>
          <w:lang w:eastAsia="zh-CN"/>
        </w:rPr>
      </w:pPr>
      <w:r>
        <w:rPr>
          <w:rFonts w:hint="eastAsia" w:cs="Times New Roman"/>
          <w:kern w:val="2"/>
          <w:lang w:eastAsia="zh-CN"/>
        </w:rPr>
        <w:t>目前浑南区分布的动物资源除鱼纲以外的脊椎动物共有167种，其中两栖纲5种，爬行纲9种，鸟纲139种，哺乳纲14种。鱼类资源包括人工放养和土著鱼类两类，共18种，分属于4个目，7个科。畜禽资源包括猪、鸡、兔、马、鹿、牛、羊、鸭等共70种。</w:t>
      </w:r>
    </w:p>
    <w:p>
      <w:pPr>
        <w:ind w:left="0" w:leftChars="0" w:firstLine="0" w:firstLineChars="0"/>
        <w:outlineLvl w:val="3"/>
        <w:rPr>
          <w:rFonts w:cs="Times New Roman"/>
          <w:b/>
          <w:bCs/>
          <w:lang w:eastAsia="zh-CN"/>
        </w:rPr>
      </w:pPr>
      <w:r>
        <w:rPr>
          <w:rFonts w:cs="Times New Roman"/>
          <w:b/>
          <w:bCs/>
          <w:lang w:eastAsia="zh-CN"/>
        </w:rPr>
        <w:t>3.</w:t>
      </w:r>
      <w:r>
        <w:rPr>
          <w:rFonts w:hint="eastAsia" w:cs="Times New Roman"/>
          <w:b/>
          <w:bCs/>
          <w:lang w:eastAsia="zh-CN"/>
        </w:rPr>
        <w:t>1.2.5</w:t>
      </w:r>
      <w:r>
        <w:rPr>
          <w:rFonts w:cs="Times New Roman"/>
          <w:b/>
          <w:bCs/>
          <w:lang w:eastAsia="zh-CN"/>
        </w:rPr>
        <w:t>景观生态结构</w:t>
      </w:r>
    </w:p>
    <w:p>
      <w:pPr>
        <w:ind w:firstLine="480"/>
        <w:rPr>
          <w:rFonts w:hint="eastAsia" w:cs="Times New Roman"/>
          <w:kern w:val="2"/>
          <w:lang w:eastAsia="zh-CN"/>
        </w:rPr>
      </w:pPr>
      <w:r>
        <w:rPr>
          <w:rFonts w:hint="eastAsia" w:cs="Times New Roman"/>
          <w:kern w:val="2"/>
          <w:lang w:eastAsia="zh-CN"/>
        </w:rPr>
        <w:t>（一）森林资源</w:t>
      </w:r>
    </w:p>
    <w:p>
      <w:pPr>
        <w:ind w:firstLine="480"/>
        <w:rPr>
          <w:rFonts w:hint="eastAsia" w:cs="Times New Roman"/>
          <w:kern w:val="2"/>
          <w:lang w:eastAsia="zh-CN"/>
        </w:rPr>
      </w:pPr>
      <w:r>
        <w:rPr>
          <w:rFonts w:hint="eastAsia" w:cs="Times New Roman"/>
          <w:kern w:val="2"/>
          <w:lang w:eastAsia="zh-CN"/>
        </w:rPr>
        <w:t>浑南区森林资源多为阔叶树为主的天然次生林，杨、柳、榆、槐为优势树种，其次为松、柏等，间有少量水曲柳、胡桃、楸等；人工林以落叶松为主，其次为油松、红松、云杉、冷杉等。</w:t>
      </w:r>
    </w:p>
    <w:p>
      <w:pPr>
        <w:ind w:firstLine="480"/>
        <w:rPr>
          <w:rFonts w:hint="eastAsia" w:cs="Times New Roman"/>
          <w:kern w:val="2"/>
          <w:lang w:eastAsia="zh-CN"/>
        </w:rPr>
      </w:pPr>
      <w:r>
        <w:rPr>
          <w:rFonts w:hint="eastAsia" w:cs="Times New Roman"/>
          <w:kern w:val="2"/>
          <w:lang w:eastAsia="zh-CN"/>
        </w:rPr>
        <w:t>（二）经济林果资源</w:t>
      </w:r>
    </w:p>
    <w:p>
      <w:pPr>
        <w:ind w:firstLine="480"/>
        <w:rPr>
          <w:rFonts w:cs="Times New Roman"/>
          <w:kern w:val="2"/>
          <w:lang w:eastAsia="zh-CN"/>
        </w:rPr>
      </w:pPr>
      <w:r>
        <w:rPr>
          <w:rFonts w:hint="eastAsia" w:cs="Times New Roman"/>
          <w:kern w:val="2"/>
          <w:lang w:eastAsia="zh-CN"/>
        </w:rPr>
        <w:t>浑南区果树栽培历史悠久，资源丰富，品种繁多，有28个属，78个种。其中木本粮油类有板栗、核桃、大枣、山杏、榛子等，板栗、山杏和榛子不仅成为商品经济的重要内容，而且在水土流失区综合 治理、蓄水拦沙等方面也起到显著作用。鲜果类有苹果、梨、葡萄、山楂等果树20余种，品种约500余个，果品产业在全市负有盛名</w:t>
      </w:r>
      <w:r>
        <w:rPr>
          <w:rFonts w:cs="Times New Roman"/>
          <w:kern w:val="2"/>
          <w:lang w:eastAsia="zh-CN"/>
        </w:rPr>
        <w:t>。</w:t>
      </w:r>
    </w:p>
    <w:p>
      <w:pPr>
        <w:pStyle w:val="8"/>
        <w:rPr>
          <w:rFonts w:ascii="Times New Roman" w:hAnsi="Times New Roman" w:cs="Times New Roman"/>
          <w:lang w:eastAsia="zh-CN"/>
        </w:rPr>
      </w:pPr>
      <w:bookmarkStart w:id="125" w:name="_Toc2760"/>
      <w:bookmarkStart w:id="126" w:name="_Toc716"/>
      <w:r>
        <w:rPr>
          <w:rFonts w:ascii="Times New Roman" w:hAnsi="Times New Roman" w:cs="Times New Roman"/>
          <w:lang w:eastAsia="zh-CN"/>
        </w:rPr>
        <w:t>3.</w:t>
      </w:r>
      <w:r>
        <w:rPr>
          <w:rFonts w:hint="eastAsia" w:ascii="Times New Roman" w:hAnsi="Times New Roman" w:cs="Times New Roman"/>
          <w:lang w:eastAsia="zh-CN"/>
        </w:rPr>
        <w:t>2</w:t>
      </w:r>
      <w:r>
        <w:rPr>
          <w:rFonts w:ascii="Times New Roman" w:hAnsi="Times New Roman" w:cs="Times New Roman"/>
          <w:lang w:eastAsia="zh-CN"/>
        </w:rPr>
        <w:t xml:space="preserve"> </w:t>
      </w:r>
      <w:bookmarkEnd w:id="115"/>
      <w:bookmarkEnd w:id="125"/>
      <w:bookmarkEnd w:id="126"/>
      <w:r>
        <w:rPr>
          <w:rFonts w:hint="eastAsia" w:ascii="Times New Roman" w:hAnsi="Times New Roman" w:cs="Times New Roman"/>
          <w:lang w:eastAsia="zh-CN"/>
        </w:rPr>
        <w:t>资源环境承载力变化分析</w:t>
      </w:r>
    </w:p>
    <w:p>
      <w:pPr>
        <w:pStyle w:val="9"/>
        <w:rPr>
          <w:rFonts w:ascii="Times New Roman" w:hAnsi="Times New Roman"/>
          <w:spacing w:val="-1"/>
        </w:rPr>
      </w:pPr>
      <w:bookmarkStart w:id="127" w:name="_Toc25106"/>
      <w:r>
        <w:rPr>
          <w:rFonts w:hint="eastAsia" w:ascii="Times New Roman" w:hAnsi="Times New Roman"/>
          <w:spacing w:val="-1"/>
        </w:rPr>
        <w:t>3.2</w:t>
      </w:r>
      <w:r>
        <w:rPr>
          <w:rFonts w:ascii="Times New Roman" w:hAnsi="Times New Roman"/>
          <w:spacing w:val="-1"/>
        </w:rPr>
        <w:t xml:space="preserve">.1 </w:t>
      </w:r>
      <w:bookmarkEnd w:id="127"/>
      <w:r>
        <w:rPr>
          <w:rFonts w:hint="eastAsia" w:ascii="Times New Roman" w:hAnsi="Times New Roman"/>
          <w:spacing w:val="-1"/>
        </w:rPr>
        <w:t>土地资源承载力变化分析</w:t>
      </w:r>
    </w:p>
    <w:p>
      <w:pPr>
        <w:keepNext w:val="0"/>
        <w:keepLines w:val="0"/>
        <w:pageBreakBefore w:val="0"/>
        <w:widowControl w:val="0"/>
        <w:kinsoku/>
        <w:wordWrap/>
        <w:overflowPunct/>
        <w:topLinePunct w:val="0"/>
        <w:autoSpaceDE/>
        <w:autoSpaceDN/>
        <w:bidi w:val="0"/>
        <w:adjustRightInd/>
        <w:snapToGrid/>
        <w:ind w:firstLine="480"/>
        <w:textAlignment w:val="auto"/>
        <w:rPr>
          <w:rFonts w:hint="eastAsia" w:cs="Times New Roman"/>
          <w:lang w:eastAsia="zh-CN"/>
        </w:rPr>
      </w:pPr>
      <w:bookmarkStart w:id="128" w:name="_Toc34903920"/>
      <w:r>
        <w:rPr>
          <w:rFonts w:hint="eastAsia" w:cs="Times New Roman"/>
          <w:lang w:eastAsia="zh-CN"/>
        </w:rPr>
        <w:t>浑南区土地资源总面积为600平方千米，可划分为东南部山区丘陵区、西北部平原区、滩涂区等。按土地利用分类划分为农用地、建设用地和未利用地。农用地总面积为321.93平方千米，占土地总面积的53.67%。其中坡耕地17.14平方千米；园地面积7.98平方千米，占土地总面积的1.33%；林地面积71.73平方千米，占土地总面积的11.96%，其中有林地65.66平方千米，灌木林地6.07平方千米；草地面积15.29平方千米，占土地总面积的2.55%，全部为天然草地；建设用地总面积180.16平方千米，占土地总面积的30.03%；未利用地总面积为2.74平方千米，占土地总面积的0.46%。</w:t>
      </w:r>
    </w:p>
    <w:p>
      <w:pPr>
        <w:keepNext w:val="0"/>
        <w:keepLines w:val="0"/>
        <w:pageBreakBefore w:val="0"/>
        <w:widowControl w:val="0"/>
        <w:kinsoku/>
        <w:wordWrap/>
        <w:overflowPunct/>
        <w:topLinePunct w:val="0"/>
        <w:autoSpaceDE/>
        <w:autoSpaceDN/>
        <w:bidi w:val="0"/>
        <w:adjustRightInd/>
        <w:snapToGrid/>
        <w:ind w:firstLine="480"/>
        <w:textAlignment w:val="auto"/>
        <w:rPr>
          <w:rFonts w:hint="eastAsia" w:cs="Times New Roman"/>
          <w:lang w:eastAsia="zh-CN"/>
        </w:rPr>
      </w:pPr>
      <w:r>
        <w:rPr>
          <w:rFonts w:hint="eastAsia" w:cs="Times New Roman"/>
          <w:lang w:eastAsia="zh-CN"/>
        </w:rPr>
        <w:t>全区土地资源的特点：一是开发较早，利用率高，后备资源不足；二是耕地资源贫乏，农业人均耕地占有量少；三是山地资源广阔，林牧业用地有较大潜力；四是土地利用结构地域性差异明显。</w:t>
      </w:r>
    </w:p>
    <w:p>
      <w:pPr>
        <w:ind w:firstLine="480"/>
        <w:rPr>
          <w:rFonts w:cs="Times New Roman"/>
          <w:szCs w:val="20"/>
          <w:lang w:eastAsia="zh-CN"/>
        </w:rPr>
      </w:pPr>
      <w:r>
        <w:rPr>
          <w:rFonts w:hint="eastAsia" w:cs="Times New Roman"/>
          <w:lang w:eastAsia="zh-CN"/>
        </w:rPr>
        <w:t>国际新兴产业园区</w:t>
      </w:r>
      <w:r>
        <w:rPr>
          <w:rFonts w:cs="Times New Roman"/>
          <w:lang w:eastAsia="zh-CN"/>
        </w:rPr>
        <w:t>规划总用地面积</w:t>
      </w:r>
      <w:r>
        <w:rPr>
          <w:rFonts w:hint="eastAsia" w:cs="Times New Roman"/>
          <w:lang w:eastAsia="zh-CN"/>
        </w:rPr>
        <w:t>51</w:t>
      </w:r>
      <w:r>
        <w:rPr>
          <w:rFonts w:cs="Times New Roman"/>
          <w:lang w:eastAsia="zh-CN"/>
        </w:rPr>
        <w:t>km</w:t>
      </w:r>
      <w:r>
        <w:rPr>
          <w:rFonts w:cs="Times New Roman"/>
          <w:vertAlign w:val="superscript"/>
          <w:lang w:eastAsia="zh-CN"/>
        </w:rPr>
        <w:t>2</w:t>
      </w:r>
      <w:r>
        <w:rPr>
          <w:rFonts w:cs="Times New Roman"/>
          <w:lang w:eastAsia="zh-CN"/>
        </w:rPr>
        <w:t>，目前开发面积未</w:t>
      </w:r>
      <w:r>
        <w:rPr>
          <w:rFonts w:cs="Times New Roman"/>
          <w:szCs w:val="20"/>
          <w:lang w:eastAsia="zh-CN"/>
        </w:rPr>
        <w:t>超出土地资源承载力上线。后续开发将不会突破可建设用地范围，且用地性质均已进行相应调整。</w:t>
      </w:r>
    </w:p>
    <w:p>
      <w:pPr>
        <w:ind w:firstLine="480"/>
        <w:rPr>
          <w:rFonts w:cs="Times New Roman"/>
          <w:lang w:eastAsia="zh-CN"/>
        </w:rPr>
      </w:pPr>
      <w:r>
        <w:rPr>
          <w:rFonts w:cs="Times New Roman"/>
          <w:lang w:eastAsia="zh-CN"/>
        </w:rPr>
        <w:t>20</w:t>
      </w:r>
      <w:r>
        <w:rPr>
          <w:rFonts w:hint="eastAsia" w:cs="Times New Roman"/>
          <w:lang w:eastAsia="zh-CN"/>
        </w:rPr>
        <w:t>21</w:t>
      </w:r>
      <w:r>
        <w:rPr>
          <w:rFonts w:cs="Times New Roman"/>
          <w:lang w:eastAsia="zh-CN"/>
        </w:rPr>
        <w:t>年，《</w:t>
      </w:r>
      <w:r>
        <w:rPr>
          <w:rFonts w:hint="eastAsia" w:cs="Times New Roman"/>
          <w:lang w:eastAsia="zh-CN"/>
        </w:rPr>
        <w:t>沈阳市中心城区</w:t>
      </w:r>
      <w:r>
        <w:rPr>
          <w:rFonts w:cs="Times New Roman"/>
          <w:lang w:eastAsia="zh-CN"/>
        </w:rPr>
        <w:t>控制详细规划》编制完成，</w:t>
      </w:r>
      <w:r>
        <w:rPr>
          <w:rFonts w:hint="eastAsia" w:cs="Times New Roman"/>
          <w:lang w:eastAsia="zh-CN"/>
        </w:rPr>
        <w:t>规划区域</w:t>
      </w:r>
      <w:r>
        <w:rPr>
          <w:rFonts w:cs="Times New Roman"/>
          <w:lang w:eastAsia="zh-CN"/>
        </w:rPr>
        <w:t>包含</w:t>
      </w:r>
      <w:r>
        <w:rPr>
          <w:rFonts w:hint="eastAsia" w:cs="Times New Roman"/>
          <w:lang w:eastAsia="zh-CN"/>
        </w:rPr>
        <w:t>李巴彦单元、石庙子单元、王家湾单元、麦子屯单元、杨官单元五个</w:t>
      </w:r>
      <w:r>
        <w:rPr>
          <w:rFonts w:cs="Times New Roman"/>
          <w:lang w:eastAsia="zh-CN"/>
        </w:rPr>
        <w:t>控详单元</w:t>
      </w:r>
      <w:r>
        <w:rPr>
          <w:rFonts w:hint="eastAsia" w:cs="Times New Roman"/>
          <w:lang w:eastAsia="zh-CN"/>
        </w:rPr>
        <w:t>及耕地</w:t>
      </w:r>
      <w:r>
        <w:rPr>
          <w:rFonts w:cs="Times New Roman"/>
          <w:lang w:eastAsia="zh-CN"/>
        </w:rPr>
        <w:t>。《</w:t>
      </w:r>
      <w:r>
        <w:rPr>
          <w:rFonts w:hint="eastAsia" w:cs="Times New Roman"/>
          <w:lang w:eastAsia="zh-CN"/>
        </w:rPr>
        <w:t>沈阳市中心城区</w:t>
      </w:r>
      <w:r>
        <w:rPr>
          <w:rFonts w:cs="Times New Roman"/>
          <w:lang w:eastAsia="zh-CN"/>
        </w:rPr>
        <w:t>控制详细规划》中，涉及本规划区域的规划定位与本规划原有规划定位</w:t>
      </w:r>
      <w:r>
        <w:rPr>
          <w:rFonts w:hint="eastAsia" w:cs="Times New Roman"/>
          <w:lang w:eastAsia="zh-CN"/>
        </w:rPr>
        <w:t>一致</w:t>
      </w:r>
      <w:r>
        <w:rPr>
          <w:rFonts w:cs="Times New Roman"/>
          <w:lang w:eastAsia="zh-CN"/>
        </w:rPr>
        <w:t>。</w:t>
      </w:r>
    </w:p>
    <w:p>
      <w:pPr>
        <w:ind w:firstLine="480"/>
        <w:rPr>
          <w:rFonts w:cs="Times New Roman"/>
          <w:lang w:eastAsia="zh-CN"/>
        </w:rPr>
      </w:pPr>
      <w:r>
        <w:rPr>
          <w:rFonts w:cs="Times New Roman"/>
          <w:lang w:eastAsia="zh-CN"/>
        </w:rPr>
        <w:t>《</w:t>
      </w:r>
      <w:r>
        <w:rPr>
          <w:rFonts w:hint="eastAsia" w:cs="Times New Roman"/>
          <w:lang w:eastAsia="zh-CN"/>
        </w:rPr>
        <w:t>沈阳市中心城区</w:t>
      </w:r>
      <w:r>
        <w:rPr>
          <w:rFonts w:cs="Times New Roman"/>
          <w:lang w:eastAsia="zh-CN"/>
        </w:rPr>
        <w:t>控制详细规划》中，涉及本规划区域的土地利用情况有较大的变化，由于目前区域土地利用已按新控详规划实施，与本规划有较大区别，目前，《</w:t>
      </w:r>
      <w:r>
        <w:rPr>
          <w:rFonts w:hint="eastAsia" w:cs="Times New Roman"/>
          <w:lang w:eastAsia="zh-CN"/>
        </w:rPr>
        <w:t>沈阳市中心城区</w:t>
      </w:r>
      <w:r>
        <w:rPr>
          <w:rFonts w:cs="Times New Roman"/>
          <w:lang w:eastAsia="zh-CN"/>
        </w:rPr>
        <w:t>控制详细规划》正在编制规划环境影响评价，区域土地利用方案调整分析将在</w:t>
      </w:r>
      <w:r>
        <w:rPr>
          <w:rFonts w:hint="eastAsia" w:cs="Times New Roman"/>
          <w:lang w:eastAsia="zh-CN"/>
        </w:rPr>
        <w:t>区域</w:t>
      </w:r>
      <w:r>
        <w:rPr>
          <w:rFonts w:cs="Times New Roman"/>
          <w:lang w:eastAsia="zh-CN"/>
        </w:rPr>
        <w:t>控制详细规划规划环境影响评价，本次跟踪评价不再进行分析。</w:t>
      </w:r>
    </w:p>
    <w:p>
      <w:pPr>
        <w:pStyle w:val="9"/>
        <w:rPr>
          <w:rFonts w:ascii="Times New Roman" w:hAnsi="Times New Roman"/>
        </w:rPr>
      </w:pPr>
      <w:bookmarkStart w:id="129" w:name="_Toc22679"/>
      <w:r>
        <w:rPr>
          <w:rFonts w:ascii="Times New Roman" w:hAnsi="Times New Roman"/>
        </w:rPr>
        <w:t>3.</w:t>
      </w:r>
      <w:r>
        <w:rPr>
          <w:rFonts w:hint="eastAsia" w:ascii="Times New Roman" w:hAnsi="Times New Roman"/>
          <w:lang w:val="en-US" w:eastAsia="zh-CN"/>
        </w:rPr>
        <w:t>2</w:t>
      </w:r>
      <w:r>
        <w:rPr>
          <w:rFonts w:ascii="Times New Roman" w:hAnsi="Times New Roman"/>
        </w:rPr>
        <w:t>.2 水环境容量及资源承载力跟踪评价</w:t>
      </w:r>
      <w:bookmarkEnd w:id="129"/>
    </w:p>
    <w:p>
      <w:pPr>
        <w:ind w:firstLine="480"/>
        <w:rPr>
          <w:rFonts w:cs="Times New Roman"/>
          <w:lang w:eastAsia="zh-CN"/>
        </w:rPr>
      </w:pPr>
      <w:r>
        <w:rPr>
          <w:rFonts w:cs="Times New Roman"/>
          <w:lang w:eastAsia="zh-CN"/>
        </w:rPr>
        <w:t>水资源承载力分析采取供需平衡法，该法是水资源承载力研究中常用的一种方法，以维护生态平衡和生态环境质量以及可持续发展为前提，对供需方式进行情景假设，通过对不同渠道的供水量和可能的各种需水量进行综合评估，找出开发强度与水资源承载力间的联系。</w:t>
      </w:r>
    </w:p>
    <w:p>
      <w:pPr>
        <w:ind w:firstLine="480"/>
        <w:rPr>
          <w:rFonts w:cs="Times New Roman"/>
          <w:lang w:eastAsia="zh-CN"/>
        </w:rPr>
      </w:pPr>
      <w:r>
        <w:rPr>
          <w:rFonts w:cs="Times New Roman"/>
          <w:lang w:eastAsia="zh-CN"/>
        </w:rPr>
        <w:t>《</w:t>
      </w:r>
      <w:r>
        <w:rPr>
          <w:rFonts w:hint="eastAsia" w:cs="Times New Roman"/>
          <w:lang w:eastAsia="zh-CN"/>
        </w:rPr>
        <w:t>沈阳市中心城区</w:t>
      </w:r>
      <w:r>
        <w:rPr>
          <w:rFonts w:cs="Times New Roman"/>
          <w:lang w:eastAsia="zh-CN"/>
        </w:rPr>
        <w:t>控制详细规划》已编制完成，涉及本规划区域的规划内容有所变化，未来将按《</w:t>
      </w:r>
      <w:r>
        <w:rPr>
          <w:rFonts w:hint="eastAsia" w:cs="Times New Roman"/>
          <w:lang w:eastAsia="zh-CN"/>
        </w:rPr>
        <w:t>沈阳市中心城区</w:t>
      </w:r>
      <w:r>
        <w:rPr>
          <w:rFonts w:cs="Times New Roman"/>
          <w:lang w:eastAsia="zh-CN"/>
        </w:rPr>
        <w:t>控制详细规划》进行实施，本次跟踪评价对比上一轮规划环评对区域环境容量进行分析。</w:t>
      </w:r>
    </w:p>
    <w:p>
      <w:pPr>
        <w:pStyle w:val="10"/>
        <w:rPr>
          <w:rFonts w:cs="Times New Roman"/>
          <w:b/>
          <w:bCs/>
          <w:lang w:eastAsia="zh-CN"/>
        </w:rPr>
      </w:pPr>
      <w:r>
        <w:rPr>
          <w:rFonts w:cs="Times New Roman"/>
          <w:b/>
          <w:bCs/>
          <w:lang w:eastAsia="zh-CN"/>
        </w:rPr>
        <w:t>3.</w:t>
      </w:r>
      <w:r>
        <w:rPr>
          <w:rFonts w:hint="eastAsia" w:cs="Times New Roman"/>
          <w:b/>
          <w:bCs/>
          <w:lang w:val="en-US" w:eastAsia="zh-CN"/>
        </w:rPr>
        <w:t>2</w:t>
      </w:r>
      <w:r>
        <w:rPr>
          <w:rFonts w:cs="Times New Roman"/>
          <w:b/>
          <w:bCs/>
          <w:lang w:eastAsia="zh-CN"/>
        </w:rPr>
        <w:t>.2.1 上一轮规划环评时的水资源承载力</w:t>
      </w:r>
    </w:p>
    <w:p>
      <w:pPr>
        <w:pStyle w:val="6"/>
        <w:snapToGrid w:val="0"/>
        <w:spacing w:before="72" w:beforeLines="30" w:after="72" w:afterLines="30"/>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上一轮规划环评预测，</w:t>
      </w:r>
      <w:r>
        <w:rPr>
          <w:rFonts w:hint="default" w:ascii="Times New Roman" w:hAnsi="Times New Roman" w:eastAsia="宋体" w:cs="Times New Roman"/>
          <w:color w:val="000000"/>
          <w:kern w:val="0"/>
          <w:sz w:val="24"/>
          <w:szCs w:val="24"/>
          <w:lang w:val="en-US" w:eastAsia="zh-CN" w:bidi="ar"/>
        </w:rPr>
        <w:t>依据“沈阳市给水总体规划方案”，确定规划区可利用饮用水水源为大伙房输水二期工程东水厂。近期分配给浑南的水量为30×10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/d，远景供水能力90×10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/d。另外，浑南新区在大伙房输水工程未达产前，拟在浑南大道出口加工区</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孤石路设取水井改建浑南新区第二水源，建设规模为2.5×10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 xml:space="preserve">/d。 </w:t>
      </w:r>
    </w:p>
    <w:p>
      <w:pPr>
        <w:keepNext w:val="0"/>
        <w:keepLines w:val="0"/>
        <w:widowControl/>
        <w:suppressLineNumbers w:val="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规划区总需水量为16.0×10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/d，三环以南地区由规划的古城子配水厂供给，供给能力为11×10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/d；三环以北地区由规划的浑南新区3号配水厂供给，供给能力为10×10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 xml:space="preserve">/d。 </w:t>
      </w:r>
    </w:p>
    <w:p>
      <w:pPr>
        <w:keepNext w:val="0"/>
        <w:keepLines w:val="0"/>
        <w:widowControl/>
        <w:suppressLineNumbers w:val="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规划拟利用的大伙房输水二期工程东水厂近期分配给浑南的水量为30×10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/d，远景供水能力90×10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/d，但随着浑南地区的发展，其中可分配给浑南国际新兴产业园区的量相对有限，特别是该水源远期存在很大不确定性，在浑南地区水源建设规划容量有限的情况下，区域用水需求将受到限制。</w:t>
      </w:r>
    </w:p>
    <w:p>
      <w:pPr>
        <w:pStyle w:val="10"/>
        <w:rPr>
          <w:rFonts w:cs="Times New Roman"/>
          <w:b/>
          <w:bCs/>
          <w:lang w:eastAsia="zh-CN"/>
        </w:rPr>
      </w:pPr>
      <w:r>
        <w:rPr>
          <w:rFonts w:cs="Times New Roman"/>
          <w:b/>
          <w:bCs/>
          <w:lang w:eastAsia="zh-CN"/>
        </w:rPr>
        <w:t>3.</w:t>
      </w:r>
      <w:r>
        <w:rPr>
          <w:rFonts w:hint="eastAsia" w:cs="Times New Roman"/>
          <w:b/>
          <w:bCs/>
          <w:lang w:val="en-US" w:eastAsia="zh-CN"/>
        </w:rPr>
        <w:t>2</w:t>
      </w:r>
      <w:r>
        <w:rPr>
          <w:rFonts w:cs="Times New Roman"/>
          <w:b/>
          <w:bCs/>
          <w:lang w:eastAsia="zh-CN"/>
        </w:rPr>
        <w:t>.2.2 区域水资源利用现状及承载力</w:t>
      </w:r>
    </w:p>
    <w:p>
      <w:pPr>
        <w:keepNext w:val="0"/>
        <w:keepLines w:val="0"/>
        <w:pageBreakBefore w:val="0"/>
        <w:widowControl w:val="0"/>
        <w:kinsoku/>
        <w:wordWrap/>
        <w:overflowPunct/>
        <w:topLinePunct w:val="0"/>
        <w:autoSpaceDE/>
        <w:autoSpaceDN/>
        <w:bidi w:val="0"/>
        <w:adjustRightInd/>
        <w:snapToGrid/>
        <w:spacing w:line="360" w:lineRule="auto"/>
        <w:ind w:left="0" w:firstLine="480"/>
        <w:textAlignment w:val="auto"/>
        <w:rPr>
          <w:rFonts w:cs="Times New Roman"/>
          <w:kern w:val="2"/>
          <w:lang w:eastAsia="zh-CN"/>
        </w:rPr>
      </w:pPr>
      <w:r>
        <w:rPr>
          <w:rFonts w:cs="Times New Roman"/>
          <w:lang w:eastAsia="zh-CN"/>
        </w:rPr>
        <w:t>由于</w:t>
      </w:r>
      <w:r>
        <w:rPr>
          <w:rFonts w:hint="eastAsia" w:cs="Times New Roman"/>
          <w:lang w:eastAsia="zh-CN"/>
        </w:rPr>
        <w:t>浑南</w:t>
      </w:r>
      <w:r>
        <w:rPr>
          <w:rFonts w:cs="Times New Roman"/>
          <w:lang w:eastAsia="zh-CN"/>
        </w:rPr>
        <w:t>新区境内地表水系受到污染，不再适合工业和生活用水，</w:t>
      </w:r>
      <w:r>
        <w:rPr>
          <w:rFonts w:hint="eastAsia" w:cs="Times New Roman"/>
          <w:lang w:eastAsia="zh-CN"/>
        </w:rPr>
        <w:t>国际新兴产业园区</w:t>
      </w:r>
      <w:r>
        <w:rPr>
          <w:rFonts w:cs="Times New Roman"/>
          <w:lang w:eastAsia="zh-CN"/>
        </w:rPr>
        <w:t>能利用的仅为地下水资源和市政供水。</w:t>
      </w:r>
    </w:p>
    <w:p>
      <w:pPr>
        <w:pStyle w:val="6"/>
        <w:keepNext w:val="0"/>
        <w:keepLines w:val="0"/>
        <w:pageBreakBefore w:val="0"/>
        <w:widowControl w:val="0"/>
        <w:numPr>
          <w:ilvl w:val="0"/>
          <w:numId w:val="10"/>
        </w:numPr>
        <w:kinsoku/>
        <w:wordWrap/>
        <w:overflowPunct/>
        <w:topLinePunct w:val="0"/>
        <w:autoSpaceDE/>
        <w:autoSpaceDN/>
        <w:bidi w:val="0"/>
        <w:adjustRightInd/>
        <w:snapToGrid w:val="0"/>
        <w:spacing w:line="360" w:lineRule="auto"/>
        <w:ind w:firstLine="480"/>
        <w:textAlignment w:val="auto"/>
        <w:rPr>
          <w:rFonts w:ascii="Times New Roman" w:hAnsi="Times New Roman" w:eastAsia="宋体" w:cs="Times New Roman"/>
          <w:kern w:val="0"/>
          <w:sz w:val="24"/>
          <w:szCs w:val="24"/>
          <w:lang w:val="en-US" w:eastAsia="zh-CN" w:bidi="ar-SA"/>
        </w:rPr>
      </w:pPr>
      <w:r>
        <w:rPr>
          <w:rFonts w:ascii="Times New Roman" w:hAnsi="Times New Roman" w:eastAsia="宋体" w:cs="Times New Roman"/>
          <w:kern w:val="0"/>
          <w:sz w:val="24"/>
          <w:szCs w:val="24"/>
          <w:lang w:val="en-US" w:eastAsia="zh-CN" w:bidi="ar-SA"/>
        </w:rPr>
        <w:t>水资源概况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浑南区地表水由浑河的支流白塔河等河流构成，流经浑南区的河道总长67.3公里。浑南区水资源可获取量十分有限。浑南区多年平均降水量约为8200万吨，多年平均蒸发量为1.7亿吨；浑河多年平均上游来水为4.3亿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浑南区地下水主要贮存于第四系砂砾石中，为孔隙潜水，稳定水位在地面下10.6米～11.2米，水量丰富，水位季节变化在1.0米左右。其次是下部第三系的砂砾岩层中的风化裂隙水，均为构造裂隙水，其富水性相对较差。本地区地下水静储量约为2000万吨，动储量约为500万吨。</w:t>
      </w:r>
    </w:p>
    <w:p>
      <w:pPr>
        <w:pStyle w:val="6"/>
        <w:keepNext w:val="0"/>
        <w:keepLines w:val="0"/>
        <w:pageBreakBefore w:val="0"/>
        <w:widowControl w:val="0"/>
        <w:kinsoku/>
        <w:wordWrap/>
        <w:overflowPunct/>
        <w:topLinePunct w:val="0"/>
        <w:autoSpaceDE/>
        <w:autoSpaceDN/>
        <w:bidi w:val="0"/>
        <w:adjustRightInd/>
        <w:snapToGrid w:val="0"/>
        <w:spacing w:line="360" w:lineRule="auto"/>
        <w:ind w:firstLine="480"/>
        <w:textAlignment w:val="auto"/>
        <w:rPr>
          <w:sz w:val="24"/>
          <w:szCs w:val="24"/>
        </w:rPr>
      </w:pPr>
      <w:r>
        <w:rPr>
          <w:sz w:val="24"/>
          <w:szCs w:val="24"/>
        </w:rPr>
        <w:t>2）水资源利用概况</w:t>
      </w:r>
    </w:p>
    <w:p>
      <w:pPr>
        <w:keepNext w:val="0"/>
        <w:keepLines w:val="0"/>
        <w:pageBreakBefore w:val="0"/>
        <w:widowControl w:val="0"/>
        <w:kinsoku/>
        <w:wordWrap/>
        <w:overflowPunct/>
        <w:topLinePunct w:val="0"/>
        <w:autoSpaceDE/>
        <w:autoSpaceDN/>
        <w:bidi w:val="0"/>
        <w:adjustRightInd/>
        <w:spacing w:line="360" w:lineRule="auto"/>
        <w:ind w:firstLine="480"/>
        <w:textAlignment w:val="auto"/>
        <w:rPr>
          <w:rFonts w:cs="Times New Roman"/>
          <w:lang w:eastAsia="zh-CN"/>
        </w:rPr>
      </w:pPr>
      <w:r>
        <w:rPr>
          <w:rFonts w:cs="Times New Roman"/>
          <w:lang w:eastAsia="zh-CN"/>
        </w:rPr>
        <w:t>根据沈阳市给水总体规划，为解决沈阳市缺水的情况，拟通过大伙房和提高中水回用率等手段以缓解缺水现状。根据规划，大伙房工程的水源取自于浑江流域的辽宁省桓仁水库。是从浑江流域调水至浑太流域的大型跨流域调水工程，原水经85km长输水隧洞送到大伙房水库，经大伙房水库调节后，由水库岸边的分层取水构筑物取水，通过输水管道向六城市供水。沈阳市市政府签定的年引水量为8.11亿m</w:t>
      </w:r>
      <w:r>
        <w:rPr>
          <w:rFonts w:cs="Times New Roman"/>
          <w:vertAlign w:val="superscript"/>
          <w:lang w:eastAsia="zh-CN"/>
        </w:rPr>
        <w:t>3</w:t>
      </w:r>
      <w:r>
        <w:rPr>
          <w:rFonts w:cs="Times New Roman"/>
          <w:lang w:eastAsia="zh-CN"/>
        </w:rPr>
        <w:t>/a，平均日供水量 222.2×10</w:t>
      </w:r>
      <w:r>
        <w:rPr>
          <w:rFonts w:cs="Times New Roman"/>
          <w:vertAlign w:val="superscript"/>
          <w:lang w:eastAsia="zh-CN"/>
        </w:rPr>
        <w:t>4</w:t>
      </w:r>
      <w:r>
        <w:rPr>
          <w:rFonts w:cs="Times New Roman"/>
          <w:lang w:eastAsia="zh-CN"/>
        </w:rPr>
        <w:t>m</w:t>
      </w:r>
      <w:r>
        <w:rPr>
          <w:rFonts w:cs="Times New Roman"/>
          <w:vertAlign w:val="superscript"/>
          <w:lang w:eastAsia="zh-CN"/>
        </w:rPr>
        <w:t>3</w:t>
      </w:r>
      <w:r>
        <w:rPr>
          <w:rFonts w:cs="Times New Roman"/>
          <w:lang w:eastAsia="zh-CN"/>
        </w:rPr>
        <w:t>/d，最高日供水量可增加到264.2×10</w:t>
      </w:r>
      <w:r>
        <w:rPr>
          <w:rFonts w:cs="Times New Roman"/>
          <w:vertAlign w:val="superscript"/>
          <w:lang w:eastAsia="zh-CN"/>
        </w:rPr>
        <w:t>4</w:t>
      </w:r>
      <w:r>
        <w:rPr>
          <w:rFonts w:cs="Times New Roman"/>
          <w:lang w:eastAsia="zh-CN"/>
        </w:rPr>
        <w:t>m</w:t>
      </w:r>
      <w:r>
        <w:rPr>
          <w:rFonts w:cs="Times New Roman"/>
          <w:vertAlign w:val="superscript"/>
          <w:lang w:eastAsia="zh-CN"/>
        </w:rPr>
        <w:t>3</w:t>
      </w:r>
      <w:r>
        <w:rPr>
          <w:rFonts w:cs="Times New Roman"/>
          <w:lang w:eastAsia="zh-CN"/>
        </w:rPr>
        <w:t>/d。沈阳市大伙房水库输水配套工程已建成一期供水规模90×10</w:t>
      </w:r>
      <w:r>
        <w:rPr>
          <w:rFonts w:cs="Times New Roman"/>
          <w:vertAlign w:val="superscript"/>
          <w:lang w:eastAsia="zh-CN"/>
        </w:rPr>
        <w:t>4</w:t>
      </w:r>
      <w:r>
        <w:rPr>
          <w:rFonts w:cs="Times New Roman"/>
          <w:lang w:eastAsia="zh-CN"/>
        </w:rPr>
        <w:t>m</w:t>
      </w:r>
      <w:r>
        <w:rPr>
          <w:rFonts w:cs="Times New Roman"/>
          <w:vertAlign w:val="superscript"/>
          <w:lang w:eastAsia="zh-CN"/>
        </w:rPr>
        <w:t>3</w:t>
      </w:r>
      <w:r>
        <w:rPr>
          <w:rFonts w:cs="Times New Roman"/>
          <w:lang w:eastAsia="zh-CN"/>
        </w:rPr>
        <w:t>/d；二期供水规模120×10</w:t>
      </w:r>
      <w:r>
        <w:rPr>
          <w:rFonts w:cs="Times New Roman"/>
          <w:vertAlign w:val="superscript"/>
          <w:lang w:eastAsia="zh-CN"/>
        </w:rPr>
        <w:t>4</w:t>
      </w:r>
      <w:r>
        <w:rPr>
          <w:rFonts w:cs="Times New Roman"/>
          <w:lang w:eastAsia="zh-CN"/>
        </w:rPr>
        <w:t>m</w:t>
      </w:r>
      <w:r>
        <w:rPr>
          <w:rFonts w:cs="Times New Roman"/>
          <w:vertAlign w:val="superscript"/>
          <w:lang w:eastAsia="zh-CN"/>
        </w:rPr>
        <w:t>3</w:t>
      </w:r>
      <w:r>
        <w:rPr>
          <w:rFonts w:cs="Times New Roman"/>
          <w:lang w:eastAsia="zh-CN"/>
        </w:rPr>
        <w:t>/d。</w:t>
      </w:r>
    </w:p>
    <w:p>
      <w:pPr>
        <w:keepNext w:val="0"/>
        <w:keepLines w:val="0"/>
        <w:widowControl/>
        <w:suppressLineNumbers w:val="0"/>
        <w:jc w:val="left"/>
        <w:rPr>
          <w:rFonts w:cs="Times New Roman"/>
          <w:lang w:eastAsia="zh-CN"/>
        </w:rPr>
      </w:pPr>
      <w:r>
        <w:rPr>
          <w:rFonts w:cs="Times New Roman"/>
          <w:highlight w:val="none"/>
          <w:lang w:eastAsia="zh-CN"/>
        </w:rPr>
        <w:t>根据单元控详规划，实际目前</w:t>
      </w:r>
      <w:r>
        <w:rPr>
          <w:rFonts w:hint="eastAsia" w:cs="Times New Roman"/>
          <w:highlight w:val="none"/>
          <w:lang w:eastAsia="zh-CN"/>
        </w:rPr>
        <w:t>国际新兴产业园区</w:t>
      </w:r>
      <w:r>
        <w:rPr>
          <w:rFonts w:cs="Times New Roman"/>
          <w:highlight w:val="none"/>
          <w:lang w:eastAsia="zh-CN"/>
        </w:rPr>
        <w:t>供水由</w:t>
      </w:r>
      <w:r>
        <w:rPr>
          <w:rFonts w:hint="eastAsia" w:ascii="宋体" w:hAnsi="宋体" w:eastAsia="宋体" w:cs="宋体"/>
          <w:color w:val="000000"/>
          <w:kern w:val="0"/>
          <w:sz w:val="24"/>
          <w:szCs w:val="24"/>
          <w:highlight w:val="none"/>
          <w:lang w:val="en-US" w:eastAsia="zh-CN" w:bidi="ar"/>
        </w:rPr>
        <w:t>浑南供水公司</w:t>
      </w:r>
      <w:r>
        <w:rPr>
          <w:rFonts w:cs="Times New Roman"/>
          <w:highlight w:val="none"/>
          <w:lang w:eastAsia="zh-CN"/>
        </w:rPr>
        <w:t>供给，供水</w:t>
      </w:r>
      <w:r>
        <w:rPr>
          <w:rFonts w:hint="eastAsia" w:ascii="Times New Roman" w:hAnsi="Times New Roman" w:cs="Times New Roman"/>
          <w:highlight w:val="none"/>
          <w:lang w:val="en-US" w:eastAsia="zh-CN"/>
        </w:rPr>
        <w:t>规模218.4万吨</w:t>
      </w:r>
      <w:r>
        <w:rPr>
          <w:rFonts w:hint="default" w:ascii="Times New Roman" w:hAnsi="Times New Roman" w:cs="Times New Roman"/>
          <w:highlight w:val="none"/>
          <w:lang w:val="en-US" w:eastAsia="zh-CN"/>
        </w:rPr>
        <w:t>/</w:t>
      </w:r>
      <w:r>
        <w:rPr>
          <w:rFonts w:hint="eastAsia" w:ascii="Times New Roman" w:hAnsi="Times New Roman" w:cs="Times New Roman"/>
          <w:highlight w:val="none"/>
          <w:lang w:val="en-US" w:eastAsia="zh-CN"/>
        </w:rPr>
        <w:t>天</w:t>
      </w:r>
      <w:r>
        <w:rPr>
          <w:rFonts w:hint="eastAsia" w:ascii="Times New Roman" w:hAnsi="Times New Roman" w:cs="Times New Roman"/>
          <w:highlight w:val="none"/>
          <w:lang w:eastAsia="zh-CN"/>
        </w:rPr>
        <w:t>，</w:t>
      </w:r>
      <w:r>
        <w:rPr>
          <w:rFonts w:hint="eastAsia" w:cs="Times New Roman"/>
          <w:highlight w:val="none"/>
          <w:lang w:eastAsia="zh-CN"/>
        </w:rPr>
        <w:t>规划配水厂供水能力可以满足规划区用水要求。</w:t>
      </w:r>
      <w:r>
        <w:rPr>
          <w:rFonts w:cs="Times New Roman"/>
          <w:highlight w:val="none"/>
          <w:lang w:eastAsia="zh-CN"/>
        </w:rPr>
        <w:t>满足</w:t>
      </w:r>
      <w:r>
        <w:rPr>
          <w:rFonts w:hint="eastAsia" w:cs="Times New Roman"/>
          <w:highlight w:val="none"/>
          <w:lang w:eastAsia="zh-CN"/>
        </w:rPr>
        <w:t>国际新兴产业园区</w:t>
      </w:r>
      <w:r>
        <w:rPr>
          <w:rFonts w:cs="Times New Roman"/>
          <w:highlight w:val="none"/>
          <w:lang w:eastAsia="zh-CN"/>
        </w:rPr>
        <w:t>用水需求</w:t>
      </w:r>
      <w:r>
        <w:rPr>
          <w:rFonts w:hint="eastAsia" w:cs="Times New Roman"/>
          <w:highlight w:val="none"/>
          <w:lang w:eastAsia="zh-CN"/>
        </w:rPr>
        <w:t>。</w:t>
      </w:r>
      <w:r>
        <w:rPr>
          <w:rFonts w:cs="Times New Roman"/>
          <w:highlight w:val="none"/>
          <w:lang w:eastAsia="zh-CN"/>
        </w:rPr>
        <w:t>因此区域水资源能够承担园区规划的实施。</w:t>
      </w:r>
    </w:p>
    <w:p>
      <w:pPr>
        <w:pStyle w:val="10"/>
        <w:rPr>
          <w:rFonts w:cs="Times New Roman"/>
          <w:b/>
          <w:bCs/>
          <w:lang w:eastAsia="zh-CN"/>
        </w:rPr>
      </w:pPr>
      <w:bookmarkStart w:id="130" w:name="_Toc1363"/>
      <w:bookmarkStart w:id="131" w:name="_Toc7577"/>
      <w:r>
        <w:rPr>
          <w:rFonts w:cs="Times New Roman"/>
          <w:b/>
          <w:bCs/>
          <w:lang w:eastAsia="zh-CN"/>
        </w:rPr>
        <w:t>3.</w:t>
      </w:r>
      <w:r>
        <w:rPr>
          <w:rFonts w:hint="eastAsia" w:cs="Times New Roman"/>
          <w:b/>
          <w:bCs/>
          <w:lang w:val="en-US" w:eastAsia="zh-CN"/>
        </w:rPr>
        <w:t>2</w:t>
      </w:r>
      <w:r>
        <w:rPr>
          <w:rFonts w:cs="Times New Roman"/>
          <w:b/>
          <w:bCs/>
          <w:lang w:eastAsia="zh-CN"/>
        </w:rPr>
        <w:t>.2.3水环境容量</w:t>
      </w:r>
      <w:bookmarkEnd w:id="130"/>
      <w:bookmarkEnd w:id="131"/>
    </w:p>
    <w:p>
      <w:pPr>
        <w:keepNext w:val="0"/>
        <w:keepLines w:val="0"/>
        <w:pageBreakBefore w:val="0"/>
        <w:kinsoku/>
        <w:wordWrap/>
        <w:overflowPunct/>
        <w:topLinePunct w:val="0"/>
        <w:autoSpaceDE/>
        <w:autoSpaceDN/>
        <w:bidi w:val="0"/>
        <w:ind w:firstLine="480" w:firstLineChars="200"/>
        <w:jc w:val="both"/>
        <w:textAlignment w:val="auto"/>
        <w:rPr>
          <w:rFonts w:cs="Times New Roman"/>
          <w:sz w:val="24"/>
          <w:szCs w:val="24"/>
          <w:lang w:eastAsia="zh-CN"/>
        </w:rPr>
      </w:pPr>
      <w:r>
        <w:rPr>
          <w:rFonts w:cs="Times New Roman"/>
          <w:sz w:val="24"/>
          <w:szCs w:val="24"/>
          <w:lang w:eastAsia="zh-CN"/>
        </w:rPr>
        <w:t>（1）河流基本特征</w:t>
      </w:r>
    </w:p>
    <w:p>
      <w:pPr>
        <w:keepNext w:val="0"/>
        <w:keepLines w:val="0"/>
        <w:pageBreakBefore w:val="0"/>
        <w:widowControl/>
        <w:kinsoku/>
        <w:wordWrap/>
        <w:overflowPunct/>
        <w:topLinePunct w:val="0"/>
        <w:autoSpaceDE/>
        <w:autoSpaceDN/>
        <w:bidi w:val="0"/>
        <w:ind w:firstLine="480" w:firstLineChars="200"/>
        <w:jc w:val="both"/>
        <w:textAlignment w:val="auto"/>
        <w:rPr>
          <w:rFonts w:cs="Times New Roman"/>
          <w:sz w:val="24"/>
          <w:szCs w:val="24"/>
          <w:lang w:eastAsia="zh-CN"/>
        </w:rPr>
      </w:pPr>
      <w:r>
        <w:rPr>
          <w:rFonts w:hint="eastAsia" w:cs="Times New Roman"/>
          <w:sz w:val="24"/>
          <w:szCs w:val="24"/>
          <w:lang w:eastAsia="zh-CN" w:bidi="ar"/>
        </w:rPr>
        <w:t>浑</w:t>
      </w:r>
      <w:r>
        <w:rPr>
          <w:rFonts w:cs="Times New Roman"/>
          <w:sz w:val="24"/>
          <w:szCs w:val="24"/>
          <w:lang w:eastAsia="zh-CN" w:bidi="ar"/>
        </w:rPr>
        <w:t>河：</w:t>
      </w:r>
      <w:r>
        <w:rPr>
          <w:rFonts w:hint="eastAsia" w:cs="Times New Roman"/>
          <w:sz w:val="24"/>
          <w:szCs w:val="24"/>
          <w:lang w:eastAsia="zh-CN" w:bidi="ar"/>
        </w:rPr>
        <w:t>浑</w:t>
      </w:r>
      <w:r>
        <w:rPr>
          <w:rFonts w:cs="Times New Roman"/>
          <w:sz w:val="24"/>
          <w:szCs w:val="24"/>
          <w:lang w:eastAsia="zh-CN" w:bidi="ar"/>
        </w:rPr>
        <w:t>河</w:t>
      </w:r>
      <w:r>
        <w:rPr>
          <w:rFonts w:hint="eastAsia" w:cs="Times New Roman"/>
          <w:sz w:val="24"/>
          <w:szCs w:val="24"/>
          <w:lang w:eastAsia="zh-CN" w:bidi="ar"/>
        </w:rPr>
        <w:t>东陵大桥~南林子段，</w:t>
      </w:r>
      <w:r>
        <w:rPr>
          <w:rFonts w:cs="Times New Roman"/>
          <w:sz w:val="24"/>
          <w:szCs w:val="24"/>
          <w:lang w:eastAsia="zh-CN" w:bidi="ar"/>
        </w:rPr>
        <w:t>全长</w:t>
      </w:r>
      <w:r>
        <w:rPr>
          <w:rFonts w:hint="eastAsia" w:cs="Times New Roman"/>
          <w:sz w:val="24"/>
          <w:szCs w:val="24"/>
          <w:lang w:eastAsia="zh-CN" w:bidi="ar"/>
        </w:rPr>
        <w:t>77.14</w:t>
      </w:r>
      <w:r>
        <w:rPr>
          <w:rFonts w:cs="Times New Roman"/>
          <w:sz w:val="24"/>
          <w:szCs w:val="24"/>
          <w:lang w:eastAsia="zh-CN" w:bidi="ar"/>
        </w:rPr>
        <w:t>km</w:t>
      </w:r>
      <w:r>
        <w:rPr>
          <w:rFonts w:cs="Times New Roman"/>
          <w:sz w:val="24"/>
          <w:szCs w:val="24"/>
          <w:lang w:eastAsia="zh-CN"/>
        </w:rPr>
        <w:t>。</w:t>
      </w:r>
    </w:p>
    <w:p>
      <w:pPr>
        <w:pStyle w:val="38"/>
        <w:keepNext w:val="0"/>
        <w:keepLines w:val="0"/>
        <w:pageBreakBefore w:val="0"/>
        <w:kinsoku/>
        <w:wordWrap/>
        <w:overflowPunct/>
        <w:topLinePunct w:val="0"/>
        <w:autoSpaceDE/>
        <w:autoSpaceDN/>
        <w:bidi w:val="0"/>
        <w:spacing w:before="0" w:beforeLines="0" w:after="0" w:afterLines="0"/>
        <w:ind w:firstLine="480" w:firstLineChars="200"/>
        <w:jc w:val="both"/>
        <w:textAlignment w:val="auto"/>
        <w:rPr>
          <w:rFonts w:hint="eastAsia"/>
          <w:sz w:val="24"/>
          <w:szCs w:val="24"/>
          <w:lang w:eastAsia="zh-CN"/>
        </w:rPr>
      </w:pPr>
      <w:r>
        <w:rPr>
          <w:rFonts w:hint="eastAsia"/>
          <w:sz w:val="24"/>
          <w:szCs w:val="24"/>
          <w:lang w:eastAsia="zh-CN"/>
        </w:rPr>
        <w:t>杨官</w:t>
      </w:r>
      <w:r>
        <w:rPr>
          <w:sz w:val="24"/>
          <w:szCs w:val="24"/>
        </w:rPr>
        <w:t>河：</w:t>
      </w:r>
      <w:r>
        <w:rPr>
          <w:rFonts w:hint="eastAsia"/>
          <w:sz w:val="24"/>
          <w:szCs w:val="24"/>
        </w:rPr>
        <w:t>规划区地表水体为杨官河，</w:t>
      </w:r>
      <w:r>
        <w:rPr>
          <w:rFonts w:hint="eastAsia"/>
          <w:sz w:val="24"/>
          <w:szCs w:val="24"/>
          <w:lang w:eastAsia="zh-CN"/>
        </w:rPr>
        <w:t>区域内杨官河</w:t>
      </w:r>
      <w:r>
        <w:rPr>
          <w:rFonts w:hint="eastAsia"/>
          <w:sz w:val="24"/>
          <w:szCs w:val="24"/>
        </w:rPr>
        <w:t>沈阳绕城高速至入浑河口</w:t>
      </w:r>
      <w:r>
        <w:rPr>
          <w:rFonts w:hint="eastAsia"/>
          <w:sz w:val="24"/>
          <w:szCs w:val="24"/>
          <w:lang w:eastAsia="zh-CN"/>
        </w:rPr>
        <w:t>段</w:t>
      </w:r>
      <w:r>
        <w:rPr>
          <w:sz w:val="24"/>
          <w:szCs w:val="24"/>
        </w:rPr>
        <w:t>。</w:t>
      </w:r>
      <w:r>
        <w:rPr>
          <w:rFonts w:hint="eastAsia"/>
          <w:sz w:val="24"/>
          <w:szCs w:val="24"/>
        </w:rPr>
        <w:t>但规划区污水直接受纳水体为桃仙河及其汇入的北沙河</w:t>
      </w:r>
      <w:r>
        <w:rPr>
          <w:rFonts w:hint="eastAsia"/>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both"/>
        <w:textAlignment w:val="auto"/>
        <w:rPr>
          <w:rFonts w:cs="Times New Roman"/>
          <w:sz w:val="24"/>
          <w:szCs w:val="24"/>
          <w:lang w:eastAsia="zh-CN"/>
        </w:rPr>
      </w:pPr>
      <w:r>
        <w:rPr>
          <w:rFonts w:hint="eastAsia" w:cs="Times New Roman"/>
          <w:sz w:val="24"/>
          <w:szCs w:val="24"/>
          <w:lang w:eastAsia="zh-CN"/>
        </w:rPr>
        <w:t>（</w:t>
      </w:r>
      <w:r>
        <w:rPr>
          <w:rFonts w:hint="eastAsia" w:cs="Times New Roman"/>
          <w:sz w:val="24"/>
          <w:szCs w:val="24"/>
          <w:lang w:val="en-US" w:eastAsia="zh-CN"/>
        </w:rPr>
        <w:t>2</w:t>
      </w:r>
      <w:r>
        <w:rPr>
          <w:rFonts w:hint="eastAsia" w:cs="Times New Roman"/>
          <w:sz w:val="24"/>
          <w:szCs w:val="24"/>
          <w:lang w:eastAsia="zh-CN"/>
        </w:rPr>
        <w:t>）</w:t>
      </w:r>
      <w:r>
        <w:rPr>
          <w:rFonts w:cs="Times New Roman"/>
          <w:sz w:val="24"/>
          <w:szCs w:val="24"/>
          <w:lang w:eastAsia="zh-CN"/>
        </w:rPr>
        <w:t>地表水环境容量</w:t>
      </w:r>
    </w:p>
    <w:p>
      <w:pPr>
        <w:pStyle w:val="124"/>
        <w:keepNext w:val="0"/>
        <w:keepLines w:val="0"/>
        <w:pageBreakBefore w:val="0"/>
        <w:widowControl w:val="0"/>
        <w:numPr>
          <w:ilvl w:val="0"/>
          <w:numId w:val="0"/>
        </w:numPr>
        <w:tabs>
          <w:tab w:val="left" w:pos="1320"/>
        </w:tabs>
        <w:kinsoku/>
        <w:wordWrap/>
        <w:overflowPunct/>
        <w:topLinePunct w:val="0"/>
        <w:autoSpaceDE/>
        <w:autoSpaceDN/>
        <w:bidi w:val="0"/>
        <w:adjustRightInd/>
        <w:snapToGrid/>
        <w:spacing w:line="360" w:lineRule="auto"/>
        <w:ind w:left="0" w:leftChars="0" w:right="0" w:rightChars="0" w:firstLine="480" w:firstLineChars="200"/>
        <w:jc w:val="both"/>
        <w:textAlignment w:val="auto"/>
        <w:rPr>
          <w:sz w:val="24"/>
        </w:rPr>
      </w:pPr>
      <w:r>
        <w:rPr>
          <w:rFonts w:cs="Times New Roman"/>
          <w:sz w:val="24"/>
          <w:szCs w:val="24"/>
          <w:lang w:eastAsia="zh-CN"/>
        </w:rPr>
        <w:t>1）</w:t>
      </w:r>
      <w:r>
        <w:rPr>
          <w:sz w:val="24"/>
        </w:rPr>
        <w:t>计算河段的基本特征</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36" w:firstLineChars="200"/>
        <w:jc w:val="both"/>
        <w:textAlignment w:val="auto"/>
      </w:pPr>
      <w:r>
        <w:rPr>
          <w:spacing w:val="-11"/>
        </w:rPr>
        <w:t>浑河：长</w:t>
      </w:r>
      <w:r>
        <w:rPr>
          <w:rFonts w:ascii="Times New Roman" w:hAnsi="Times New Roman" w:eastAsia="Times New Roman"/>
        </w:rPr>
        <w:t>368km</w:t>
      </w:r>
      <w:r>
        <w:fldChar w:fldCharType="begin"/>
      </w:r>
      <w:r>
        <w:instrText xml:space="preserve"> HYPERLINK "http://baike.baidu.com/view/245378.htm" \h </w:instrText>
      </w:r>
      <w:r>
        <w:fldChar w:fldCharType="separate"/>
      </w:r>
      <w:r>
        <w:rPr>
          <w:spacing w:val="-9"/>
        </w:rPr>
        <w:t>，流域面积</w:t>
      </w:r>
      <w:r>
        <w:rPr>
          <w:spacing w:val="-9"/>
        </w:rPr>
        <w:fldChar w:fldCharType="end"/>
      </w:r>
      <w:r>
        <w:rPr>
          <w:rFonts w:ascii="Times New Roman" w:hAnsi="Times New Roman" w:eastAsia="Times New Roman"/>
        </w:rPr>
        <w:t>1.14</w:t>
      </w:r>
      <w:r>
        <w:t>×</w:t>
      </w:r>
      <w:r>
        <w:rPr>
          <w:rFonts w:ascii="Times New Roman" w:hAnsi="Times New Roman" w:eastAsia="Times New Roman"/>
        </w:rPr>
        <w:t>10</w:t>
      </w:r>
      <w:r>
        <w:rPr>
          <w:rFonts w:ascii="Times New Roman" w:hAnsi="Times New Roman" w:eastAsia="Times New Roman"/>
          <w:vertAlign w:val="superscript"/>
        </w:rPr>
        <w:t>4</w:t>
      </w:r>
      <w:r>
        <w:rPr>
          <w:rFonts w:ascii="Times New Roman" w:hAnsi="Times New Roman" w:eastAsia="Times New Roman"/>
          <w:vertAlign w:val="baseline"/>
        </w:rPr>
        <w:t>km</w:t>
      </w:r>
      <w:r>
        <w:rPr>
          <w:rFonts w:ascii="Times New Roman" w:hAnsi="Times New Roman" w:eastAsia="Times New Roman"/>
          <w:vertAlign w:val="superscript"/>
        </w:rPr>
        <w:t>2</w:t>
      </w:r>
      <w:r>
        <w:rPr>
          <w:vertAlign w:val="baseline"/>
        </w:rPr>
        <w:t>，</w:t>
      </w:r>
      <w:r>
        <w:fldChar w:fldCharType="begin"/>
      </w:r>
      <w:r>
        <w:instrText xml:space="preserve"> HYPERLINK "http://baike.baidu.com/view/871959.htm" \h </w:instrText>
      </w:r>
      <w:r>
        <w:fldChar w:fldCharType="separate"/>
      </w:r>
      <w:r>
        <w:rPr>
          <w:spacing w:val="-10"/>
          <w:vertAlign w:val="baseline"/>
        </w:rPr>
        <w:t>年径流量</w:t>
      </w:r>
      <w:r>
        <w:rPr>
          <w:spacing w:val="-10"/>
          <w:vertAlign w:val="baseline"/>
        </w:rPr>
        <w:fldChar w:fldCharType="end"/>
      </w:r>
      <w:r>
        <w:rPr>
          <w:rFonts w:ascii="Times New Roman" w:hAnsi="Times New Roman" w:eastAsia="Times New Roman"/>
          <w:vertAlign w:val="baseline"/>
        </w:rPr>
        <w:t>30.52</w:t>
      </w:r>
      <w:r>
        <w:rPr>
          <w:vertAlign w:val="baseline"/>
        </w:rPr>
        <w:t>×</w:t>
      </w:r>
      <w:r>
        <w:rPr>
          <w:rFonts w:ascii="Times New Roman" w:hAnsi="Times New Roman" w:eastAsia="Times New Roman"/>
          <w:vertAlign w:val="baseline"/>
        </w:rPr>
        <w:t>10</w:t>
      </w:r>
      <w:r>
        <w:rPr>
          <w:rFonts w:ascii="Times New Roman" w:hAnsi="Times New Roman" w:eastAsia="Times New Roman"/>
          <w:vertAlign w:val="superscript"/>
        </w:rPr>
        <w:t>8</w:t>
      </w:r>
      <w:r>
        <w:rPr>
          <w:rFonts w:ascii="Times New Roman" w:hAnsi="Times New Roman" w:eastAsia="Times New Roman"/>
          <w:vertAlign w:val="baseline"/>
        </w:rPr>
        <w:t>m</w:t>
      </w:r>
      <w:r>
        <w:rPr>
          <w:rFonts w:ascii="Times New Roman" w:hAnsi="Times New Roman" w:eastAsia="Times New Roman"/>
          <w:vertAlign w:val="superscript"/>
        </w:rPr>
        <w:t>3</w:t>
      </w:r>
      <w:r>
        <w:rPr>
          <w:vertAlign w:val="baseline"/>
        </w:rPr>
        <w:t>。浑河为不</w:t>
      </w:r>
      <w:r>
        <w:rPr>
          <w:spacing w:val="-10"/>
          <w:vertAlign w:val="baseline"/>
        </w:rPr>
        <w:t>对称水系，东侧支流密集，坡陡谷深，水量丰富；西侧支流很少，水量不大。流经抚</w:t>
      </w:r>
      <w:r>
        <w:rPr>
          <w:vertAlign w:val="baseline"/>
        </w:rPr>
        <w:t>顺、沈阳等市县。为中型河流。</w:t>
      </w:r>
    </w:p>
    <w:p>
      <w:pPr>
        <w:keepNext w:val="0"/>
        <w:keepLines w:val="0"/>
        <w:pageBreakBefore w:val="0"/>
        <w:kinsoku/>
        <w:wordWrap/>
        <w:overflowPunct/>
        <w:topLinePunct w:val="0"/>
        <w:autoSpaceDE/>
        <w:autoSpaceDN/>
        <w:bidi w:val="0"/>
        <w:ind w:firstLine="480" w:firstLineChars="200"/>
        <w:jc w:val="both"/>
        <w:textAlignment w:val="auto"/>
        <w:rPr>
          <w:rFonts w:hint="eastAsia" w:cs="Times New Roman"/>
          <w:sz w:val="24"/>
          <w:szCs w:val="24"/>
          <w:lang w:eastAsia="zh-CN"/>
        </w:rPr>
      </w:pPr>
      <w:r>
        <w:rPr>
          <w:rFonts w:cs="Times New Roman"/>
          <w:sz w:val="24"/>
          <w:szCs w:val="24"/>
          <w:lang w:eastAsia="zh-CN"/>
        </w:rPr>
        <w:t>2）</w:t>
      </w:r>
      <w:r>
        <w:rPr>
          <w:rFonts w:hint="eastAsia" w:cs="Times New Roman"/>
          <w:sz w:val="24"/>
          <w:szCs w:val="24"/>
          <w:lang w:eastAsia="zh-CN"/>
        </w:rPr>
        <w:t>计算方法的选择</w:t>
      </w:r>
    </w:p>
    <w:p>
      <w:pPr>
        <w:ind w:firstLine="480"/>
        <w:rPr>
          <w:rFonts w:hint="eastAsia" w:eastAsia="宋体"/>
          <w:b/>
          <w:bCs/>
          <w:sz w:val="24"/>
          <w:szCs w:val="24"/>
          <w:lang w:eastAsia="zh-CN"/>
        </w:rPr>
      </w:pPr>
      <w:r>
        <w:rPr>
          <w:rFonts w:hint="eastAsia"/>
          <w:sz w:val="24"/>
          <w:szCs w:val="24"/>
        </w:rPr>
        <w:t>杨官河</w:t>
      </w:r>
      <w:r>
        <w:rPr>
          <w:rFonts w:hint="eastAsia"/>
          <w:sz w:val="24"/>
          <w:szCs w:val="24"/>
          <w:lang w:eastAsia="zh-CN"/>
        </w:rPr>
        <w:t>无入河排污口，</w:t>
      </w:r>
      <w:r>
        <w:rPr>
          <w:rFonts w:hint="eastAsia"/>
          <w:sz w:val="24"/>
          <w:szCs w:val="24"/>
        </w:rPr>
        <w:t>其环境保护目标为《地表水环境质量标准》（GB3838-2002）Ⅴ类标准</w:t>
      </w:r>
      <w:r>
        <w:rPr>
          <w:rFonts w:hint="eastAsia"/>
          <w:sz w:val="24"/>
          <w:szCs w:val="24"/>
          <w:lang w:eastAsia="zh-CN"/>
        </w:rPr>
        <w:t>。</w:t>
      </w:r>
      <w:r>
        <w:rPr>
          <w:rFonts w:hint="eastAsia" w:cs="Times New Roman"/>
          <w:lang w:eastAsia="zh-CN"/>
        </w:rPr>
        <w:t>根据《</w:t>
      </w:r>
      <w:r>
        <w:rPr>
          <w:rFonts w:eastAsia="Times New Roman"/>
          <w:lang w:eastAsia="zh-CN"/>
        </w:rPr>
        <w:t>20</w:t>
      </w:r>
      <w:r>
        <w:rPr>
          <w:rFonts w:hint="eastAsia" w:eastAsia="Times New Roman"/>
          <w:lang w:val="en-US" w:eastAsia="zh-CN"/>
        </w:rPr>
        <w:t>20</w:t>
      </w:r>
      <w:r>
        <w:rPr>
          <w:spacing w:val="-2"/>
          <w:lang w:eastAsia="zh-CN"/>
        </w:rPr>
        <w:t>年</w:t>
      </w:r>
      <w:r>
        <w:rPr>
          <w:lang w:eastAsia="zh-CN"/>
        </w:rPr>
        <w:t>浑南</w:t>
      </w:r>
      <w:r>
        <w:rPr>
          <w:spacing w:val="-3"/>
          <w:lang w:eastAsia="zh-CN"/>
        </w:rPr>
        <w:t>区环境质量报告</w:t>
      </w:r>
      <w:r>
        <w:rPr>
          <w:rFonts w:hint="eastAsia"/>
          <w:spacing w:val="-3"/>
          <w:lang w:eastAsia="zh-CN"/>
        </w:rPr>
        <w:t>书</w:t>
      </w:r>
      <w:r>
        <w:rPr>
          <w:rFonts w:hint="eastAsia" w:cs="Times New Roman"/>
          <w:lang w:eastAsia="zh-CN"/>
        </w:rPr>
        <w:t>》监测数据，20</w:t>
      </w:r>
      <w:r>
        <w:rPr>
          <w:rFonts w:hint="eastAsia" w:cs="Times New Roman"/>
          <w:lang w:val="en-US" w:eastAsia="zh-CN"/>
        </w:rPr>
        <w:t>20</w:t>
      </w:r>
      <w:r>
        <w:rPr>
          <w:rFonts w:hint="eastAsia" w:cs="Times New Roman"/>
          <w:lang w:eastAsia="zh-CN"/>
        </w:rPr>
        <w:t>年</w:t>
      </w:r>
      <w:r>
        <w:rPr>
          <w:rFonts w:hint="eastAsia"/>
          <w:spacing w:val="-3"/>
          <w:lang w:eastAsia="zh-CN"/>
        </w:rPr>
        <w:t>杨官河监测</w:t>
      </w:r>
      <w:r>
        <w:rPr>
          <w:szCs w:val="32"/>
          <w:lang w:eastAsia="zh-CN"/>
        </w:rPr>
        <w:t>COD</w:t>
      </w:r>
      <w:r>
        <w:rPr>
          <w:rFonts w:hint="eastAsia"/>
          <w:szCs w:val="32"/>
          <w:lang w:eastAsia="zh-CN"/>
        </w:rPr>
        <w:t>浓度2</w:t>
      </w:r>
      <w:r>
        <w:rPr>
          <w:rFonts w:hint="eastAsia"/>
          <w:szCs w:val="32"/>
          <w:lang w:val="en-US" w:eastAsia="zh-CN"/>
        </w:rPr>
        <w:t>8.44</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r>
        <w:rPr>
          <w:szCs w:val="32"/>
          <w:lang w:eastAsia="zh-CN"/>
        </w:rPr>
        <w:t>NH</w:t>
      </w:r>
      <w:r>
        <w:rPr>
          <w:szCs w:val="32"/>
          <w:vertAlign w:val="subscript"/>
          <w:lang w:eastAsia="zh-CN"/>
        </w:rPr>
        <w:t>3</w:t>
      </w:r>
      <w:r>
        <w:rPr>
          <w:szCs w:val="32"/>
          <w:lang w:eastAsia="zh-CN"/>
        </w:rPr>
        <w:t>-N</w:t>
      </w:r>
      <w:r>
        <w:rPr>
          <w:rFonts w:hint="eastAsia"/>
          <w:szCs w:val="32"/>
          <w:lang w:eastAsia="zh-CN"/>
        </w:rPr>
        <w:t>浓度</w:t>
      </w:r>
      <w:r>
        <w:rPr>
          <w:rFonts w:hint="eastAsia"/>
          <w:szCs w:val="32"/>
          <w:lang w:val="en-US" w:eastAsia="zh-CN"/>
        </w:rPr>
        <w:t>2.51</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r>
        <w:rPr>
          <w:rFonts w:hint="eastAsia" w:ascii="Times New Roman" w:hAnsi="Times New Roman" w:eastAsia="宋体"/>
          <w:lang w:eastAsia="zh-CN"/>
        </w:rPr>
        <w:t>2020年杨官河主要污染物为化学需氧量、氨氮，超过地表水Ⅲ类标准的倍数分别为0.42倍、1.51倍。其中，氨氮超过Ⅴ类标准限值0.26倍。</w:t>
      </w:r>
      <w:r>
        <w:rPr>
          <w:rFonts w:hint="eastAsia"/>
          <w:sz w:val="24"/>
          <w:szCs w:val="24"/>
          <w:lang w:eastAsia="zh-CN"/>
        </w:rPr>
        <w:t>目前已无环境容量，已不能新增污染物的排放，为达到功能区目标，须削减排入河流的COD和氨氮污染量。</w:t>
      </w:r>
    </w:p>
    <w:p>
      <w:pPr>
        <w:keepNext w:val="0"/>
        <w:keepLines w:val="0"/>
        <w:pageBreakBefore w:val="0"/>
        <w:kinsoku/>
        <w:wordWrap/>
        <w:overflowPunct/>
        <w:topLinePunct w:val="0"/>
        <w:autoSpaceDE/>
        <w:autoSpaceDN/>
        <w:bidi w:val="0"/>
        <w:ind w:firstLine="480" w:firstLineChars="200"/>
        <w:jc w:val="both"/>
        <w:textAlignment w:val="auto"/>
        <w:rPr>
          <w:rFonts w:hint="eastAsia" w:cs="Times New Roman"/>
          <w:sz w:val="24"/>
          <w:szCs w:val="24"/>
          <w:lang w:eastAsia="zh-CN"/>
        </w:rPr>
      </w:pPr>
      <w:r>
        <w:rPr>
          <w:rFonts w:hint="eastAsia" w:cs="Times New Roman"/>
          <w:sz w:val="24"/>
          <w:szCs w:val="24"/>
          <w:lang w:eastAsia="zh-CN"/>
        </w:rPr>
        <w:t>浑河属中河流，各河段的长度远大于河道水面宽度，污水排入水体后横向混合长度远小于河道的计算长度，水质计算可采用河流一维模型。当概化排污口在河段中部时，河流自净容量一维模型计算式如下：</w:t>
      </w:r>
    </w:p>
    <w:p>
      <w:pPr>
        <w:keepNext w:val="0"/>
        <w:keepLines w:val="0"/>
        <w:pageBreakBefore w:val="0"/>
        <w:kinsoku/>
        <w:wordWrap/>
        <w:overflowPunct/>
        <w:topLinePunct w:val="0"/>
        <w:autoSpaceDE/>
        <w:autoSpaceDN/>
        <w:bidi w:val="0"/>
        <w:ind w:left="0" w:leftChars="0" w:firstLine="0" w:firstLineChars="0"/>
        <w:jc w:val="center"/>
        <w:textAlignment w:val="auto"/>
        <w:rPr>
          <w:rFonts w:cs="Times New Roman"/>
          <w:sz w:val="24"/>
          <w:szCs w:val="24"/>
          <w:lang w:eastAsia="zh-CN"/>
        </w:rPr>
      </w:pPr>
      <w:r>
        <w:drawing>
          <wp:inline distT="0" distB="0" distL="114300" distR="114300">
            <wp:extent cx="2626360" cy="446405"/>
            <wp:effectExtent l="0" t="0" r="2540" b="1079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7"/>
                    <a:stretch>
                      <a:fillRect/>
                    </a:stretch>
                  </pic:blipFill>
                  <pic:spPr>
                    <a:xfrm>
                      <a:off x="0" y="0"/>
                      <a:ext cx="2626360" cy="446405"/>
                    </a:xfrm>
                    <a:prstGeom prst="rect">
                      <a:avLst/>
                    </a:prstGeom>
                    <a:noFill/>
                    <a:ln>
                      <a:noFill/>
                    </a:ln>
                  </pic:spPr>
                </pic:pic>
              </a:graphicData>
            </a:graphic>
          </wp:inline>
        </w:drawing>
      </w:r>
    </w:p>
    <w:p>
      <w:pPr>
        <w:keepNext w:val="0"/>
        <w:keepLines w:val="0"/>
        <w:pageBreakBefore w:val="0"/>
        <w:pBdr>
          <w:top w:val="single" w:color="auto" w:sz="6" w:space="1"/>
        </w:pBdr>
        <w:kinsoku/>
        <w:wordWrap/>
        <w:overflowPunct/>
        <w:topLinePunct w:val="0"/>
        <w:autoSpaceDE/>
        <w:autoSpaceDN/>
        <w:bidi w:val="0"/>
        <w:ind w:firstLine="480" w:firstLineChars="200"/>
        <w:jc w:val="both"/>
        <w:textAlignment w:val="auto"/>
        <w:rPr>
          <w:rFonts w:cs="Times New Roman"/>
          <w:vanish/>
          <w:sz w:val="24"/>
          <w:szCs w:val="24"/>
          <w:lang w:eastAsia="zh-CN"/>
        </w:rPr>
      </w:pPr>
    </w:p>
    <w:p>
      <w:pPr>
        <w:keepNext w:val="0"/>
        <w:keepLines w:val="0"/>
        <w:pageBreakBefore w:val="0"/>
        <w:kinsoku/>
        <w:wordWrap/>
        <w:overflowPunct/>
        <w:topLinePunct w:val="0"/>
        <w:autoSpaceDE/>
        <w:autoSpaceDN/>
        <w:bidi w:val="0"/>
        <w:ind w:firstLine="480" w:firstLineChars="200"/>
        <w:jc w:val="both"/>
        <w:textAlignment w:val="auto"/>
        <w:rPr>
          <w:rFonts w:hint="eastAsia" w:cs="Times New Roman"/>
          <w:sz w:val="24"/>
          <w:szCs w:val="24"/>
          <w:lang w:eastAsia="zh-CN"/>
        </w:rPr>
      </w:pPr>
      <w:r>
        <w:rPr>
          <w:rFonts w:hint="eastAsia" w:cs="Times New Roman"/>
          <w:sz w:val="24"/>
          <w:szCs w:val="24"/>
          <w:lang w:eastAsia="zh-CN"/>
        </w:rPr>
        <w:t xml:space="preserve">式中：W－水环境容量值（kg/d）； </w:t>
      </w:r>
    </w:p>
    <w:p>
      <w:pPr>
        <w:keepNext w:val="0"/>
        <w:keepLines w:val="0"/>
        <w:pageBreakBefore w:val="0"/>
        <w:widowControl w:val="0"/>
        <w:kinsoku/>
        <w:wordWrap/>
        <w:overflowPunct/>
        <w:topLinePunct w:val="0"/>
        <w:autoSpaceDE/>
        <w:autoSpaceDN/>
        <w:bidi w:val="0"/>
        <w:adjustRightInd/>
        <w:snapToGrid/>
        <w:ind w:firstLine="1200" w:firstLineChars="500"/>
        <w:jc w:val="both"/>
        <w:textAlignment w:val="auto"/>
        <w:rPr>
          <w:rFonts w:hint="eastAsia" w:cs="Times New Roman"/>
          <w:sz w:val="24"/>
          <w:szCs w:val="24"/>
          <w:lang w:eastAsia="zh-CN"/>
        </w:rPr>
      </w:pPr>
      <w:r>
        <w:rPr>
          <w:rFonts w:hint="eastAsia" w:cs="Times New Roman"/>
          <w:sz w:val="24"/>
          <w:szCs w:val="24"/>
          <w:lang w:eastAsia="zh-CN"/>
        </w:rPr>
        <w:t>C</w:t>
      </w:r>
      <w:r>
        <w:rPr>
          <w:rFonts w:hint="eastAsia" w:cs="Times New Roman"/>
          <w:sz w:val="24"/>
          <w:szCs w:val="24"/>
          <w:vertAlign w:val="subscript"/>
          <w:lang w:eastAsia="zh-CN"/>
        </w:rPr>
        <w:t>s</w:t>
      </w:r>
      <w:r>
        <w:rPr>
          <w:rFonts w:hint="eastAsia" w:cs="Times New Roman"/>
          <w:sz w:val="24"/>
          <w:szCs w:val="24"/>
          <w:lang w:eastAsia="zh-CN"/>
        </w:rPr>
        <w:t>－水质标准（mg/L）；</w:t>
      </w:r>
    </w:p>
    <w:p>
      <w:pPr>
        <w:keepNext w:val="0"/>
        <w:keepLines w:val="0"/>
        <w:pageBreakBefore w:val="0"/>
        <w:widowControl w:val="0"/>
        <w:kinsoku/>
        <w:wordWrap/>
        <w:overflowPunct/>
        <w:topLinePunct w:val="0"/>
        <w:autoSpaceDE/>
        <w:autoSpaceDN/>
        <w:bidi w:val="0"/>
        <w:adjustRightInd/>
        <w:snapToGrid/>
        <w:ind w:firstLine="1200" w:firstLineChars="500"/>
        <w:jc w:val="both"/>
        <w:textAlignment w:val="auto"/>
        <w:rPr>
          <w:rFonts w:hint="eastAsia" w:cs="Times New Roman"/>
          <w:sz w:val="24"/>
          <w:szCs w:val="24"/>
          <w:lang w:eastAsia="zh-CN"/>
        </w:rPr>
      </w:pPr>
      <w:r>
        <w:rPr>
          <w:rFonts w:hint="eastAsia" w:cs="Times New Roman"/>
          <w:sz w:val="24"/>
          <w:szCs w:val="24"/>
          <w:lang w:eastAsia="zh-CN"/>
        </w:rPr>
        <w:t>Q</w:t>
      </w:r>
      <w:r>
        <w:rPr>
          <w:rFonts w:hint="eastAsia" w:cs="Times New Roman"/>
          <w:sz w:val="24"/>
          <w:szCs w:val="24"/>
          <w:vertAlign w:val="subscript"/>
          <w:lang w:eastAsia="zh-CN"/>
        </w:rPr>
        <w:t>0</w:t>
      </w:r>
      <w:r>
        <w:rPr>
          <w:rFonts w:hint="eastAsia" w:cs="Times New Roman"/>
          <w:sz w:val="24"/>
          <w:szCs w:val="24"/>
          <w:lang w:eastAsia="zh-CN"/>
        </w:rPr>
        <w:t>－河流流量（m</w:t>
      </w:r>
      <w:r>
        <w:rPr>
          <w:rFonts w:hint="eastAsia" w:cs="Times New Roman"/>
          <w:sz w:val="24"/>
          <w:szCs w:val="24"/>
          <w:vertAlign w:val="superscript"/>
          <w:lang w:eastAsia="zh-CN"/>
        </w:rPr>
        <w:t>3</w:t>
      </w:r>
      <w:r>
        <w:rPr>
          <w:rFonts w:hint="eastAsia" w:cs="Times New Roman"/>
          <w:sz w:val="24"/>
          <w:szCs w:val="24"/>
          <w:lang w:eastAsia="zh-CN"/>
        </w:rPr>
        <w:t>/s）；</w:t>
      </w:r>
    </w:p>
    <w:p>
      <w:pPr>
        <w:keepNext w:val="0"/>
        <w:keepLines w:val="0"/>
        <w:pageBreakBefore w:val="0"/>
        <w:widowControl w:val="0"/>
        <w:kinsoku/>
        <w:wordWrap/>
        <w:overflowPunct/>
        <w:topLinePunct w:val="0"/>
        <w:autoSpaceDE/>
        <w:autoSpaceDN/>
        <w:bidi w:val="0"/>
        <w:adjustRightInd/>
        <w:snapToGrid/>
        <w:ind w:firstLine="1200" w:firstLineChars="500"/>
        <w:jc w:val="both"/>
        <w:textAlignment w:val="auto"/>
        <w:rPr>
          <w:rFonts w:hint="eastAsia" w:cs="Times New Roman"/>
          <w:sz w:val="24"/>
          <w:szCs w:val="24"/>
          <w:lang w:eastAsia="zh-CN"/>
        </w:rPr>
      </w:pPr>
      <w:r>
        <w:rPr>
          <w:rFonts w:hint="eastAsia" w:cs="Times New Roman"/>
          <w:sz w:val="24"/>
          <w:szCs w:val="24"/>
          <w:lang w:eastAsia="zh-CN"/>
        </w:rPr>
        <w:t>q－旁侧入流流量和入流废水流量（m</w:t>
      </w:r>
      <w:r>
        <w:rPr>
          <w:rFonts w:hint="eastAsia" w:cs="Times New Roman"/>
          <w:sz w:val="24"/>
          <w:szCs w:val="24"/>
          <w:vertAlign w:val="superscript"/>
          <w:lang w:eastAsia="zh-CN"/>
        </w:rPr>
        <w:t>3</w:t>
      </w:r>
      <w:r>
        <w:rPr>
          <w:rFonts w:hint="eastAsia" w:cs="Times New Roman"/>
          <w:sz w:val="24"/>
          <w:szCs w:val="24"/>
          <w:lang w:eastAsia="zh-CN"/>
        </w:rPr>
        <w:t>/s）；</w:t>
      </w:r>
    </w:p>
    <w:p>
      <w:pPr>
        <w:keepNext w:val="0"/>
        <w:keepLines w:val="0"/>
        <w:pageBreakBefore w:val="0"/>
        <w:widowControl w:val="0"/>
        <w:kinsoku/>
        <w:wordWrap/>
        <w:overflowPunct/>
        <w:topLinePunct w:val="0"/>
        <w:autoSpaceDE/>
        <w:autoSpaceDN/>
        <w:bidi w:val="0"/>
        <w:adjustRightInd/>
        <w:snapToGrid/>
        <w:ind w:firstLine="1200" w:firstLineChars="500"/>
        <w:jc w:val="both"/>
        <w:textAlignment w:val="auto"/>
        <w:rPr>
          <w:rFonts w:hint="eastAsia" w:cs="Times New Roman"/>
          <w:sz w:val="24"/>
          <w:szCs w:val="24"/>
          <w:lang w:eastAsia="zh-CN"/>
        </w:rPr>
      </w:pPr>
      <w:r>
        <w:rPr>
          <w:rFonts w:hint="eastAsia" w:cs="Times New Roman"/>
          <w:sz w:val="24"/>
          <w:szCs w:val="24"/>
          <w:lang w:eastAsia="zh-CN"/>
        </w:rPr>
        <w:t>k－水质降解系数（1/d）；</w:t>
      </w:r>
    </w:p>
    <w:p>
      <w:pPr>
        <w:keepNext w:val="0"/>
        <w:keepLines w:val="0"/>
        <w:pageBreakBefore w:val="0"/>
        <w:widowControl w:val="0"/>
        <w:kinsoku/>
        <w:wordWrap/>
        <w:overflowPunct/>
        <w:topLinePunct w:val="0"/>
        <w:autoSpaceDE/>
        <w:autoSpaceDN/>
        <w:bidi w:val="0"/>
        <w:adjustRightInd/>
        <w:snapToGrid/>
        <w:ind w:firstLine="1200" w:firstLineChars="500"/>
        <w:jc w:val="both"/>
        <w:textAlignment w:val="auto"/>
        <w:rPr>
          <w:rFonts w:hint="eastAsia" w:cs="Times New Roman"/>
          <w:sz w:val="24"/>
          <w:szCs w:val="24"/>
          <w:lang w:eastAsia="zh-CN"/>
        </w:rPr>
      </w:pPr>
      <w:r>
        <w:rPr>
          <w:rFonts w:hint="eastAsia" w:cs="Times New Roman"/>
          <w:sz w:val="24"/>
          <w:szCs w:val="24"/>
          <w:lang w:eastAsia="zh-CN"/>
        </w:rPr>
        <w:t>x－河段长度（km）；</w:t>
      </w:r>
    </w:p>
    <w:p>
      <w:pPr>
        <w:keepNext w:val="0"/>
        <w:keepLines w:val="0"/>
        <w:pageBreakBefore w:val="0"/>
        <w:widowControl w:val="0"/>
        <w:kinsoku/>
        <w:wordWrap/>
        <w:overflowPunct/>
        <w:topLinePunct w:val="0"/>
        <w:autoSpaceDE/>
        <w:autoSpaceDN/>
        <w:bidi w:val="0"/>
        <w:adjustRightInd/>
        <w:snapToGrid/>
        <w:ind w:firstLine="1200" w:firstLineChars="500"/>
        <w:jc w:val="both"/>
        <w:textAlignment w:val="auto"/>
        <w:rPr>
          <w:rFonts w:cs="Times New Roman"/>
          <w:sz w:val="24"/>
          <w:szCs w:val="24"/>
          <w:lang w:eastAsia="zh-CN"/>
        </w:rPr>
      </w:pPr>
      <w:r>
        <w:rPr>
          <w:rFonts w:hint="eastAsia" w:cs="Times New Roman"/>
          <w:sz w:val="24"/>
          <w:szCs w:val="24"/>
          <w:lang w:eastAsia="zh-CN"/>
        </w:rPr>
        <w:t>u－河流流速（km/d）。</w:t>
      </w:r>
    </w:p>
    <w:p>
      <w:pPr>
        <w:keepNext w:val="0"/>
        <w:keepLines w:val="0"/>
        <w:widowControl/>
        <w:suppressLineNumbers w:val="0"/>
        <w:jc w:val="left"/>
      </w:pPr>
      <w:r>
        <w:rPr>
          <w:rFonts w:hint="eastAsia" w:cs="Times New Roman"/>
          <w:sz w:val="24"/>
          <w:szCs w:val="24"/>
          <w:lang w:val="en-US" w:eastAsia="zh-CN"/>
        </w:rPr>
        <w:t>3）</w:t>
      </w:r>
      <w:r>
        <w:rPr>
          <w:rFonts w:hint="eastAsia" w:ascii="宋体" w:hAnsi="宋体" w:eastAsia="宋体" w:cs="宋体"/>
          <w:color w:val="000000"/>
          <w:kern w:val="0"/>
          <w:sz w:val="24"/>
          <w:szCs w:val="24"/>
          <w:lang w:val="en-US" w:eastAsia="zh-CN" w:bidi="ar"/>
        </w:rPr>
        <w:t>水环境功能区达标评价</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bCs/>
          <w:sz w:val="24"/>
          <w:szCs w:val="24"/>
          <w:lang w:val="en-US" w:eastAsia="zh-CN"/>
        </w:rPr>
      </w:pPr>
      <w:r>
        <w:rPr>
          <w:rFonts w:hint="default" w:cs="Times New Roman"/>
          <w:b/>
          <w:bCs/>
          <w:sz w:val="24"/>
          <w:szCs w:val="24"/>
          <w:lang w:val="en-US" w:eastAsia="zh-CN"/>
        </w:rPr>
        <w:t xml:space="preserve">表 </w:t>
      </w:r>
      <w:r>
        <w:rPr>
          <w:rFonts w:hint="eastAsia" w:cs="Times New Roman"/>
          <w:b/>
          <w:bCs/>
          <w:sz w:val="24"/>
          <w:szCs w:val="24"/>
          <w:lang w:val="en-US" w:eastAsia="zh-CN"/>
        </w:rPr>
        <w:t>3</w:t>
      </w:r>
      <w:r>
        <w:rPr>
          <w:rFonts w:hint="default" w:cs="Times New Roman"/>
          <w:b/>
          <w:bCs/>
          <w:sz w:val="24"/>
          <w:szCs w:val="24"/>
          <w:lang w:val="en-US" w:eastAsia="zh-CN"/>
        </w:rPr>
        <w:t>.</w:t>
      </w:r>
      <w:r>
        <w:rPr>
          <w:rFonts w:hint="eastAsia" w:cs="Times New Roman"/>
          <w:b/>
          <w:bCs/>
          <w:sz w:val="24"/>
          <w:szCs w:val="24"/>
          <w:lang w:val="en-US" w:eastAsia="zh-CN"/>
        </w:rPr>
        <w:t>2</w:t>
      </w:r>
      <w:r>
        <w:rPr>
          <w:rFonts w:hint="default" w:cs="Times New Roman"/>
          <w:b/>
          <w:bCs/>
          <w:sz w:val="24"/>
          <w:szCs w:val="24"/>
          <w:lang w:val="en-US" w:eastAsia="zh-CN"/>
        </w:rPr>
        <w:t>-3</w:t>
      </w:r>
      <w:r>
        <w:rPr>
          <w:rFonts w:hint="default" w:cs="Times New Roman"/>
          <w:b/>
          <w:bCs/>
          <w:sz w:val="24"/>
          <w:szCs w:val="24"/>
          <w:lang w:val="en-US" w:eastAsia="zh-CN"/>
        </w:rPr>
        <w:tab/>
      </w:r>
      <w:r>
        <w:rPr>
          <w:rFonts w:hint="default" w:cs="Times New Roman"/>
          <w:b/>
          <w:bCs/>
          <w:sz w:val="24"/>
          <w:szCs w:val="24"/>
          <w:lang w:val="en-US" w:eastAsia="zh-CN"/>
        </w:rPr>
        <w:t>区域水体环境功能区划</w:t>
      </w:r>
    </w:p>
    <w:tbl>
      <w:tblPr>
        <w:tblStyle w:val="65"/>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8"/>
        <w:gridCol w:w="2608"/>
        <w:gridCol w:w="1500"/>
        <w:gridCol w:w="2053"/>
        <w:gridCol w:w="169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cs="Times New Roman"/>
                <w:sz w:val="21"/>
                <w:szCs w:val="21"/>
                <w:lang w:eastAsia="zh-CN"/>
              </w:rPr>
            </w:pPr>
            <w:r>
              <w:rPr>
                <w:sz w:val="21"/>
                <w:szCs w:val="21"/>
              </w:rPr>
              <w:t>河流名称</w:t>
            </w:r>
          </w:p>
        </w:tc>
        <w:tc>
          <w:tcPr>
            <w:tcW w:w="2608" w:type="dxa"/>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sz w:val="21"/>
                <w:szCs w:val="21"/>
              </w:rPr>
              <w:t>水域</w:t>
            </w:r>
          </w:p>
        </w:tc>
        <w:tc>
          <w:tcPr>
            <w:tcW w:w="1500" w:type="dxa"/>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sz w:val="21"/>
                <w:szCs w:val="21"/>
              </w:rPr>
              <w:t>长度</w:t>
            </w:r>
            <w:r>
              <w:rPr>
                <w:rFonts w:ascii="Times New Roman" w:eastAsia="Times New Roman"/>
                <w:sz w:val="21"/>
                <w:szCs w:val="21"/>
              </w:rPr>
              <w:t>/km</w:t>
            </w:r>
          </w:p>
        </w:tc>
        <w:tc>
          <w:tcPr>
            <w:tcW w:w="2053" w:type="dxa"/>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sz w:val="21"/>
                <w:szCs w:val="21"/>
              </w:rPr>
              <w:t>主导功能</w:t>
            </w:r>
          </w:p>
        </w:tc>
        <w:tc>
          <w:tcPr>
            <w:tcW w:w="1694" w:type="dxa"/>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sz w:val="21"/>
                <w:szCs w:val="21"/>
              </w:rPr>
              <w:t>水质目标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cs="Times New Roman"/>
                <w:sz w:val="21"/>
                <w:szCs w:val="21"/>
                <w:lang w:eastAsia="zh-CN"/>
              </w:rPr>
            </w:pPr>
            <w:r>
              <w:rPr>
                <w:sz w:val="21"/>
                <w:szCs w:val="21"/>
              </w:rPr>
              <w:t>浑河</w:t>
            </w:r>
          </w:p>
        </w:tc>
        <w:tc>
          <w:tcPr>
            <w:tcW w:w="2608" w:type="dxa"/>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sz w:val="21"/>
                <w:szCs w:val="21"/>
              </w:rPr>
              <w:t>东陵大桥</w:t>
            </w:r>
            <w:r>
              <w:rPr>
                <w:rFonts w:ascii="Times New Roman" w:eastAsia="Times New Roman"/>
                <w:sz w:val="21"/>
                <w:szCs w:val="21"/>
              </w:rPr>
              <w:t>~</w:t>
            </w:r>
            <w:r>
              <w:rPr>
                <w:sz w:val="21"/>
                <w:szCs w:val="21"/>
              </w:rPr>
              <w:t>南林子</w:t>
            </w:r>
          </w:p>
        </w:tc>
        <w:tc>
          <w:tcPr>
            <w:tcW w:w="1500" w:type="dxa"/>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rFonts w:ascii="Times New Roman"/>
                <w:sz w:val="21"/>
                <w:szCs w:val="21"/>
              </w:rPr>
              <w:t>77.14</w:t>
            </w:r>
          </w:p>
        </w:tc>
        <w:tc>
          <w:tcPr>
            <w:tcW w:w="2053" w:type="dxa"/>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sz w:val="21"/>
                <w:szCs w:val="21"/>
              </w:rPr>
              <w:t>地下水源补给</w:t>
            </w:r>
          </w:p>
        </w:tc>
        <w:tc>
          <w:tcPr>
            <w:tcW w:w="1694" w:type="dxa"/>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sz w:val="21"/>
                <w:szCs w:val="21"/>
              </w:rPr>
              <w:t>Ⅲ</w:t>
            </w:r>
          </w:p>
        </w:tc>
      </w:tr>
    </w:tbl>
    <w:p>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根据2020年《沈阳市环境质量状况公报》，浑河东陵大桥断面和砂山断面符合地表水Ⅲ类水质标准。本工程位于浑河东陵大桥断面下游，砂山断面上游，因此地表水水质现状满足地表水Ⅲ类水质标准。</w:t>
      </w:r>
    </w:p>
    <w:p>
      <w:pPr>
        <w:autoSpaceDE w:val="0"/>
        <w:autoSpaceDN w:val="0"/>
        <w:adjustRightInd w:val="0"/>
        <w:ind w:firstLine="484" w:firstLineChars="202"/>
        <w:rPr>
          <w:rFonts w:cs="Times New Roman"/>
          <w:szCs w:val="20"/>
          <w:lang w:eastAsia="zh-CN"/>
        </w:rPr>
      </w:pPr>
      <w:r>
        <w:rPr>
          <w:rFonts w:cs="Times New Roman"/>
          <w:szCs w:val="20"/>
          <w:lang w:eastAsia="zh-CN"/>
        </w:rPr>
        <w:t>地表水体达标情况见下表。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b/>
          <w:sz w:val="24"/>
          <w:szCs w:val="24"/>
          <w:lang w:eastAsia="zh-CN"/>
        </w:rPr>
      </w:pPr>
      <w:r>
        <w:rPr>
          <w:rFonts w:cs="Times New Roman"/>
          <w:b/>
          <w:sz w:val="24"/>
          <w:szCs w:val="24"/>
          <w:lang w:eastAsia="zh-CN"/>
        </w:rPr>
        <w:t>表3.</w:t>
      </w:r>
      <w:r>
        <w:rPr>
          <w:rFonts w:hint="eastAsia" w:cs="Times New Roman"/>
          <w:b/>
          <w:sz w:val="24"/>
          <w:szCs w:val="24"/>
          <w:lang w:val="en-US" w:eastAsia="zh-CN"/>
        </w:rPr>
        <w:t>2</w:t>
      </w:r>
      <w:r>
        <w:rPr>
          <w:rFonts w:cs="Times New Roman"/>
          <w:b/>
          <w:sz w:val="24"/>
          <w:szCs w:val="24"/>
          <w:lang w:eastAsia="zh-CN"/>
        </w:rPr>
        <w:t>-3  蒲河水体环境容量</w:t>
      </w:r>
    </w:p>
    <w:tbl>
      <w:tblPr>
        <w:tblStyle w:val="64"/>
        <w:tblW w:w="4876" w:type="pct"/>
        <w:tblInd w:w="219"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4"/>
        <w:gridCol w:w="1485"/>
        <w:gridCol w:w="1216"/>
        <w:gridCol w:w="2175"/>
        <w:gridCol w:w="1635"/>
        <w:gridCol w:w="13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53" w:type="pct"/>
            <w:tcBorders>
              <w:tl2br w:val="nil"/>
              <w:tr2bl w:val="nil"/>
            </w:tcBorders>
            <w:vAlign w:val="center"/>
          </w:tcPr>
          <w:p>
            <w:pPr>
              <w:spacing w:line="240" w:lineRule="auto"/>
              <w:ind w:firstLine="0" w:firstLineChars="0"/>
              <w:jc w:val="center"/>
              <w:rPr>
                <w:rFonts w:cs="Times New Roman"/>
                <w:b/>
                <w:bCs/>
                <w:sz w:val="21"/>
                <w:szCs w:val="21"/>
                <w:lang w:eastAsia="zh-CN"/>
              </w:rPr>
            </w:pPr>
            <w:r>
              <w:rPr>
                <w:rFonts w:cs="Times New Roman"/>
                <w:b/>
                <w:bCs/>
                <w:sz w:val="21"/>
                <w:szCs w:val="21"/>
                <w:lang w:eastAsia="zh-CN"/>
              </w:rPr>
              <w:t>河流名称</w:t>
            </w:r>
          </w:p>
        </w:tc>
        <w:tc>
          <w:tcPr>
            <w:tcW w:w="819" w:type="pct"/>
            <w:tcBorders>
              <w:tl2br w:val="nil"/>
              <w:tr2bl w:val="nil"/>
            </w:tcBorders>
            <w:vAlign w:val="center"/>
          </w:tcPr>
          <w:p>
            <w:pPr>
              <w:spacing w:line="240" w:lineRule="auto"/>
              <w:ind w:firstLine="0" w:firstLineChars="0"/>
              <w:jc w:val="center"/>
              <w:rPr>
                <w:rFonts w:cs="Times New Roman"/>
                <w:b/>
                <w:bCs/>
                <w:sz w:val="21"/>
                <w:szCs w:val="21"/>
                <w:lang w:eastAsia="zh-CN"/>
              </w:rPr>
            </w:pPr>
            <w:r>
              <w:rPr>
                <w:rFonts w:cs="Times New Roman"/>
                <w:b/>
                <w:bCs/>
                <w:sz w:val="21"/>
                <w:szCs w:val="21"/>
                <w:lang w:eastAsia="zh-CN"/>
              </w:rPr>
              <w:t>断面名称</w:t>
            </w:r>
          </w:p>
        </w:tc>
        <w:tc>
          <w:tcPr>
            <w:tcW w:w="671" w:type="pct"/>
            <w:tcBorders>
              <w:tl2br w:val="nil"/>
              <w:tr2bl w:val="nil"/>
            </w:tcBorders>
            <w:vAlign w:val="center"/>
          </w:tcPr>
          <w:p>
            <w:pPr>
              <w:spacing w:line="240" w:lineRule="auto"/>
              <w:ind w:firstLine="0" w:firstLineChars="0"/>
              <w:jc w:val="center"/>
              <w:rPr>
                <w:rFonts w:cs="Times New Roman"/>
                <w:b/>
                <w:bCs/>
                <w:sz w:val="21"/>
                <w:szCs w:val="21"/>
                <w:lang w:eastAsia="zh-CN"/>
              </w:rPr>
            </w:pPr>
            <w:r>
              <w:rPr>
                <w:rFonts w:cs="Times New Roman"/>
                <w:b/>
                <w:bCs/>
                <w:sz w:val="21"/>
                <w:szCs w:val="21"/>
                <w:lang w:eastAsia="zh-CN"/>
              </w:rPr>
              <w:t>水质目标</w:t>
            </w:r>
          </w:p>
        </w:tc>
        <w:tc>
          <w:tcPr>
            <w:tcW w:w="1200" w:type="pct"/>
            <w:tcBorders>
              <w:tl2br w:val="nil"/>
              <w:tr2bl w:val="nil"/>
            </w:tcBorders>
            <w:vAlign w:val="center"/>
          </w:tcPr>
          <w:p>
            <w:pPr>
              <w:spacing w:line="240" w:lineRule="auto"/>
              <w:ind w:firstLine="0" w:firstLineChars="0"/>
              <w:jc w:val="center"/>
              <w:rPr>
                <w:rFonts w:cs="Times New Roman"/>
                <w:b/>
                <w:bCs/>
                <w:sz w:val="21"/>
                <w:szCs w:val="21"/>
                <w:lang w:eastAsia="zh-CN"/>
              </w:rPr>
            </w:pPr>
            <w:r>
              <w:rPr>
                <w:rFonts w:cs="Times New Roman"/>
                <w:b/>
                <w:bCs/>
                <w:sz w:val="21"/>
                <w:szCs w:val="21"/>
                <w:lang w:eastAsia="zh-CN"/>
              </w:rPr>
              <w:t>项目</w:t>
            </w:r>
          </w:p>
        </w:tc>
        <w:tc>
          <w:tcPr>
            <w:tcW w:w="902" w:type="pct"/>
            <w:tcBorders>
              <w:tl2br w:val="nil"/>
              <w:tr2bl w:val="nil"/>
            </w:tcBorders>
            <w:vAlign w:val="center"/>
          </w:tcPr>
          <w:p>
            <w:pPr>
              <w:spacing w:line="240" w:lineRule="auto"/>
              <w:ind w:firstLine="0" w:firstLineChars="0"/>
              <w:jc w:val="center"/>
              <w:rPr>
                <w:rFonts w:cs="Times New Roman"/>
                <w:b/>
                <w:bCs/>
                <w:sz w:val="21"/>
                <w:szCs w:val="21"/>
                <w:lang w:eastAsia="zh-CN"/>
              </w:rPr>
            </w:pPr>
            <w:r>
              <w:rPr>
                <w:rFonts w:cs="Times New Roman"/>
                <w:b/>
                <w:bCs/>
                <w:sz w:val="21"/>
                <w:szCs w:val="21"/>
                <w:lang w:eastAsia="zh-CN"/>
              </w:rPr>
              <w:t>COD</w:t>
            </w:r>
          </w:p>
        </w:tc>
        <w:tc>
          <w:tcPr>
            <w:tcW w:w="753" w:type="pct"/>
            <w:tcBorders>
              <w:tl2br w:val="nil"/>
              <w:tr2bl w:val="nil"/>
            </w:tcBorders>
            <w:vAlign w:val="center"/>
          </w:tcPr>
          <w:p>
            <w:pPr>
              <w:spacing w:line="240" w:lineRule="auto"/>
              <w:ind w:firstLine="0" w:firstLineChars="0"/>
              <w:jc w:val="center"/>
              <w:rPr>
                <w:rFonts w:cs="Times New Roman"/>
                <w:b/>
                <w:bCs/>
                <w:sz w:val="21"/>
                <w:szCs w:val="21"/>
                <w:lang w:eastAsia="zh-CN"/>
              </w:rPr>
            </w:pPr>
            <w:r>
              <w:rPr>
                <w:rFonts w:cs="Times New Roman"/>
                <w:b/>
                <w:bCs/>
                <w:sz w:val="21"/>
                <w:szCs w:val="21"/>
                <w:lang w:eastAsia="zh-CN"/>
              </w:rPr>
              <w:t>氨氮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53" w:type="pct"/>
            <w:vMerge w:val="restart"/>
            <w:tcBorders>
              <w:tl2br w:val="nil"/>
              <w:tr2bl w:val="nil"/>
            </w:tcBorders>
            <w:vAlign w:val="center"/>
          </w:tcPr>
          <w:p>
            <w:pPr>
              <w:spacing w:line="240" w:lineRule="auto"/>
              <w:ind w:firstLine="0" w:firstLineChars="0"/>
              <w:jc w:val="center"/>
              <w:rPr>
                <w:rFonts w:cs="Times New Roman"/>
                <w:sz w:val="21"/>
                <w:szCs w:val="21"/>
                <w:lang w:eastAsia="zh-CN"/>
              </w:rPr>
            </w:pPr>
            <w:r>
              <w:rPr>
                <w:rFonts w:hint="eastAsia" w:cs="Times New Roman"/>
                <w:sz w:val="21"/>
                <w:szCs w:val="21"/>
                <w:lang w:eastAsia="zh-CN"/>
              </w:rPr>
              <w:t>浑河</w:t>
            </w:r>
          </w:p>
        </w:tc>
        <w:tc>
          <w:tcPr>
            <w:tcW w:w="819" w:type="pct"/>
            <w:vMerge w:val="restart"/>
            <w:tcBorders>
              <w:tl2br w:val="nil"/>
              <w:tr2bl w:val="nil"/>
            </w:tcBorders>
            <w:vAlign w:val="center"/>
          </w:tcPr>
          <w:p>
            <w:pPr>
              <w:spacing w:line="240" w:lineRule="auto"/>
              <w:ind w:firstLine="0" w:firstLineChars="0"/>
              <w:jc w:val="center"/>
              <w:rPr>
                <w:rFonts w:cs="Times New Roman"/>
                <w:sz w:val="21"/>
                <w:szCs w:val="21"/>
                <w:lang w:eastAsia="zh-CN"/>
              </w:rPr>
            </w:pPr>
            <w:r>
              <w:rPr>
                <w:rFonts w:hint="default" w:ascii="Times New Roman" w:hAnsi="Times New Roman" w:cs="Times New Roman"/>
                <w:sz w:val="21"/>
                <w:szCs w:val="21"/>
                <w:lang w:eastAsia="zh-CN"/>
              </w:rPr>
              <w:t>东陵大桥断面和砂山断面</w:t>
            </w:r>
          </w:p>
        </w:tc>
        <w:tc>
          <w:tcPr>
            <w:tcW w:w="671" w:type="pct"/>
            <w:vMerge w:val="restart"/>
            <w:tcBorders>
              <w:tl2br w:val="nil"/>
              <w:tr2bl w:val="nil"/>
            </w:tcBorders>
            <w:vAlign w:val="center"/>
          </w:tcPr>
          <w:p>
            <w:pPr>
              <w:spacing w:line="240" w:lineRule="auto"/>
              <w:ind w:firstLine="0" w:firstLineChars="0"/>
              <w:jc w:val="center"/>
              <w:rPr>
                <w:rFonts w:cs="Times New Roman"/>
                <w:sz w:val="21"/>
                <w:szCs w:val="21"/>
                <w:lang w:eastAsia="zh-CN"/>
              </w:rPr>
            </w:pPr>
            <w:r>
              <w:rPr>
                <w:rFonts w:hint="default" w:ascii="Times New Roman" w:hAnsi="Times New Roman" w:cs="Times New Roman"/>
                <w:sz w:val="21"/>
                <w:szCs w:val="21"/>
                <w:lang w:eastAsia="zh-CN"/>
              </w:rPr>
              <w:t>Ⅲ</w:t>
            </w:r>
          </w:p>
        </w:tc>
        <w:tc>
          <w:tcPr>
            <w:tcW w:w="1200" w:type="pct"/>
            <w:tcBorders>
              <w:tl2br w:val="nil"/>
              <w:tr2bl w:val="nil"/>
            </w:tcBorders>
            <w:vAlign w:val="center"/>
          </w:tcPr>
          <w:p>
            <w:pPr>
              <w:spacing w:line="240" w:lineRule="auto"/>
              <w:ind w:firstLine="0" w:firstLineChars="0"/>
              <w:jc w:val="center"/>
              <w:rPr>
                <w:rFonts w:cs="Times New Roman"/>
                <w:sz w:val="21"/>
                <w:szCs w:val="21"/>
                <w:lang w:eastAsia="zh-CN"/>
              </w:rPr>
            </w:pPr>
            <w:r>
              <w:rPr>
                <w:rFonts w:cs="Times New Roman"/>
                <w:sz w:val="21"/>
                <w:szCs w:val="21"/>
                <w:lang w:eastAsia="zh-CN"/>
              </w:rPr>
              <w:t>执行标准/mg/L</w:t>
            </w:r>
          </w:p>
        </w:tc>
        <w:tc>
          <w:tcPr>
            <w:tcW w:w="902" w:type="pct"/>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rFonts w:ascii="Times New Roman"/>
                <w:sz w:val="21"/>
              </w:rPr>
              <w:t>20</w:t>
            </w:r>
          </w:p>
        </w:tc>
        <w:tc>
          <w:tcPr>
            <w:tcW w:w="753" w:type="pct"/>
            <w:tcBorders>
              <w:tl2br w:val="nil"/>
              <w:tr2bl w:val="nil"/>
            </w:tcBorders>
            <w:vAlign w:val="top"/>
          </w:tcPr>
          <w:p>
            <w:pPr>
              <w:pStyle w:val="119"/>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cs="Times New Roman"/>
                <w:sz w:val="21"/>
                <w:szCs w:val="21"/>
                <w:lang w:eastAsia="zh-CN"/>
              </w:rPr>
            </w:pPr>
            <w:r>
              <w:rPr>
                <w:rFonts w:ascii="Times New Roman"/>
                <w:sz w:val="21"/>
              </w:rPr>
              <w: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53" w:type="pct"/>
            <w:vMerge w:val="continue"/>
            <w:tcBorders>
              <w:tl2br w:val="nil"/>
              <w:tr2bl w:val="nil"/>
            </w:tcBorders>
            <w:vAlign w:val="center"/>
          </w:tcPr>
          <w:p>
            <w:pPr>
              <w:spacing w:line="240" w:lineRule="auto"/>
              <w:ind w:firstLine="0" w:firstLineChars="0"/>
              <w:jc w:val="center"/>
              <w:rPr>
                <w:rFonts w:cs="Times New Roman"/>
                <w:sz w:val="21"/>
                <w:szCs w:val="21"/>
                <w:lang w:eastAsia="zh-CN"/>
              </w:rPr>
            </w:pPr>
          </w:p>
        </w:tc>
        <w:tc>
          <w:tcPr>
            <w:tcW w:w="819" w:type="pct"/>
            <w:vMerge w:val="continue"/>
            <w:tcBorders>
              <w:tl2br w:val="nil"/>
              <w:tr2bl w:val="nil"/>
            </w:tcBorders>
            <w:vAlign w:val="center"/>
          </w:tcPr>
          <w:p>
            <w:pPr>
              <w:spacing w:line="240" w:lineRule="auto"/>
              <w:ind w:firstLine="0" w:firstLineChars="0"/>
              <w:jc w:val="center"/>
              <w:rPr>
                <w:rFonts w:cs="Times New Roman"/>
                <w:sz w:val="21"/>
                <w:szCs w:val="21"/>
                <w:lang w:eastAsia="zh-CN"/>
              </w:rPr>
            </w:pPr>
          </w:p>
        </w:tc>
        <w:tc>
          <w:tcPr>
            <w:tcW w:w="671" w:type="pct"/>
            <w:vMerge w:val="continue"/>
            <w:tcBorders>
              <w:tl2br w:val="nil"/>
              <w:tr2bl w:val="nil"/>
            </w:tcBorders>
            <w:vAlign w:val="center"/>
          </w:tcPr>
          <w:p>
            <w:pPr>
              <w:spacing w:line="240" w:lineRule="auto"/>
              <w:ind w:firstLine="0" w:firstLineChars="0"/>
              <w:jc w:val="center"/>
              <w:rPr>
                <w:rFonts w:cs="Times New Roman"/>
                <w:sz w:val="21"/>
                <w:szCs w:val="21"/>
                <w:lang w:eastAsia="zh-CN"/>
              </w:rPr>
            </w:pPr>
          </w:p>
        </w:tc>
        <w:tc>
          <w:tcPr>
            <w:tcW w:w="1200" w:type="pct"/>
            <w:tcBorders>
              <w:tl2br w:val="nil"/>
              <w:tr2bl w:val="nil"/>
            </w:tcBorders>
            <w:vAlign w:val="center"/>
          </w:tcPr>
          <w:p>
            <w:pPr>
              <w:spacing w:line="240" w:lineRule="auto"/>
              <w:ind w:firstLine="0" w:firstLineChars="0"/>
              <w:jc w:val="center"/>
              <w:rPr>
                <w:rFonts w:cs="Times New Roman"/>
                <w:sz w:val="21"/>
                <w:szCs w:val="21"/>
                <w:lang w:eastAsia="zh-CN"/>
              </w:rPr>
            </w:pPr>
            <w:r>
              <w:rPr>
                <w:rFonts w:cs="Times New Roman"/>
                <w:sz w:val="21"/>
                <w:szCs w:val="21"/>
                <w:lang w:eastAsia="zh-CN"/>
              </w:rPr>
              <w:t>现状达标类别</w:t>
            </w:r>
          </w:p>
        </w:tc>
        <w:tc>
          <w:tcPr>
            <w:tcW w:w="902" w:type="pct"/>
            <w:tcBorders>
              <w:tl2br w:val="nil"/>
              <w:tr2bl w:val="nil"/>
            </w:tcBorders>
            <w:vAlign w:val="center"/>
          </w:tcPr>
          <w:p>
            <w:pPr>
              <w:spacing w:line="240" w:lineRule="auto"/>
              <w:ind w:firstLine="0" w:firstLineChars="0"/>
              <w:jc w:val="center"/>
              <w:rPr>
                <w:rFonts w:cs="Times New Roman"/>
                <w:sz w:val="21"/>
                <w:szCs w:val="21"/>
                <w:lang w:eastAsia="zh-CN"/>
              </w:rPr>
            </w:pPr>
            <w:r>
              <w:rPr>
                <w:rFonts w:cs="Times New Roman"/>
                <w:sz w:val="21"/>
                <w:szCs w:val="21"/>
                <w:lang w:eastAsia="zh-CN"/>
              </w:rPr>
              <w:t>达标</w:t>
            </w:r>
          </w:p>
        </w:tc>
        <w:tc>
          <w:tcPr>
            <w:tcW w:w="753" w:type="pct"/>
            <w:tcBorders>
              <w:tl2br w:val="nil"/>
              <w:tr2bl w:val="nil"/>
            </w:tcBorders>
            <w:vAlign w:val="center"/>
          </w:tcPr>
          <w:p>
            <w:pPr>
              <w:spacing w:line="240" w:lineRule="auto"/>
              <w:ind w:firstLine="0" w:firstLineChars="0"/>
              <w:jc w:val="center"/>
              <w:rPr>
                <w:rFonts w:cs="Times New Roman"/>
                <w:sz w:val="21"/>
                <w:szCs w:val="21"/>
                <w:lang w:eastAsia="zh-CN"/>
              </w:rPr>
            </w:pPr>
            <w:r>
              <w:rPr>
                <w:rFonts w:cs="Times New Roman"/>
                <w:sz w:val="21"/>
                <w:szCs w:val="21"/>
                <w:lang w:eastAsia="zh-CN"/>
              </w:rPr>
              <w:t>达标</w:t>
            </w: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cs="Times New Roman"/>
          <w:bCs/>
          <w:szCs w:val="20"/>
          <w:lang w:eastAsia="zh-CN"/>
        </w:rPr>
      </w:pPr>
      <w:bookmarkStart w:id="132" w:name="_Toc91752675"/>
      <w:bookmarkStart w:id="133" w:name="_Toc91752830"/>
      <w:bookmarkStart w:id="134" w:name="_Toc79201790"/>
      <w:bookmarkStart w:id="135" w:name="_Toc78852549"/>
      <w:bookmarkStart w:id="136" w:name="_Toc79461487"/>
      <w:bookmarkStart w:id="137" w:name="_Toc87871076"/>
      <w:bookmarkStart w:id="138" w:name="_Toc94524354"/>
      <w:bookmarkStart w:id="139" w:name="_Toc78887266"/>
      <w:bookmarkStart w:id="140" w:name="_Toc96918130"/>
      <w:bookmarkStart w:id="141" w:name="_Toc96917223"/>
      <w:r>
        <w:rPr>
          <w:rFonts w:cs="Times New Roman"/>
          <w:bCs/>
          <w:szCs w:val="20"/>
          <w:lang w:eastAsia="zh-CN"/>
        </w:rPr>
        <w:t>①确定水域范围</w:t>
      </w:r>
      <w:bookmarkEnd w:id="132"/>
      <w:bookmarkEnd w:id="133"/>
      <w:bookmarkEnd w:id="134"/>
      <w:bookmarkEnd w:id="135"/>
      <w:bookmarkEnd w:id="136"/>
      <w:bookmarkEnd w:id="137"/>
      <w:bookmarkEnd w:id="138"/>
      <w:bookmarkEnd w:id="139"/>
      <w:bookmarkEnd w:id="140"/>
      <w:bookmarkEnd w:id="141"/>
    </w:p>
    <w:p>
      <w:pPr>
        <w:keepNext w:val="0"/>
        <w:keepLines w:val="0"/>
        <w:pageBreakBefore w:val="0"/>
        <w:widowControl w:val="0"/>
        <w:kinsoku/>
        <w:wordWrap/>
        <w:overflowPunct/>
        <w:topLinePunct w:val="0"/>
        <w:autoSpaceDE/>
        <w:autoSpaceDN/>
        <w:bidi w:val="0"/>
        <w:adjustRightInd w:val="0"/>
        <w:snapToGrid w:val="0"/>
        <w:ind w:firstLine="480"/>
        <w:textAlignment w:val="auto"/>
        <w:rPr>
          <w:rFonts w:cs="Times New Roman"/>
          <w:bCs/>
          <w:szCs w:val="20"/>
          <w:lang w:eastAsia="zh-CN"/>
        </w:rPr>
      </w:pPr>
      <w:r>
        <w:rPr>
          <w:rFonts w:hint="eastAsia" w:cs="Times New Roman"/>
          <w:bCs/>
          <w:szCs w:val="20"/>
          <w:lang w:eastAsia="zh-CN"/>
        </w:rPr>
        <w:t>水域范围的确定是水环境容量基本计算单元确定的基础条件，是水环境容量模拟计算的基本范围。本次工作水域范围以评价区地表水环境功能区划中确定的功能区为基础，经过适当合并、整合后形成。排污河道按照入河排污口处理。因此，分析、整合后，将浑河水环境容量计算范围确定为</w:t>
      </w:r>
      <w:r>
        <w:rPr>
          <w:rFonts w:cs="Times New Roman"/>
          <w:snapToGrid w:val="0"/>
          <w:lang w:eastAsia="zh-CN"/>
        </w:rPr>
        <w:t>规划区域</w:t>
      </w:r>
      <w:r>
        <w:rPr>
          <w:rFonts w:hint="eastAsia" w:cs="Times New Roman"/>
          <w:bCs/>
          <w:szCs w:val="20"/>
          <w:lang w:eastAsia="zh-CN"/>
        </w:rPr>
        <w:t>Ⅲ类水域断面达标区。</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cs="Times New Roman"/>
          <w:bCs/>
          <w:szCs w:val="20"/>
          <w:lang w:eastAsia="zh-CN"/>
        </w:rPr>
      </w:pPr>
      <w:bookmarkStart w:id="142" w:name="_Toc87871077"/>
      <w:bookmarkStart w:id="143" w:name="_Toc78887267"/>
      <w:bookmarkStart w:id="144" w:name="_Toc94524355"/>
      <w:bookmarkStart w:id="145" w:name="_Toc91752831"/>
      <w:bookmarkStart w:id="146" w:name="_Toc78852550"/>
      <w:bookmarkStart w:id="147" w:name="_Toc79201791"/>
      <w:bookmarkStart w:id="148" w:name="_Toc96918131"/>
      <w:bookmarkStart w:id="149" w:name="_Toc96917224"/>
      <w:bookmarkStart w:id="150" w:name="_Toc91752676"/>
      <w:bookmarkStart w:id="151" w:name="_Toc79461488"/>
      <w:r>
        <w:rPr>
          <w:rFonts w:cs="Times New Roman"/>
          <w:bCs/>
          <w:szCs w:val="20"/>
          <w:lang w:eastAsia="zh-CN"/>
        </w:rPr>
        <w:t>②确定控制单元</w:t>
      </w:r>
      <w:bookmarkEnd w:id="142"/>
      <w:bookmarkEnd w:id="143"/>
      <w:bookmarkEnd w:id="144"/>
      <w:bookmarkEnd w:id="145"/>
      <w:bookmarkEnd w:id="146"/>
      <w:bookmarkEnd w:id="147"/>
      <w:bookmarkEnd w:id="148"/>
      <w:bookmarkEnd w:id="149"/>
      <w:bookmarkEnd w:id="150"/>
      <w:bookmarkEnd w:id="151"/>
    </w:p>
    <w:p>
      <w:pPr>
        <w:keepNext w:val="0"/>
        <w:keepLines w:val="0"/>
        <w:pageBreakBefore w:val="0"/>
        <w:widowControl w:val="0"/>
        <w:kinsoku/>
        <w:wordWrap/>
        <w:overflowPunct/>
        <w:topLinePunct w:val="0"/>
        <w:autoSpaceDE/>
        <w:autoSpaceDN/>
        <w:bidi w:val="0"/>
        <w:adjustRightInd w:val="0"/>
        <w:snapToGrid w:val="0"/>
        <w:ind w:firstLine="480"/>
        <w:textAlignment w:val="auto"/>
        <w:rPr>
          <w:rFonts w:cs="Times New Roman"/>
          <w:bCs/>
          <w:szCs w:val="20"/>
          <w:lang w:eastAsia="zh-CN"/>
        </w:rPr>
      </w:pPr>
      <w:r>
        <w:rPr>
          <w:rFonts w:cs="Times New Roman"/>
          <w:bCs/>
          <w:szCs w:val="20"/>
          <w:lang w:eastAsia="zh-CN"/>
        </w:rPr>
        <w:t>本次水环境容量核定，原则上以水环境功能区为基本单元。在水环境容量计算时，可以将整条河流作为一个整体进行计算，水环境容量计算单元属性见下表。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sz w:val="24"/>
          <w:szCs w:val="24"/>
          <w:lang w:eastAsia="zh-CN"/>
        </w:rPr>
      </w:pPr>
      <w:r>
        <w:rPr>
          <w:rFonts w:ascii="Times New Roman" w:hAnsi="Times New Roman" w:cs="Times New Roman"/>
          <w:b/>
          <w:sz w:val="24"/>
          <w:szCs w:val="24"/>
          <w:lang w:eastAsia="zh-CN"/>
        </w:rPr>
        <w:t>表3.</w:t>
      </w:r>
      <w:r>
        <w:rPr>
          <w:rFonts w:hint="eastAsia" w:ascii="Times New Roman" w:hAnsi="Times New Roman" w:cs="Times New Roman"/>
          <w:b/>
          <w:sz w:val="24"/>
          <w:szCs w:val="24"/>
          <w:lang w:val="en-US" w:eastAsia="zh-CN"/>
        </w:rPr>
        <w:t>2</w:t>
      </w:r>
      <w:r>
        <w:rPr>
          <w:rFonts w:ascii="Times New Roman" w:hAnsi="Times New Roman" w:cs="Times New Roman"/>
          <w:b/>
          <w:sz w:val="24"/>
          <w:szCs w:val="24"/>
          <w:lang w:eastAsia="zh-CN"/>
        </w:rPr>
        <w:t>-4  水环境容量计算单元表</w:t>
      </w:r>
    </w:p>
    <w:tbl>
      <w:tblPr>
        <w:tblStyle w:val="64"/>
        <w:tblW w:w="9269" w:type="dxa"/>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20"/>
        <w:gridCol w:w="1583"/>
        <w:gridCol w:w="1056"/>
        <w:gridCol w:w="1476"/>
        <w:gridCol w:w="1476"/>
        <w:gridCol w:w="846"/>
        <w:gridCol w:w="1056"/>
        <w:gridCol w:w="1056"/>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72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水体</w:t>
            </w:r>
          </w:p>
        </w:tc>
        <w:tc>
          <w:tcPr>
            <w:tcW w:w="1583"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w w:val="105"/>
                <w:sz w:val="21"/>
                <w:szCs w:val="21"/>
              </w:rPr>
              <w:t>计算单元</w:t>
            </w:r>
          </w:p>
        </w:tc>
        <w:tc>
          <w:tcPr>
            <w:tcW w:w="105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控制单元</w:t>
            </w:r>
          </w:p>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水质目标</w:t>
            </w:r>
          </w:p>
        </w:tc>
        <w:tc>
          <w:tcPr>
            <w:tcW w:w="147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计算单元上游</w:t>
            </w:r>
          </w:p>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断面目标水质</w:t>
            </w:r>
          </w:p>
        </w:tc>
        <w:tc>
          <w:tcPr>
            <w:tcW w:w="147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计算单元下游</w:t>
            </w:r>
          </w:p>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断面目标水质</w:t>
            </w:r>
          </w:p>
        </w:tc>
        <w:tc>
          <w:tcPr>
            <w:tcW w:w="84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控制断</w:t>
            </w:r>
          </w:p>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面位置</w:t>
            </w:r>
          </w:p>
        </w:tc>
        <w:tc>
          <w:tcPr>
            <w:tcW w:w="105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计算单元</w:t>
            </w:r>
          </w:p>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eastAsia="Times New Roman"/>
                <w:sz w:val="21"/>
                <w:szCs w:val="21"/>
              </w:rPr>
            </w:pPr>
            <w:r>
              <w:rPr>
                <w:spacing w:val="1"/>
                <w:sz w:val="21"/>
                <w:szCs w:val="21"/>
              </w:rPr>
              <w:t>长度</w:t>
            </w:r>
            <w:r>
              <w:rPr>
                <w:rFonts w:ascii="Times New Roman" w:eastAsia="Times New Roman"/>
                <w:sz w:val="21"/>
                <w:szCs w:val="21"/>
              </w:rPr>
              <w:t>(km)</w:t>
            </w:r>
          </w:p>
        </w:tc>
        <w:tc>
          <w:tcPr>
            <w:tcW w:w="105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计算单元</w:t>
            </w:r>
          </w:p>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eastAsia="Times New Roman"/>
                <w:sz w:val="21"/>
                <w:szCs w:val="21"/>
              </w:rPr>
            </w:pPr>
            <w:r>
              <w:rPr>
                <w:spacing w:val="1"/>
                <w:sz w:val="21"/>
                <w:szCs w:val="21"/>
              </w:rPr>
              <w:t>宽度</w:t>
            </w:r>
            <w:r>
              <w:rPr>
                <w:rFonts w:ascii="Times New Roman" w:eastAsia="Times New Roman"/>
                <w:sz w:val="21"/>
                <w:szCs w:val="21"/>
              </w:rPr>
              <w:t>(km)</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2" w:hRule="atLeast"/>
          <w:jc w:val="center"/>
        </w:trPr>
        <w:tc>
          <w:tcPr>
            <w:tcW w:w="72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sz w:val="21"/>
                <w:szCs w:val="21"/>
              </w:rPr>
              <w:t>浑河</w:t>
            </w:r>
          </w:p>
        </w:tc>
        <w:tc>
          <w:tcPr>
            <w:tcW w:w="1583"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w w:val="105"/>
                <w:sz w:val="21"/>
                <w:szCs w:val="21"/>
              </w:rPr>
              <w:t>东陵大桥</w:t>
            </w:r>
            <w:r>
              <w:rPr>
                <w:rFonts w:ascii="Times New Roman" w:eastAsia="Times New Roman"/>
                <w:w w:val="105"/>
                <w:sz w:val="21"/>
                <w:szCs w:val="21"/>
              </w:rPr>
              <w:t>~</w:t>
            </w:r>
            <w:r>
              <w:rPr>
                <w:rFonts w:hint="default" w:ascii="Times New Roman" w:hAnsi="Times New Roman" w:cs="Times New Roman"/>
                <w:sz w:val="21"/>
                <w:szCs w:val="21"/>
                <w:lang w:eastAsia="zh-CN"/>
              </w:rPr>
              <w:t>砂山</w:t>
            </w:r>
          </w:p>
        </w:tc>
        <w:tc>
          <w:tcPr>
            <w:tcW w:w="105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新宋体" w:hAnsi="新宋体"/>
                <w:sz w:val="21"/>
                <w:szCs w:val="21"/>
              </w:rPr>
            </w:pPr>
            <w:r>
              <w:rPr>
                <w:rFonts w:ascii="新宋体" w:hAnsi="新宋体"/>
                <w:sz w:val="21"/>
                <w:szCs w:val="21"/>
              </w:rPr>
              <w:t>Ⅲ</w:t>
            </w:r>
          </w:p>
        </w:tc>
        <w:tc>
          <w:tcPr>
            <w:tcW w:w="147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新宋体" w:hAnsi="新宋体"/>
                <w:sz w:val="21"/>
                <w:szCs w:val="21"/>
              </w:rPr>
            </w:pPr>
            <w:r>
              <w:rPr>
                <w:rFonts w:ascii="新宋体" w:hAnsi="新宋体"/>
                <w:sz w:val="21"/>
                <w:szCs w:val="21"/>
              </w:rPr>
              <w:t>Ⅲ</w:t>
            </w:r>
          </w:p>
        </w:tc>
        <w:tc>
          <w:tcPr>
            <w:tcW w:w="147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新宋体" w:hAnsi="新宋体"/>
                <w:sz w:val="21"/>
                <w:szCs w:val="21"/>
              </w:rPr>
            </w:pPr>
            <w:r>
              <w:rPr>
                <w:rFonts w:ascii="新宋体" w:hAnsi="新宋体"/>
                <w:sz w:val="21"/>
                <w:szCs w:val="21"/>
              </w:rPr>
              <w:t>Ⅲ</w:t>
            </w:r>
          </w:p>
        </w:tc>
        <w:tc>
          <w:tcPr>
            <w:tcW w:w="84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rFonts w:hint="default" w:ascii="Times New Roman" w:hAnsi="Times New Roman" w:cs="Times New Roman"/>
                <w:sz w:val="21"/>
                <w:szCs w:val="21"/>
                <w:lang w:eastAsia="zh-CN"/>
              </w:rPr>
              <w:t>砂山</w:t>
            </w:r>
          </w:p>
        </w:tc>
        <w:tc>
          <w:tcPr>
            <w:tcW w:w="105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hint="default" w:ascii="Times New Roman" w:eastAsia="宋体"/>
                <w:sz w:val="21"/>
                <w:szCs w:val="21"/>
                <w:lang w:val="en-US" w:eastAsia="zh-CN"/>
              </w:rPr>
            </w:pPr>
            <w:r>
              <w:rPr>
                <w:rFonts w:hint="eastAsia" w:ascii="Times New Roman"/>
                <w:sz w:val="21"/>
                <w:szCs w:val="21"/>
                <w:lang w:val="en-US" w:eastAsia="zh-CN"/>
              </w:rPr>
              <w:t>8.5</w:t>
            </w:r>
          </w:p>
        </w:tc>
        <w:tc>
          <w:tcPr>
            <w:tcW w:w="1056"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0.150</w:t>
            </w:r>
          </w:p>
        </w:tc>
      </w:tr>
    </w:tbl>
    <w:p>
      <w:pPr>
        <w:ind w:firstLine="480"/>
        <w:rPr>
          <w:rFonts w:cs="Times New Roman"/>
          <w:szCs w:val="20"/>
          <w:lang w:eastAsia="zh-CN"/>
        </w:rPr>
      </w:pPr>
      <w:r>
        <w:rPr>
          <w:rFonts w:cs="Times New Roman"/>
          <w:bCs/>
          <w:szCs w:val="20"/>
          <w:lang w:eastAsia="zh-CN"/>
        </w:rPr>
        <w:t>COD降解系数k</w:t>
      </w:r>
      <w:r>
        <w:rPr>
          <w:rFonts w:cs="Times New Roman"/>
          <w:bCs/>
          <w:szCs w:val="20"/>
          <w:vertAlign w:val="subscript"/>
          <w:lang w:eastAsia="zh-CN"/>
        </w:rPr>
        <w:t>COD</w:t>
      </w:r>
      <w:r>
        <w:rPr>
          <w:rFonts w:cs="Times New Roman"/>
          <w:bCs/>
          <w:szCs w:val="20"/>
          <w:lang w:eastAsia="zh-CN"/>
        </w:rPr>
        <w:t>采用0.15/S</w:t>
      </w:r>
      <w:r>
        <w:rPr>
          <w:rFonts w:cs="Times New Roman"/>
          <w:bCs/>
          <w:szCs w:val="20"/>
          <w:vertAlign w:val="superscript"/>
          <w:lang w:eastAsia="zh-CN"/>
        </w:rPr>
        <w:t>-1</w:t>
      </w:r>
      <w:r>
        <w:rPr>
          <w:rFonts w:cs="Times New Roman"/>
          <w:bCs/>
          <w:szCs w:val="20"/>
          <w:lang w:eastAsia="zh-CN"/>
        </w:rPr>
        <w:t>，NH</w:t>
      </w:r>
      <w:r>
        <w:rPr>
          <w:rFonts w:cs="Times New Roman"/>
          <w:bCs/>
          <w:szCs w:val="20"/>
          <w:vertAlign w:val="subscript"/>
          <w:lang w:eastAsia="zh-CN"/>
        </w:rPr>
        <w:t>3</w:t>
      </w:r>
      <w:r>
        <w:rPr>
          <w:rFonts w:cs="Times New Roman"/>
          <w:bCs/>
          <w:szCs w:val="20"/>
          <w:lang w:eastAsia="zh-CN"/>
        </w:rPr>
        <w:t>-N</w:t>
      </w:r>
      <w:r>
        <w:rPr>
          <w:rFonts w:cs="Times New Roman"/>
          <w:szCs w:val="20"/>
          <w:lang w:eastAsia="zh-CN"/>
        </w:rPr>
        <w:t>降解系数k</w:t>
      </w:r>
      <w:r>
        <w:rPr>
          <w:rFonts w:cs="Times New Roman"/>
          <w:szCs w:val="20"/>
          <w:vertAlign w:val="subscript"/>
          <w:lang w:eastAsia="zh-CN"/>
        </w:rPr>
        <w:t>NH3-N</w:t>
      </w:r>
      <w:r>
        <w:rPr>
          <w:rFonts w:cs="Times New Roman"/>
          <w:szCs w:val="20"/>
          <w:lang w:eastAsia="zh-CN"/>
        </w:rPr>
        <w:t>采用国家环境保护总局环</w:t>
      </w:r>
      <w:r>
        <w:rPr>
          <w:rFonts w:cs="Times New Roman"/>
          <w:bCs/>
          <w:szCs w:val="20"/>
          <w:lang w:eastAsia="zh-CN"/>
        </w:rPr>
        <w:t>境规划院在全国地表水环境容量核定中推荐</w:t>
      </w:r>
      <w:r>
        <w:rPr>
          <w:rFonts w:cs="Times New Roman"/>
          <w:szCs w:val="20"/>
          <w:lang w:eastAsia="zh-CN"/>
        </w:rPr>
        <w:t>取值0.10</w:t>
      </w:r>
      <w:r>
        <w:rPr>
          <w:rFonts w:cs="Times New Roman"/>
          <w:bCs/>
          <w:szCs w:val="20"/>
          <w:lang w:eastAsia="zh-CN"/>
        </w:rPr>
        <w:t>/S</w:t>
      </w:r>
      <w:r>
        <w:rPr>
          <w:rFonts w:cs="Times New Roman"/>
          <w:bCs/>
          <w:szCs w:val="20"/>
          <w:vertAlign w:val="superscript"/>
          <w:lang w:eastAsia="zh-CN"/>
        </w:rPr>
        <w:t>-1</w:t>
      </w:r>
      <w:r>
        <w:rPr>
          <w:rFonts w:cs="Times New Roman"/>
          <w:szCs w:val="20"/>
          <w:lang w:eastAsia="zh-CN"/>
        </w:rPr>
        <w:t>。</w:t>
      </w:r>
    </w:p>
    <w:p>
      <w:pPr>
        <w:autoSpaceDE w:val="0"/>
        <w:autoSpaceDN w:val="0"/>
        <w:adjustRightInd w:val="0"/>
        <w:ind w:firstLine="484" w:firstLineChars="202"/>
        <w:rPr>
          <w:rFonts w:cs="Times New Roman"/>
          <w:szCs w:val="20"/>
          <w:lang w:eastAsia="zh-CN"/>
        </w:rPr>
      </w:pPr>
      <w:r>
        <w:rPr>
          <w:rFonts w:cs="Times New Roman"/>
          <w:szCs w:val="20"/>
          <w:lang w:eastAsia="zh-CN"/>
        </w:rPr>
        <w:t>评价范围内河流的水文特征见下表。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sz w:val="24"/>
          <w:szCs w:val="24"/>
          <w:lang w:eastAsia="zh-CN"/>
        </w:rPr>
      </w:pPr>
      <w:r>
        <w:rPr>
          <w:rFonts w:ascii="Times New Roman" w:hAnsi="Times New Roman" w:cs="Times New Roman"/>
          <w:b/>
          <w:sz w:val="24"/>
          <w:szCs w:val="24"/>
          <w:lang w:eastAsia="zh-CN"/>
        </w:rPr>
        <w:t>表3.</w:t>
      </w:r>
      <w:r>
        <w:rPr>
          <w:rFonts w:hint="eastAsia" w:ascii="Times New Roman" w:hAnsi="Times New Roman" w:cs="Times New Roman"/>
          <w:b/>
          <w:sz w:val="24"/>
          <w:szCs w:val="24"/>
          <w:lang w:val="en-US" w:eastAsia="zh-CN"/>
        </w:rPr>
        <w:t>2</w:t>
      </w:r>
      <w:r>
        <w:rPr>
          <w:rFonts w:ascii="Times New Roman" w:hAnsi="Times New Roman" w:cs="Times New Roman"/>
          <w:b/>
          <w:sz w:val="24"/>
          <w:szCs w:val="24"/>
          <w:lang w:eastAsia="zh-CN"/>
        </w:rPr>
        <w:t>-5  评价范围内河流的水文特征</w:t>
      </w:r>
    </w:p>
    <w:tbl>
      <w:tblPr>
        <w:tblStyle w:val="64"/>
        <w:tblW w:w="0" w:type="auto"/>
        <w:tblInd w:w="108"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513"/>
        <w:gridCol w:w="1500"/>
        <w:gridCol w:w="1500"/>
        <w:gridCol w:w="1500"/>
        <w:gridCol w:w="1502"/>
        <w:gridCol w:w="1502"/>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1513" w:type="dxa"/>
            <w:vMerge w:val="restart"/>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w w:val="105"/>
                <w:sz w:val="21"/>
                <w:szCs w:val="21"/>
              </w:rPr>
              <w:t>序号</w:t>
            </w:r>
          </w:p>
        </w:tc>
        <w:tc>
          <w:tcPr>
            <w:tcW w:w="150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eastAsia="Times New Roman"/>
                <w:sz w:val="21"/>
                <w:szCs w:val="21"/>
              </w:rPr>
            </w:pPr>
            <w:r>
              <w:rPr>
                <w:w w:val="105"/>
                <w:sz w:val="21"/>
                <w:szCs w:val="21"/>
              </w:rPr>
              <w:t>河流宽度</w:t>
            </w:r>
            <w:r>
              <w:rPr>
                <w:rFonts w:ascii="Times New Roman" w:eastAsia="Times New Roman"/>
                <w:w w:val="105"/>
                <w:sz w:val="21"/>
                <w:szCs w:val="21"/>
              </w:rPr>
              <w:t>/m</w:t>
            </w:r>
          </w:p>
        </w:tc>
        <w:tc>
          <w:tcPr>
            <w:tcW w:w="150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eastAsia="Times New Roman"/>
                <w:sz w:val="21"/>
                <w:szCs w:val="21"/>
              </w:rPr>
            </w:pPr>
            <w:r>
              <w:rPr>
                <w:w w:val="105"/>
                <w:sz w:val="21"/>
                <w:szCs w:val="21"/>
              </w:rPr>
              <w:t>平均流速</w:t>
            </w:r>
            <w:r>
              <w:rPr>
                <w:rFonts w:ascii="Times New Roman" w:eastAsia="Times New Roman"/>
                <w:w w:val="105"/>
                <w:sz w:val="21"/>
                <w:szCs w:val="21"/>
              </w:rPr>
              <w:t>/m/s</w:t>
            </w:r>
          </w:p>
        </w:tc>
        <w:tc>
          <w:tcPr>
            <w:tcW w:w="150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eastAsia="Times New Roman"/>
                <w:sz w:val="21"/>
                <w:szCs w:val="21"/>
              </w:rPr>
            </w:pPr>
            <w:r>
              <w:rPr>
                <w:w w:val="105"/>
                <w:sz w:val="21"/>
                <w:szCs w:val="21"/>
              </w:rPr>
              <w:t>平均水深</w:t>
            </w:r>
            <w:r>
              <w:rPr>
                <w:rFonts w:ascii="Times New Roman" w:eastAsia="Times New Roman"/>
                <w:w w:val="105"/>
                <w:sz w:val="21"/>
                <w:szCs w:val="21"/>
              </w:rPr>
              <w:t>/m</w:t>
            </w:r>
          </w:p>
        </w:tc>
        <w:tc>
          <w:tcPr>
            <w:tcW w:w="1502"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eastAsia="Times New Roman"/>
                <w:sz w:val="21"/>
                <w:szCs w:val="21"/>
              </w:rPr>
            </w:pPr>
            <w:r>
              <w:rPr>
                <w:w w:val="105"/>
                <w:sz w:val="21"/>
                <w:szCs w:val="21"/>
              </w:rPr>
              <w:t>河流底坡</w:t>
            </w:r>
            <w:r>
              <w:rPr>
                <w:rFonts w:ascii="Times New Roman" w:eastAsia="Times New Roman"/>
                <w:w w:val="105"/>
                <w:sz w:val="21"/>
                <w:szCs w:val="21"/>
              </w:rPr>
              <w:t>/m/m</w:t>
            </w:r>
          </w:p>
        </w:tc>
        <w:tc>
          <w:tcPr>
            <w:tcW w:w="1502"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eastAsia="Times New Roman"/>
                <w:sz w:val="21"/>
                <w:szCs w:val="21"/>
              </w:rPr>
            </w:pPr>
            <w:r>
              <w:rPr>
                <w:w w:val="105"/>
                <w:sz w:val="21"/>
                <w:szCs w:val="21"/>
              </w:rPr>
              <w:t>河流流量</w:t>
            </w:r>
            <w:r>
              <w:rPr>
                <w:rFonts w:ascii="Times New Roman" w:eastAsia="Times New Roman"/>
                <w:w w:val="105"/>
                <w:sz w:val="21"/>
                <w:szCs w:val="21"/>
              </w:rPr>
              <w:t>/m</w:t>
            </w:r>
            <w:r>
              <w:rPr>
                <w:rFonts w:ascii="Times New Roman" w:eastAsia="Times New Roman"/>
                <w:w w:val="105"/>
                <w:sz w:val="21"/>
                <w:szCs w:val="21"/>
                <w:vertAlign w:val="superscript"/>
              </w:rPr>
              <w:t>3</w:t>
            </w:r>
            <w:r>
              <w:rPr>
                <w:rFonts w:ascii="Times New Roman" w:eastAsia="Times New Roman"/>
                <w:w w:val="105"/>
                <w:sz w:val="21"/>
                <w:szCs w:val="21"/>
                <w:vertAlign w:val="baseline"/>
              </w:rPr>
              <w:t>/s</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151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p>
        </w:tc>
        <w:tc>
          <w:tcPr>
            <w:tcW w:w="150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B</w:t>
            </w:r>
          </w:p>
        </w:tc>
        <w:tc>
          <w:tcPr>
            <w:tcW w:w="150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u</w:t>
            </w:r>
          </w:p>
        </w:tc>
        <w:tc>
          <w:tcPr>
            <w:tcW w:w="150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H</w:t>
            </w:r>
          </w:p>
        </w:tc>
        <w:tc>
          <w:tcPr>
            <w:tcW w:w="1502"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I</w:t>
            </w:r>
          </w:p>
        </w:tc>
        <w:tc>
          <w:tcPr>
            <w:tcW w:w="1502"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Q</w:t>
            </w:r>
            <w:r>
              <w:rPr>
                <w:rFonts w:ascii="Times New Roman"/>
                <w:sz w:val="21"/>
                <w:szCs w:val="21"/>
                <w:vertAlign w:val="subscript"/>
              </w:rPr>
              <w:t>h</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1513"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sz w:val="21"/>
                <w:szCs w:val="21"/>
              </w:rPr>
            </w:pPr>
            <w:r>
              <w:rPr>
                <w:w w:val="105"/>
                <w:sz w:val="21"/>
                <w:szCs w:val="21"/>
              </w:rPr>
              <w:t>浑河</w:t>
            </w:r>
          </w:p>
        </w:tc>
        <w:tc>
          <w:tcPr>
            <w:tcW w:w="150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hint="default" w:ascii="Times New Roman" w:eastAsia="宋体"/>
                <w:sz w:val="21"/>
                <w:szCs w:val="21"/>
                <w:lang w:val="en-US" w:eastAsia="zh-CN"/>
              </w:rPr>
            </w:pPr>
            <w:r>
              <w:rPr>
                <w:rFonts w:ascii="Times New Roman"/>
                <w:sz w:val="21"/>
                <w:szCs w:val="21"/>
              </w:rPr>
              <w:t>1</w:t>
            </w:r>
            <w:r>
              <w:rPr>
                <w:rFonts w:hint="eastAsia"/>
                <w:sz w:val="21"/>
                <w:szCs w:val="21"/>
                <w:lang w:val="en-US" w:eastAsia="zh-CN"/>
              </w:rPr>
              <w:t>0</w:t>
            </w:r>
            <w:r>
              <w:rPr>
                <w:rFonts w:hint="eastAsia" w:ascii="Times New Roman"/>
                <w:sz w:val="21"/>
                <w:szCs w:val="21"/>
                <w:lang w:val="en-US" w:eastAsia="zh-CN"/>
              </w:rPr>
              <w:t>0</w:t>
            </w:r>
          </w:p>
        </w:tc>
        <w:tc>
          <w:tcPr>
            <w:tcW w:w="150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0.14</w:t>
            </w:r>
          </w:p>
        </w:tc>
        <w:tc>
          <w:tcPr>
            <w:tcW w:w="1500"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1.5</w:t>
            </w:r>
          </w:p>
        </w:tc>
        <w:tc>
          <w:tcPr>
            <w:tcW w:w="1502"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0.0004</w:t>
            </w:r>
          </w:p>
        </w:tc>
        <w:tc>
          <w:tcPr>
            <w:tcW w:w="1502" w:type="dxa"/>
            <w:tcBorders>
              <w:tl2br w:val="nil"/>
              <w:tr2bl w:val="nil"/>
            </w:tcBorders>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right="0" w:firstLine="0" w:firstLineChars="0"/>
              <w:jc w:val="center"/>
              <w:textAlignment w:val="auto"/>
              <w:rPr>
                <w:rFonts w:ascii="Times New Roman"/>
                <w:sz w:val="21"/>
                <w:szCs w:val="21"/>
              </w:rPr>
            </w:pPr>
            <w:r>
              <w:rPr>
                <w:rFonts w:ascii="Times New Roman"/>
                <w:sz w:val="21"/>
                <w:szCs w:val="21"/>
              </w:rPr>
              <w:t>65</w:t>
            </w:r>
          </w:p>
        </w:tc>
      </w:tr>
    </w:tbl>
    <w:p>
      <w:pPr>
        <w:keepNext w:val="0"/>
        <w:keepLines w:val="0"/>
        <w:pageBreakBefore w:val="0"/>
        <w:widowControl w:val="0"/>
        <w:kinsoku/>
        <w:wordWrap/>
        <w:overflowPunct/>
        <w:topLinePunct w:val="0"/>
        <w:autoSpaceDE/>
        <w:autoSpaceDN/>
        <w:bidi w:val="0"/>
        <w:adjustRightInd/>
        <w:snapToGrid/>
        <w:ind w:firstLine="480"/>
        <w:textAlignment w:val="auto"/>
        <w:rPr>
          <w:rFonts w:cs="Times New Roman"/>
          <w:szCs w:val="20"/>
          <w:lang w:eastAsia="zh-CN"/>
        </w:rPr>
      </w:pPr>
      <w:r>
        <w:rPr>
          <w:rFonts w:cs="Times New Roman"/>
          <w:szCs w:val="20"/>
          <w:lang w:eastAsia="zh-CN"/>
        </w:rPr>
        <w:t>控制单元水环境容量核定结果见下表。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sz w:val="24"/>
          <w:szCs w:val="24"/>
          <w:lang w:eastAsia="zh-CN"/>
        </w:rPr>
      </w:pPr>
      <w:r>
        <w:rPr>
          <w:rFonts w:ascii="Times New Roman" w:hAnsi="Times New Roman" w:cs="Times New Roman"/>
          <w:b/>
          <w:sz w:val="24"/>
          <w:szCs w:val="24"/>
          <w:lang w:eastAsia="zh-CN"/>
        </w:rPr>
        <w:t>表3.</w:t>
      </w:r>
      <w:r>
        <w:rPr>
          <w:rFonts w:hint="eastAsia" w:ascii="Times New Roman" w:hAnsi="Times New Roman" w:cs="Times New Roman"/>
          <w:b/>
          <w:sz w:val="24"/>
          <w:szCs w:val="24"/>
          <w:lang w:val="en-US" w:eastAsia="zh-CN"/>
        </w:rPr>
        <w:t>2</w:t>
      </w:r>
      <w:r>
        <w:rPr>
          <w:rFonts w:ascii="Times New Roman" w:hAnsi="Times New Roman" w:cs="Times New Roman"/>
          <w:b/>
          <w:sz w:val="24"/>
          <w:szCs w:val="24"/>
          <w:lang w:eastAsia="zh-CN"/>
        </w:rPr>
        <w:t>-6 各控制单元水环境容量核定结果</w:t>
      </w:r>
    </w:p>
    <w:tbl>
      <w:tblPr>
        <w:tblStyle w:val="64"/>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2423"/>
        <w:gridCol w:w="1254"/>
        <w:gridCol w:w="1237"/>
        <w:gridCol w:w="1616"/>
        <w:gridCol w:w="165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水体</w:t>
            </w:r>
          </w:p>
        </w:tc>
        <w:tc>
          <w:tcPr>
            <w:tcW w:w="13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计算单元</w:t>
            </w:r>
          </w:p>
        </w:tc>
        <w:tc>
          <w:tcPr>
            <w:tcW w:w="6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控制单元</w:t>
            </w:r>
          </w:p>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水质目标</w:t>
            </w:r>
          </w:p>
        </w:tc>
        <w:tc>
          <w:tcPr>
            <w:tcW w:w="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计算单元</w:t>
            </w:r>
          </w:p>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长度(km)</w:t>
            </w:r>
          </w:p>
        </w:tc>
        <w:tc>
          <w:tcPr>
            <w:tcW w:w="8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COD环境容量/t/a</w:t>
            </w:r>
          </w:p>
        </w:tc>
        <w:tc>
          <w:tcPr>
            <w:tcW w:w="89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NH</w:t>
            </w:r>
            <w:r>
              <w:rPr>
                <w:rFonts w:hint="default" w:ascii="Times New Roman" w:hAnsi="Times New Roman" w:cs="Times New Roman"/>
                <w:b/>
                <w:bCs/>
                <w:sz w:val="21"/>
                <w:szCs w:val="21"/>
                <w:vertAlign w:val="subscript"/>
                <w:lang w:eastAsia="zh-CN"/>
              </w:rPr>
              <w:t>3</w:t>
            </w:r>
            <w:r>
              <w:rPr>
                <w:rFonts w:hint="default" w:ascii="Times New Roman" w:hAnsi="Times New Roman" w:cs="Times New Roman"/>
                <w:b/>
                <w:bCs/>
                <w:sz w:val="21"/>
                <w:szCs w:val="21"/>
                <w:lang w:eastAsia="zh-CN"/>
              </w:rPr>
              <w:t>-N环境容量/t/a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w w:val="105"/>
                <w:sz w:val="21"/>
                <w:szCs w:val="21"/>
              </w:rPr>
              <w:t>浑河</w:t>
            </w:r>
          </w:p>
        </w:tc>
        <w:tc>
          <w:tcPr>
            <w:tcW w:w="13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w w:val="105"/>
                <w:sz w:val="21"/>
                <w:szCs w:val="21"/>
              </w:rPr>
              <w:t>东陵大桥</w:t>
            </w:r>
            <w:r>
              <w:rPr>
                <w:rFonts w:hint="default" w:ascii="Times New Roman" w:hAnsi="Times New Roman" w:eastAsia="Times New Roman" w:cs="Times New Roman"/>
                <w:w w:val="105"/>
                <w:sz w:val="21"/>
                <w:szCs w:val="21"/>
              </w:rPr>
              <w:t>~</w:t>
            </w:r>
            <w:r>
              <w:rPr>
                <w:rFonts w:hint="default" w:ascii="Times New Roman" w:hAnsi="Times New Roman" w:cs="Times New Roman"/>
                <w:sz w:val="21"/>
                <w:szCs w:val="21"/>
                <w:lang w:eastAsia="zh-CN"/>
              </w:rPr>
              <w:t>砂山</w:t>
            </w:r>
          </w:p>
        </w:tc>
        <w:tc>
          <w:tcPr>
            <w:tcW w:w="6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napToGrid w:val="0"/>
                <w:sz w:val="21"/>
                <w:szCs w:val="21"/>
                <w:lang w:eastAsia="zh-CN"/>
              </w:rPr>
              <w:fldChar w:fldCharType="begin"/>
            </w:r>
            <w:r>
              <w:rPr>
                <w:rFonts w:hint="default" w:ascii="Times New Roman" w:hAnsi="Times New Roman" w:cs="Times New Roman"/>
                <w:snapToGrid w:val="0"/>
                <w:sz w:val="21"/>
                <w:szCs w:val="21"/>
                <w:lang w:eastAsia="zh-CN"/>
              </w:rPr>
              <w:instrText xml:space="preserve"> = 4 \* ROMAN \* MERGEFORMAT </w:instrText>
            </w:r>
            <w:r>
              <w:rPr>
                <w:rFonts w:hint="default" w:ascii="Times New Roman" w:hAnsi="Times New Roman" w:cs="Times New Roman"/>
                <w:snapToGrid w:val="0"/>
                <w:sz w:val="21"/>
                <w:szCs w:val="21"/>
                <w:lang w:eastAsia="zh-CN"/>
              </w:rPr>
              <w:fldChar w:fldCharType="separate"/>
            </w:r>
            <w:r>
              <w:rPr>
                <w:rFonts w:hint="default" w:ascii="Times New Roman" w:hAnsi="Times New Roman" w:cs="Times New Roman"/>
                <w:sz w:val="21"/>
                <w:szCs w:val="21"/>
                <w:lang w:eastAsia="zh-CN"/>
              </w:rPr>
              <w:t>V</w:t>
            </w:r>
            <w:r>
              <w:rPr>
                <w:rFonts w:hint="default" w:ascii="Times New Roman" w:hAnsi="Times New Roman" w:cs="Times New Roman"/>
                <w:snapToGrid w:val="0"/>
                <w:sz w:val="21"/>
                <w:szCs w:val="21"/>
                <w:lang w:eastAsia="zh-CN"/>
              </w:rPr>
              <w:fldChar w:fldCharType="end"/>
            </w:r>
          </w:p>
        </w:tc>
        <w:tc>
          <w:tcPr>
            <w:tcW w:w="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8.5</w:t>
            </w:r>
          </w:p>
        </w:tc>
        <w:tc>
          <w:tcPr>
            <w:tcW w:w="8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842.19</w:t>
            </w:r>
          </w:p>
        </w:tc>
        <w:tc>
          <w:tcPr>
            <w:tcW w:w="89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w:t>
            </w:r>
          </w:p>
        </w:tc>
      </w:tr>
    </w:tbl>
    <w:p>
      <w:pPr>
        <w:ind w:firstLine="480"/>
        <w:rPr>
          <w:rFonts w:hint="default" w:ascii="Times New Roman" w:hAnsi="Times New Roman" w:cs="Times New Roman"/>
          <w:szCs w:val="20"/>
          <w:lang w:eastAsia="zh-CN"/>
        </w:rPr>
      </w:pPr>
    </w:p>
    <w:p>
      <w:pPr>
        <w:ind w:firstLine="480"/>
        <w:rPr>
          <w:rFonts w:hint="default" w:ascii="Times New Roman" w:hAnsi="Times New Roman" w:cs="Times New Roman"/>
          <w:szCs w:val="20"/>
          <w:lang w:eastAsia="zh-CN"/>
        </w:rPr>
      </w:pPr>
      <w:r>
        <w:rPr>
          <w:rFonts w:hint="default" w:ascii="Times New Roman" w:hAnsi="Times New Roman" w:cs="Times New Roman"/>
          <w:szCs w:val="20"/>
          <w:lang w:eastAsia="zh-CN"/>
        </w:rPr>
        <w:t>因此，浑河COD仍有</w:t>
      </w:r>
      <w:r>
        <w:rPr>
          <w:rFonts w:hint="default" w:ascii="Times New Roman" w:hAnsi="Times New Roman" w:cs="Times New Roman"/>
          <w:szCs w:val="20"/>
          <w:lang w:val="en-US" w:eastAsia="zh-CN"/>
        </w:rPr>
        <w:t>842.19</w:t>
      </w:r>
      <w:r>
        <w:rPr>
          <w:rFonts w:hint="default" w:ascii="Times New Roman" w:hAnsi="Times New Roman" w:cs="Times New Roman"/>
          <w:szCs w:val="20"/>
          <w:lang w:eastAsia="zh-CN"/>
        </w:rPr>
        <w:t>t/a的容量，氨氮没有环境容量，目前已不能新增污染物的排放，需对河流水污染进行治理腾出环境容量以供后续发展所需。</w:t>
      </w:r>
    </w:p>
    <w:p>
      <w:pPr>
        <w:pStyle w:val="9"/>
        <w:rPr>
          <w:rFonts w:ascii="Times New Roman" w:hAnsi="Times New Roman"/>
        </w:rPr>
      </w:pPr>
      <w:bookmarkStart w:id="152" w:name="_Toc32571"/>
      <w:r>
        <w:rPr>
          <w:rFonts w:ascii="Times New Roman" w:hAnsi="Times New Roman"/>
        </w:rPr>
        <w:t>3.</w:t>
      </w:r>
      <w:r>
        <w:rPr>
          <w:rFonts w:hint="eastAsia" w:ascii="Times New Roman" w:hAnsi="Times New Roman"/>
          <w:lang w:val="en-US" w:eastAsia="zh-CN"/>
        </w:rPr>
        <w:t>2</w:t>
      </w:r>
      <w:r>
        <w:rPr>
          <w:rFonts w:ascii="Times New Roman" w:hAnsi="Times New Roman"/>
        </w:rPr>
        <w:t>.3 大气环境容量及承载力跟踪评价</w:t>
      </w:r>
      <w:bookmarkEnd w:id="152"/>
    </w:p>
    <w:p>
      <w:pPr>
        <w:ind w:firstLine="480"/>
        <w:outlineLvl w:val="9"/>
        <w:rPr>
          <w:rFonts w:cs="Times New Roman"/>
          <w:lang w:eastAsia="zh-CN"/>
        </w:rPr>
      </w:pPr>
      <w:r>
        <w:rPr>
          <w:rFonts w:hint="eastAsia" w:cs="Times New Roman"/>
          <w:lang w:eastAsia="zh-CN"/>
        </w:rPr>
        <w:t>（</w:t>
      </w:r>
      <w:r>
        <w:rPr>
          <w:rFonts w:hint="eastAsia" w:cs="Times New Roman"/>
          <w:lang w:val="en-US" w:eastAsia="zh-CN"/>
        </w:rPr>
        <w:t>1</w:t>
      </w:r>
      <w:r>
        <w:rPr>
          <w:rFonts w:hint="eastAsia" w:cs="Times New Roman"/>
          <w:lang w:eastAsia="zh-CN"/>
        </w:rPr>
        <w:t>）大气环境功能区划与总量控制因子</w:t>
      </w:r>
    </w:p>
    <w:p>
      <w:pPr>
        <w:ind w:firstLine="480"/>
        <w:outlineLvl w:val="9"/>
        <w:rPr>
          <w:rFonts w:cs="Times New Roman"/>
          <w:lang w:eastAsia="zh-CN"/>
        </w:rPr>
      </w:pPr>
      <w:r>
        <w:rPr>
          <w:rFonts w:cs="Times New Roman"/>
          <w:lang w:eastAsia="zh-CN"/>
        </w:rPr>
        <w:t>区域大气污染物排放总量控制就是通过控制给定区域内污染源的允许排放总量，来确保控制区实现大气环境质量目标的一种方法。</w:t>
      </w:r>
    </w:p>
    <w:p>
      <w:pPr>
        <w:ind w:firstLine="480"/>
        <w:outlineLvl w:val="9"/>
        <w:rPr>
          <w:rFonts w:cs="Times New Roman"/>
          <w:lang w:eastAsia="zh-CN"/>
        </w:rPr>
      </w:pPr>
      <w:r>
        <w:rPr>
          <w:rFonts w:cs="Times New Roman"/>
          <w:lang w:eastAsia="zh-CN"/>
        </w:rPr>
        <w:t>规划区域总体规划面积约</w:t>
      </w:r>
      <w:r>
        <w:rPr>
          <w:rFonts w:hint="eastAsia" w:cs="Times New Roman"/>
          <w:lang w:val="en-US" w:eastAsia="zh-CN"/>
        </w:rPr>
        <w:t>51</w:t>
      </w:r>
      <w:r>
        <w:rPr>
          <w:rFonts w:cs="Times New Roman"/>
          <w:lang w:eastAsia="zh-CN"/>
        </w:rPr>
        <w:t>km</w:t>
      </w:r>
      <w:r>
        <w:rPr>
          <w:rFonts w:cs="Times New Roman"/>
          <w:vertAlign w:val="superscript"/>
          <w:lang w:eastAsia="zh-CN"/>
        </w:rPr>
        <w:t>2</w:t>
      </w:r>
      <w:r>
        <w:rPr>
          <w:rFonts w:cs="Times New Roman"/>
          <w:lang w:eastAsia="zh-CN"/>
        </w:rPr>
        <w:t>，均处于环境空气功能区划二类区，执行环境空气质量二级标准。</w:t>
      </w:r>
    </w:p>
    <w:p>
      <w:pPr>
        <w:ind w:firstLine="480"/>
        <w:outlineLvl w:val="9"/>
        <w:rPr>
          <w:rFonts w:cs="Times New Roman"/>
          <w:lang w:eastAsia="zh-CN"/>
        </w:rPr>
      </w:pPr>
      <w:r>
        <w:rPr>
          <w:rFonts w:cs="Times New Roman"/>
          <w:lang w:eastAsia="zh-CN"/>
        </w:rPr>
        <w:t>根据区域环境特征和规划产业特征，以及国家有关的环保、产业政策等，确定本次区域大气环境总量控制项目为NO</w:t>
      </w:r>
      <w:r>
        <w:rPr>
          <w:rFonts w:cs="Times New Roman"/>
          <w:vertAlign w:val="subscript"/>
          <w:lang w:eastAsia="zh-CN"/>
        </w:rPr>
        <w:t>2</w:t>
      </w:r>
      <w:r>
        <w:rPr>
          <w:rFonts w:cs="Times New Roman"/>
          <w:lang w:eastAsia="zh-CN"/>
        </w:rPr>
        <w:t>、PM</w:t>
      </w:r>
      <w:r>
        <w:rPr>
          <w:rFonts w:cs="Times New Roman"/>
          <w:vertAlign w:val="subscript"/>
          <w:lang w:eastAsia="zh-CN"/>
        </w:rPr>
        <w:t>10</w:t>
      </w:r>
      <w:r>
        <w:rPr>
          <w:rFonts w:cs="Times New Roman"/>
          <w:lang w:eastAsia="zh-CN"/>
        </w:rPr>
        <w:t>、PM</w:t>
      </w:r>
      <w:r>
        <w:rPr>
          <w:rFonts w:cs="Times New Roman"/>
          <w:vertAlign w:val="subscript"/>
          <w:lang w:eastAsia="zh-CN"/>
        </w:rPr>
        <w:t>2.5</w:t>
      </w:r>
      <w:r>
        <w:rPr>
          <w:rFonts w:cs="Times New Roman"/>
          <w:lang w:eastAsia="zh-CN"/>
        </w:rPr>
        <w:t>。</w:t>
      </w:r>
    </w:p>
    <w:p>
      <w:pPr>
        <w:outlineLvl w:val="9"/>
        <w:rPr>
          <w:rFonts w:hint="eastAsia" w:ascii="Times New Roman" w:hAnsi="Times New Roman" w:eastAsia="宋体" w:cs="Times New Roman"/>
          <w:sz w:val="24"/>
          <w:szCs w:val="24"/>
          <w:lang w:val="en-US" w:eastAsia="zh-CN" w:bidi="ar-SA"/>
        </w:rPr>
      </w:pPr>
      <w:bookmarkStart w:id="153" w:name="_Toc360738247"/>
      <w:r>
        <w:rPr>
          <w:rFonts w:hint="eastAsia" w:ascii="Times New Roman" w:hAnsi="Times New Roman" w:eastAsia="宋体" w:cs="Times New Roman"/>
          <w:sz w:val="24"/>
          <w:szCs w:val="24"/>
          <w:lang w:val="en-US" w:eastAsia="zh-CN" w:bidi="ar-SA"/>
        </w:rPr>
        <w:t>（2）主要内容和计算方法</w:t>
      </w:r>
      <w:bookmarkEnd w:id="153"/>
    </w:p>
    <w:p>
      <w:pPr>
        <w:ind w:firstLine="480"/>
        <w:rPr>
          <w:rFonts w:cs="Times New Roman"/>
          <w:lang w:eastAsia="zh-CN"/>
        </w:rPr>
      </w:pPr>
      <w:r>
        <w:rPr>
          <w:rFonts w:cs="Times New Roman"/>
          <w:lang w:eastAsia="zh-CN"/>
        </w:rPr>
        <w:t>为比较准确地计算规划区域的环境容量，评价采用《制定地方大气污染物排放标准的技术方法》（GB/T13201-91）中AP值法的A法计算规划区域的大气环境容量。</w:t>
      </w:r>
    </w:p>
    <w:p>
      <w:pPr>
        <w:ind w:firstLine="480"/>
        <w:rPr>
          <w:rFonts w:cs="Times New Roman"/>
          <w:lang w:eastAsia="zh-CN"/>
        </w:rPr>
      </w:pPr>
      <w:r>
        <w:rPr>
          <w:rFonts w:cs="Times New Roman"/>
          <w:lang w:eastAsia="zh-CN"/>
        </w:rPr>
        <w:t xml:space="preserve"> A值法计算控制区域内环境容量方法为：</w:t>
      </w:r>
    </w:p>
    <w:p>
      <w:pPr>
        <w:pStyle w:val="160"/>
        <w:spacing w:before="72" w:after="72"/>
        <w:ind w:firstLine="480"/>
        <w:jc w:val="center"/>
      </w:pPr>
      <w:r>
        <w:rPr>
          <w:position w:val="-30"/>
        </w:rPr>
        <w:object>
          <v:shape id="_x0000_i1025" o:spt="75" type="#_x0000_t75" style="height:36pt;width:132.45pt;" o:ole="t" filled="f" o:preferrelative="t" stroked="f" coordsize="21600,21600">
            <v:path/>
            <v:fill on="f" focussize="0,0"/>
            <v:stroke on="f" joinstyle="miter"/>
            <v:imagedata r:id="rId29" o:title=""/>
            <o:lock v:ext="edit" aspectratio="t"/>
            <w10:wrap type="none"/>
            <w10:anchorlock/>
          </v:shape>
          <o:OLEObject Type="Embed" ProgID="Equation.KSEE3" ShapeID="_x0000_i1025" DrawAspect="Content" ObjectID="_1468075725" r:id="rId28">
            <o:LockedField>false</o:LockedField>
          </o:OLEObject>
        </w:object>
      </w:r>
    </w:p>
    <w:p>
      <w:pPr>
        <w:pStyle w:val="25"/>
        <w:spacing w:line="356" w:lineRule="auto"/>
        <w:ind w:left="213" w:firstLine="480"/>
        <w:rPr>
          <w:rFonts w:cs="Times New Roman"/>
          <w:lang w:eastAsia="zh-CN"/>
        </w:rPr>
      </w:pPr>
      <w:r>
        <w:rPr>
          <w:rFonts w:cs="Times New Roman"/>
          <w:lang w:eastAsia="zh-CN"/>
        </w:rPr>
        <w:t>式中：</w:t>
      </w:r>
    </w:p>
    <w:p>
      <w:pPr>
        <w:ind w:firstLine="480"/>
        <w:outlineLvl w:val="9"/>
        <w:rPr>
          <w:rFonts w:cs="Times New Roman"/>
          <w:lang w:eastAsia="zh-CN"/>
        </w:rPr>
      </w:pPr>
      <w:r>
        <w:rPr>
          <w:rFonts w:cs="Times New Roman"/>
          <w:lang w:eastAsia="zh-CN"/>
        </w:rPr>
        <w:t xml:space="preserve">   Q城区—城区范围内某种污染物年允许排放总量限值，10</w:t>
      </w:r>
      <w:r>
        <w:rPr>
          <w:rFonts w:cs="Times New Roman"/>
          <w:vertAlign w:val="superscript"/>
          <w:lang w:eastAsia="zh-CN"/>
        </w:rPr>
        <w:t>4</w:t>
      </w:r>
      <w:r>
        <w:rPr>
          <w:rFonts w:cs="Times New Roman"/>
          <w:lang w:eastAsia="zh-CN"/>
        </w:rPr>
        <w:t>t/a；</w:t>
      </w:r>
    </w:p>
    <w:p>
      <w:pPr>
        <w:ind w:firstLine="480"/>
        <w:outlineLvl w:val="9"/>
        <w:rPr>
          <w:rFonts w:cs="Times New Roman"/>
          <w:lang w:eastAsia="zh-CN"/>
        </w:rPr>
      </w:pPr>
      <w:r>
        <w:rPr>
          <w:rFonts w:cs="Times New Roman"/>
          <w:lang w:eastAsia="zh-CN"/>
        </w:rPr>
        <w:t xml:space="preserve">   A—地理区域性总量控制系数，10</w:t>
      </w:r>
      <w:r>
        <w:rPr>
          <w:rFonts w:cs="Times New Roman"/>
          <w:vertAlign w:val="superscript"/>
          <w:lang w:eastAsia="zh-CN"/>
        </w:rPr>
        <w:t>4</w:t>
      </w:r>
      <w:r>
        <w:rPr>
          <w:rFonts w:cs="Times New Roman"/>
          <w:lang w:eastAsia="zh-CN"/>
        </w:rPr>
        <w:t>·(km</w:t>
      </w:r>
      <w:r>
        <w:rPr>
          <w:rFonts w:cs="Times New Roman"/>
          <w:vertAlign w:val="superscript"/>
          <w:lang w:eastAsia="zh-CN"/>
        </w:rPr>
        <w:t>2</w:t>
      </w:r>
      <w:r>
        <w:rPr>
          <w:rFonts w:cs="Times New Roman"/>
          <w:lang w:eastAsia="zh-CN"/>
        </w:rPr>
        <w:t>)</w:t>
      </w:r>
      <w:r>
        <w:rPr>
          <w:rFonts w:cs="Times New Roman"/>
          <w:vertAlign w:val="superscript"/>
          <w:lang w:eastAsia="zh-CN"/>
        </w:rPr>
        <w:t>-1</w:t>
      </w:r>
      <w:r>
        <w:rPr>
          <w:rFonts w:cs="Times New Roman"/>
          <w:lang w:eastAsia="zh-CN"/>
        </w:rPr>
        <w:t>·a</w:t>
      </w:r>
      <w:r>
        <w:rPr>
          <w:rFonts w:cs="Times New Roman"/>
          <w:vertAlign w:val="superscript"/>
          <w:lang w:eastAsia="zh-CN"/>
        </w:rPr>
        <w:t>-1</w:t>
      </w:r>
      <w:r>
        <w:rPr>
          <w:rFonts w:cs="Times New Roman"/>
          <w:lang w:eastAsia="zh-CN"/>
        </w:rPr>
        <w:t>；</w:t>
      </w:r>
    </w:p>
    <w:p>
      <w:pPr>
        <w:ind w:firstLine="480"/>
        <w:outlineLvl w:val="9"/>
        <w:rPr>
          <w:rFonts w:cs="Times New Roman"/>
          <w:lang w:eastAsia="zh-CN"/>
        </w:rPr>
      </w:pPr>
      <w:r>
        <w:rPr>
          <w:rFonts w:cs="Times New Roman"/>
          <w:lang w:eastAsia="zh-CN"/>
        </w:rPr>
        <w:t xml:space="preserve">   S—城区控制区域总面积，km</w:t>
      </w:r>
      <w:r>
        <w:rPr>
          <w:rFonts w:cs="Times New Roman"/>
          <w:vertAlign w:val="superscript"/>
          <w:lang w:eastAsia="zh-CN"/>
        </w:rPr>
        <w:t>2</w:t>
      </w:r>
      <w:r>
        <w:rPr>
          <w:rFonts w:cs="Times New Roman"/>
          <w:lang w:eastAsia="zh-CN"/>
        </w:rPr>
        <w:t>；</w:t>
      </w:r>
    </w:p>
    <w:p>
      <w:pPr>
        <w:ind w:firstLine="480"/>
        <w:outlineLvl w:val="9"/>
        <w:rPr>
          <w:rFonts w:cs="Times New Roman"/>
          <w:lang w:eastAsia="zh-CN"/>
        </w:rPr>
      </w:pPr>
      <w:r>
        <w:rPr>
          <w:rFonts w:cs="Times New Roman"/>
          <w:lang w:eastAsia="zh-CN"/>
        </w:rPr>
        <w:t xml:space="preserve">   Si—城市第i个分区面积，km</w:t>
      </w:r>
      <w:r>
        <w:rPr>
          <w:rFonts w:cs="Times New Roman"/>
          <w:vertAlign w:val="superscript"/>
          <w:lang w:eastAsia="zh-CN"/>
        </w:rPr>
        <w:t>2</w:t>
      </w:r>
      <w:r>
        <w:rPr>
          <w:rFonts w:cs="Times New Roman"/>
          <w:lang w:eastAsia="zh-CN"/>
        </w:rPr>
        <w:t>；</w:t>
      </w:r>
    </w:p>
    <w:p>
      <w:pPr>
        <w:ind w:firstLine="480"/>
        <w:outlineLvl w:val="9"/>
        <w:rPr>
          <w:rFonts w:cs="Times New Roman"/>
          <w:lang w:eastAsia="zh-CN"/>
        </w:rPr>
      </w:pPr>
      <w:r>
        <w:rPr>
          <w:rFonts w:cs="Times New Roman"/>
          <w:lang w:eastAsia="zh-CN"/>
        </w:rPr>
        <w:t xml:space="preserve">   Csi—第i个区域某种污染物的年平均浓度限值，mg/m</w:t>
      </w:r>
      <w:r>
        <w:rPr>
          <w:rFonts w:cs="Times New Roman"/>
          <w:vertAlign w:val="superscript"/>
          <w:lang w:eastAsia="zh-CN"/>
        </w:rPr>
        <w:t>3</w:t>
      </w:r>
      <w:r>
        <w:rPr>
          <w:rFonts w:cs="Times New Roman"/>
          <w:lang w:eastAsia="zh-CN"/>
        </w:rPr>
        <w:t>；</w:t>
      </w:r>
    </w:p>
    <w:p>
      <w:pPr>
        <w:ind w:firstLine="480"/>
        <w:outlineLvl w:val="9"/>
        <w:rPr>
          <w:rFonts w:cs="Times New Roman"/>
          <w:lang w:eastAsia="zh-CN"/>
        </w:rPr>
      </w:pPr>
      <w:r>
        <w:rPr>
          <w:rFonts w:cs="Times New Roman"/>
          <w:lang w:eastAsia="zh-CN"/>
        </w:rPr>
        <w:t xml:space="preserve">   Cc—城区控制区的本底浓度，mg/m</w:t>
      </w:r>
      <w:r>
        <w:rPr>
          <w:rFonts w:cs="Times New Roman"/>
          <w:vertAlign w:val="superscript"/>
          <w:lang w:eastAsia="zh-CN"/>
        </w:rPr>
        <w:t>3</w:t>
      </w:r>
      <w:r>
        <w:rPr>
          <w:rFonts w:cs="Times New Roman"/>
          <w:lang w:eastAsia="zh-CN"/>
        </w:rPr>
        <w:t xml:space="preserve">。    </w:t>
      </w:r>
    </w:p>
    <w:p>
      <w:pPr>
        <w:outlineLvl w:val="9"/>
        <w:rPr>
          <w:rFonts w:cs="Times New Roman"/>
          <w:lang w:eastAsia="zh-CN"/>
        </w:rPr>
      </w:pPr>
      <w:bookmarkStart w:id="154" w:name="_Toc360738248"/>
      <w:r>
        <w:rPr>
          <w:rFonts w:hint="eastAsia" w:cs="Times New Roman"/>
          <w:lang w:eastAsia="zh-CN"/>
        </w:rPr>
        <w:t>（</w:t>
      </w:r>
      <w:r>
        <w:rPr>
          <w:rFonts w:hint="eastAsia" w:cs="Times New Roman"/>
          <w:lang w:val="en-US" w:eastAsia="zh-CN"/>
        </w:rPr>
        <w:t>3</w:t>
      </w:r>
      <w:r>
        <w:rPr>
          <w:rFonts w:hint="eastAsia" w:cs="Times New Roman"/>
          <w:lang w:eastAsia="zh-CN"/>
        </w:rPr>
        <w:t>）</w:t>
      </w:r>
      <w:r>
        <w:rPr>
          <w:rFonts w:cs="Times New Roman"/>
          <w:lang w:eastAsia="zh-CN"/>
        </w:rPr>
        <w:t>计算结果</w:t>
      </w:r>
      <w:bookmarkEnd w:id="154"/>
    </w:p>
    <w:p>
      <w:pPr>
        <w:ind w:firstLine="480"/>
        <w:rPr>
          <w:rFonts w:hint="default" w:cs="Times New Roman"/>
          <w:lang w:val="en-US" w:eastAsia="zh-CN"/>
        </w:rPr>
      </w:pPr>
      <w:r>
        <w:rPr>
          <w:rFonts w:hint="eastAsia" w:cs="Times New Roman"/>
          <w:lang w:eastAsia="zh-CN"/>
        </w:rPr>
        <w:t>本次评价引用浑南国控</w:t>
      </w:r>
      <w:r>
        <w:rPr>
          <w:rFonts w:hint="eastAsia" w:cs="Times New Roman"/>
          <w:lang w:val="en-US" w:eastAsia="zh-CN"/>
        </w:rPr>
        <w:t>2020年全年监测数据均值，见表3.2-7。</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sz w:val="24"/>
          <w:szCs w:val="24"/>
          <w:lang w:eastAsia="zh-CN"/>
        </w:rPr>
      </w:pPr>
      <w:r>
        <w:rPr>
          <w:rFonts w:ascii="Times New Roman" w:hAnsi="Times New Roman" w:cs="Times New Roman"/>
          <w:b/>
          <w:sz w:val="24"/>
          <w:szCs w:val="24"/>
          <w:lang w:eastAsia="zh-CN"/>
        </w:rPr>
        <w:t>表3.</w:t>
      </w:r>
      <w:r>
        <w:rPr>
          <w:rFonts w:hint="eastAsia" w:ascii="Times New Roman" w:hAnsi="Times New Roman" w:cs="Times New Roman"/>
          <w:b/>
          <w:sz w:val="24"/>
          <w:szCs w:val="24"/>
          <w:lang w:val="en-US" w:eastAsia="zh-CN"/>
        </w:rPr>
        <w:t>2</w:t>
      </w:r>
      <w:r>
        <w:rPr>
          <w:rFonts w:ascii="Times New Roman" w:hAnsi="Times New Roman" w:cs="Times New Roman"/>
          <w:b/>
          <w:sz w:val="24"/>
          <w:szCs w:val="24"/>
          <w:lang w:eastAsia="zh-CN"/>
        </w:rPr>
        <w:t>-</w:t>
      </w:r>
      <w:r>
        <w:rPr>
          <w:rFonts w:hint="eastAsia" w:cs="Times New Roman"/>
          <w:b/>
          <w:sz w:val="24"/>
          <w:szCs w:val="24"/>
          <w:lang w:val="en-US" w:eastAsia="zh-CN"/>
        </w:rPr>
        <w:t>7</w:t>
      </w:r>
      <w:r>
        <w:rPr>
          <w:rFonts w:ascii="Times New Roman" w:hAnsi="Times New Roman" w:cs="Times New Roman"/>
          <w:b/>
          <w:sz w:val="24"/>
          <w:szCs w:val="24"/>
          <w:lang w:eastAsia="zh-CN"/>
        </w:rPr>
        <w:t xml:space="preserve"> 各控制单元水环境容量核定结果</w:t>
      </w:r>
    </w:p>
    <w:tbl>
      <w:tblPr>
        <w:tblStyle w:val="64"/>
        <w:tblW w:w="478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85"/>
        <w:gridCol w:w="3367"/>
        <w:gridCol w:w="294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eastAsia" w:cs="Times New Roman"/>
                <w:b/>
                <w:bCs/>
                <w:sz w:val="21"/>
                <w:szCs w:val="21"/>
                <w:lang w:eastAsia="zh-CN"/>
              </w:rPr>
              <w:t>污染物</w:t>
            </w:r>
          </w:p>
        </w:tc>
        <w:tc>
          <w:tcPr>
            <w:tcW w:w="1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eastAsia="zh-CN"/>
              </w:rPr>
            </w:pPr>
            <w:r>
              <w:rPr>
                <w:rFonts w:hint="eastAsia" w:cs="Times New Roman"/>
                <w:b/>
                <w:bCs/>
                <w:sz w:val="21"/>
                <w:szCs w:val="21"/>
                <w:lang w:eastAsia="zh-CN"/>
              </w:rPr>
              <w:t>执行标准</w:t>
            </w:r>
            <w:r>
              <w:rPr>
                <w:rFonts w:hint="eastAsia" w:cs="Times New Roman"/>
                <w:b/>
                <w:bCs/>
                <w:sz w:val="21"/>
                <w:szCs w:val="21"/>
                <w:lang w:val="en-US" w:eastAsia="zh-CN"/>
              </w:rPr>
              <w:t>mg/m</w:t>
            </w:r>
            <w:r>
              <w:rPr>
                <w:rFonts w:hint="eastAsia" w:cs="Times New Roman"/>
                <w:b/>
                <w:bCs/>
                <w:sz w:val="21"/>
                <w:szCs w:val="21"/>
                <w:vertAlign w:val="superscript"/>
                <w:lang w:val="en-US" w:eastAsia="zh-CN"/>
              </w:rPr>
              <w:t>3</w:t>
            </w:r>
          </w:p>
        </w:tc>
        <w:tc>
          <w:tcPr>
            <w:tcW w:w="16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sz w:val="21"/>
                <w:szCs w:val="21"/>
                <w:lang w:val="en-US" w:eastAsia="zh-CN"/>
              </w:rPr>
            </w:pPr>
            <w:r>
              <w:rPr>
                <w:rFonts w:hint="eastAsia" w:cs="Times New Roman"/>
                <w:b/>
                <w:bCs/>
                <w:sz w:val="21"/>
                <w:szCs w:val="21"/>
                <w:lang w:eastAsia="zh-CN"/>
              </w:rPr>
              <w:t>年均浓度背景值</w:t>
            </w:r>
            <w:r>
              <w:rPr>
                <w:rFonts w:hint="eastAsia" w:cs="Times New Roman"/>
                <w:b/>
                <w:bCs/>
                <w:sz w:val="21"/>
                <w:szCs w:val="21"/>
                <w:lang w:val="en-US" w:eastAsia="zh-CN"/>
              </w:rPr>
              <w:t>mg/m</w:t>
            </w:r>
            <w:r>
              <w:rPr>
                <w:rFonts w:hint="eastAsia" w:cs="Times New Roman"/>
                <w:b/>
                <w:bCs/>
                <w:sz w:val="21"/>
                <w:szCs w:val="21"/>
                <w:vertAlign w:val="superscript"/>
                <w:lang w:val="en-US" w:eastAsia="zh-CN"/>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eastAsia" w:cs="Times New Roman"/>
                <w:sz w:val="21"/>
                <w:szCs w:val="21"/>
                <w:lang w:eastAsia="zh-CN"/>
              </w:rPr>
            </w:pPr>
            <w:r>
              <w:rPr>
                <w:rFonts w:hint="eastAsia" w:cs="Times New Roman"/>
                <w:sz w:val="21"/>
                <w:szCs w:val="21"/>
                <w:lang w:eastAsia="zh-CN"/>
              </w:rPr>
              <w:t>二氧化硫（</w:t>
            </w:r>
            <w:r>
              <w:rPr>
                <w:rFonts w:hint="eastAsia" w:cs="Times New Roman"/>
                <w:sz w:val="21"/>
                <w:szCs w:val="21"/>
                <w:lang w:val="en-US" w:eastAsia="zh-CN"/>
              </w:rPr>
              <w:t>SO</w:t>
            </w:r>
            <w:r>
              <w:rPr>
                <w:rFonts w:hint="eastAsia" w:cs="Times New Roman"/>
                <w:sz w:val="21"/>
                <w:szCs w:val="21"/>
                <w:vertAlign w:val="subscript"/>
                <w:lang w:val="en-US" w:eastAsia="zh-CN"/>
              </w:rPr>
              <w:t>2</w:t>
            </w:r>
            <w:r>
              <w:rPr>
                <w:rFonts w:hint="eastAsia" w:cs="Times New Roman"/>
                <w:sz w:val="21"/>
                <w:szCs w:val="21"/>
                <w:lang w:eastAsia="zh-CN"/>
              </w:rPr>
              <w:t>）</w:t>
            </w:r>
          </w:p>
        </w:tc>
        <w:tc>
          <w:tcPr>
            <w:tcW w:w="1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0.06</w:t>
            </w:r>
          </w:p>
        </w:tc>
        <w:tc>
          <w:tcPr>
            <w:tcW w:w="16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0.018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eastAsia="zh-CN"/>
              </w:rPr>
            </w:pPr>
            <w:r>
              <w:rPr>
                <w:rFonts w:hint="eastAsia" w:cs="Times New Roman"/>
                <w:sz w:val="21"/>
                <w:szCs w:val="21"/>
                <w:lang w:eastAsia="zh-CN"/>
              </w:rPr>
              <w:t>二氧化氮（</w:t>
            </w:r>
            <w:r>
              <w:rPr>
                <w:rFonts w:hint="eastAsia" w:cs="Times New Roman"/>
                <w:sz w:val="21"/>
                <w:szCs w:val="21"/>
                <w:lang w:val="en-US" w:eastAsia="zh-CN"/>
              </w:rPr>
              <w:t>NOx</w:t>
            </w:r>
            <w:r>
              <w:rPr>
                <w:rFonts w:hint="eastAsia" w:cs="Times New Roman"/>
                <w:sz w:val="21"/>
                <w:szCs w:val="21"/>
                <w:lang w:eastAsia="zh-CN"/>
              </w:rPr>
              <w:t>）</w:t>
            </w:r>
          </w:p>
        </w:tc>
        <w:tc>
          <w:tcPr>
            <w:tcW w:w="1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0.04</w:t>
            </w:r>
          </w:p>
        </w:tc>
        <w:tc>
          <w:tcPr>
            <w:tcW w:w="16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0.036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eastAsia="zh-CN"/>
              </w:rPr>
            </w:pPr>
            <w:r>
              <w:rPr>
                <w:rFonts w:hint="eastAsia" w:cs="Times New Roman"/>
                <w:sz w:val="21"/>
                <w:szCs w:val="21"/>
                <w:lang w:eastAsia="zh-CN"/>
              </w:rPr>
              <w:t>可吸入颗粒物（</w:t>
            </w:r>
            <w:r>
              <w:rPr>
                <w:rFonts w:hint="eastAsia" w:cs="Times New Roman"/>
                <w:sz w:val="21"/>
                <w:szCs w:val="21"/>
                <w:lang w:val="en-US" w:eastAsia="zh-CN"/>
              </w:rPr>
              <w:t>PM</w:t>
            </w:r>
            <w:r>
              <w:rPr>
                <w:rFonts w:hint="eastAsia" w:cs="Times New Roman"/>
                <w:sz w:val="21"/>
                <w:szCs w:val="21"/>
                <w:vertAlign w:val="subscript"/>
                <w:lang w:val="en-US" w:eastAsia="zh-CN"/>
              </w:rPr>
              <w:t>10</w:t>
            </w:r>
            <w:r>
              <w:rPr>
                <w:rFonts w:hint="eastAsia" w:cs="Times New Roman"/>
                <w:sz w:val="21"/>
                <w:szCs w:val="21"/>
                <w:lang w:eastAsia="zh-CN"/>
              </w:rPr>
              <w:t>）</w:t>
            </w:r>
          </w:p>
        </w:tc>
        <w:tc>
          <w:tcPr>
            <w:tcW w:w="1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0.07</w:t>
            </w:r>
          </w:p>
        </w:tc>
        <w:tc>
          <w:tcPr>
            <w:tcW w:w="16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sz w:val="21"/>
                <w:szCs w:val="21"/>
                <w:lang w:val="en-US" w:eastAsia="zh-CN"/>
              </w:rPr>
            </w:pPr>
            <w:r>
              <w:rPr>
                <w:rFonts w:hint="eastAsia" w:cs="Times New Roman"/>
                <w:sz w:val="21"/>
                <w:szCs w:val="21"/>
                <w:lang w:val="zh-CN" w:eastAsia="zh-CN"/>
              </w:rPr>
              <w:t>0.078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eastAsia="zh-CN"/>
              </w:rPr>
            </w:pPr>
            <w:r>
              <w:rPr>
                <w:rFonts w:hint="eastAsia" w:cs="Times New Roman"/>
                <w:sz w:val="21"/>
                <w:szCs w:val="21"/>
                <w:lang w:eastAsia="zh-CN"/>
              </w:rPr>
              <w:t>细颗粒物（</w:t>
            </w:r>
            <w:r>
              <w:rPr>
                <w:rFonts w:hint="eastAsia" w:cs="Times New Roman"/>
                <w:sz w:val="21"/>
                <w:szCs w:val="21"/>
                <w:lang w:val="en-US" w:eastAsia="zh-CN"/>
              </w:rPr>
              <w:t>PM</w:t>
            </w:r>
            <w:r>
              <w:rPr>
                <w:rFonts w:hint="eastAsia" w:cs="Times New Roman"/>
                <w:sz w:val="21"/>
                <w:szCs w:val="21"/>
                <w:vertAlign w:val="subscript"/>
                <w:lang w:val="en-US" w:eastAsia="zh-CN"/>
              </w:rPr>
              <w:t>2.5</w:t>
            </w:r>
            <w:r>
              <w:rPr>
                <w:rFonts w:hint="eastAsia" w:cs="Times New Roman"/>
                <w:sz w:val="21"/>
                <w:szCs w:val="21"/>
                <w:lang w:eastAsia="zh-CN"/>
              </w:rPr>
              <w:t>）</w:t>
            </w:r>
          </w:p>
        </w:tc>
        <w:tc>
          <w:tcPr>
            <w:tcW w:w="1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0.035</w:t>
            </w:r>
          </w:p>
        </w:tc>
        <w:tc>
          <w:tcPr>
            <w:tcW w:w="16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cs="Times New Roman"/>
                <w:sz w:val="21"/>
                <w:szCs w:val="21"/>
                <w:lang w:val="en-US" w:eastAsia="zh-CN"/>
              </w:rPr>
            </w:pPr>
            <w:r>
              <w:rPr>
                <w:rFonts w:hint="eastAsia" w:cs="Times New Roman"/>
                <w:sz w:val="21"/>
                <w:szCs w:val="21"/>
                <w:lang w:val="zh-CN" w:eastAsia="zh-CN"/>
              </w:rPr>
              <w:t>0.044</w:t>
            </w:r>
          </w:p>
        </w:tc>
      </w:tr>
    </w:tbl>
    <w:p>
      <w:pPr>
        <w:ind w:firstLine="480"/>
        <w:rPr>
          <w:rFonts w:cs="Times New Roman"/>
          <w:lang w:eastAsia="zh-CN"/>
        </w:rPr>
      </w:pPr>
      <w:r>
        <w:rPr>
          <w:rFonts w:cs="Times New Roman"/>
          <w:lang w:eastAsia="zh-CN"/>
        </w:rPr>
        <w:t>根据《制定地方大气污染物排放标准的技术方法》（GB/T 13201-91）标准</w:t>
      </w:r>
      <w:r>
        <w:rPr>
          <w:rFonts w:hint="eastAsia" w:cs="Times New Roman"/>
          <w:lang w:eastAsia="zh-CN"/>
        </w:rPr>
        <w:t>中推荐的宏观总量</w:t>
      </w:r>
      <w:r>
        <w:rPr>
          <w:rFonts w:hint="eastAsia" w:cs="Times New Roman"/>
          <w:lang w:val="en-US" w:eastAsia="zh-CN"/>
        </w:rPr>
        <w:t>A值法确定规划区域大气污染物的环境容量。宏观总量A值法可由控制去及各功能区分区的面积大小直接给出允许面源排放总量。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lang w:eastAsia="zh-CN"/>
        </w:rPr>
      </w:pPr>
      <w:r>
        <w:drawing>
          <wp:inline distT="0" distB="0" distL="114300" distR="114300">
            <wp:extent cx="1369060" cy="994410"/>
            <wp:effectExtent l="0" t="0" r="2540" b="1524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0"/>
                    <a:stretch>
                      <a:fillRect/>
                    </a:stretch>
                  </pic:blipFill>
                  <pic:spPr>
                    <a:xfrm>
                      <a:off x="0" y="0"/>
                      <a:ext cx="1369060" cy="99441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jc w:val="left"/>
        <w:textAlignment w:val="auto"/>
        <w:rPr>
          <w:sz w:val="24"/>
          <w:szCs w:val="24"/>
        </w:rPr>
      </w:pPr>
      <w:r>
        <w:rPr>
          <w:rFonts w:hint="eastAsia" w:ascii="宋体" w:hAnsi="宋体" w:eastAsia="宋体" w:cs="宋体"/>
          <w:color w:val="000000"/>
          <w:kern w:val="0"/>
          <w:sz w:val="24"/>
          <w:szCs w:val="24"/>
          <w:lang w:val="en-US" w:eastAsia="zh-CN" w:bidi="ar"/>
        </w:rPr>
        <w:t xml:space="preserve">式中： </w:t>
      </w:r>
    </w:p>
    <w:p>
      <w:pPr>
        <w:keepNext w:val="0"/>
        <w:keepLines w:val="0"/>
        <w:pageBreakBefore w:val="0"/>
        <w:widowControl/>
        <w:suppressLineNumbers w:val="0"/>
        <w:kinsoku/>
        <w:wordWrap/>
        <w:overflowPunct/>
        <w:topLinePunct w:val="0"/>
        <w:autoSpaceDE/>
        <w:autoSpaceDN/>
        <w:bidi w:val="0"/>
        <w:adjustRightInd/>
        <w:snapToGrid/>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Qai</w:t>
      </w:r>
      <w:r>
        <w:rPr>
          <w:rFonts w:hint="eastAsia" w:ascii="宋体" w:hAnsi="宋体" w:eastAsia="宋体" w:cs="宋体"/>
          <w:color w:val="000000"/>
          <w:kern w:val="0"/>
          <w:sz w:val="24"/>
          <w:szCs w:val="24"/>
          <w:lang w:val="en-US" w:eastAsia="zh-CN" w:bidi="ar"/>
        </w:rPr>
        <w:t>为第</w:t>
      </w:r>
      <w:r>
        <w:rPr>
          <w:rFonts w:hint="default" w:ascii="Times New Roman" w:hAnsi="Times New Roman" w:eastAsia="宋体" w:cs="Times New Roman"/>
          <w:color w:val="000000"/>
          <w:kern w:val="0"/>
          <w:sz w:val="24"/>
          <w:szCs w:val="24"/>
          <w:lang w:val="en-US" w:eastAsia="zh-CN" w:bidi="ar"/>
        </w:rPr>
        <w:t>i</w:t>
      </w:r>
      <w:r>
        <w:rPr>
          <w:rFonts w:hint="eastAsia" w:ascii="宋体" w:hAnsi="宋体" w:eastAsia="宋体" w:cs="宋体"/>
          <w:color w:val="000000"/>
          <w:kern w:val="0"/>
          <w:sz w:val="24"/>
          <w:szCs w:val="24"/>
          <w:lang w:val="en-US" w:eastAsia="zh-CN" w:bidi="ar"/>
        </w:rPr>
        <w:t xml:space="preserve">功能区大气污染物年允许排放总量； </w:t>
      </w:r>
    </w:p>
    <w:p>
      <w:pPr>
        <w:keepNext w:val="0"/>
        <w:keepLines w:val="0"/>
        <w:pageBreakBefore w:val="0"/>
        <w:widowControl/>
        <w:suppressLineNumbers w:val="0"/>
        <w:kinsoku/>
        <w:wordWrap/>
        <w:overflowPunct/>
        <w:topLinePunct w:val="0"/>
        <w:autoSpaceDE/>
        <w:autoSpaceDN/>
        <w:bidi w:val="0"/>
        <w:adjustRightInd/>
        <w:snapToGrid/>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n</w:t>
      </w:r>
      <w:r>
        <w:rPr>
          <w:rFonts w:hint="eastAsia" w:ascii="宋体" w:hAnsi="宋体" w:eastAsia="宋体" w:cs="宋体"/>
          <w:color w:val="000000"/>
          <w:kern w:val="0"/>
          <w:sz w:val="24"/>
          <w:szCs w:val="24"/>
          <w:lang w:val="en-US" w:eastAsia="zh-CN" w:bidi="ar"/>
        </w:rPr>
        <w:t xml:space="preserve">为功能区总数； </w:t>
      </w:r>
    </w:p>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 xml:space="preserve">A为地理区域性总量控制系数； </w:t>
      </w:r>
    </w:p>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 xml:space="preserve">Csi为第i功能区类别的年日均浓度； </w:t>
      </w:r>
    </w:p>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 xml:space="preserve">Si为第i功能区面积； </w:t>
      </w:r>
    </w:p>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S为规划区总面积，取值为51km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jc w:val="left"/>
        <w:textAlignment w:val="auto"/>
        <w:rPr>
          <w:sz w:val="24"/>
          <w:szCs w:val="24"/>
        </w:rPr>
      </w:pPr>
      <w:r>
        <w:rPr>
          <w:rFonts w:hint="eastAsia" w:ascii="宋体" w:hAnsi="宋体" w:eastAsia="宋体" w:cs="宋体"/>
          <w:color w:val="000000"/>
          <w:kern w:val="0"/>
          <w:sz w:val="24"/>
          <w:szCs w:val="24"/>
          <w:lang w:val="en-US" w:eastAsia="zh-CN" w:bidi="ar"/>
        </w:rPr>
        <w:t>规划区低架源排放的大气污染物年允许排放总量为：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b/>
          <w:sz w:val="24"/>
          <w:szCs w:val="24"/>
          <w:lang w:eastAsia="zh-CN"/>
        </w:rPr>
      </w:pPr>
      <w:r>
        <w:drawing>
          <wp:inline distT="0" distB="0" distL="114300" distR="114300">
            <wp:extent cx="883920" cy="815340"/>
            <wp:effectExtent l="0" t="0" r="11430" b="3810"/>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31"/>
                    <a:stretch>
                      <a:fillRect/>
                    </a:stretch>
                  </pic:blipFill>
                  <pic:spPr>
                    <a:xfrm>
                      <a:off x="0" y="0"/>
                      <a:ext cx="883920" cy="81534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jc w:val="both"/>
        <w:textAlignment w:val="auto"/>
        <w:rPr>
          <w:sz w:val="24"/>
          <w:szCs w:val="24"/>
        </w:rPr>
      </w:pPr>
      <w:r>
        <w:rPr>
          <w:rFonts w:hint="eastAsia" w:ascii="宋体" w:hAnsi="宋体" w:eastAsia="宋体" w:cs="宋体"/>
          <w:color w:val="000000"/>
          <w:kern w:val="0"/>
          <w:sz w:val="24"/>
          <w:szCs w:val="24"/>
          <w:lang w:val="en-US" w:eastAsia="zh-CN" w:bidi="ar"/>
        </w:rPr>
        <w:t xml:space="preserve">式中： </w:t>
      </w:r>
    </w:p>
    <w:p>
      <w:pPr>
        <w:keepNext w:val="0"/>
        <w:keepLines w:val="0"/>
        <w:pageBreakBefore w:val="0"/>
        <w:widowControl/>
        <w:suppressLineNumbers w:val="0"/>
        <w:kinsoku/>
        <w:wordWrap/>
        <w:overflowPunct/>
        <w:topLinePunct w:val="0"/>
        <w:autoSpaceDE/>
        <w:autoSpaceDN/>
        <w:bidi w:val="0"/>
        <w:adjustRightInd/>
        <w:snapToGrid/>
        <w:jc w:val="both"/>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 xml:space="preserve">Qbi为第i功能区低架源排放的大气污染物年允许排放总量； </w:t>
      </w:r>
    </w:p>
    <w:p>
      <w:pPr>
        <w:keepNext w:val="0"/>
        <w:keepLines w:val="0"/>
        <w:pageBreakBefore w:val="0"/>
        <w:widowControl/>
        <w:suppressLineNumbers w:val="0"/>
        <w:kinsoku/>
        <w:wordWrap/>
        <w:overflowPunct/>
        <w:topLinePunct w:val="0"/>
        <w:autoSpaceDE/>
        <w:autoSpaceDN/>
        <w:bidi w:val="0"/>
        <w:adjustRightInd/>
        <w:snapToGrid/>
        <w:jc w:val="both"/>
        <w:textAlignment w:val="auto"/>
        <w:rPr>
          <w:rFonts w:hint="default" w:ascii="Times New Roman" w:hAnsi="Times New Roman" w:cs="Times New Roman"/>
          <w:sz w:val="24"/>
          <w:szCs w:val="24"/>
        </w:rPr>
      </w:pPr>
      <w:r>
        <w:rPr>
          <w:rFonts w:hint="default" w:ascii="Times New Roman" w:hAnsi="Times New Roman" w:eastAsia="宋体" w:cs="Times New Roman"/>
          <w:i/>
          <w:iCs/>
          <w:color w:val="000000"/>
          <w:kern w:val="0"/>
          <w:sz w:val="24"/>
          <w:szCs w:val="24"/>
          <w:lang w:val="en-US" w:eastAsia="zh-CN" w:bidi="ar"/>
        </w:rPr>
        <w:t>α</w:t>
      </w:r>
      <w:r>
        <w:rPr>
          <w:rFonts w:hint="default" w:ascii="Times New Roman" w:hAnsi="Times New Roman" w:eastAsia="宋体" w:cs="Times New Roman"/>
          <w:color w:val="000000"/>
          <w:kern w:val="0"/>
          <w:sz w:val="24"/>
          <w:szCs w:val="24"/>
          <w:lang w:val="en-US" w:eastAsia="zh-CN" w:bidi="ar"/>
        </w:rPr>
        <w:t xml:space="preserve">为低架源排放分担率。 </w:t>
      </w:r>
    </w:p>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根据《制定地方大气污染物排放标准的技术方法》（GB/T 13201-91）标准，沈阳市的地理区域性总量控制系数 A=5.6-7.0〔10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t/（a∙km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 xml:space="preserve">）〕，低架源排放分担率α=0.25。 </w:t>
      </w:r>
    </w:p>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根据国家环境保护总局环境工程评估中心编制的《环境影响评价技术方法》，A取中值为：（7.0+5.6）/2=6.3〔10</w:t>
      </w:r>
      <w:r>
        <w:rPr>
          <w:rFonts w:hint="default" w:ascii="Times New Roman" w:hAnsi="Times New Roman" w:eastAsia="宋体" w:cs="Times New Roman"/>
          <w:color w:val="000000"/>
          <w:kern w:val="0"/>
          <w:sz w:val="24"/>
          <w:szCs w:val="24"/>
          <w:vertAlign w:val="superscript"/>
          <w:lang w:val="en-US" w:eastAsia="zh-CN" w:bidi="ar"/>
        </w:rPr>
        <w:t>4</w:t>
      </w:r>
      <w:r>
        <w:rPr>
          <w:rFonts w:hint="default" w:ascii="Times New Roman" w:hAnsi="Times New Roman" w:eastAsia="宋体" w:cs="Times New Roman"/>
          <w:color w:val="000000"/>
          <w:kern w:val="0"/>
          <w:sz w:val="24"/>
          <w:szCs w:val="24"/>
          <w:lang w:val="en-US" w:eastAsia="zh-CN" w:bidi="ar"/>
        </w:rPr>
        <w:t>t/（a∙km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）〕，计算结果见表 6.5-2。</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b/>
          <w:sz w:val="24"/>
          <w:szCs w:val="24"/>
          <w:lang w:eastAsia="zh-CN"/>
        </w:rPr>
      </w:pPr>
      <w:r>
        <w:rPr>
          <w:rFonts w:cs="Times New Roman"/>
          <w:b/>
          <w:sz w:val="24"/>
          <w:szCs w:val="24"/>
          <w:lang w:eastAsia="zh-CN"/>
        </w:rPr>
        <w:t>表3.5-8  环境容量测算结果</w:t>
      </w:r>
      <w:r>
        <w:rPr>
          <w:rFonts w:hint="eastAsia" w:cs="Times New Roman"/>
          <w:b/>
          <w:sz w:val="24"/>
          <w:szCs w:val="24"/>
          <w:lang w:eastAsia="zh-CN"/>
        </w:rPr>
        <w:t>（</w:t>
      </w:r>
      <w:r>
        <w:rPr>
          <w:rFonts w:cs="Times New Roman"/>
          <w:b/>
          <w:sz w:val="24"/>
          <w:szCs w:val="24"/>
          <w:lang w:eastAsia="zh-CN"/>
        </w:rPr>
        <w:t>单位：万t/a</w:t>
      </w:r>
      <w:r>
        <w:rPr>
          <w:rFonts w:hint="eastAsia" w:cs="Times New Roman"/>
          <w:b/>
          <w:sz w:val="24"/>
          <w:szCs w:val="24"/>
          <w:lang w:eastAsia="zh-CN"/>
        </w:rPr>
        <w:t>）</w:t>
      </w:r>
    </w:p>
    <w:tbl>
      <w:tblPr>
        <w:tblStyle w:val="64"/>
        <w:tblW w:w="4763" w:type="pct"/>
        <w:tblInd w:w="22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97"/>
        <w:gridCol w:w="2322"/>
        <w:gridCol w:w="2320"/>
        <w:gridCol w:w="211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1184"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b/>
                <w:bCs/>
                <w:spacing w:val="4"/>
                <w:kern w:val="2"/>
                <w:sz w:val="21"/>
                <w:szCs w:val="21"/>
              </w:rPr>
            </w:pPr>
            <w:r>
              <w:rPr>
                <w:rFonts w:cs="Times New Roman"/>
                <w:b/>
                <w:bCs/>
                <w:spacing w:val="4"/>
                <w:kern w:val="2"/>
                <w:sz w:val="21"/>
                <w:szCs w:val="21"/>
              </w:rPr>
              <w:t>污染物</w:t>
            </w:r>
          </w:p>
        </w:tc>
        <w:tc>
          <w:tcPr>
            <w:tcW w:w="1311"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b/>
                <w:bCs/>
                <w:spacing w:val="4"/>
                <w:kern w:val="2"/>
                <w:sz w:val="21"/>
                <w:szCs w:val="21"/>
              </w:rPr>
            </w:pPr>
            <w:r>
              <w:rPr>
                <w:rFonts w:cs="Times New Roman"/>
                <w:b/>
                <w:bCs/>
                <w:spacing w:val="4"/>
                <w:kern w:val="2"/>
                <w:sz w:val="21"/>
                <w:szCs w:val="21"/>
              </w:rPr>
              <w:t>污染源</w:t>
            </w:r>
          </w:p>
        </w:tc>
        <w:tc>
          <w:tcPr>
            <w:tcW w:w="1310"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eastAsiaTheme="minorEastAsia"/>
                <w:b/>
                <w:bCs/>
                <w:spacing w:val="4"/>
                <w:kern w:val="2"/>
                <w:sz w:val="21"/>
                <w:szCs w:val="21"/>
                <w:lang w:eastAsia="zh-CN"/>
              </w:rPr>
            </w:pPr>
            <w:r>
              <w:rPr>
                <w:rFonts w:cs="Times New Roman"/>
                <w:b/>
                <w:bCs/>
                <w:spacing w:val="4"/>
                <w:kern w:val="2"/>
                <w:sz w:val="21"/>
                <w:szCs w:val="21"/>
                <w:lang w:eastAsia="zh-CN"/>
              </w:rPr>
              <w:t>环评阶段环境容量</w:t>
            </w:r>
          </w:p>
        </w:tc>
        <w:tc>
          <w:tcPr>
            <w:tcW w:w="1192"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b/>
                <w:bCs/>
                <w:spacing w:val="4"/>
                <w:kern w:val="2"/>
                <w:sz w:val="21"/>
                <w:szCs w:val="21"/>
              </w:rPr>
            </w:pPr>
            <w:r>
              <w:rPr>
                <w:rFonts w:cs="Times New Roman"/>
                <w:b/>
                <w:bCs/>
                <w:spacing w:val="4"/>
                <w:kern w:val="2"/>
                <w:sz w:val="21"/>
                <w:szCs w:val="21"/>
              </w:rPr>
              <w:t>剩余环境容量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4" w:type="pct"/>
            <w:tcBorders>
              <w:tl2br w:val="nil"/>
              <w:tr2bl w:val="nil"/>
            </w:tcBorders>
            <w:vAlign w:val="center"/>
          </w:tcPr>
          <w:p>
            <w:pPr>
              <w:keepNext w:val="0"/>
              <w:keepLines w:val="0"/>
              <w:pageBreakBefore w:val="0"/>
              <w:widowControl/>
              <w:kinsoku/>
              <w:wordWrap/>
              <w:overflowPunct/>
              <w:topLinePunct w:val="0"/>
              <w:autoSpaceDE/>
              <w:autoSpaceDN/>
              <w:bidi w:val="0"/>
              <w:spacing w:line="400" w:lineRule="exact"/>
              <w:ind w:firstLine="0" w:firstLineChars="0"/>
              <w:jc w:val="center"/>
              <w:rPr>
                <w:rFonts w:cs="Times New Roman"/>
                <w:spacing w:val="4"/>
                <w:kern w:val="2"/>
                <w:sz w:val="21"/>
                <w:szCs w:val="21"/>
              </w:rPr>
            </w:pPr>
            <w:r>
              <w:rPr>
                <w:rFonts w:cs="Times New Roman"/>
                <w:spacing w:val="4"/>
                <w:kern w:val="2"/>
                <w:sz w:val="21"/>
                <w:szCs w:val="21"/>
              </w:rPr>
              <w:t>SO</w:t>
            </w:r>
            <w:r>
              <w:rPr>
                <w:rFonts w:cs="Times New Roman"/>
                <w:spacing w:val="4"/>
                <w:kern w:val="2"/>
                <w:sz w:val="21"/>
                <w:szCs w:val="21"/>
                <w:vertAlign w:val="subscript"/>
              </w:rPr>
              <w:t>2</w:t>
            </w:r>
          </w:p>
        </w:tc>
        <w:tc>
          <w:tcPr>
            <w:tcW w:w="1311"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spacing w:val="4"/>
                <w:kern w:val="2"/>
                <w:sz w:val="21"/>
                <w:szCs w:val="21"/>
              </w:rPr>
            </w:pPr>
            <w:r>
              <w:rPr>
                <w:rFonts w:cs="Times New Roman"/>
                <w:spacing w:val="4"/>
                <w:kern w:val="2"/>
                <w:sz w:val="21"/>
                <w:szCs w:val="21"/>
              </w:rPr>
              <w:t>合计</w:t>
            </w:r>
          </w:p>
        </w:tc>
        <w:tc>
          <w:tcPr>
            <w:tcW w:w="1310"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hint="default" w:cs="Times New Roman"/>
                <w:spacing w:val="4"/>
                <w:kern w:val="2"/>
                <w:sz w:val="21"/>
                <w:szCs w:val="21"/>
                <w:lang w:val="en-US" w:eastAsia="zh-CN"/>
              </w:rPr>
            </w:pPr>
            <w:r>
              <w:rPr>
                <w:rFonts w:hint="eastAsia" w:cs="Times New Roman"/>
                <w:spacing w:val="4"/>
                <w:kern w:val="2"/>
                <w:sz w:val="21"/>
                <w:szCs w:val="21"/>
                <w:lang w:val="en-US" w:eastAsia="zh-CN"/>
              </w:rPr>
              <w:t>2368</w:t>
            </w:r>
          </w:p>
        </w:tc>
        <w:tc>
          <w:tcPr>
            <w:tcW w:w="1192"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hint="default" w:cs="Times New Roman" w:eastAsiaTheme="minorEastAsia"/>
                <w:spacing w:val="4"/>
                <w:kern w:val="2"/>
                <w:sz w:val="21"/>
                <w:szCs w:val="21"/>
                <w:lang w:val="en-US" w:eastAsia="zh-CN"/>
              </w:rPr>
            </w:pPr>
            <w:r>
              <w:rPr>
                <w:rFonts w:hint="eastAsia" w:cs="Times New Roman" w:eastAsiaTheme="minorEastAsia"/>
                <w:spacing w:val="4"/>
                <w:kern w:val="2"/>
                <w:sz w:val="21"/>
                <w:szCs w:val="21"/>
                <w:lang w:val="en-US" w:eastAsia="zh-CN"/>
              </w:rPr>
              <w:t>8098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4" w:type="pct"/>
            <w:tcBorders>
              <w:tl2br w:val="nil"/>
              <w:tr2bl w:val="nil"/>
            </w:tcBorders>
            <w:vAlign w:val="center"/>
          </w:tcPr>
          <w:p>
            <w:pPr>
              <w:keepNext w:val="0"/>
              <w:keepLines w:val="0"/>
              <w:pageBreakBefore w:val="0"/>
              <w:widowControl/>
              <w:kinsoku/>
              <w:wordWrap/>
              <w:overflowPunct/>
              <w:topLinePunct w:val="0"/>
              <w:autoSpaceDE/>
              <w:autoSpaceDN/>
              <w:bidi w:val="0"/>
              <w:spacing w:line="400" w:lineRule="exact"/>
              <w:ind w:firstLine="0" w:firstLineChars="0"/>
              <w:jc w:val="center"/>
              <w:rPr>
                <w:rFonts w:cs="Times New Roman"/>
                <w:spacing w:val="4"/>
                <w:kern w:val="2"/>
                <w:sz w:val="21"/>
                <w:szCs w:val="21"/>
              </w:rPr>
            </w:pPr>
            <w:r>
              <w:rPr>
                <w:rFonts w:cs="Times New Roman"/>
                <w:spacing w:val="4"/>
                <w:kern w:val="2"/>
                <w:sz w:val="21"/>
                <w:szCs w:val="21"/>
              </w:rPr>
              <w:t>NO</w:t>
            </w:r>
            <w:r>
              <w:rPr>
                <w:rFonts w:cs="Times New Roman"/>
                <w:spacing w:val="4"/>
                <w:kern w:val="2"/>
                <w:sz w:val="21"/>
                <w:szCs w:val="21"/>
                <w:vertAlign w:val="subscript"/>
              </w:rPr>
              <w:t>2</w:t>
            </w:r>
          </w:p>
        </w:tc>
        <w:tc>
          <w:tcPr>
            <w:tcW w:w="1311"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spacing w:val="4"/>
                <w:kern w:val="2"/>
                <w:sz w:val="21"/>
                <w:szCs w:val="21"/>
              </w:rPr>
            </w:pPr>
            <w:r>
              <w:rPr>
                <w:rFonts w:cs="Times New Roman"/>
                <w:spacing w:val="4"/>
                <w:kern w:val="2"/>
                <w:sz w:val="21"/>
                <w:szCs w:val="21"/>
              </w:rPr>
              <w:t>合计</w:t>
            </w:r>
          </w:p>
        </w:tc>
        <w:tc>
          <w:tcPr>
            <w:tcW w:w="1310"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spacing w:val="4"/>
                <w:kern w:val="2"/>
                <w:sz w:val="21"/>
                <w:szCs w:val="21"/>
                <w:lang w:eastAsia="zh-CN"/>
              </w:rPr>
            </w:pPr>
            <w:r>
              <w:rPr>
                <w:rFonts w:cs="Times New Roman"/>
                <w:spacing w:val="4"/>
                <w:kern w:val="2"/>
                <w:sz w:val="21"/>
                <w:szCs w:val="21"/>
                <w:lang w:eastAsia="zh-CN"/>
              </w:rPr>
              <w:t>未核算</w:t>
            </w:r>
          </w:p>
        </w:tc>
        <w:tc>
          <w:tcPr>
            <w:tcW w:w="1192"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hint="default" w:cs="Times New Roman" w:eastAsiaTheme="minorEastAsia"/>
                <w:spacing w:val="4"/>
                <w:kern w:val="2"/>
                <w:sz w:val="21"/>
                <w:szCs w:val="21"/>
                <w:lang w:val="en-US" w:eastAsia="zh-CN"/>
              </w:rPr>
            </w:pPr>
            <w:r>
              <w:rPr>
                <w:rFonts w:hint="eastAsia" w:cs="Times New Roman"/>
                <w:spacing w:val="4"/>
                <w:kern w:val="2"/>
                <w:sz w:val="21"/>
                <w:szCs w:val="21"/>
                <w:lang w:val="en-US" w:eastAsia="zh-CN"/>
              </w:rPr>
              <w:t>758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4" w:type="pct"/>
            <w:tcBorders>
              <w:tl2br w:val="nil"/>
              <w:tr2bl w:val="nil"/>
            </w:tcBorders>
            <w:vAlign w:val="center"/>
          </w:tcPr>
          <w:p>
            <w:pPr>
              <w:keepNext w:val="0"/>
              <w:keepLines w:val="0"/>
              <w:pageBreakBefore w:val="0"/>
              <w:widowControl/>
              <w:kinsoku/>
              <w:wordWrap/>
              <w:overflowPunct/>
              <w:topLinePunct w:val="0"/>
              <w:autoSpaceDE/>
              <w:autoSpaceDN/>
              <w:bidi w:val="0"/>
              <w:spacing w:line="400" w:lineRule="exact"/>
              <w:ind w:firstLine="0" w:firstLineChars="0"/>
              <w:jc w:val="center"/>
              <w:rPr>
                <w:rFonts w:cs="Times New Roman"/>
                <w:spacing w:val="4"/>
                <w:kern w:val="2"/>
                <w:sz w:val="21"/>
                <w:szCs w:val="21"/>
              </w:rPr>
            </w:pPr>
            <w:r>
              <w:rPr>
                <w:rFonts w:cs="Times New Roman"/>
                <w:spacing w:val="4"/>
                <w:kern w:val="2"/>
                <w:sz w:val="21"/>
                <w:szCs w:val="21"/>
              </w:rPr>
              <w:t>PM</w:t>
            </w:r>
            <w:r>
              <w:rPr>
                <w:rFonts w:cs="Times New Roman"/>
                <w:spacing w:val="4"/>
                <w:kern w:val="2"/>
                <w:sz w:val="21"/>
                <w:szCs w:val="21"/>
                <w:vertAlign w:val="subscript"/>
              </w:rPr>
              <w:t>10</w:t>
            </w:r>
          </w:p>
        </w:tc>
        <w:tc>
          <w:tcPr>
            <w:tcW w:w="1311"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spacing w:val="4"/>
                <w:kern w:val="2"/>
                <w:sz w:val="21"/>
                <w:szCs w:val="21"/>
              </w:rPr>
            </w:pPr>
            <w:r>
              <w:rPr>
                <w:rFonts w:cs="Times New Roman"/>
                <w:spacing w:val="4"/>
                <w:kern w:val="2"/>
                <w:sz w:val="21"/>
                <w:szCs w:val="21"/>
              </w:rPr>
              <w:t>合计</w:t>
            </w:r>
          </w:p>
        </w:tc>
        <w:tc>
          <w:tcPr>
            <w:tcW w:w="1310"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spacing w:val="4"/>
                <w:kern w:val="2"/>
                <w:sz w:val="21"/>
                <w:szCs w:val="21"/>
              </w:rPr>
            </w:pPr>
            <w:r>
              <w:rPr>
                <w:rFonts w:cs="Times New Roman"/>
                <w:spacing w:val="4"/>
                <w:kern w:val="2"/>
                <w:sz w:val="21"/>
                <w:szCs w:val="21"/>
                <w:lang w:eastAsia="zh-CN"/>
              </w:rPr>
              <w:t>未核算</w:t>
            </w:r>
          </w:p>
        </w:tc>
        <w:tc>
          <w:tcPr>
            <w:tcW w:w="1192"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hint="default" w:eastAsia="宋体" w:cs="Times New Roman"/>
                <w:spacing w:val="4"/>
                <w:kern w:val="2"/>
                <w:sz w:val="21"/>
                <w:szCs w:val="21"/>
                <w:lang w:val="en-US" w:eastAsia="zh-CN"/>
              </w:rPr>
            </w:pPr>
            <w:r>
              <w:rPr>
                <w:rFonts w:hint="eastAsia" w:cs="Times New Roman"/>
                <w:spacing w:val="4"/>
                <w:kern w:val="2"/>
                <w:sz w:val="21"/>
                <w:szCs w:val="21"/>
                <w:lang w:val="en-US" w:eastAsia="zh-CN"/>
              </w:rPr>
              <w:t>-1326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4" w:type="pct"/>
            <w:tcBorders>
              <w:tl2br w:val="nil"/>
              <w:tr2bl w:val="nil"/>
            </w:tcBorders>
            <w:vAlign w:val="center"/>
          </w:tcPr>
          <w:p>
            <w:pPr>
              <w:keepNext w:val="0"/>
              <w:keepLines w:val="0"/>
              <w:pageBreakBefore w:val="0"/>
              <w:widowControl/>
              <w:kinsoku/>
              <w:wordWrap/>
              <w:overflowPunct/>
              <w:topLinePunct w:val="0"/>
              <w:autoSpaceDE/>
              <w:autoSpaceDN/>
              <w:bidi w:val="0"/>
              <w:spacing w:line="400" w:lineRule="exact"/>
              <w:ind w:firstLine="0" w:firstLineChars="0"/>
              <w:jc w:val="center"/>
              <w:rPr>
                <w:rFonts w:cs="Times New Roman"/>
                <w:spacing w:val="4"/>
                <w:kern w:val="2"/>
                <w:sz w:val="21"/>
                <w:szCs w:val="21"/>
              </w:rPr>
            </w:pPr>
            <w:r>
              <w:rPr>
                <w:rFonts w:cs="Times New Roman"/>
                <w:spacing w:val="4"/>
                <w:kern w:val="2"/>
                <w:sz w:val="21"/>
                <w:szCs w:val="21"/>
              </w:rPr>
              <w:t>PM</w:t>
            </w:r>
            <w:r>
              <w:rPr>
                <w:rFonts w:cs="Times New Roman"/>
                <w:spacing w:val="4"/>
                <w:kern w:val="2"/>
                <w:sz w:val="21"/>
                <w:szCs w:val="21"/>
                <w:vertAlign w:val="subscript"/>
              </w:rPr>
              <w:t>2.5</w:t>
            </w:r>
          </w:p>
        </w:tc>
        <w:tc>
          <w:tcPr>
            <w:tcW w:w="1311"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spacing w:val="4"/>
                <w:kern w:val="2"/>
                <w:sz w:val="21"/>
                <w:szCs w:val="21"/>
              </w:rPr>
            </w:pPr>
            <w:r>
              <w:rPr>
                <w:rFonts w:cs="Times New Roman"/>
                <w:spacing w:val="4"/>
                <w:kern w:val="2"/>
                <w:sz w:val="21"/>
                <w:szCs w:val="21"/>
              </w:rPr>
              <w:t>合计</w:t>
            </w:r>
          </w:p>
        </w:tc>
        <w:tc>
          <w:tcPr>
            <w:tcW w:w="1310"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cs="Times New Roman"/>
                <w:spacing w:val="4"/>
                <w:kern w:val="2"/>
                <w:sz w:val="21"/>
                <w:szCs w:val="21"/>
              </w:rPr>
            </w:pPr>
            <w:r>
              <w:rPr>
                <w:rFonts w:cs="Times New Roman"/>
                <w:spacing w:val="4"/>
                <w:kern w:val="2"/>
                <w:sz w:val="21"/>
                <w:szCs w:val="21"/>
                <w:lang w:eastAsia="zh-CN"/>
              </w:rPr>
              <w:t>未核算</w:t>
            </w:r>
          </w:p>
        </w:tc>
        <w:tc>
          <w:tcPr>
            <w:tcW w:w="1192"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textAlignment w:val="baseline"/>
              <w:rPr>
                <w:rFonts w:hint="default" w:cs="Times New Roman" w:eastAsiaTheme="minorEastAsia"/>
                <w:spacing w:val="4"/>
                <w:kern w:val="2"/>
                <w:sz w:val="21"/>
                <w:szCs w:val="21"/>
                <w:lang w:val="en-US" w:eastAsia="zh-CN"/>
              </w:rPr>
            </w:pPr>
            <w:r>
              <w:rPr>
                <w:rFonts w:cs="Times New Roman"/>
                <w:spacing w:val="4"/>
                <w:kern w:val="2"/>
                <w:sz w:val="21"/>
                <w:szCs w:val="21"/>
              </w:rPr>
              <w:t>-</w:t>
            </w:r>
            <w:r>
              <w:rPr>
                <w:rFonts w:hint="eastAsia" w:cs="Times New Roman"/>
                <w:spacing w:val="4"/>
                <w:kern w:val="2"/>
                <w:sz w:val="21"/>
                <w:szCs w:val="21"/>
                <w:lang w:val="en-US" w:eastAsia="zh-CN"/>
              </w:rPr>
              <w:t>1/515</w:t>
            </w:r>
          </w:p>
        </w:tc>
      </w:tr>
    </w:tbl>
    <w:p>
      <w:pPr>
        <w:adjustRightInd w:val="0"/>
        <w:snapToGrid w:val="0"/>
        <w:ind w:firstLine="480"/>
        <w:rPr>
          <w:rFonts w:cs="Times New Roman"/>
          <w:lang w:eastAsia="zh-CN"/>
        </w:rPr>
      </w:pPr>
      <w:r>
        <w:rPr>
          <w:rFonts w:cs="Times New Roman"/>
          <w:lang w:eastAsia="zh-CN"/>
        </w:rPr>
        <w:t>通过上述模式和方法计算得到</w:t>
      </w:r>
      <w:r>
        <w:rPr>
          <w:rFonts w:hint="eastAsia" w:cs="Times New Roman"/>
          <w:lang w:eastAsia="zh-CN"/>
        </w:rPr>
        <w:t>国际新兴产业园区</w:t>
      </w:r>
      <w:r>
        <w:rPr>
          <w:rFonts w:cs="Times New Roman"/>
          <w:lang w:eastAsia="zh-CN"/>
        </w:rPr>
        <w:t>剩余环境容量SO</w:t>
      </w:r>
      <w:r>
        <w:rPr>
          <w:rFonts w:cs="Times New Roman"/>
          <w:vertAlign w:val="subscript"/>
          <w:lang w:eastAsia="zh-CN"/>
        </w:rPr>
        <w:t>2</w:t>
      </w:r>
      <w:r>
        <w:rPr>
          <w:rFonts w:cs="Times New Roman"/>
          <w:lang w:eastAsia="zh-CN"/>
        </w:rPr>
        <w:t>为8</w:t>
      </w:r>
      <w:r>
        <w:rPr>
          <w:rFonts w:hint="eastAsia" w:cs="Times New Roman"/>
          <w:lang w:val="en-US" w:eastAsia="zh-CN"/>
        </w:rPr>
        <w:t>098</w:t>
      </w:r>
      <w:r>
        <w:rPr>
          <w:rFonts w:cs="Times New Roman"/>
          <w:lang w:eastAsia="zh-CN"/>
        </w:rPr>
        <w:t>t/a，NO</w:t>
      </w:r>
      <w:r>
        <w:rPr>
          <w:rFonts w:cs="Times New Roman"/>
          <w:vertAlign w:val="subscript"/>
          <w:lang w:eastAsia="zh-CN"/>
        </w:rPr>
        <w:t>2</w:t>
      </w:r>
      <w:r>
        <w:rPr>
          <w:rFonts w:cs="Times New Roman"/>
          <w:lang w:eastAsia="zh-CN"/>
        </w:rPr>
        <w:t>为</w:t>
      </w:r>
      <w:r>
        <w:rPr>
          <w:rFonts w:hint="eastAsia" w:cs="Times New Roman"/>
          <w:lang w:val="en-US" w:eastAsia="zh-CN"/>
        </w:rPr>
        <w:t>758</w:t>
      </w:r>
      <w:r>
        <w:rPr>
          <w:rFonts w:cs="Times New Roman"/>
          <w:lang w:eastAsia="zh-CN"/>
        </w:rPr>
        <w:t>t/a，PM</w:t>
      </w:r>
      <w:r>
        <w:rPr>
          <w:rFonts w:cs="Times New Roman"/>
          <w:vertAlign w:val="subscript"/>
          <w:lang w:eastAsia="zh-CN"/>
        </w:rPr>
        <w:t>10</w:t>
      </w:r>
      <w:r>
        <w:rPr>
          <w:rFonts w:hint="eastAsia" w:cs="Times New Roman"/>
          <w:lang w:eastAsia="zh-CN"/>
        </w:rPr>
        <w:t>、</w:t>
      </w:r>
      <w:r>
        <w:rPr>
          <w:rFonts w:cs="Times New Roman"/>
          <w:lang w:eastAsia="zh-CN"/>
        </w:rPr>
        <w:t>PM</w:t>
      </w:r>
      <w:r>
        <w:rPr>
          <w:rFonts w:cs="Times New Roman"/>
          <w:vertAlign w:val="subscript"/>
          <w:lang w:eastAsia="zh-CN"/>
        </w:rPr>
        <w:t>2.5</w:t>
      </w:r>
      <w:r>
        <w:rPr>
          <w:rFonts w:cs="Times New Roman"/>
          <w:lang w:eastAsia="zh-CN"/>
        </w:rPr>
        <w:t>已超过环境容量；较原有规划环评阶段计算的</w:t>
      </w:r>
      <w:r>
        <w:rPr>
          <w:rFonts w:hint="eastAsia" w:cs="Times New Roman"/>
          <w:lang w:eastAsia="zh-CN"/>
        </w:rPr>
        <w:t>国际新兴产业园区</w:t>
      </w:r>
      <w:r>
        <w:rPr>
          <w:rFonts w:cs="Times New Roman"/>
          <w:lang w:eastAsia="zh-CN"/>
        </w:rPr>
        <w:t>2010年SO</w:t>
      </w:r>
      <w:r>
        <w:rPr>
          <w:rFonts w:cs="Times New Roman"/>
          <w:vertAlign w:val="subscript"/>
          <w:lang w:eastAsia="zh-CN"/>
        </w:rPr>
        <w:t>2</w:t>
      </w:r>
      <w:r>
        <w:rPr>
          <w:rFonts w:cs="Times New Roman"/>
          <w:lang w:eastAsia="zh-CN"/>
        </w:rPr>
        <w:t>剩余环境容量为</w:t>
      </w:r>
      <w:r>
        <w:rPr>
          <w:rFonts w:hint="eastAsia" w:cs="Times New Roman"/>
          <w:lang w:val="en-US" w:eastAsia="zh-CN"/>
        </w:rPr>
        <w:t>2368</w:t>
      </w:r>
      <w:r>
        <w:rPr>
          <w:rFonts w:cs="Times New Roman"/>
          <w:lang w:eastAsia="zh-CN"/>
        </w:rPr>
        <w:t>t/a，现有SO</w:t>
      </w:r>
      <w:r>
        <w:rPr>
          <w:rFonts w:cs="Times New Roman"/>
          <w:vertAlign w:val="subscript"/>
          <w:lang w:eastAsia="zh-CN"/>
        </w:rPr>
        <w:t>2</w:t>
      </w:r>
      <w:r>
        <w:rPr>
          <w:rFonts w:cs="Times New Roman"/>
          <w:lang w:eastAsia="zh-CN"/>
        </w:rPr>
        <w:t>剩余容量较上一轮环评大幅提升，说明随着近几年大气污染防治行动的施行，我市通过推行集中供热、锅炉脱硫脱硝提标改造以及每年的抗霾攻坚作战，全市环境空气质量得到大幅改善，SO</w:t>
      </w:r>
      <w:r>
        <w:rPr>
          <w:rFonts w:cs="Times New Roman"/>
          <w:vertAlign w:val="subscript"/>
          <w:lang w:eastAsia="zh-CN"/>
        </w:rPr>
        <w:t>2</w:t>
      </w:r>
      <w:r>
        <w:rPr>
          <w:rFonts w:cs="Times New Roman"/>
          <w:lang w:eastAsia="zh-CN"/>
        </w:rPr>
        <w:t>环境质量容量较环评阶段有所提升，但是由于区域主要受外环境污染影响，沈阳市</w:t>
      </w:r>
      <w:r>
        <w:rPr>
          <w:rFonts w:hint="eastAsia" w:cs="Times New Roman"/>
          <w:lang w:eastAsia="zh-CN"/>
        </w:rPr>
        <w:t>浑南区</w:t>
      </w:r>
      <w:r>
        <w:rPr>
          <w:rFonts w:cs="Times New Roman"/>
          <w:lang w:eastAsia="zh-CN"/>
        </w:rPr>
        <w:t>乃至沈阳市环境空气质量PM</w:t>
      </w:r>
      <w:r>
        <w:rPr>
          <w:rFonts w:cs="Times New Roman"/>
          <w:vertAlign w:val="subscript"/>
          <w:lang w:eastAsia="zh-CN"/>
        </w:rPr>
        <w:t>2.5</w:t>
      </w:r>
      <w:r>
        <w:rPr>
          <w:rFonts w:hint="eastAsia" w:cs="Times New Roman"/>
          <w:vertAlign w:val="baseline"/>
          <w:lang w:eastAsia="zh-CN"/>
        </w:rPr>
        <w:t>、</w:t>
      </w:r>
      <w:r>
        <w:rPr>
          <w:rFonts w:cs="Times New Roman"/>
          <w:lang w:eastAsia="zh-CN"/>
        </w:rPr>
        <w:t>PM</w:t>
      </w:r>
      <w:r>
        <w:rPr>
          <w:rFonts w:cs="Times New Roman"/>
          <w:vertAlign w:val="subscript"/>
          <w:lang w:eastAsia="zh-CN"/>
        </w:rPr>
        <w:t>10</w:t>
      </w:r>
      <w:r>
        <w:rPr>
          <w:rFonts w:cs="Times New Roman"/>
          <w:lang w:eastAsia="zh-CN"/>
        </w:rPr>
        <w:t>已超标，已没有环境容量，规划区域为实现大气环境达标，需要通过规划区外和内部实施大气污染减排。</w:t>
      </w:r>
    </w:p>
    <w:p>
      <w:pPr>
        <w:pStyle w:val="9"/>
        <w:rPr>
          <w:rFonts w:ascii="Times New Roman" w:hAnsi="Times New Roman"/>
        </w:rPr>
      </w:pPr>
      <w:bookmarkStart w:id="155" w:name="_Toc9571"/>
      <w:r>
        <w:rPr>
          <w:rFonts w:ascii="Times New Roman" w:hAnsi="Times New Roman"/>
        </w:rPr>
        <w:t>3.</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4</w:t>
      </w:r>
      <w:r>
        <w:rPr>
          <w:rFonts w:ascii="Times New Roman" w:hAnsi="Times New Roman"/>
        </w:rPr>
        <w:t xml:space="preserve"> 区域资源环境承载力跟踪评价</w:t>
      </w:r>
      <w:bookmarkEnd w:id="155"/>
    </w:p>
    <w:p>
      <w:pPr>
        <w:ind w:firstLine="480"/>
        <w:rPr>
          <w:rFonts w:cs="Times New Roman" w:eastAsiaTheme="minorEastAsia"/>
          <w:b/>
          <w:bCs/>
          <w:sz w:val="21"/>
          <w:szCs w:val="21"/>
          <w:lang w:eastAsia="zh-CN"/>
        </w:rPr>
      </w:pPr>
      <w:r>
        <w:rPr>
          <w:rFonts w:hint="eastAsia" w:cs="Times New Roman"/>
          <w:lang w:eastAsia="zh-CN"/>
        </w:rPr>
        <w:t>国际新兴产业园区</w:t>
      </w:r>
      <w:r>
        <w:rPr>
          <w:rFonts w:cs="Times New Roman"/>
          <w:lang w:eastAsia="zh-CN"/>
        </w:rPr>
        <w:t>经过近些年的发展已经形成一定的规模，通过前述分析，</w:t>
      </w:r>
      <w:r>
        <w:rPr>
          <w:rFonts w:hint="eastAsia" w:cs="Times New Roman"/>
          <w:lang w:eastAsia="zh-CN"/>
        </w:rPr>
        <w:t>国际新兴产业园区</w:t>
      </w:r>
      <w:r>
        <w:rPr>
          <w:rFonts w:cs="Times New Roman"/>
          <w:lang w:eastAsia="zh-CN"/>
        </w:rPr>
        <w:t>规划后续实施后，所在区域资源环境承载力跟踪评价结论如下表所示。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cs="Times New Roman"/>
          <w:b/>
          <w:sz w:val="24"/>
          <w:szCs w:val="24"/>
          <w:lang w:eastAsia="zh-CN"/>
        </w:rPr>
      </w:pPr>
      <w:r>
        <w:rPr>
          <w:rFonts w:cs="Times New Roman"/>
          <w:b/>
          <w:sz w:val="24"/>
          <w:szCs w:val="24"/>
          <w:lang w:eastAsia="zh-CN"/>
        </w:rPr>
        <w:t>表3.5-9   规划后续实施后区域资源环境承载力跟踪评价</w:t>
      </w:r>
    </w:p>
    <w:tbl>
      <w:tblPr>
        <w:tblStyle w:val="64"/>
        <w:tblW w:w="5000" w:type="pct"/>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311"/>
        <w:gridCol w:w="1876"/>
        <w:gridCol w:w="2400"/>
        <w:gridCol w:w="3703"/>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706"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b/>
                <w:bCs/>
                <w:sz w:val="21"/>
                <w:szCs w:val="21"/>
                <w:lang w:eastAsia="zh-CN"/>
              </w:rPr>
            </w:pPr>
            <w:r>
              <w:rPr>
                <w:rFonts w:cs="Times New Roman"/>
                <w:b/>
                <w:bCs/>
                <w:sz w:val="21"/>
                <w:szCs w:val="21"/>
                <w:lang w:eastAsia="zh-CN"/>
              </w:rPr>
              <w:t>总指标</w:t>
            </w:r>
          </w:p>
        </w:tc>
        <w:tc>
          <w:tcPr>
            <w:tcW w:w="1009"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b/>
                <w:bCs/>
                <w:sz w:val="21"/>
                <w:szCs w:val="21"/>
              </w:rPr>
            </w:pPr>
            <w:r>
              <w:rPr>
                <w:rFonts w:cs="Times New Roman"/>
                <w:b/>
                <w:bCs/>
                <w:sz w:val="21"/>
                <w:szCs w:val="21"/>
                <w:lang w:eastAsia="zh-CN"/>
              </w:rPr>
              <w:t>分</w:t>
            </w:r>
            <w:r>
              <w:rPr>
                <w:rFonts w:cs="Times New Roman"/>
                <w:b/>
                <w:bCs/>
                <w:sz w:val="21"/>
                <w:szCs w:val="21"/>
              </w:rPr>
              <w:t>指标</w:t>
            </w:r>
          </w:p>
        </w:tc>
        <w:tc>
          <w:tcPr>
            <w:tcW w:w="1291"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b/>
                <w:bCs/>
                <w:sz w:val="21"/>
                <w:szCs w:val="21"/>
              </w:rPr>
            </w:pPr>
            <w:r>
              <w:rPr>
                <w:rFonts w:cs="Times New Roman"/>
                <w:b/>
                <w:bCs/>
                <w:sz w:val="21"/>
                <w:szCs w:val="21"/>
              </w:rPr>
              <w:t>对应区域指标</w:t>
            </w:r>
          </w:p>
        </w:tc>
        <w:tc>
          <w:tcPr>
            <w:tcW w:w="1992"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b/>
                <w:bCs/>
                <w:sz w:val="21"/>
                <w:szCs w:val="21"/>
              </w:rPr>
            </w:pPr>
            <w:r>
              <w:rPr>
                <w:rFonts w:cs="Times New Roman"/>
                <w:b/>
                <w:bCs/>
                <w:sz w:val="21"/>
                <w:szCs w:val="21"/>
              </w:rPr>
              <w:t>跟踪评价结论</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706" w:type="pct"/>
            <w:vMerge w:val="restar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rPr>
            </w:pPr>
            <w:r>
              <w:rPr>
                <w:rFonts w:cs="Times New Roman"/>
                <w:sz w:val="21"/>
                <w:szCs w:val="21"/>
              </w:rPr>
              <w:t>资源承载力</w:t>
            </w:r>
          </w:p>
        </w:tc>
        <w:tc>
          <w:tcPr>
            <w:tcW w:w="1009"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rPr>
            </w:pPr>
            <w:r>
              <w:rPr>
                <w:rFonts w:cs="Times New Roman"/>
                <w:sz w:val="21"/>
                <w:szCs w:val="21"/>
              </w:rPr>
              <w:t>土地资源承载力</w:t>
            </w:r>
          </w:p>
        </w:tc>
        <w:tc>
          <w:tcPr>
            <w:tcW w:w="1291"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rPr>
            </w:pPr>
            <w:r>
              <w:rPr>
                <w:rFonts w:cs="Times New Roman"/>
                <w:sz w:val="21"/>
                <w:szCs w:val="21"/>
                <w:lang w:eastAsia="zh-CN"/>
              </w:rPr>
              <w:t>土地开发</w:t>
            </w:r>
            <w:r>
              <w:rPr>
                <w:rFonts w:cs="Times New Roman"/>
                <w:sz w:val="21"/>
                <w:szCs w:val="21"/>
              </w:rPr>
              <w:t>潜力</w:t>
            </w:r>
          </w:p>
        </w:tc>
        <w:tc>
          <w:tcPr>
            <w:tcW w:w="1992"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lang w:eastAsia="zh-CN"/>
              </w:rPr>
            </w:pPr>
            <w:r>
              <w:rPr>
                <w:rFonts w:cs="Times New Roman"/>
                <w:sz w:val="21"/>
                <w:szCs w:val="21"/>
                <w:lang w:eastAsia="zh-CN"/>
              </w:rPr>
              <w:t>规划调整，未进行评价</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706" w:type="pct"/>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lang w:eastAsia="zh-CN"/>
              </w:rPr>
            </w:pPr>
          </w:p>
        </w:tc>
        <w:tc>
          <w:tcPr>
            <w:tcW w:w="1009"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rPr>
            </w:pPr>
            <w:r>
              <w:rPr>
                <w:rFonts w:cs="Times New Roman"/>
                <w:sz w:val="21"/>
                <w:szCs w:val="21"/>
              </w:rPr>
              <w:t>水资源承载力</w:t>
            </w:r>
          </w:p>
        </w:tc>
        <w:tc>
          <w:tcPr>
            <w:tcW w:w="1291"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rPr>
            </w:pPr>
            <w:r>
              <w:rPr>
                <w:rFonts w:cs="Times New Roman"/>
                <w:sz w:val="21"/>
                <w:szCs w:val="21"/>
              </w:rPr>
              <w:t>区域可提供水资源量</w:t>
            </w:r>
          </w:p>
        </w:tc>
        <w:tc>
          <w:tcPr>
            <w:tcW w:w="1992"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rPr>
            </w:pPr>
            <w:r>
              <w:rPr>
                <w:rFonts w:cs="Times New Roman"/>
                <w:sz w:val="21"/>
                <w:szCs w:val="21"/>
              </w:rPr>
              <w:t>可以承载</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706" w:type="pct"/>
            <w:vMerge w:val="restar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lang w:eastAsia="zh-CN"/>
              </w:rPr>
            </w:pPr>
            <w:r>
              <w:rPr>
                <w:rFonts w:cs="Times New Roman"/>
                <w:sz w:val="21"/>
                <w:szCs w:val="21"/>
                <w:lang w:eastAsia="zh-CN"/>
              </w:rPr>
              <w:t>环境承载力</w:t>
            </w:r>
          </w:p>
        </w:tc>
        <w:tc>
          <w:tcPr>
            <w:tcW w:w="1009"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rPr>
            </w:pPr>
            <w:r>
              <w:rPr>
                <w:rFonts w:cs="Times New Roman"/>
                <w:sz w:val="21"/>
                <w:szCs w:val="21"/>
              </w:rPr>
              <w:t>大气环境承载力</w:t>
            </w:r>
          </w:p>
        </w:tc>
        <w:tc>
          <w:tcPr>
            <w:tcW w:w="1291"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rPr>
            </w:pPr>
            <w:r>
              <w:rPr>
                <w:rFonts w:cs="Times New Roman"/>
                <w:sz w:val="21"/>
                <w:szCs w:val="21"/>
              </w:rPr>
              <w:t>现状大气环境容量</w:t>
            </w:r>
          </w:p>
        </w:tc>
        <w:tc>
          <w:tcPr>
            <w:tcW w:w="1992"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lang w:eastAsia="zh-CN"/>
              </w:rPr>
            </w:pPr>
            <w:r>
              <w:rPr>
                <w:rFonts w:cs="Times New Roman"/>
                <w:spacing w:val="-2"/>
                <w:sz w:val="21"/>
                <w:szCs w:val="21"/>
                <w:lang w:eastAsia="zh-CN"/>
              </w:rPr>
              <w:t>除颗粒物已无环境容量外，其</w:t>
            </w:r>
            <w:r>
              <w:rPr>
                <w:rFonts w:cs="Times New Roman"/>
                <w:sz w:val="21"/>
                <w:szCs w:val="21"/>
                <w:lang w:eastAsia="zh-CN"/>
              </w:rPr>
              <w:t>余污染因子可以承载</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706" w:type="pct"/>
            <w:vMerge w:val="continue"/>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lang w:eastAsia="zh-CN"/>
              </w:rPr>
            </w:pPr>
          </w:p>
        </w:tc>
        <w:tc>
          <w:tcPr>
            <w:tcW w:w="1009"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lang w:eastAsia="zh-CN"/>
              </w:rPr>
            </w:pPr>
            <w:r>
              <w:rPr>
                <w:rFonts w:cs="Times New Roman"/>
                <w:sz w:val="21"/>
                <w:szCs w:val="21"/>
                <w:lang w:eastAsia="zh-CN"/>
              </w:rPr>
              <w:t>水环境承载力</w:t>
            </w:r>
          </w:p>
        </w:tc>
        <w:tc>
          <w:tcPr>
            <w:tcW w:w="1291"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z w:val="21"/>
                <w:szCs w:val="21"/>
                <w:lang w:eastAsia="zh-CN"/>
              </w:rPr>
            </w:pPr>
            <w:r>
              <w:rPr>
                <w:rFonts w:cs="Times New Roman"/>
                <w:sz w:val="21"/>
                <w:szCs w:val="21"/>
                <w:lang w:eastAsia="zh-CN"/>
              </w:rPr>
              <w:t>现状水环境容量</w:t>
            </w:r>
          </w:p>
        </w:tc>
        <w:tc>
          <w:tcPr>
            <w:tcW w:w="1992" w:type="pct"/>
            <w:vAlign w:val="center"/>
          </w:tcPr>
          <w:p>
            <w:pPr>
              <w:pStyle w:val="119"/>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cs="Times New Roman"/>
                <w:spacing w:val="-2"/>
                <w:sz w:val="21"/>
                <w:szCs w:val="21"/>
                <w:lang w:eastAsia="zh-CN"/>
              </w:rPr>
            </w:pPr>
            <w:r>
              <w:rPr>
                <w:rFonts w:hint="eastAsia" w:cs="Times New Roman"/>
                <w:spacing w:val="-2"/>
                <w:sz w:val="21"/>
                <w:szCs w:val="21"/>
                <w:lang w:eastAsia="zh-CN"/>
              </w:rPr>
              <w:t>杨官河</w:t>
            </w:r>
            <w:r>
              <w:rPr>
                <w:rFonts w:cs="Times New Roman"/>
                <w:spacing w:val="-2"/>
                <w:sz w:val="21"/>
                <w:szCs w:val="21"/>
                <w:lang w:eastAsia="zh-CN"/>
              </w:rPr>
              <w:t>水质不稳定；</w:t>
            </w:r>
            <w:r>
              <w:rPr>
                <w:rFonts w:hint="eastAsia" w:cs="Times New Roman"/>
                <w:spacing w:val="-2"/>
                <w:sz w:val="21"/>
                <w:szCs w:val="21"/>
                <w:lang w:eastAsia="zh-CN"/>
              </w:rPr>
              <w:t>浑</w:t>
            </w:r>
            <w:r>
              <w:rPr>
                <w:rFonts w:cs="Times New Roman"/>
                <w:spacing w:val="-2"/>
                <w:sz w:val="21"/>
                <w:szCs w:val="21"/>
                <w:lang w:eastAsia="zh-CN"/>
              </w:rPr>
              <w:t>河有环境容量</w:t>
            </w:r>
          </w:p>
        </w:tc>
      </w:tr>
    </w:tbl>
    <w:p>
      <w:pPr>
        <w:spacing w:before="2"/>
        <w:ind w:firstLine="241"/>
        <w:rPr>
          <w:rFonts w:eastAsia="黑体" w:cs="Times New Roman"/>
          <w:b/>
          <w:bCs/>
          <w:sz w:val="12"/>
          <w:szCs w:val="12"/>
          <w:lang w:eastAsia="zh-CN"/>
        </w:rPr>
      </w:pPr>
    </w:p>
    <w:p>
      <w:pPr>
        <w:ind w:firstLine="480"/>
        <w:rPr>
          <w:rFonts w:cs="Times New Roman"/>
          <w:lang w:eastAsia="zh-CN"/>
        </w:rPr>
      </w:pPr>
      <w:r>
        <w:rPr>
          <w:rFonts w:cs="Times New Roman"/>
          <w:lang w:eastAsia="zh-CN"/>
        </w:rPr>
        <w:t>本次跟踪评价从资源承载力、环境承载力方面对</w:t>
      </w:r>
      <w:r>
        <w:rPr>
          <w:rFonts w:hint="eastAsia" w:cs="Times New Roman"/>
          <w:lang w:eastAsia="zh-CN"/>
        </w:rPr>
        <w:t>国际新兴产业园区</w:t>
      </w:r>
      <w:r>
        <w:rPr>
          <w:rFonts w:cs="Times New Roman"/>
          <w:lang w:eastAsia="zh-CN"/>
        </w:rPr>
        <w:t>规划实施后，所在区域现状环境资源承载力进行分析，从分析结果来看，区域地表水</w:t>
      </w:r>
      <w:r>
        <w:rPr>
          <w:rFonts w:hint="eastAsia" w:cs="Times New Roman"/>
          <w:spacing w:val="-2"/>
          <w:sz w:val="21"/>
          <w:szCs w:val="21"/>
          <w:lang w:eastAsia="zh-CN"/>
        </w:rPr>
        <w:t>杨官河</w:t>
      </w:r>
      <w:r>
        <w:rPr>
          <w:rFonts w:cs="Times New Roman"/>
          <w:lang w:eastAsia="zh-CN"/>
        </w:rPr>
        <w:t>已无环境容量，大气环境承载力除了大气颗粒物由于现状环境质量超标已无环境容量外，其他各项环境指标和资源承载力均能满足</w:t>
      </w:r>
      <w:r>
        <w:rPr>
          <w:rFonts w:hint="eastAsia" w:cs="Times New Roman"/>
          <w:lang w:eastAsia="zh-CN"/>
        </w:rPr>
        <w:t>国际新兴产业园区</w:t>
      </w:r>
      <w:r>
        <w:rPr>
          <w:rFonts w:cs="Times New Roman"/>
          <w:lang w:eastAsia="zh-CN"/>
        </w:rPr>
        <w:t>现状及发展的需要。</w:t>
      </w:r>
    </w:p>
    <w:p>
      <w:pPr>
        <w:ind w:firstLine="480"/>
        <w:rPr>
          <w:rFonts w:cs="Times New Roman"/>
          <w:lang w:eastAsia="zh-CN"/>
        </w:rPr>
      </w:pPr>
      <w:r>
        <w:rPr>
          <w:rFonts w:cs="Times New Roman"/>
          <w:lang w:eastAsia="zh-CN"/>
        </w:rPr>
        <w:t>规划区域为实现大气环境及水环境达标，需要通过规划区外和内部同步实施大气污染减排、水体达标规划，实现全市环境改善，从而为</w:t>
      </w:r>
      <w:r>
        <w:rPr>
          <w:rFonts w:hint="eastAsia" w:cs="Times New Roman"/>
          <w:lang w:eastAsia="zh-CN"/>
        </w:rPr>
        <w:t>国际新兴产业园区</w:t>
      </w:r>
      <w:r>
        <w:rPr>
          <w:rFonts w:cs="Times New Roman"/>
          <w:lang w:eastAsia="zh-CN"/>
        </w:rPr>
        <w:t>发展留出更过环境承载空间。</w:t>
      </w:r>
    </w:p>
    <w:p>
      <w:pPr>
        <w:pStyle w:val="25"/>
        <w:spacing w:line="356" w:lineRule="auto"/>
        <w:ind w:left="213" w:firstLine="480"/>
        <w:rPr>
          <w:rFonts w:cs="Times New Roman"/>
          <w:lang w:eastAsia="zh-CN"/>
        </w:rPr>
      </w:pPr>
    </w:p>
    <w:p>
      <w:pPr>
        <w:ind w:firstLine="480"/>
        <w:rPr>
          <w:rFonts w:cs="Times New Roman"/>
          <w:lang w:eastAsia="zh-CN"/>
        </w:rPr>
      </w:pPr>
      <w:r>
        <w:rPr>
          <w:rFonts w:cs="Times New Roman"/>
          <w:lang w:eastAsia="zh-CN"/>
        </w:rPr>
        <w:br w:type="page"/>
      </w:r>
    </w:p>
    <w:p>
      <w:pPr>
        <w:pStyle w:val="7"/>
        <w:rPr>
          <w:rFonts w:ascii="Times New Roman" w:hAnsi="Times New Roman" w:cs="Times New Roman"/>
          <w:lang w:eastAsia="zh-CN"/>
        </w:rPr>
      </w:pPr>
      <w:bookmarkStart w:id="156" w:name="_Toc6236"/>
      <w:bookmarkStart w:id="157" w:name="_Toc4771"/>
      <w:r>
        <w:rPr>
          <w:rFonts w:ascii="Times New Roman" w:hAnsi="Times New Roman" w:cs="Times New Roman"/>
          <w:lang w:eastAsia="zh-CN"/>
        </w:rPr>
        <w:t>4 公众意见调查</w:t>
      </w:r>
      <w:bookmarkEnd w:id="128"/>
      <w:bookmarkEnd w:id="156"/>
      <w:bookmarkEnd w:id="157"/>
    </w:p>
    <w:p>
      <w:pPr>
        <w:pStyle w:val="8"/>
        <w:rPr>
          <w:rFonts w:ascii="Times New Roman" w:hAnsi="Times New Roman" w:cs="Times New Roman"/>
          <w:b w:val="0"/>
          <w:bCs w:val="0"/>
          <w:lang w:eastAsia="zh-CN"/>
        </w:rPr>
      </w:pPr>
      <w:bookmarkStart w:id="158" w:name="_Toc25068"/>
      <w:bookmarkStart w:id="159" w:name="_Toc34903921"/>
      <w:bookmarkStart w:id="160" w:name="_Toc24809"/>
      <w:r>
        <w:rPr>
          <w:rFonts w:ascii="Times New Roman" w:hAnsi="Times New Roman" w:eastAsia="Times New Roman" w:cs="Times New Roman"/>
          <w:lang w:eastAsia="zh-CN"/>
        </w:rPr>
        <w:t xml:space="preserve">4.1 </w:t>
      </w:r>
      <w:r>
        <w:rPr>
          <w:rFonts w:ascii="Times New Roman" w:hAnsi="Times New Roman" w:cs="Times New Roman"/>
          <w:spacing w:val="3"/>
          <w:lang w:eastAsia="zh-CN"/>
        </w:rPr>
        <w:t>公</w:t>
      </w:r>
      <w:r>
        <w:rPr>
          <w:rFonts w:ascii="Times New Roman" w:hAnsi="Times New Roman" w:cs="Times New Roman"/>
          <w:lang w:eastAsia="zh-CN"/>
        </w:rPr>
        <w:t>众意</w:t>
      </w:r>
      <w:r>
        <w:rPr>
          <w:rFonts w:ascii="Times New Roman" w:hAnsi="Times New Roman" w:cs="Times New Roman"/>
          <w:spacing w:val="3"/>
          <w:lang w:eastAsia="zh-CN"/>
        </w:rPr>
        <w:t>见</w:t>
      </w:r>
      <w:r>
        <w:rPr>
          <w:rFonts w:ascii="Times New Roman" w:hAnsi="Times New Roman" w:cs="Times New Roman"/>
          <w:lang w:eastAsia="zh-CN"/>
        </w:rPr>
        <w:t>调</w:t>
      </w:r>
      <w:r>
        <w:rPr>
          <w:rFonts w:ascii="Times New Roman" w:hAnsi="Times New Roman" w:cs="Times New Roman"/>
          <w:spacing w:val="2"/>
          <w:lang w:eastAsia="zh-CN"/>
        </w:rPr>
        <w:t>查</w:t>
      </w:r>
      <w:r>
        <w:rPr>
          <w:rFonts w:ascii="Times New Roman" w:hAnsi="Times New Roman" w:cs="Times New Roman"/>
          <w:spacing w:val="4"/>
          <w:lang w:eastAsia="zh-CN"/>
        </w:rPr>
        <w:t>目的</w:t>
      </w:r>
      <w:bookmarkEnd w:id="158"/>
      <w:bookmarkEnd w:id="159"/>
      <w:bookmarkEnd w:id="160"/>
    </w:p>
    <w:p>
      <w:pPr>
        <w:ind w:firstLine="496"/>
        <w:rPr>
          <w:rFonts w:cs="Times New Roman"/>
          <w:lang w:eastAsia="zh-CN"/>
        </w:rPr>
      </w:pPr>
      <w:r>
        <w:rPr>
          <w:rFonts w:cs="Times New Roman"/>
          <w:spacing w:val="4"/>
          <w:lang w:eastAsia="zh-CN"/>
        </w:rPr>
        <w:t>任何项目的建设或区域的开发都会对周围的自然环境和社会环境产生有利或不</w:t>
      </w:r>
      <w:r>
        <w:rPr>
          <w:rFonts w:cs="Times New Roman"/>
          <w:spacing w:val="-2"/>
          <w:lang w:eastAsia="zh-CN"/>
        </w:rPr>
        <w:t>利的影响，直接或间接影响临近地区的公众利益。公众从各自利益出发，将对开发建</w:t>
      </w:r>
      <w:r>
        <w:rPr>
          <w:rFonts w:cs="Times New Roman"/>
          <w:spacing w:val="-1"/>
          <w:lang w:eastAsia="zh-CN"/>
        </w:rPr>
        <w:t>设持不同的态度。跟踪评价的</w:t>
      </w:r>
      <w:r>
        <w:rPr>
          <w:rFonts w:eastAsia="Times New Roman" w:cs="Times New Roman"/>
          <w:spacing w:val="-1"/>
          <w:lang w:eastAsia="zh-CN"/>
        </w:rPr>
        <w:t>“</w:t>
      </w:r>
      <w:r>
        <w:rPr>
          <w:rFonts w:cs="Times New Roman"/>
          <w:spacing w:val="-1"/>
          <w:lang w:eastAsia="zh-CN"/>
        </w:rPr>
        <w:t>公众参与</w:t>
      </w:r>
      <w:r>
        <w:rPr>
          <w:rFonts w:eastAsia="Times New Roman" w:cs="Times New Roman"/>
          <w:spacing w:val="-1"/>
          <w:lang w:eastAsia="zh-CN"/>
        </w:rPr>
        <w:t>”</w:t>
      </w:r>
      <w:r>
        <w:rPr>
          <w:rFonts w:cs="Times New Roman"/>
          <w:spacing w:val="-1"/>
          <w:lang w:eastAsia="zh-CN"/>
        </w:rPr>
        <w:t>就是在跟踪评价过程中开展公众调查，旨在了解社会各界对开发建设所持的态度和观点。</w:t>
      </w:r>
    </w:p>
    <w:p>
      <w:pPr>
        <w:ind w:firstLine="472"/>
        <w:rPr>
          <w:rFonts w:cs="Times New Roman"/>
          <w:lang w:eastAsia="zh-CN"/>
        </w:rPr>
      </w:pPr>
      <w:r>
        <w:rPr>
          <w:rFonts w:cs="Times New Roman"/>
          <w:spacing w:val="-2"/>
          <w:lang w:eastAsia="zh-CN"/>
        </w:rPr>
        <w:t>本次公众参与调查本着公开、平等、广泛和便利的原则，让</w:t>
      </w:r>
      <w:r>
        <w:rPr>
          <w:rFonts w:hint="eastAsia" w:cs="Times New Roman"/>
          <w:spacing w:val="-2"/>
          <w:lang w:eastAsia="zh-CN"/>
        </w:rPr>
        <w:t>国际新兴产业园区</w:t>
      </w:r>
      <w:r>
        <w:rPr>
          <w:rFonts w:cs="Times New Roman"/>
          <w:spacing w:val="-2"/>
          <w:lang w:eastAsia="zh-CN"/>
        </w:rPr>
        <w:t>以及周围地区的企业及民众对</w:t>
      </w:r>
      <w:r>
        <w:rPr>
          <w:rFonts w:hint="eastAsia" w:cs="Times New Roman"/>
          <w:spacing w:val="-2"/>
          <w:lang w:eastAsia="zh-CN"/>
        </w:rPr>
        <w:t>国际新兴产业园区</w:t>
      </w:r>
      <w:r>
        <w:rPr>
          <w:rFonts w:cs="Times New Roman"/>
          <w:spacing w:val="-2"/>
          <w:lang w:eastAsia="zh-CN"/>
        </w:rPr>
        <w:t>建设的情况有所了解，征询他们的意见、要求和愿望，使该规</w:t>
      </w:r>
      <w:r>
        <w:rPr>
          <w:rFonts w:cs="Times New Roman"/>
          <w:lang w:eastAsia="zh-CN"/>
        </w:rPr>
        <w:t>划的实施得到公众认可，取得公众的理解和支持。</w:t>
      </w:r>
    </w:p>
    <w:p>
      <w:pPr>
        <w:pStyle w:val="8"/>
        <w:rPr>
          <w:rFonts w:ascii="Times New Roman" w:hAnsi="Times New Roman" w:cs="Times New Roman"/>
          <w:b w:val="0"/>
          <w:bCs w:val="0"/>
          <w:lang w:eastAsia="zh-CN"/>
        </w:rPr>
      </w:pPr>
      <w:bookmarkStart w:id="161" w:name="_Toc34903922"/>
      <w:bookmarkStart w:id="162" w:name="_Toc19557"/>
      <w:bookmarkStart w:id="163" w:name="_Toc3443"/>
      <w:r>
        <w:rPr>
          <w:rFonts w:ascii="Times New Roman" w:hAnsi="Times New Roman" w:eastAsia="Times New Roman" w:cs="Times New Roman"/>
          <w:lang w:eastAsia="zh-CN"/>
        </w:rPr>
        <w:t xml:space="preserve">4.2 </w:t>
      </w:r>
      <w:r>
        <w:rPr>
          <w:rFonts w:ascii="Times New Roman" w:hAnsi="Times New Roman" w:cs="Times New Roman"/>
          <w:spacing w:val="4"/>
          <w:lang w:eastAsia="zh-CN"/>
        </w:rPr>
        <w:t>首</w:t>
      </w:r>
      <w:r>
        <w:rPr>
          <w:rFonts w:ascii="Times New Roman" w:hAnsi="Times New Roman" w:cs="Times New Roman"/>
          <w:lang w:eastAsia="zh-CN"/>
        </w:rPr>
        <w:t>次公</w:t>
      </w:r>
      <w:r>
        <w:rPr>
          <w:rFonts w:ascii="Times New Roman" w:hAnsi="Times New Roman" w:cs="Times New Roman"/>
          <w:spacing w:val="3"/>
          <w:lang w:eastAsia="zh-CN"/>
        </w:rPr>
        <w:t>众</w:t>
      </w:r>
      <w:r>
        <w:rPr>
          <w:rFonts w:ascii="Times New Roman" w:hAnsi="Times New Roman" w:cs="Times New Roman"/>
          <w:lang w:eastAsia="zh-CN"/>
        </w:rPr>
        <w:t>参</w:t>
      </w:r>
      <w:r>
        <w:rPr>
          <w:rFonts w:ascii="Times New Roman" w:hAnsi="Times New Roman" w:cs="Times New Roman"/>
          <w:spacing w:val="1"/>
          <w:lang w:eastAsia="zh-CN"/>
        </w:rPr>
        <w:t>与</w:t>
      </w:r>
      <w:r>
        <w:rPr>
          <w:rFonts w:ascii="Times New Roman" w:hAnsi="Times New Roman" w:cs="Times New Roman"/>
          <w:spacing w:val="4"/>
          <w:lang w:eastAsia="zh-CN"/>
        </w:rPr>
        <w:t>情况</w:t>
      </w:r>
      <w:bookmarkEnd w:id="161"/>
      <w:bookmarkEnd w:id="162"/>
      <w:bookmarkEnd w:id="163"/>
    </w:p>
    <w:p>
      <w:pPr>
        <w:ind w:firstLine="496"/>
        <w:jc w:val="left"/>
        <w:rPr>
          <w:rFonts w:cs="Times New Roman"/>
          <w:spacing w:val="4"/>
          <w:lang w:eastAsia="zh-CN"/>
        </w:rPr>
      </w:pPr>
      <w:r>
        <w:rPr>
          <w:rFonts w:cs="Times New Roman"/>
          <w:spacing w:val="4"/>
          <w:lang w:eastAsia="zh-CN"/>
        </w:rPr>
        <w:t>首次公众参与于2020年8月14日～2020年8月28日，在沈阳网网站（公示链接网址：</w:t>
      </w:r>
      <w:r>
        <w:rPr>
          <w:rFonts w:cs="Times New Roman"/>
          <w:lang w:eastAsia="zh-CN"/>
        </w:rPr>
        <w:t>https://weixin.syd.com.cn/show.do?methods=receive&amp;word=000001&amp;eid=8205&amp;user=132_dzph_1401429872980</w:t>
      </w:r>
      <w:r>
        <w:rPr>
          <w:rFonts w:cs="Times New Roman"/>
          <w:spacing w:val="4"/>
          <w:lang w:eastAsia="zh-CN"/>
        </w:rPr>
        <w:t>）进行了第一次公示（公示截图见图4-1），向公众公开了规划环境影响跟踪评价的项目概况、征求公众意见的主要事项、委托单位和环评单位的联系人和联系方式、公众提出意见的主要方式及公示时间。此外，还采取向相关政府部门函询的方式进行了公众参与，征求公众意见，征求意见函询见附表。</w:t>
      </w:r>
    </w:p>
    <w:p>
      <w:pPr>
        <w:ind w:firstLine="480"/>
        <w:rPr>
          <w:rFonts w:cs="Times New Roman"/>
          <w:lang w:eastAsia="zh-CN"/>
        </w:rPr>
      </w:pPr>
      <w:r>
        <w:rPr>
          <w:rFonts w:cs="Times New Roman"/>
          <w:lang w:eastAsia="zh-CN"/>
        </w:rPr>
        <w:t>本次跟踪评价在首次信息公开期间，未收到公众意见。</w:t>
      </w:r>
    </w:p>
    <w:p>
      <w:pPr>
        <w:pStyle w:val="25"/>
        <w:spacing w:before="222" w:line="359" w:lineRule="auto"/>
        <w:ind w:right="267" w:firstLine="480"/>
        <w:jc w:val="center"/>
        <w:rPr>
          <w:rFonts w:cs="Times New Roman"/>
          <w:spacing w:val="4"/>
          <w:lang w:eastAsia="zh-CN"/>
        </w:rPr>
      </w:pPr>
    </w:p>
    <w:p>
      <w:pPr>
        <w:pStyle w:val="20"/>
        <w:jc w:val="center"/>
        <w:rPr>
          <w:rFonts w:ascii="宋体" w:hAnsi="宋体" w:eastAsia="宋体" w:cs="宋体"/>
          <w:b/>
          <w:bCs/>
          <w:spacing w:val="-2"/>
          <w:sz w:val="21"/>
          <w:szCs w:val="21"/>
          <w:lang w:eastAsia="zh-CN"/>
        </w:rPr>
      </w:pPr>
      <w:r>
        <w:rPr>
          <w:rFonts w:hint="eastAsia" w:ascii="宋体" w:hAnsi="宋体" w:eastAsia="宋体" w:cs="宋体"/>
          <w:b/>
          <w:bCs/>
          <w:sz w:val="21"/>
          <w:szCs w:val="21"/>
          <w:lang w:eastAsia="zh-CN"/>
        </w:rPr>
        <w:t>图4-</w:t>
      </w:r>
      <w:r>
        <w:rPr>
          <w:rFonts w:hint="eastAsia" w:ascii="宋体" w:hAnsi="宋体" w:eastAsia="宋体" w:cs="宋体"/>
          <w:b/>
          <w:bCs/>
          <w:sz w:val="21"/>
          <w:szCs w:val="21"/>
        </w:rPr>
        <w:fldChar w:fldCharType="begin"/>
      </w:r>
      <w:r>
        <w:rPr>
          <w:rFonts w:hint="eastAsia" w:ascii="宋体" w:hAnsi="宋体" w:eastAsia="宋体" w:cs="宋体"/>
          <w:b/>
          <w:bCs/>
          <w:sz w:val="21"/>
          <w:szCs w:val="21"/>
          <w:lang w:eastAsia="zh-CN"/>
        </w:rPr>
        <w:instrText xml:space="preserve"> SEQ 图4- \* ARABIC </w:instrText>
      </w:r>
      <w:r>
        <w:rPr>
          <w:rFonts w:hint="eastAsia" w:ascii="宋体" w:hAnsi="宋体" w:eastAsia="宋体" w:cs="宋体"/>
          <w:b/>
          <w:bCs/>
          <w:sz w:val="21"/>
          <w:szCs w:val="21"/>
        </w:rPr>
        <w:fldChar w:fldCharType="separate"/>
      </w:r>
      <w:r>
        <w:rPr>
          <w:rFonts w:hint="eastAsia" w:ascii="宋体" w:hAnsi="宋体" w:eastAsia="宋体" w:cs="宋体"/>
          <w:b/>
          <w:bCs/>
          <w:sz w:val="21"/>
          <w:szCs w:val="21"/>
          <w:lang w:eastAsia="zh-CN"/>
        </w:rPr>
        <w:t>1</w:t>
      </w:r>
      <w:r>
        <w:rPr>
          <w:rFonts w:hint="eastAsia" w:ascii="宋体" w:hAnsi="宋体" w:eastAsia="宋体" w:cs="宋体"/>
          <w:b/>
          <w:bCs/>
          <w:sz w:val="21"/>
          <w:szCs w:val="21"/>
        </w:rPr>
        <w:fldChar w:fldCharType="end"/>
      </w:r>
      <w:r>
        <w:rPr>
          <w:rFonts w:hint="eastAsia" w:ascii="宋体" w:hAnsi="宋体" w:eastAsia="宋体" w:cs="宋体"/>
          <w:b/>
          <w:bCs/>
          <w:sz w:val="21"/>
          <w:szCs w:val="21"/>
          <w:lang w:eastAsia="zh-CN"/>
        </w:rPr>
        <w:t xml:space="preserve">   </w:t>
      </w:r>
      <w:r>
        <w:rPr>
          <w:rFonts w:hint="eastAsia" w:ascii="宋体" w:hAnsi="宋体" w:eastAsia="宋体" w:cs="宋体"/>
          <w:b/>
          <w:bCs/>
          <w:spacing w:val="-2"/>
          <w:sz w:val="21"/>
          <w:szCs w:val="21"/>
          <w:lang w:eastAsia="zh-CN"/>
        </w:rPr>
        <w:t>第一次网上公示截图</w:t>
      </w:r>
    </w:p>
    <w:p>
      <w:pPr>
        <w:pStyle w:val="8"/>
        <w:rPr>
          <w:rFonts w:ascii="Times New Roman" w:hAnsi="Times New Roman" w:cs="Times New Roman"/>
          <w:b w:val="0"/>
          <w:bCs w:val="0"/>
          <w:lang w:eastAsia="zh-CN"/>
        </w:rPr>
      </w:pPr>
      <w:bookmarkStart w:id="164" w:name="_Toc34903923"/>
      <w:bookmarkStart w:id="165" w:name="_Toc8950"/>
      <w:bookmarkStart w:id="166" w:name="_Toc27561"/>
      <w:r>
        <w:rPr>
          <w:rFonts w:ascii="Times New Roman" w:hAnsi="Times New Roman" w:eastAsia="Times New Roman" w:cs="Times New Roman"/>
          <w:lang w:eastAsia="zh-CN"/>
        </w:rPr>
        <w:t xml:space="preserve">4.3 </w:t>
      </w:r>
      <w:r>
        <w:rPr>
          <w:rFonts w:ascii="Times New Roman" w:hAnsi="Times New Roman" w:cs="Times New Roman"/>
          <w:lang w:eastAsia="zh-CN"/>
        </w:rPr>
        <w:t>征求意见稿公众参与情况</w:t>
      </w:r>
      <w:bookmarkEnd w:id="164"/>
      <w:bookmarkEnd w:id="165"/>
      <w:bookmarkEnd w:id="166"/>
    </w:p>
    <w:p>
      <w:pPr>
        <w:ind w:firstLine="480"/>
        <w:rPr>
          <w:rFonts w:cs="Times New Roman"/>
          <w:lang w:eastAsia="zh-CN"/>
        </w:rPr>
      </w:pPr>
      <w:r>
        <w:rPr>
          <w:rFonts w:eastAsia="Times New Roman" w:cs="Times New Roman"/>
          <w:lang w:eastAsia="zh-CN"/>
        </w:rPr>
        <w:t>2020</w:t>
      </w:r>
      <w:r>
        <w:rPr>
          <w:rFonts w:cs="Times New Roman"/>
          <w:lang w:eastAsia="zh-CN"/>
        </w:rPr>
        <w:t>年</w:t>
      </w:r>
      <w:r>
        <w:rPr>
          <w:rFonts w:eastAsia="Times New Roman" w:cs="Times New Roman"/>
          <w:lang w:eastAsia="zh-CN"/>
        </w:rPr>
        <w:t>10</w:t>
      </w:r>
      <w:r>
        <w:rPr>
          <w:rFonts w:cs="Times New Roman"/>
          <w:lang w:eastAsia="zh-CN"/>
        </w:rPr>
        <w:t>月</w:t>
      </w:r>
      <w:r>
        <w:rPr>
          <w:rFonts w:eastAsia="Times New Roman" w:cs="Times New Roman"/>
          <w:lang w:eastAsia="zh-CN"/>
        </w:rPr>
        <w:t>9</w:t>
      </w:r>
      <w:r>
        <w:rPr>
          <w:rFonts w:cs="Times New Roman"/>
          <w:spacing w:val="-1"/>
          <w:lang w:eastAsia="zh-CN"/>
        </w:rPr>
        <w:t>日～</w:t>
      </w:r>
      <w:r>
        <w:rPr>
          <w:rFonts w:eastAsia="Times New Roman" w:cs="Times New Roman"/>
          <w:spacing w:val="-1"/>
          <w:lang w:eastAsia="zh-CN"/>
        </w:rPr>
        <w:t>10</w:t>
      </w:r>
      <w:r>
        <w:rPr>
          <w:rFonts w:cs="Times New Roman"/>
          <w:lang w:eastAsia="zh-CN"/>
        </w:rPr>
        <w:t>月</w:t>
      </w:r>
      <w:r>
        <w:rPr>
          <w:rFonts w:eastAsia="Times New Roman" w:cs="Times New Roman"/>
          <w:lang w:eastAsia="zh-CN"/>
        </w:rPr>
        <w:t>23</w:t>
      </w:r>
      <w:r>
        <w:rPr>
          <w:rFonts w:cs="Times New Roman"/>
          <w:lang w:eastAsia="zh-CN"/>
        </w:rPr>
        <w:t>日，在</w:t>
      </w:r>
      <w:r>
        <w:rPr>
          <w:rFonts w:cs="Times New Roman"/>
          <w:spacing w:val="4"/>
          <w:lang w:eastAsia="zh-CN"/>
        </w:rPr>
        <w:t>沈阳网</w:t>
      </w:r>
      <w:r>
        <w:rPr>
          <w:rFonts w:cs="Times New Roman"/>
          <w:lang w:eastAsia="zh-CN"/>
        </w:rPr>
        <w:t>网站（公示链接网址：</w:t>
      </w:r>
      <w:r>
        <w:rPr>
          <w:rFonts w:cs="Times New Roman"/>
          <w:spacing w:val="24"/>
          <w:lang w:eastAsia="zh-CN"/>
        </w:rPr>
        <w:t xml:space="preserve"> https://weixin.syd.com.cn/show.do?methods=receive&amp;word=000001&amp;eid=8251&amp;user=132_dzph_1401429872980）</w:t>
      </w:r>
      <w:r>
        <w:rPr>
          <w:rFonts w:cs="Times New Roman"/>
          <w:spacing w:val="-1"/>
          <w:lang w:eastAsia="zh-CN"/>
        </w:rPr>
        <w:t>进行了第二次信息公示（公示截图见图</w:t>
      </w:r>
      <w:r>
        <w:rPr>
          <w:rFonts w:cs="Times New Roman"/>
          <w:lang w:eastAsia="zh-CN"/>
        </w:rPr>
        <w:t xml:space="preserve"> </w:t>
      </w:r>
      <w:r>
        <w:rPr>
          <w:rFonts w:eastAsia="Times New Roman" w:cs="Times New Roman"/>
          <w:lang w:eastAsia="zh-CN"/>
        </w:rPr>
        <w:t>4-2</w:t>
      </w:r>
      <w:r>
        <w:rPr>
          <w:rFonts w:cs="Times New Roman"/>
          <w:lang w:eastAsia="zh-CN"/>
        </w:rPr>
        <w:t>），向公众公开了规划环境影响跟踪评价规划概述和环评结论、原规划环评执行情况</w:t>
      </w:r>
      <w:r>
        <w:rPr>
          <w:rFonts w:cs="Times New Roman"/>
          <w:spacing w:val="-44"/>
          <w:lang w:eastAsia="zh-CN"/>
        </w:rPr>
        <w:t>、</w:t>
      </w:r>
      <w:r>
        <w:rPr>
          <w:rFonts w:cs="Times New Roman"/>
          <w:lang w:eastAsia="zh-CN"/>
        </w:rPr>
        <w:t>入区企业调查和污染治理措施情况、跟踪评价结论，征求公</w:t>
      </w:r>
      <w:r>
        <w:rPr>
          <w:rFonts w:cs="Times New Roman"/>
          <w:spacing w:val="1"/>
          <w:lang w:eastAsia="zh-CN"/>
        </w:rPr>
        <w:t>众</w:t>
      </w:r>
      <w:r>
        <w:rPr>
          <w:rFonts w:cs="Times New Roman"/>
          <w:lang w:eastAsia="zh-CN"/>
        </w:rPr>
        <w:t>意见的主要事项</w:t>
      </w:r>
      <w:r>
        <w:rPr>
          <w:rFonts w:cs="Times New Roman"/>
          <w:spacing w:val="-29"/>
          <w:lang w:eastAsia="zh-CN"/>
        </w:rPr>
        <w:t>、</w:t>
      </w:r>
      <w:r>
        <w:rPr>
          <w:rFonts w:cs="Times New Roman"/>
          <w:lang w:eastAsia="zh-CN"/>
        </w:rPr>
        <w:t>委托单位和环评单位的联系人和联系方式、公示时间。</w:t>
      </w:r>
    </w:p>
    <w:p>
      <w:pPr>
        <w:ind w:firstLine="480"/>
        <w:rPr>
          <w:rFonts w:cs="Times New Roman"/>
          <w:lang w:eastAsia="zh-CN"/>
        </w:rPr>
      </w:pPr>
      <w:r>
        <w:rPr>
          <w:rFonts w:cs="Times New Roman"/>
          <w:lang w:eastAsia="zh-CN"/>
        </w:rPr>
        <w:t>征求意见稿公示期间在</w:t>
      </w:r>
      <w:r>
        <w:rPr>
          <w:rFonts w:hint="eastAsia" w:cs="Times New Roman"/>
          <w:lang w:eastAsia="zh-CN"/>
        </w:rPr>
        <w:t>国际新兴产业园区</w:t>
      </w:r>
      <w:r>
        <w:rPr>
          <w:rFonts w:cs="Times New Roman"/>
          <w:lang w:eastAsia="zh-CN"/>
        </w:rPr>
        <w:t>主要公示公告栏处</w:t>
      </w:r>
      <w:r>
        <w:rPr>
          <w:rFonts w:cs="Times New Roman"/>
          <w:spacing w:val="-29"/>
          <w:lang w:eastAsia="zh-CN"/>
        </w:rPr>
        <w:t>，</w:t>
      </w:r>
      <w:r>
        <w:rPr>
          <w:rFonts w:cs="Times New Roman"/>
          <w:lang w:eastAsia="zh-CN"/>
        </w:rPr>
        <w:t>张贴</w:t>
      </w:r>
      <w:r>
        <w:rPr>
          <w:rFonts w:cs="Times New Roman"/>
          <w:spacing w:val="1"/>
          <w:lang w:eastAsia="zh-CN"/>
        </w:rPr>
        <w:t>跟</w:t>
      </w:r>
      <w:r>
        <w:rPr>
          <w:rFonts w:cs="Times New Roman"/>
          <w:lang w:eastAsia="zh-CN"/>
        </w:rPr>
        <w:t>踪评价公示</w:t>
      </w:r>
      <w:r>
        <w:rPr>
          <w:rFonts w:cs="Times New Roman"/>
          <w:spacing w:val="-28"/>
          <w:lang w:eastAsia="zh-CN"/>
        </w:rPr>
        <w:t>，</w:t>
      </w:r>
      <w:r>
        <w:rPr>
          <w:rFonts w:cs="Times New Roman"/>
          <w:lang w:eastAsia="zh-CN"/>
        </w:rPr>
        <w:t>见图</w:t>
      </w:r>
      <w:r>
        <w:rPr>
          <w:rFonts w:cs="Times New Roman"/>
          <w:spacing w:val="-59"/>
          <w:lang w:eastAsia="zh-CN"/>
        </w:rPr>
        <w:t xml:space="preserve"> </w:t>
      </w:r>
      <w:r>
        <w:rPr>
          <w:rFonts w:eastAsia="Times New Roman" w:cs="Times New Roman"/>
          <w:spacing w:val="-1"/>
          <w:lang w:eastAsia="zh-CN"/>
        </w:rPr>
        <w:t>4-3</w:t>
      </w:r>
      <w:r>
        <w:rPr>
          <w:rFonts w:cs="Times New Roman"/>
          <w:spacing w:val="-1"/>
          <w:lang w:eastAsia="zh-CN"/>
        </w:rPr>
        <w:t>，</w:t>
      </w:r>
      <w:r>
        <w:rPr>
          <w:rFonts w:cs="Times New Roman"/>
          <w:lang w:eastAsia="zh-CN"/>
        </w:rPr>
        <w:t>公示时间为</w:t>
      </w:r>
      <w:r>
        <w:rPr>
          <w:rFonts w:cs="Times New Roman"/>
          <w:spacing w:val="-60"/>
          <w:lang w:eastAsia="zh-CN"/>
        </w:rPr>
        <w:t xml:space="preserve"> </w:t>
      </w:r>
      <w:r>
        <w:rPr>
          <w:rFonts w:eastAsia="Times New Roman" w:cs="Times New Roman"/>
          <w:lang w:eastAsia="zh-CN"/>
        </w:rPr>
        <w:t>2020</w:t>
      </w:r>
      <w:r>
        <w:rPr>
          <w:rFonts w:cs="Times New Roman"/>
          <w:lang w:eastAsia="zh-CN"/>
        </w:rPr>
        <w:t>年</w:t>
      </w:r>
      <w:r>
        <w:rPr>
          <w:rFonts w:eastAsia="Times New Roman" w:cs="Times New Roman"/>
          <w:lang w:eastAsia="zh-CN"/>
        </w:rPr>
        <w:t>8</w:t>
      </w:r>
      <w:r>
        <w:rPr>
          <w:rFonts w:cs="Times New Roman"/>
          <w:lang w:eastAsia="zh-CN"/>
        </w:rPr>
        <w:t>月20日</w:t>
      </w:r>
      <w:r>
        <w:rPr>
          <w:rFonts w:eastAsia="Times New Roman" w:cs="Times New Roman"/>
          <w:lang w:eastAsia="zh-CN"/>
        </w:rPr>
        <w:t>~9</w:t>
      </w:r>
      <w:r>
        <w:rPr>
          <w:rFonts w:cs="Times New Roman"/>
          <w:lang w:eastAsia="zh-CN"/>
        </w:rPr>
        <w:t>月</w:t>
      </w:r>
      <w:r>
        <w:rPr>
          <w:rFonts w:eastAsia="Times New Roman" w:cs="Times New Roman"/>
          <w:lang w:eastAsia="zh-CN"/>
        </w:rPr>
        <w:t>3</w:t>
      </w:r>
      <w:r>
        <w:rPr>
          <w:rFonts w:cs="Times New Roman"/>
          <w:lang w:eastAsia="zh-CN"/>
        </w:rPr>
        <w:t>日。</w:t>
      </w:r>
    </w:p>
    <w:p>
      <w:pPr>
        <w:ind w:firstLine="480"/>
        <w:rPr>
          <w:rFonts w:cs="Times New Roman"/>
          <w:lang w:eastAsia="zh-CN"/>
        </w:rPr>
      </w:pPr>
      <w:r>
        <w:rPr>
          <w:rFonts w:cs="Times New Roman"/>
          <w:lang w:eastAsia="zh-CN"/>
        </w:rPr>
        <w:t>本次跟踪评价在</w:t>
      </w:r>
      <w:r>
        <w:rPr>
          <w:rFonts w:cs="Times New Roman"/>
          <w:spacing w:val="-52"/>
          <w:lang w:eastAsia="zh-CN"/>
        </w:rPr>
        <w:t xml:space="preserve"> </w:t>
      </w:r>
      <w:r>
        <w:rPr>
          <w:rFonts w:eastAsia="Times New Roman" w:cs="Times New Roman"/>
          <w:lang w:eastAsia="zh-CN"/>
        </w:rPr>
        <w:t>2020</w:t>
      </w:r>
      <w:r>
        <w:rPr>
          <w:rFonts w:cs="Times New Roman"/>
          <w:lang w:eastAsia="zh-CN"/>
        </w:rPr>
        <w:t>年</w:t>
      </w:r>
      <w:r>
        <w:rPr>
          <w:rFonts w:eastAsia="Times New Roman" w:cs="Times New Roman"/>
          <w:lang w:eastAsia="zh-CN"/>
        </w:rPr>
        <w:t>10</w:t>
      </w:r>
      <w:r>
        <w:rPr>
          <w:rFonts w:cs="Times New Roman"/>
          <w:lang w:eastAsia="zh-CN"/>
        </w:rPr>
        <w:t>月</w:t>
      </w:r>
      <w:r>
        <w:rPr>
          <w:rFonts w:eastAsia="Times New Roman" w:cs="Times New Roman"/>
          <w:lang w:eastAsia="zh-CN"/>
        </w:rPr>
        <w:t>10</w:t>
      </w:r>
      <w:r>
        <w:rPr>
          <w:rFonts w:cs="Times New Roman"/>
          <w:lang w:eastAsia="zh-CN"/>
        </w:rPr>
        <w:t>日和10月15</w:t>
      </w:r>
      <w:r>
        <w:rPr>
          <w:rFonts w:cs="Times New Roman"/>
          <w:spacing w:val="-1"/>
          <w:lang w:eastAsia="zh-CN"/>
        </w:rPr>
        <w:t>日进行了两次报纸公示，这两次公示</w:t>
      </w:r>
      <w:r>
        <w:rPr>
          <w:rFonts w:cs="Times New Roman"/>
          <w:lang w:eastAsia="zh-CN"/>
        </w:rPr>
        <w:t>信息均刊登在辽沈晚报，公示内容见图</w:t>
      </w:r>
      <w:r>
        <w:rPr>
          <w:rFonts w:cs="Times New Roman"/>
          <w:spacing w:val="-59"/>
          <w:lang w:eastAsia="zh-CN"/>
        </w:rPr>
        <w:t xml:space="preserve"> </w:t>
      </w:r>
      <w:r>
        <w:rPr>
          <w:rFonts w:eastAsia="Times New Roman" w:cs="Times New Roman"/>
          <w:spacing w:val="-1"/>
          <w:lang w:eastAsia="zh-CN"/>
        </w:rPr>
        <w:t>4-4</w:t>
      </w:r>
      <w:r>
        <w:rPr>
          <w:rFonts w:cs="Times New Roman"/>
          <w:spacing w:val="-1"/>
          <w:lang w:eastAsia="zh-CN"/>
        </w:rPr>
        <w:t>、图</w:t>
      </w:r>
      <w:r>
        <w:rPr>
          <w:rFonts w:cs="Times New Roman"/>
          <w:spacing w:val="-60"/>
          <w:lang w:eastAsia="zh-CN"/>
        </w:rPr>
        <w:t xml:space="preserve"> </w:t>
      </w:r>
      <w:r>
        <w:rPr>
          <w:rFonts w:eastAsia="Times New Roman" w:cs="Times New Roman"/>
          <w:lang w:eastAsia="zh-CN"/>
        </w:rPr>
        <w:t>4-5</w:t>
      </w:r>
      <w:r>
        <w:rPr>
          <w:rFonts w:cs="Times New Roman"/>
          <w:lang w:eastAsia="zh-CN"/>
        </w:rPr>
        <w:t>。</w:t>
      </w:r>
    </w:p>
    <w:p>
      <w:pPr>
        <w:ind w:firstLine="480"/>
        <w:rPr>
          <w:rFonts w:cs="Times New Roman"/>
          <w:lang w:eastAsia="zh-CN"/>
        </w:rPr>
      </w:pPr>
      <w:r>
        <w:rPr>
          <w:rFonts w:cs="Times New Roman"/>
          <w:lang w:eastAsia="zh-CN"/>
        </w:rPr>
        <w:t>本项目在征求意见稿公示期间，未收到公众意见。</w:t>
      </w:r>
    </w:p>
    <w:p>
      <w:pPr>
        <w:ind w:firstLine="480"/>
        <w:rPr>
          <w:rFonts w:cs="Times New Roman"/>
          <w:lang w:eastAsia="zh-CN"/>
        </w:rPr>
      </w:pPr>
    </w:p>
    <w:p>
      <w:pPr>
        <w:pStyle w:val="20"/>
        <w:ind w:firstLine="400"/>
        <w:jc w:val="center"/>
        <w:rPr>
          <w:rFonts w:ascii="Times New Roman" w:hAnsi="Times New Roman" w:cs="Times New Roman"/>
          <w:lang w:eastAsia="zh-CN"/>
        </w:rPr>
      </w:pPr>
    </w:p>
    <w:p>
      <w:pPr>
        <w:pStyle w:val="20"/>
        <w:tabs>
          <w:tab w:val="center" w:pos="4737"/>
          <w:tab w:val="left" w:pos="7149"/>
        </w:tabs>
        <w:ind w:firstLine="400"/>
        <w:jc w:val="left"/>
        <w:rPr>
          <w:rFonts w:ascii="Times New Roman" w:hAnsi="Times New Roman" w:cs="Times New Roman"/>
          <w:sz w:val="24"/>
          <w:szCs w:val="24"/>
          <w:lang w:eastAsia="zh-CN"/>
        </w:rPr>
      </w:pPr>
      <w:r>
        <w:rPr>
          <w:rFonts w:ascii="Times New Roman" w:hAnsi="Times New Roman" w:cs="Times New Roman"/>
          <w:lang w:eastAsia="zh-CN"/>
        </w:rPr>
        <w:tab/>
      </w:r>
      <w:r>
        <w:rPr>
          <w:rFonts w:hint="eastAsia" w:ascii="宋体" w:hAnsi="宋体" w:eastAsia="宋体" w:cs="宋体"/>
          <w:b/>
          <w:bCs/>
          <w:sz w:val="21"/>
          <w:szCs w:val="21"/>
          <w:lang w:eastAsia="zh-CN"/>
        </w:rPr>
        <w:t>图4-</w:t>
      </w:r>
      <w:r>
        <w:rPr>
          <w:rFonts w:hint="eastAsia" w:ascii="宋体" w:hAnsi="宋体" w:eastAsia="宋体" w:cs="宋体"/>
          <w:b/>
          <w:bCs/>
          <w:sz w:val="21"/>
          <w:szCs w:val="21"/>
          <w:lang w:eastAsia="zh-CN"/>
        </w:rPr>
        <w:fldChar w:fldCharType="begin"/>
      </w:r>
      <w:r>
        <w:rPr>
          <w:rFonts w:hint="eastAsia" w:ascii="宋体" w:hAnsi="宋体" w:eastAsia="宋体" w:cs="宋体"/>
          <w:b/>
          <w:bCs/>
          <w:sz w:val="21"/>
          <w:szCs w:val="21"/>
          <w:lang w:eastAsia="zh-CN"/>
        </w:rPr>
        <w:instrText xml:space="preserve"> SEQ 图4- \* ARABIC </w:instrText>
      </w:r>
      <w:r>
        <w:rPr>
          <w:rFonts w:hint="eastAsia" w:ascii="宋体" w:hAnsi="宋体" w:eastAsia="宋体" w:cs="宋体"/>
          <w:b/>
          <w:bCs/>
          <w:sz w:val="21"/>
          <w:szCs w:val="21"/>
          <w:lang w:eastAsia="zh-CN"/>
        </w:rPr>
        <w:fldChar w:fldCharType="separate"/>
      </w:r>
      <w:r>
        <w:rPr>
          <w:rFonts w:hint="eastAsia" w:ascii="宋体" w:hAnsi="宋体" w:eastAsia="宋体" w:cs="宋体"/>
          <w:b/>
          <w:bCs/>
          <w:sz w:val="21"/>
          <w:szCs w:val="21"/>
          <w:lang w:eastAsia="zh-CN"/>
        </w:rPr>
        <w:t>2</w:t>
      </w:r>
      <w:r>
        <w:rPr>
          <w:rFonts w:hint="eastAsia" w:ascii="宋体" w:hAnsi="宋体" w:eastAsia="宋体" w:cs="宋体"/>
          <w:b/>
          <w:bCs/>
          <w:sz w:val="21"/>
          <w:szCs w:val="21"/>
          <w:lang w:eastAsia="zh-CN"/>
        </w:rPr>
        <w:fldChar w:fldCharType="end"/>
      </w:r>
      <w:r>
        <w:rPr>
          <w:rFonts w:hint="eastAsia" w:ascii="宋体" w:hAnsi="宋体" w:eastAsia="宋体" w:cs="宋体"/>
          <w:b/>
          <w:bCs/>
          <w:sz w:val="21"/>
          <w:szCs w:val="21"/>
          <w:lang w:eastAsia="zh-CN"/>
        </w:rPr>
        <w:t>第二次网上公示截图</w:t>
      </w:r>
      <w:r>
        <w:rPr>
          <w:rFonts w:ascii="Times New Roman" w:hAnsi="Times New Roman" w:cs="Times New Roman"/>
          <w:bCs/>
          <w:spacing w:val="-2"/>
          <w:sz w:val="21"/>
          <w:szCs w:val="21"/>
          <w:lang w:eastAsia="zh-CN"/>
        </w:rPr>
        <w:tab/>
      </w:r>
    </w:p>
    <w:p>
      <w:pPr>
        <w:ind w:firstLine="480"/>
        <w:jc w:val="center"/>
        <w:rPr>
          <w:rFonts w:cs="Times New Roman"/>
          <w:lang w:eastAsia="zh-CN"/>
        </w:rPr>
      </w:pPr>
    </w:p>
    <w:p>
      <w:pPr>
        <w:spacing w:line="256" w:lineRule="exact"/>
        <w:ind w:firstLine="480"/>
        <w:rPr>
          <w:rFonts w:cs="Times New Roman"/>
          <w:lang w:eastAsia="zh-CN"/>
        </w:rPr>
        <w:sectPr>
          <w:footerReference r:id="rId21" w:type="default"/>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autoSpaceDE w:val="0"/>
        <w:autoSpaceDN w:val="0"/>
        <w:adjustRightInd w:val="0"/>
        <w:ind w:firstLine="0" w:firstLineChars="0"/>
        <w:jc w:val="center"/>
        <w:rPr>
          <w:rFonts w:ascii="Times New Roman" w:hAnsi="Times New Roman" w:cs="Times New Roman"/>
          <w:lang w:eastAsia="zh-CN"/>
        </w:rPr>
      </w:pPr>
    </w:p>
    <w:p>
      <w:pPr>
        <w:pStyle w:val="20"/>
        <w:ind w:firstLine="420"/>
        <w:jc w:val="center"/>
        <w:rPr>
          <w:rFonts w:ascii="Times New Roman" w:hAnsi="Times New Roman" w:cs="Times New Roman"/>
          <w:sz w:val="24"/>
          <w:szCs w:val="24"/>
          <w:lang w:eastAsia="zh-CN"/>
        </w:rPr>
      </w:pPr>
      <w:r>
        <w:rPr>
          <w:rFonts w:hint="eastAsia" w:ascii="宋体" w:hAnsi="宋体" w:eastAsia="宋体" w:cs="宋体"/>
          <w:b/>
          <w:bCs/>
          <w:sz w:val="21"/>
          <w:szCs w:val="21"/>
          <w:lang w:eastAsia="zh-CN"/>
        </w:rPr>
        <w:t>图4-</w:t>
      </w:r>
      <w:r>
        <w:rPr>
          <w:rFonts w:hint="eastAsia" w:ascii="宋体" w:hAnsi="宋体" w:eastAsia="宋体" w:cs="宋体"/>
          <w:b/>
          <w:bCs/>
          <w:sz w:val="21"/>
          <w:szCs w:val="21"/>
          <w:lang w:eastAsia="zh-CN"/>
        </w:rPr>
        <w:fldChar w:fldCharType="begin"/>
      </w:r>
      <w:r>
        <w:rPr>
          <w:rFonts w:hint="eastAsia" w:ascii="宋体" w:hAnsi="宋体" w:eastAsia="宋体" w:cs="宋体"/>
          <w:b/>
          <w:bCs/>
          <w:sz w:val="21"/>
          <w:szCs w:val="21"/>
          <w:lang w:eastAsia="zh-CN"/>
        </w:rPr>
        <w:instrText xml:space="preserve"> SEQ 图4- \* ARABIC </w:instrText>
      </w:r>
      <w:r>
        <w:rPr>
          <w:rFonts w:hint="eastAsia" w:ascii="宋体" w:hAnsi="宋体" w:eastAsia="宋体" w:cs="宋体"/>
          <w:b/>
          <w:bCs/>
          <w:sz w:val="21"/>
          <w:szCs w:val="21"/>
          <w:lang w:eastAsia="zh-CN"/>
        </w:rPr>
        <w:fldChar w:fldCharType="separate"/>
      </w:r>
      <w:r>
        <w:rPr>
          <w:rFonts w:hint="eastAsia" w:ascii="宋体" w:hAnsi="宋体" w:eastAsia="宋体" w:cs="宋体"/>
          <w:b/>
          <w:bCs/>
          <w:sz w:val="21"/>
          <w:szCs w:val="21"/>
          <w:lang w:eastAsia="zh-CN"/>
        </w:rPr>
        <w:t>3</w:t>
      </w:r>
      <w:r>
        <w:rPr>
          <w:rFonts w:hint="eastAsia" w:ascii="宋体" w:hAnsi="宋体" w:eastAsia="宋体" w:cs="宋体"/>
          <w:b/>
          <w:bCs/>
          <w:sz w:val="21"/>
          <w:szCs w:val="21"/>
          <w:lang w:eastAsia="zh-CN"/>
        </w:rPr>
        <w:fldChar w:fldCharType="end"/>
      </w:r>
      <w:r>
        <w:rPr>
          <w:rFonts w:hint="eastAsia" w:ascii="宋体" w:hAnsi="宋体" w:eastAsia="宋体" w:cs="宋体"/>
          <w:b/>
          <w:bCs/>
          <w:sz w:val="21"/>
          <w:szCs w:val="21"/>
          <w:lang w:eastAsia="zh-CN"/>
        </w:rPr>
        <w:t xml:space="preserve">  现场张贴公示图 </w:t>
      </w:r>
      <w:r>
        <w:rPr>
          <w:rFonts w:ascii="Times New Roman" w:hAnsi="Times New Roman" w:cs="Times New Roman"/>
          <w:sz w:val="24"/>
          <w:szCs w:val="24"/>
          <w:lang w:eastAsia="zh-CN"/>
        </w:rPr>
        <w:t xml:space="preserve"> </w:t>
      </w:r>
    </w:p>
    <w:p>
      <w:pPr>
        <w:ind w:firstLine="420"/>
        <w:jc w:val="center"/>
        <w:rPr>
          <w:rFonts w:cs="Times New Roman"/>
          <w:sz w:val="21"/>
          <w:szCs w:val="21"/>
          <w:lang w:eastAsia="zh-CN"/>
        </w:rPr>
      </w:pPr>
    </w:p>
    <w:p>
      <w:pPr>
        <w:ind w:firstLine="420"/>
        <w:jc w:val="center"/>
        <w:rPr>
          <w:rFonts w:cs="Times New Roman"/>
          <w:sz w:val="21"/>
          <w:szCs w:val="21"/>
          <w:lang w:eastAsia="zh-CN"/>
        </w:rPr>
      </w:pPr>
    </w:p>
    <w:p>
      <w:pPr>
        <w:pStyle w:val="40"/>
        <w:ind w:firstLine="360"/>
        <w:rPr>
          <w:rFonts w:cs="Times New Roman"/>
          <w:lang w:eastAsia="zh-CN"/>
        </w:rPr>
      </w:pPr>
    </w:p>
    <w:p>
      <w:pPr>
        <w:pStyle w:val="40"/>
        <w:ind w:firstLine="420"/>
        <w:rPr>
          <w:rFonts w:cs="Times New Roman"/>
          <w:lang w:eastAsia="zh-CN"/>
        </w:rPr>
      </w:pPr>
    </w:p>
    <w:p>
      <w:pPr>
        <w:pStyle w:val="20"/>
        <w:ind w:firstLine="420"/>
        <w:jc w:val="center"/>
        <w:rPr>
          <w:rFonts w:ascii="Times New Roman" w:hAnsi="Times New Roman" w:cs="Times New Roman"/>
          <w:sz w:val="21"/>
          <w:szCs w:val="21"/>
          <w:lang w:eastAsia="zh-CN"/>
        </w:rPr>
      </w:pPr>
      <w:r>
        <w:rPr>
          <w:rFonts w:ascii="Times New Roman" w:hAnsi="Times New Roman" w:cs="Times New Roman"/>
          <w:sz w:val="21"/>
          <w:szCs w:val="21"/>
          <w:lang w:eastAsia="zh-CN"/>
        </w:rPr>
        <w:br w:type="textWrapping"/>
      </w:r>
      <w:r>
        <w:rPr>
          <w:rFonts w:hint="eastAsia" w:ascii="宋体" w:hAnsi="宋体" w:eastAsia="宋体" w:cs="宋体"/>
          <w:b/>
          <w:bCs/>
          <w:sz w:val="21"/>
          <w:szCs w:val="21"/>
          <w:lang w:eastAsia="zh-CN"/>
        </w:rPr>
        <w:t xml:space="preserve">   图4-</w:t>
      </w:r>
      <w:r>
        <w:rPr>
          <w:rFonts w:hint="eastAsia" w:ascii="宋体" w:hAnsi="宋体" w:eastAsia="宋体" w:cs="宋体"/>
          <w:b/>
          <w:bCs/>
          <w:sz w:val="21"/>
          <w:szCs w:val="21"/>
          <w:lang w:eastAsia="zh-CN"/>
        </w:rPr>
        <w:fldChar w:fldCharType="begin"/>
      </w:r>
      <w:r>
        <w:rPr>
          <w:rFonts w:hint="eastAsia" w:ascii="宋体" w:hAnsi="宋体" w:eastAsia="宋体" w:cs="宋体"/>
          <w:b/>
          <w:bCs/>
          <w:sz w:val="21"/>
          <w:szCs w:val="21"/>
          <w:lang w:eastAsia="zh-CN"/>
        </w:rPr>
        <w:instrText xml:space="preserve"> SEQ 图4- \* ARABIC </w:instrText>
      </w:r>
      <w:r>
        <w:rPr>
          <w:rFonts w:hint="eastAsia" w:ascii="宋体" w:hAnsi="宋体" w:eastAsia="宋体" w:cs="宋体"/>
          <w:b/>
          <w:bCs/>
          <w:sz w:val="21"/>
          <w:szCs w:val="21"/>
          <w:lang w:eastAsia="zh-CN"/>
        </w:rPr>
        <w:fldChar w:fldCharType="separate"/>
      </w:r>
      <w:r>
        <w:rPr>
          <w:rFonts w:hint="eastAsia" w:ascii="宋体" w:hAnsi="宋体" w:eastAsia="宋体" w:cs="宋体"/>
          <w:b/>
          <w:bCs/>
          <w:sz w:val="21"/>
          <w:szCs w:val="21"/>
          <w:lang w:eastAsia="zh-CN"/>
        </w:rPr>
        <w:t>4</w:t>
      </w:r>
      <w:r>
        <w:rPr>
          <w:rFonts w:hint="eastAsia" w:ascii="宋体" w:hAnsi="宋体" w:eastAsia="宋体" w:cs="宋体"/>
          <w:b/>
          <w:bCs/>
          <w:sz w:val="21"/>
          <w:szCs w:val="21"/>
          <w:lang w:eastAsia="zh-CN"/>
        </w:rPr>
        <w:fldChar w:fldCharType="end"/>
      </w:r>
      <w:r>
        <w:rPr>
          <w:rFonts w:hint="eastAsia" w:ascii="宋体" w:hAnsi="宋体" w:eastAsia="宋体" w:cs="宋体"/>
          <w:b/>
          <w:bCs/>
          <w:sz w:val="21"/>
          <w:szCs w:val="21"/>
          <w:lang w:eastAsia="zh-CN"/>
        </w:rPr>
        <w:t xml:space="preserve">  报纸公示图（2020.10.10）</w:t>
      </w:r>
    </w:p>
    <w:p>
      <w:pPr>
        <w:ind w:firstLine="480"/>
        <w:jc w:val="center"/>
        <w:rPr>
          <w:rFonts w:cs="Times New Roman"/>
          <w:lang w:eastAsia="zh-CN"/>
        </w:rPr>
      </w:pPr>
    </w:p>
    <w:p>
      <w:pPr>
        <w:pStyle w:val="40"/>
        <w:ind w:firstLine="360"/>
        <w:rPr>
          <w:rFonts w:cs="Times New Roman"/>
          <w:lang w:eastAsia="zh-CN"/>
        </w:rPr>
      </w:pPr>
    </w:p>
    <w:p>
      <w:pPr>
        <w:pStyle w:val="40"/>
        <w:ind w:firstLine="360"/>
        <w:rPr>
          <w:rFonts w:cs="Times New Roman"/>
          <w:lang w:eastAsia="zh-CN"/>
        </w:rPr>
      </w:pPr>
    </w:p>
    <w:p>
      <w:pPr>
        <w:pStyle w:val="40"/>
        <w:ind w:firstLine="360"/>
        <w:rPr>
          <w:rFonts w:cs="Times New Roman"/>
          <w:lang w:eastAsia="zh-CN"/>
        </w:rPr>
      </w:pPr>
    </w:p>
    <w:p>
      <w:pPr>
        <w:pStyle w:val="40"/>
        <w:ind w:firstLine="422"/>
        <w:rPr>
          <w:rFonts w:ascii="宋体" w:hAnsi="宋体" w:cs="宋体"/>
          <w:b/>
          <w:bCs/>
          <w:sz w:val="21"/>
          <w:szCs w:val="21"/>
          <w:lang w:eastAsia="zh-CN"/>
        </w:rPr>
      </w:pPr>
    </w:p>
    <w:p>
      <w:pPr>
        <w:pStyle w:val="20"/>
        <w:ind w:firstLine="420"/>
        <w:jc w:val="center"/>
        <w:rPr>
          <w:rFonts w:ascii="宋体" w:hAnsi="宋体" w:eastAsia="宋体" w:cs="宋体"/>
          <w:b/>
          <w:bCs/>
          <w:sz w:val="21"/>
          <w:szCs w:val="21"/>
          <w:lang w:eastAsia="zh-CN"/>
        </w:rPr>
      </w:pPr>
      <w:r>
        <w:rPr>
          <w:rFonts w:hint="eastAsia" w:ascii="宋体" w:hAnsi="宋体" w:eastAsia="宋体" w:cs="宋体"/>
          <w:b/>
          <w:bCs/>
          <w:sz w:val="21"/>
          <w:szCs w:val="21"/>
          <w:lang w:eastAsia="zh-CN"/>
        </w:rPr>
        <w:t>图4-5  报纸公示图（2020.10.15）</w:t>
      </w:r>
    </w:p>
    <w:p>
      <w:pPr>
        <w:ind w:firstLine="480"/>
        <w:rPr>
          <w:rFonts w:cs="Times New Roman"/>
          <w:lang w:eastAsia="zh-CN"/>
        </w:rPr>
      </w:pPr>
    </w:p>
    <w:p>
      <w:pPr>
        <w:pStyle w:val="8"/>
        <w:rPr>
          <w:rFonts w:ascii="Times New Roman" w:hAnsi="Times New Roman" w:cs="Times New Roman"/>
          <w:lang w:eastAsia="zh-CN"/>
        </w:rPr>
      </w:pPr>
      <w:bookmarkStart w:id="167" w:name="_Toc31428"/>
      <w:bookmarkStart w:id="168" w:name="_Toc18426"/>
      <w:bookmarkStart w:id="169" w:name="_TOC_250008"/>
      <w:r>
        <w:rPr>
          <w:rFonts w:ascii="Times New Roman" w:hAnsi="Times New Roman" w:cs="Times New Roman"/>
          <w:lang w:eastAsia="zh-CN"/>
        </w:rPr>
        <w:t>4.4 相关部门及专家意见收集情况</w:t>
      </w:r>
      <w:bookmarkEnd w:id="167"/>
      <w:bookmarkEnd w:id="168"/>
    </w:p>
    <w:p>
      <w:pPr>
        <w:ind w:firstLine="480"/>
        <w:contextualSpacing/>
        <w:rPr>
          <w:rFonts w:cs="Times New Roman"/>
          <w:lang w:eastAsia="zh-CN"/>
        </w:rPr>
      </w:pPr>
      <w:r>
        <w:rPr>
          <w:rFonts w:cs="Times New Roman"/>
          <w:lang w:eastAsia="zh-CN"/>
        </w:rPr>
        <w:t>本次跟踪评价，征询了沈阳市</w:t>
      </w:r>
      <w:r>
        <w:rPr>
          <w:rFonts w:hint="eastAsia" w:cs="Times New Roman"/>
          <w:lang w:eastAsia="zh-CN"/>
        </w:rPr>
        <w:t>浑南</w:t>
      </w:r>
      <w:r>
        <w:rPr>
          <w:rFonts w:cs="Times New Roman"/>
          <w:lang w:eastAsia="zh-CN"/>
        </w:rPr>
        <w:t>区工业和信息化局、沈阳市</w:t>
      </w:r>
      <w:r>
        <w:rPr>
          <w:rFonts w:hint="eastAsia" w:cs="Times New Roman"/>
          <w:lang w:eastAsia="zh-CN"/>
        </w:rPr>
        <w:t>浑南</w:t>
      </w:r>
      <w:r>
        <w:rPr>
          <w:rFonts w:cs="Times New Roman"/>
          <w:lang w:eastAsia="zh-CN"/>
        </w:rPr>
        <w:t>生态环境分局、沈阳市自然资源局</w:t>
      </w:r>
      <w:r>
        <w:rPr>
          <w:rFonts w:hint="eastAsia" w:cs="Times New Roman"/>
          <w:lang w:eastAsia="zh-CN"/>
        </w:rPr>
        <w:t>浑南</w:t>
      </w:r>
      <w:r>
        <w:rPr>
          <w:rFonts w:cs="Times New Roman"/>
          <w:lang w:eastAsia="zh-CN"/>
        </w:rPr>
        <w:t>分局等相关部门意见，均表示对该规划的实施没有意见。</w:t>
      </w:r>
    </w:p>
    <w:p>
      <w:pPr>
        <w:pStyle w:val="8"/>
        <w:rPr>
          <w:rFonts w:ascii="Times New Roman" w:hAnsi="Times New Roman" w:cs="Times New Roman"/>
          <w:b w:val="0"/>
          <w:bCs w:val="0"/>
          <w:lang w:eastAsia="zh-CN"/>
        </w:rPr>
      </w:pPr>
      <w:bookmarkStart w:id="170" w:name="_Toc11244"/>
      <w:bookmarkStart w:id="171" w:name="_Toc17271"/>
      <w:r>
        <w:rPr>
          <w:rFonts w:ascii="Times New Roman" w:hAnsi="Times New Roman" w:eastAsia="Arial" w:cs="Times New Roman"/>
          <w:lang w:eastAsia="zh-CN"/>
        </w:rPr>
        <w:t xml:space="preserve">4.5 </w:t>
      </w:r>
      <w:r>
        <w:rPr>
          <w:rFonts w:ascii="Times New Roman" w:hAnsi="Times New Roman" w:cs="Times New Roman"/>
          <w:spacing w:val="1"/>
          <w:lang w:eastAsia="zh-CN"/>
        </w:rPr>
        <w:t>规划实施以来的公众投诉意见</w:t>
      </w:r>
      <w:bookmarkEnd w:id="169"/>
      <w:bookmarkEnd w:id="170"/>
      <w:bookmarkEnd w:id="171"/>
    </w:p>
    <w:p>
      <w:pPr>
        <w:ind w:firstLine="480"/>
        <w:rPr>
          <w:rFonts w:cs="Times New Roman"/>
          <w:lang w:eastAsia="zh-CN"/>
        </w:rPr>
      </w:pPr>
      <w:r>
        <w:rPr>
          <w:rFonts w:cs="Times New Roman"/>
          <w:lang w:eastAsia="zh-CN"/>
        </w:rPr>
        <w:t>规划实施以来，</w:t>
      </w:r>
      <w:bookmarkStart w:id="172" w:name="_Toc34903925"/>
      <w:r>
        <w:rPr>
          <w:rFonts w:cs="Times New Roman"/>
          <w:lang w:eastAsia="zh-CN"/>
        </w:rPr>
        <w:t>经与生态环境部门信访部门核实，近年来无12306、市长热线等投诉信息。</w:t>
      </w:r>
    </w:p>
    <w:p>
      <w:pPr>
        <w:pStyle w:val="25"/>
        <w:spacing w:before="253" w:after="0"/>
        <w:ind w:left="633" w:firstLine="480"/>
        <w:contextualSpacing/>
        <w:rPr>
          <w:rFonts w:cs="Times New Roman"/>
          <w:lang w:eastAsia="zh-CN"/>
        </w:rPr>
      </w:pPr>
    </w:p>
    <w:p>
      <w:pPr>
        <w:pStyle w:val="25"/>
        <w:spacing w:before="253" w:after="0"/>
        <w:ind w:left="633" w:firstLine="480"/>
        <w:contextualSpacing/>
        <w:rPr>
          <w:rFonts w:cs="Times New Roman"/>
          <w:lang w:eastAsia="zh-CN"/>
        </w:rPr>
        <w:sectPr>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p>
    <w:p>
      <w:pPr>
        <w:pStyle w:val="7"/>
        <w:keepNext/>
        <w:keepLines/>
        <w:pageBreakBefore w:val="0"/>
        <w:widowControl w:val="0"/>
        <w:kinsoku/>
        <w:wordWrap/>
        <w:overflowPunct/>
        <w:topLinePunct w:val="0"/>
        <w:autoSpaceDE/>
        <w:autoSpaceDN/>
        <w:bidi w:val="0"/>
        <w:adjustRightInd/>
        <w:snapToGrid/>
        <w:ind w:left="0"/>
        <w:textAlignment w:val="auto"/>
        <w:rPr>
          <w:rFonts w:ascii="Times New Roman" w:hAnsi="Times New Roman" w:cs="Times New Roman"/>
          <w:lang w:eastAsia="zh-CN"/>
        </w:rPr>
      </w:pPr>
      <w:bookmarkStart w:id="173" w:name="_Toc19833"/>
      <w:bookmarkStart w:id="174" w:name="_Toc32725"/>
      <w:r>
        <w:rPr>
          <w:rFonts w:ascii="Times New Roman" w:hAnsi="Times New Roman" w:cs="Times New Roman"/>
          <w:lang w:eastAsia="zh-CN"/>
        </w:rPr>
        <w:t xml:space="preserve">5 </w:t>
      </w:r>
      <w:r>
        <w:rPr>
          <w:rFonts w:ascii="Times New Roman" w:hAnsi="Times New Roman" w:cs="Times New Roman"/>
          <w:spacing w:val="-11"/>
          <w:lang w:eastAsia="zh-CN"/>
        </w:rPr>
        <w:t>环境影响对比评估及对策措施有效性分析</w:t>
      </w:r>
      <w:bookmarkEnd w:id="172"/>
      <w:bookmarkEnd w:id="173"/>
      <w:bookmarkEnd w:id="174"/>
    </w:p>
    <w:p>
      <w:pPr>
        <w:pStyle w:val="8"/>
        <w:keepNext/>
        <w:keepLines/>
        <w:pageBreakBefore w:val="0"/>
        <w:widowControl w:val="0"/>
        <w:kinsoku/>
        <w:wordWrap/>
        <w:overflowPunct/>
        <w:topLinePunct w:val="0"/>
        <w:autoSpaceDE/>
        <w:autoSpaceDN/>
        <w:bidi w:val="0"/>
        <w:adjustRightInd/>
        <w:snapToGrid/>
        <w:spacing w:before="0" w:after="0"/>
        <w:ind w:left="0"/>
        <w:contextualSpacing/>
        <w:textAlignment w:val="auto"/>
        <w:rPr>
          <w:rFonts w:ascii="Times New Roman" w:hAnsi="Times New Roman" w:eastAsia="Arial" w:cs="Times New Roman"/>
          <w:lang w:eastAsia="zh-CN"/>
        </w:rPr>
      </w:pPr>
      <w:bookmarkStart w:id="175" w:name="_bookmark30"/>
      <w:bookmarkEnd w:id="175"/>
      <w:bookmarkStart w:id="176" w:name="_Toc13034"/>
      <w:bookmarkStart w:id="177" w:name="_Toc6263"/>
      <w:bookmarkStart w:id="178" w:name="_Toc34903926"/>
      <w:r>
        <w:rPr>
          <w:rFonts w:ascii="Times New Roman" w:hAnsi="Times New Roman" w:eastAsia="Arial" w:cs="Times New Roman"/>
          <w:lang w:eastAsia="zh-CN"/>
        </w:rPr>
        <w:t>5.1 规划已实施部分环境影响对比评估</w:t>
      </w:r>
      <w:bookmarkEnd w:id="176"/>
      <w:bookmarkEnd w:id="177"/>
      <w:bookmarkEnd w:id="178"/>
    </w:p>
    <w:p>
      <w:pPr>
        <w:ind w:firstLine="480"/>
        <w:rPr>
          <w:rFonts w:cs="Times New Roman"/>
          <w:lang w:eastAsia="zh-CN"/>
        </w:rPr>
      </w:pPr>
      <w:r>
        <w:rPr>
          <w:rFonts w:cs="Times New Roman"/>
          <w:lang w:eastAsia="zh-CN"/>
        </w:rPr>
        <w:t>根据上一轮规划环评环境影响预测与评价，本次评价对大气环境、水环境、声环境和固体废物影响预测结果进行对比评估，并分析差异原因。</w:t>
      </w:r>
    </w:p>
    <w:p>
      <w:pPr>
        <w:pStyle w:val="9"/>
        <w:rPr>
          <w:rFonts w:ascii="Times New Roman" w:hAnsi="Times New Roman"/>
        </w:rPr>
      </w:pPr>
      <w:bookmarkStart w:id="179" w:name="_Toc31872"/>
      <w:r>
        <w:rPr>
          <w:rFonts w:ascii="Times New Roman" w:hAnsi="Times New Roman"/>
        </w:rPr>
        <w:t>5.1.1 大气环境影响对比评估</w:t>
      </w:r>
      <w:bookmarkEnd w:id="179"/>
    </w:p>
    <w:p>
      <w:pPr>
        <w:adjustRightInd w:val="0"/>
        <w:snapToGrid w:val="0"/>
        <w:ind w:firstLine="480"/>
        <w:rPr>
          <w:rFonts w:cs="Times New Roman"/>
          <w:lang w:eastAsia="zh-CN"/>
        </w:rPr>
      </w:pPr>
      <w:r>
        <w:rPr>
          <w:rFonts w:cs="Times New Roman"/>
          <w:lang w:eastAsia="zh-CN"/>
        </w:rPr>
        <w:t>上一轮规划环评时进行了热源厂污染物环境影响分析及大气容量估算。大气环境影响评估对比情况见下表：</w:t>
      </w:r>
    </w:p>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sz w:val="24"/>
          <w:szCs w:val="24"/>
          <w:lang w:eastAsia="zh-CN"/>
        </w:rPr>
      </w:pPr>
      <w:r>
        <w:rPr>
          <w:rFonts w:ascii="Times New Roman" w:hAnsi="Times New Roman" w:eastAsia="宋体" w:cs="Times New Roman"/>
          <w:b/>
          <w:bCs/>
          <w:sz w:val="24"/>
          <w:szCs w:val="24"/>
          <w:lang w:eastAsia="zh-CN"/>
        </w:rPr>
        <w:t>表5.1-</w:t>
      </w:r>
      <w:r>
        <w:rPr>
          <w:rFonts w:ascii="Times New Roman" w:hAnsi="Times New Roman" w:eastAsia="宋体" w:cs="Times New Roman"/>
          <w:b/>
          <w:bCs/>
          <w:sz w:val="24"/>
          <w:szCs w:val="24"/>
        </w:rPr>
        <w:fldChar w:fldCharType="begin"/>
      </w:r>
      <w:r>
        <w:rPr>
          <w:rFonts w:ascii="Times New Roman" w:hAnsi="Times New Roman" w:eastAsia="宋体" w:cs="Times New Roman"/>
          <w:b/>
          <w:bCs/>
          <w:sz w:val="24"/>
          <w:szCs w:val="24"/>
          <w:lang w:eastAsia="zh-CN"/>
        </w:rPr>
        <w:instrText xml:space="preserve"> SEQ 表5- \* ARABIC </w:instrText>
      </w:r>
      <w:r>
        <w:rPr>
          <w:rFonts w:ascii="Times New Roman" w:hAnsi="Times New Roman" w:eastAsia="宋体" w:cs="Times New Roman"/>
          <w:b/>
          <w:bCs/>
          <w:sz w:val="24"/>
          <w:szCs w:val="24"/>
        </w:rPr>
        <w:fldChar w:fldCharType="separate"/>
      </w:r>
      <w:r>
        <w:rPr>
          <w:rFonts w:ascii="Times New Roman" w:hAnsi="Times New Roman" w:eastAsia="宋体" w:cs="Times New Roman"/>
          <w:b/>
          <w:bCs/>
          <w:sz w:val="24"/>
          <w:szCs w:val="24"/>
          <w:lang w:eastAsia="zh-CN"/>
        </w:rPr>
        <w:t>1</w:t>
      </w:r>
      <w:r>
        <w:rPr>
          <w:rFonts w:ascii="Times New Roman" w:hAnsi="Times New Roman" w:eastAsia="宋体" w:cs="Times New Roman"/>
          <w:b/>
          <w:bCs/>
          <w:sz w:val="24"/>
          <w:szCs w:val="24"/>
        </w:rPr>
        <w:fldChar w:fldCharType="end"/>
      </w:r>
      <w:r>
        <w:rPr>
          <w:rFonts w:ascii="Times New Roman" w:hAnsi="Times New Roman" w:eastAsia="宋体" w:cs="Times New Roman"/>
          <w:b/>
          <w:bCs/>
          <w:sz w:val="24"/>
          <w:szCs w:val="24"/>
          <w:lang w:eastAsia="zh-CN"/>
        </w:rPr>
        <w:t xml:space="preserve">  大气环境影响评估对比情况分析</w:t>
      </w:r>
    </w:p>
    <w:tbl>
      <w:tblPr>
        <w:tblStyle w:val="64"/>
        <w:tblW w:w="4996" w:type="pct"/>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10"/>
        <w:gridCol w:w="4040"/>
        <w:gridCol w:w="2129"/>
        <w:gridCol w:w="1804"/>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6" w:type="pct"/>
            <w:vAlign w:val="center"/>
          </w:tcPr>
          <w:p>
            <w:pPr>
              <w:pStyle w:val="119"/>
              <w:keepNext w:val="0"/>
              <w:keepLines w:val="0"/>
              <w:pageBreakBefore w:val="0"/>
              <w:kinsoku/>
              <w:wordWrap/>
              <w:overflowPunct/>
              <w:topLinePunct w:val="0"/>
              <w:autoSpaceDE/>
              <w:autoSpaceDN/>
              <w:bidi w:val="0"/>
              <w:adjustRightInd/>
              <w:snapToGrid/>
              <w:spacing w:line="400" w:lineRule="exact"/>
              <w:ind w:left="0" w:right="0" w:firstLine="0" w:firstLineChars="0"/>
              <w:jc w:val="center"/>
              <w:textAlignment w:val="auto"/>
              <w:rPr>
                <w:rFonts w:cs="Times New Roman"/>
                <w:b/>
                <w:bCs/>
                <w:sz w:val="21"/>
                <w:szCs w:val="21"/>
                <w:lang w:eastAsia="zh-CN"/>
              </w:rPr>
            </w:pPr>
            <w:r>
              <w:rPr>
                <w:rFonts w:cs="Times New Roman"/>
                <w:b/>
                <w:bCs/>
                <w:sz w:val="21"/>
                <w:szCs w:val="21"/>
                <w:lang w:eastAsia="zh-CN"/>
              </w:rPr>
              <w:t>内容</w:t>
            </w:r>
          </w:p>
        </w:tc>
        <w:tc>
          <w:tcPr>
            <w:tcW w:w="2175" w:type="pct"/>
            <w:vAlign w:val="center"/>
          </w:tcPr>
          <w:p>
            <w:pPr>
              <w:pStyle w:val="119"/>
              <w:keepNext w:val="0"/>
              <w:keepLines w:val="0"/>
              <w:pageBreakBefore w:val="0"/>
              <w:kinsoku/>
              <w:wordWrap/>
              <w:overflowPunct/>
              <w:topLinePunct w:val="0"/>
              <w:autoSpaceDE/>
              <w:autoSpaceDN/>
              <w:bidi w:val="0"/>
              <w:adjustRightInd/>
              <w:snapToGrid/>
              <w:spacing w:line="400" w:lineRule="exact"/>
              <w:ind w:left="0" w:right="0" w:firstLine="0" w:firstLineChars="0"/>
              <w:jc w:val="center"/>
              <w:textAlignment w:val="auto"/>
              <w:rPr>
                <w:rFonts w:cs="Times New Roman"/>
                <w:b/>
                <w:bCs/>
                <w:sz w:val="21"/>
                <w:szCs w:val="21"/>
                <w:lang w:eastAsia="zh-CN"/>
              </w:rPr>
            </w:pPr>
            <w:r>
              <w:rPr>
                <w:rFonts w:cs="Times New Roman"/>
                <w:b/>
                <w:bCs/>
                <w:sz w:val="21"/>
                <w:szCs w:val="21"/>
                <w:lang w:eastAsia="zh-CN"/>
              </w:rPr>
              <w:t>上一轮规划环评时影响分析</w:t>
            </w:r>
          </w:p>
        </w:tc>
        <w:tc>
          <w:tcPr>
            <w:tcW w:w="1146" w:type="pct"/>
            <w:vAlign w:val="center"/>
          </w:tcPr>
          <w:p>
            <w:pPr>
              <w:pStyle w:val="119"/>
              <w:keepNext w:val="0"/>
              <w:keepLines w:val="0"/>
              <w:pageBreakBefore w:val="0"/>
              <w:kinsoku/>
              <w:wordWrap/>
              <w:overflowPunct/>
              <w:topLinePunct w:val="0"/>
              <w:autoSpaceDE/>
              <w:autoSpaceDN/>
              <w:bidi w:val="0"/>
              <w:adjustRightInd/>
              <w:snapToGrid/>
              <w:spacing w:line="400" w:lineRule="exact"/>
              <w:ind w:left="0" w:right="0" w:firstLine="0" w:firstLineChars="0"/>
              <w:jc w:val="center"/>
              <w:textAlignment w:val="auto"/>
              <w:rPr>
                <w:rFonts w:cs="Times New Roman"/>
                <w:b/>
                <w:bCs/>
                <w:spacing w:val="-1"/>
                <w:sz w:val="21"/>
                <w:szCs w:val="21"/>
                <w:lang w:eastAsia="zh-CN"/>
              </w:rPr>
            </w:pPr>
            <w:r>
              <w:rPr>
                <w:rFonts w:cs="Times New Roman"/>
                <w:b/>
                <w:bCs/>
                <w:sz w:val="21"/>
                <w:szCs w:val="21"/>
                <w:lang w:eastAsia="zh-CN"/>
              </w:rPr>
              <w:t>现状</w:t>
            </w:r>
          </w:p>
        </w:tc>
        <w:tc>
          <w:tcPr>
            <w:tcW w:w="971" w:type="pct"/>
            <w:vAlign w:val="center"/>
          </w:tcPr>
          <w:p>
            <w:pPr>
              <w:pStyle w:val="119"/>
              <w:keepNext w:val="0"/>
              <w:keepLines w:val="0"/>
              <w:pageBreakBefore w:val="0"/>
              <w:kinsoku/>
              <w:wordWrap/>
              <w:overflowPunct/>
              <w:topLinePunct w:val="0"/>
              <w:autoSpaceDE/>
              <w:autoSpaceDN/>
              <w:bidi w:val="0"/>
              <w:adjustRightInd/>
              <w:snapToGrid/>
              <w:spacing w:line="400" w:lineRule="exact"/>
              <w:ind w:left="0" w:right="0" w:firstLine="0" w:firstLineChars="0"/>
              <w:jc w:val="center"/>
              <w:textAlignment w:val="auto"/>
              <w:rPr>
                <w:rFonts w:cs="Times New Roman"/>
                <w:b/>
                <w:bCs/>
                <w:sz w:val="21"/>
                <w:szCs w:val="21"/>
                <w:lang w:eastAsia="zh-CN"/>
              </w:rPr>
            </w:pPr>
            <w:r>
              <w:rPr>
                <w:rFonts w:cs="Times New Roman"/>
                <w:b/>
                <w:bCs/>
                <w:sz w:val="21"/>
                <w:szCs w:val="21"/>
                <w:lang w:eastAsia="zh-CN"/>
              </w:rPr>
              <w:t>分析结果</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6" w:type="pct"/>
            <w:vAlign w:val="center"/>
          </w:tcPr>
          <w:p>
            <w:pPr>
              <w:pStyle w:val="119"/>
              <w:keepNext w:val="0"/>
              <w:keepLines w:val="0"/>
              <w:pageBreakBefore w:val="0"/>
              <w:kinsoku/>
              <w:wordWrap/>
              <w:overflowPunct/>
              <w:topLinePunct w:val="0"/>
              <w:autoSpaceDE/>
              <w:autoSpaceDN/>
              <w:bidi w:val="0"/>
              <w:adjustRightInd/>
              <w:snapToGrid/>
              <w:spacing w:line="400" w:lineRule="exact"/>
              <w:ind w:left="0" w:right="0" w:firstLine="0" w:firstLineChars="0"/>
              <w:jc w:val="center"/>
              <w:textAlignment w:val="auto"/>
              <w:rPr>
                <w:rFonts w:cs="Times New Roman"/>
                <w:sz w:val="21"/>
                <w:szCs w:val="21"/>
                <w:lang w:eastAsia="zh-CN"/>
              </w:rPr>
            </w:pPr>
            <w:r>
              <w:rPr>
                <w:rFonts w:cs="Times New Roman"/>
                <w:sz w:val="21"/>
                <w:szCs w:val="21"/>
                <w:lang w:eastAsia="zh-CN"/>
              </w:rPr>
              <w:t>热源厂污染物环境影响分析</w:t>
            </w:r>
          </w:p>
        </w:tc>
        <w:tc>
          <w:tcPr>
            <w:tcW w:w="2175" w:type="pct"/>
            <w:vAlign w:val="center"/>
          </w:tcPr>
          <w:p>
            <w:pPr>
              <w:keepNext w:val="0"/>
              <w:keepLines w:val="0"/>
              <w:widowControl/>
              <w:suppressLineNumbers w:val="0"/>
              <w:ind w:left="0" w:leftChars="0" w:firstLine="0" w:firstLineChars="0"/>
              <w:jc w:val="center"/>
              <w:rPr>
                <w:rFonts w:cs="Times New Roman"/>
                <w:sz w:val="21"/>
                <w:szCs w:val="21"/>
                <w:lang w:eastAsia="zh-CN"/>
              </w:rPr>
            </w:pPr>
            <w:r>
              <w:rPr>
                <w:rFonts w:hint="eastAsia" w:cs="Times New Roman"/>
                <w:kern w:val="2"/>
                <w:sz w:val="21"/>
                <w:szCs w:val="21"/>
                <w:lang w:val="en-US" w:eastAsia="zh-CN"/>
              </w:rPr>
              <w:t>划拟设置的两个热源厂及规划区域内现有的沈阳浑南热力有限责任公司</w:t>
            </w:r>
            <w:r>
              <w:rPr>
                <w:rFonts w:hint="default" w:cs="Times New Roman"/>
                <w:kern w:val="2"/>
                <w:sz w:val="21"/>
                <w:szCs w:val="21"/>
                <w:lang w:val="en-US" w:eastAsia="zh-CN"/>
              </w:rPr>
              <w:t>3#</w:t>
            </w:r>
            <w:r>
              <w:rPr>
                <w:rFonts w:hint="eastAsia" w:cs="Times New Roman"/>
                <w:kern w:val="2"/>
                <w:sz w:val="21"/>
                <w:szCs w:val="21"/>
                <w:lang w:val="en-US" w:eastAsia="zh-CN"/>
              </w:rPr>
              <w:t>热源计算；</w:t>
            </w:r>
            <w:r>
              <w:rPr>
                <w:rFonts w:cs="Times New Roman"/>
                <w:kern w:val="2"/>
                <w:sz w:val="21"/>
                <w:szCs w:val="21"/>
                <w:lang w:eastAsia="zh-CN"/>
              </w:rPr>
              <w:t>采取合理的脱硫除尘设备，且烟囱高度可行的情况下，烟囱排放污染物的地面浓度最大值均低于相应大气质量标准限值</w:t>
            </w:r>
          </w:p>
        </w:tc>
        <w:tc>
          <w:tcPr>
            <w:tcW w:w="1146" w:type="pct"/>
            <w:vAlign w:val="center"/>
          </w:tcPr>
          <w:p>
            <w:pPr>
              <w:keepNext w:val="0"/>
              <w:keepLines w:val="0"/>
              <w:pageBreakBefore w:val="0"/>
              <w:widowControl/>
              <w:kinsoku/>
              <w:wordWrap/>
              <w:overflowPunct/>
              <w:topLinePunct w:val="0"/>
              <w:autoSpaceDE/>
              <w:autoSpaceDN/>
              <w:bidi w:val="0"/>
              <w:adjustRightInd/>
              <w:snapToGrid/>
              <w:spacing w:line="400" w:lineRule="exact"/>
              <w:ind w:left="0" w:right="0" w:firstLine="0" w:firstLineChars="0"/>
              <w:jc w:val="center"/>
              <w:textAlignment w:val="auto"/>
              <w:rPr>
                <w:rFonts w:cs="Times New Roman"/>
                <w:color w:val="000000"/>
                <w:sz w:val="21"/>
                <w:szCs w:val="21"/>
                <w:lang w:eastAsia="zh-CN"/>
              </w:rPr>
            </w:pPr>
            <w:r>
              <w:rPr>
                <w:rFonts w:cs="Times New Roman"/>
                <w:kern w:val="2"/>
                <w:sz w:val="21"/>
                <w:szCs w:val="21"/>
                <w:lang w:eastAsia="zh-CN"/>
              </w:rPr>
              <w:t>SO</w:t>
            </w:r>
            <w:r>
              <w:rPr>
                <w:rFonts w:cs="Times New Roman"/>
                <w:kern w:val="2"/>
                <w:sz w:val="21"/>
                <w:szCs w:val="21"/>
                <w:vertAlign w:val="subscript"/>
                <w:lang w:eastAsia="zh-CN"/>
              </w:rPr>
              <w:t>2</w:t>
            </w:r>
            <w:r>
              <w:rPr>
                <w:rFonts w:cs="Times New Roman"/>
                <w:kern w:val="2"/>
                <w:sz w:val="21"/>
                <w:szCs w:val="21"/>
                <w:lang w:eastAsia="zh-CN"/>
              </w:rPr>
              <w:t>、NO</w:t>
            </w:r>
            <w:r>
              <w:rPr>
                <w:rFonts w:cs="Times New Roman"/>
                <w:kern w:val="2"/>
                <w:sz w:val="21"/>
                <w:szCs w:val="21"/>
                <w:vertAlign w:val="subscript"/>
                <w:lang w:eastAsia="zh-CN"/>
              </w:rPr>
              <w:t>2</w:t>
            </w:r>
            <w:r>
              <w:rPr>
                <w:rFonts w:cs="Times New Roman"/>
                <w:kern w:val="2"/>
                <w:sz w:val="21"/>
                <w:szCs w:val="21"/>
                <w:lang w:eastAsia="zh-CN"/>
              </w:rPr>
              <w:t>均满足GB 3095-2012二级标准要求，现状大气环境质量较环评阶段有所改善</w:t>
            </w:r>
          </w:p>
        </w:tc>
        <w:tc>
          <w:tcPr>
            <w:tcW w:w="971" w:type="pct"/>
            <w:vAlign w:val="center"/>
          </w:tcPr>
          <w:p>
            <w:pPr>
              <w:keepNext w:val="0"/>
              <w:keepLines w:val="0"/>
              <w:pageBreakBefore w:val="0"/>
              <w:widowControl/>
              <w:kinsoku/>
              <w:wordWrap/>
              <w:overflowPunct/>
              <w:topLinePunct w:val="0"/>
              <w:autoSpaceDE/>
              <w:autoSpaceDN/>
              <w:bidi w:val="0"/>
              <w:adjustRightInd/>
              <w:snapToGrid/>
              <w:spacing w:line="400" w:lineRule="exact"/>
              <w:ind w:left="0" w:right="0" w:firstLine="0" w:firstLineChars="0"/>
              <w:jc w:val="center"/>
              <w:textAlignment w:val="auto"/>
              <w:rPr>
                <w:rFonts w:cs="Times New Roman"/>
                <w:color w:val="000000"/>
                <w:sz w:val="21"/>
                <w:szCs w:val="21"/>
                <w:lang w:eastAsia="zh-CN"/>
              </w:rPr>
            </w:pPr>
            <w:r>
              <w:rPr>
                <w:rFonts w:hint="eastAsia" w:cs="Times New Roman"/>
                <w:kern w:val="2"/>
                <w:sz w:val="21"/>
                <w:szCs w:val="21"/>
                <w:lang w:eastAsia="zh-CN"/>
              </w:rPr>
              <w:t>国际新兴产业园区</w:t>
            </w:r>
            <w:r>
              <w:rPr>
                <w:rFonts w:cs="Times New Roman"/>
                <w:kern w:val="2"/>
                <w:sz w:val="21"/>
                <w:szCs w:val="21"/>
                <w:lang w:eastAsia="zh-CN"/>
              </w:rPr>
              <w:t>大气环境影响可以接受，污染防治措施有效</w:t>
            </w:r>
          </w:p>
        </w:tc>
      </w:tr>
    </w:tbl>
    <w:p>
      <w:pPr>
        <w:ind w:firstLine="480"/>
        <w:rPr>
          <w:rFonts w:eastAsia="Times New Roman" w:cs="Times New Roman"/>
          <w:spacing w:val="-1"/>
          <w:lang w:eastAsia="zh-CN"/>
        </w:rPr>
      </w:pPr>
      <w:r>
        <w:rPr>
          <w:rFonts w:cs="Times New Roman"/>
          <w:lang w:eastAsia="zh-CN"/>
        </w:rPr>
        <w:t>对比可知，规划已实施部分对于大气环境影响与上一轮规划环评分析结果基本一致，SO</w:t>
      </w:r>
      <w:r>
        <w:rPr>
          <w:rFonts w:cs="Times New Roman"/>
          <w:vertAlign w:val="subscript"/>
          <w:lang w:eastAsia="zh-CN"/>
        </w:rPr>
        <w:t>2</w:t>
      </w:r>
      <w:r>
        <w:rPr>
          <w:rFonts w:cs="Times New Roman"/>
          <w:lang w:eastAsia="zh-CN"/>
        </w:rPr>
        <w:t>、NO</w:t>
      </w:r>
      <w:r>
        <w:rPr>
          <w:rFonts w:cs="Times New Roman"/>
          <w:vertAlign w:val="subscript"/>
          <w:lang w:eastAsia="zh-CN"/>
        </w:rPr>
        <w:t>2</w:t>
      </w:r>
      <w:r>
        <w:rPr>
          <w:rFonts w:cs="Times New Roman"/>
          <w:lang w:eastAsia="zh-CN"/>
        </w:rPr>
        <w:t>均满足GB 3095-2012二级标准要求，现状大气环境质量较环评阶段有所改善，由此可见，规划实施大气环境影响可以接受。</w:t>
      </w:r>
    </w:p>
    <w:p>
      <w:pPr>
        <w:pStyle w:val="9"/>
        <w:rPr>
          <w:rFonts w:ascii="Times New Roman" w:hAnsi="Times New Roman"/>
          <w:color w:val="auto"/>
          <w:spacing w:val="-1"/>
        </w:rPr>
      </w:pPr>
      <w:bookmarkStart w:id="180" w:name="_Toc17802"/>
      <w:r>
        <w:rPr>
          <w:rFonts w:ascii="Times New Roman" w:hAnsi="Times New Roman"/>
          <w:spacing w:val="-1"/>
        </w:rPr>
        <w:t>5.1</w:t>
      </w:r>
      <w:r>
        <w:rPr>
          <w:rFonts w:ascii="Times New Roman" w:hAnsi="Times New Roman"/>
          <w:color w:val="auto"/>
          <w:spacing w:val="-1"/>
        </w:rPr>
        <w:t>.2 地表水环境影响对比评估</w:t>
      </w:r>
      <w:bookmarkEnd w:id="180"/>
    </w:p>
    <w:p>
      <w:pPr>
        <w:ind w:firstLine="480"/>
        <w:rPr>
          <w:rFonts w:cs="Times New Roman"/>
          <w:lang w:eastAsia="zh-CN"/>
        </w:rPr>
      </w:pPr>
      <w:r>
        <w:rPr>
          <w:rFonts w:cs="Times New Roman"/>
          <w:lang w:eastAsia="zh-CN"/>
        </w:rPr>
        <w:t>根据上一轮规划环评选择水特征污染物COD、氨氮为主要污染因子进行污染物排放量预测。地表水环境影响预测结论：随着</w:t>
      </w:r>
      <w:r>
        <w:rPr>
          <w:rFonts w:hint="eastAsia" w:cs="Times New Roman"/>
          <w:lang w:eastAsia="zh-CN"/>
        </w:rPr>
        <w:t>国际新兴产业园区</w:t>
      </w:r>
      <w:r>
        <w:rPr>
          <w:rFonts w:cs="Times New Roman"/>
          <w:lang w:eastAsia="zh-CN"/>
        </w:rPr>
        <w:t>的发展，处理达标后的中水可考虑全部用作</w:t>
      </w:r>
      <w:r>
        <w:rPr>
          <w:rFonts w:hint="eastAsia" w:cs="Times New Roman"/>
          <w:lang w:eastAsia="zh-CN"/>
        </w:rPr>
        <w:t>国际新兴产业园区</w:t>
      </w:r>
      <w:r>
        <w:rPr>
          <w:rFonts w:cs="Times New Roman"/>
          <w:lang w:eastAsia="zh-CN"/>
        </w:rPr>
        <w:t>内工业用水、供热锅炉冷却水及景观、道路和绿地浇洒用水，充分利用水资源，污染物排放量与允许产生量相比较小，因此规划的实施对受纳水体水质影响不大。</w:t>
      </w:r>
      <w:r>
        <w:rPr>
          <w:rFonts w:hint="eastAsia" w:cs="Times New Roman"/>
          <w:lang w:eastAsia="zh-CN"/>
        </w:rPr>
        <w:t>国际新兴产业园区</w:t>
      </w:r>
      <w:r>
        <w:rPr>
          <w:rFonts w:cs="Times New Roman"/>
          <w:lang w:eastAsia="zh-CN"/>
        </w:rPr>
        <w:t>污水排入</w:t>
      </w:r>
      <w:r>
        <w:rPr>
          <w:rFonts w:hint="eastAsia" w:ascii="宋体" w:hAnsi="宋体" w:cs="宋体"/>
          <w:color w:val="000000"/>
          <w:lang w:eastAsia="zh-CN" w:bidi="ar"/>
        </w:rPr>
        <w:t>上夹河污水处理厂或转输到桃仙污水处理厂处理</w:t>
      </w:r>
      <w:r>
        <w:rPr>
          <w:rFonts w:cs="Times New Roman"/>
          <w:lang w:eastAsia="zh-CN"/>
        </w:rPr>
        <w:t>。</w:t>
      </w:r>
    </w:p>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sz w:val="24"/>
          <w:szCs w:val="22"/>
          <w:lang w:eastAsia="zh-CN"/>
        </w:rPr>
      </w:pPr>
      <w:r>
        <w:rPr>
          <w:rFonts w:ascii="Times New Roman" w:hAnsi="Times New Roman" w:eastAsia="宋体" w:cs="Times New Roman"/>
          <w:b/>
          <w:bCs/>
          <w:sz w:val="24"/>
          <w:szCs w:val="22"/>
          <w:lang w:eastAsia="zh-CN"/>
        </w:rPr>
        <w:t>表5.1-</w:t>
      </w:r>
      <w:r>
        <w:rPr>
          <w:rFonts w:ascii="Times New Roman" w:hAnsi="Times New Roman" w:eastAsia="宋体" w:cs="Times New Roman"/>
          <w:b/>
          <w:bCs/>
          <w:sz w:val="24"/>
          <w:szCs w:val="22"/>
          <w:lang w:eastAsia="zh-CN"/>
        </w:rPr>
        <w:fldChar w:fldCharType="begin"/>
      </w:r>
      <w:r>
        <w:rPr>
          <w:rFonts w:ascii="Times New Roman" w:hAnsi="Times New Roman" w:eastAsia="宋体" w:cs="Times New Roman"/>
          <w:b/>
          <w:bCs/>
          <w:sz w:val="24"/>
          <w:szCs w:val="22"/>
          <w:lang w:eastAsia="zh-CN"/>
        </w:rPr>
        <w:instrText xml:space="preserve"> SEQ 表5- \* ARABIC </w:instrText>
      </w:r>
      <w:r>
        <w:rPr>
          <w:rFonts w:ascii="Times New Roman" w:hAnsi="Times New Roman" w:eastAsia="宋体" w:cs="Times New Roman"/>
          <w:b/>
          <w:bCs/>
          <w:sz w:val="24"/>
          <w:szCs w:val="22"/>
          <w:lang w:eastAsia="zh-CN"/>
        </w:rPr>
        <w:fldChar w:fldCharType="separate"/>
      </w:r>
      <w:r>
        <w:rPr>
          <w:rFonts w:ascii="Times New Roman" w:hAnsi="Times New Roman" w:eastAsia="宋体" w:cs="Times New Roman"/>
          <w:b/>
          <w:bCs/>
          <w:sz w:val="24"/>
          <w:szCs w:val="22"/>
          <w:lang w:eastAsia="zh-CN"/>
        </w:rPr>
        <w:t>2</w:t>
      </w:r>
      <w:r>
        <w:rPr>
          <w:rFonts w:ascii="Times New Roman" w:hAnsi="Times New Roman" w:eastAsia="宋体" w:cs="Times New Roman"/>
          <w:b/>
          <w:bCs/>
          <w:sz w:val="24"/>
          <w:szCs w:val="22"/>
          <w:lang w:eastAsia="zh-CN"/>
        </w:rPr>
        <w:fldChar w:fldCharType="end"/>
      </w:r>
      <w:r>
        <w:rPr>
          <w:rFonts w:ascii="Times New Roman" w:hAnsi="Times New Roman" w:eastAsia="宋体" w:cs="Times New Roman"/>
          <w:b/>
          <w:bCs/>
          <w:sz w:val="24"/>
          <w:szCs w:val="22"/>
          <w:lang w:eastAsia="zh-CN"/>
        </w:rPr>
        <w:t xml:space="preserve">   </w:t>
      </w:r>
      <w:r>
        <w:rPr>
          <w:rFonts w:hint="eastAsia" w:ascii="Times New Roman" w:hAnsi="Times New Roman" w:eastAsia="宋体" w:cs="Times New Roman"/>
          <w:b/>
          <w:bCs/>
          <w:sz w:val="24"/>
          <w:szCs w:val="22"/>
          <w:lang w:eastAsia="zh-CN"/>
        </w:rPr>
        <w:t>国际新兴产业园区</w:t>
      </w:r>
      <w:r>
        <w:rPr>
          <w:rFonts w:ascii="Times New Roman" w:hAnsi="Times New Roman" w:eastAsia="宋体" w:cs="Times New Roman"/>
          <w:b/>
          <w:bCs/>
          <w:sz w:val="24"/>
          <w:szCs w:val="22"/>
          <w:lang w:eastAsia="zh-CN"/>
        </w:rPr>
        <w:t>废水污染物预测与实际排放量情况表</w:t>
      </w:r>
    </w:p>
    <w:tbl>
      <w:tblPr>
        <w:tblStyle w:val="64"/>
        <w:tblW w:w="9515" w:type="dxa"/>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843"/>
        <w:gridCol w:w="1284"/>
        <w:gridCol w:w="1984"/>
        <w:gridCol w:w="2693"/>
        <w:gridCol w:w="2711"/>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843" w:type="dxa"/>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序号</w:t>
            </w:r>
          </w:p>
        </w:tc>
        <w:tc>
          <w:tcPr>
            <w:tcW w:w="3268" w:type="dxa"/>
            <w:gridSpan w:val="2"/>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污染物类型</w:t>
            </w:r>
          </w:p>
        </w:tc>
        <w:tc>
          <w:tcPr>
            <w:tcW w:w="5404" w:type="dxa"/>
            <w:gridSpan w:val="2"/>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排放量</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843" w:type="dxa"/>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p>
        </w:tc>
        <w:tc>
          <w:tcPr>
            <w:tcW w:w="3268" w:type="dxa"/>
            <w:gridSpan w:val="2"/>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p>
        </w:tc>
        <w:tc>
          <w:tcPr>
            <w:tcW w:w="2693"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上轮规划环评预测排放量</w:t>
            </w:r>
          </w:p>
        </w:tc>
        <w:tc>
          <w:tcPr>
            <w:tcW w:w="2711"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现状</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843"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w:t>
            </w:r>
          </w:p>
        </w:tc>
        <w:tc>
          <w:tcPr>
            <w:tcW w:w="1284" w:type="dxa"/>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水污染物</w:t>
            </w:r>
          </w:p>
        </w:tc>
        <w:tc>
          <w:tcPr>
            <w:tcW w:w="1984"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污水总量（t/a）</w:t>
            </w:r>
          </w:p>
        </w:tc>
        <w:tc>
          <w:tcPr>
            <w:tcW w:w="2693"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lang w:val="en-US" w:eastAsia="zh-CN"/>
              </w:rPr>
              <w:t>4226</w:t>
            </w:r>
            <w:r>
              <w:rPr>
                <w:rFonts w:ascii="Times New Roman" w:hAnsi="Times New Roman"/>
                <w:sz w:val="21"/>
                <w:szCs w:val="21"/>
              </w:rPr>
              <w:t>万</w:t>
            </w:r>
          </w:p>
        </w:tc>
        <w:tc>
          <w:tcPr>
            <w:tcW w:w="2711"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lang w:val="en-US" w:eastAsia="zh-CN"/>
              </w:rPr>
              <w:t>322.067</w:t>
            </w:r>
            <w:r>
              <w:rPr>
                <w:rFonts w:ascii="Times New Roman" w:hAnsi="Times New Roman"/>
                <w:sz w:val="21"/>
                <w:szCs w:val="21"/>
              </w:rPr>
              <w:t>万</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843"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2</w:t>
            </w:r>
          </w:p>
        </w:tc>
        <w:tc>
          <w:tcPr>
            <w:tcW w:w="1284" w:type="dxa"/>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1984"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COD（t/a）</w:t>
            </w:r>
          </w:p>
        </w:tc>
        <w:tc>
          <w:tcPr>
            <w:tcW w:w="2693"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2113</w:t>
            </w:r>
          </w:p>
        </w:tc>
        <w:tc>
          <w:tcPr>
            <w:tcW w:w="2711"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360.44</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0" w:hRule="atLeast"/>
          <w:jc w:val="center"/>
        </w:trPr>
        <w:tc>
          <w:tcPr>
            <w:tcW w:w="843"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3</w:t>
            </w:r>
          </w:p>
        </w:tc>
        <w:tc>
          <w:tcPr>
            <w:tcW w:w="1284" w:type="dxa"/>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1984"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-N（t/a）</w:t>
            </w:r>
          </w:p>
        </w:tc>
        <w:tc>
          <w:tcPr>
            <w:tcW w:w="2693"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51.8</w:t>
            </w:r>
          </w:p>
        </w:tc>
        <w:tc>
          <w:tcPr>
            <w:tcW w:w="2711"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211</w:t>
            </w:r>
          </w:p>
        </w:tc>
      </w:tr>
    </w:tbl>
    <w:p>
      <w:pPr>
        <w:pStyle w:val="38"/>
        <w:spacing w:before="72" w:after="72"/>
        <w:ind w:firstLine="480"/>
        <w:rPr>
          <w:rFonts w:hint="eastAsia"/>
        </w:rPr>
      </w:pPr>
      <w:r>
        <w:rPr>
          <w:rFonts w:hint="eastAsia"/>
        </w:rPr>
        <w:t>根据《沈阳市城市总体规划（2011-2020年）》，规划区域污水全部进入上夹河污水处理厂处理，由于上夹河污水处理厂处理规模有限，浑南区将部分污水转输到桃仙污水处理厂处理。污水处理依托可行性分析</w:t>
      </w:r>
      <w:r>
        <w:rPr>
          <w:rFonts w:hint="eastAsia"/>
          <w:lang w:eastAsia="zh-CN"/>
        </w:rPr>
        <w:t>如下</w:t>
      </w:r>
      <w:r>
        <w:rPr>
          <w:rFonts w:hint="eastAsia"/>
        </w:rPr>
        <w:t>。</w:t>
      </w:r>
    </w:p>
    <w:p>
      <w:pPr>
        <w:pStyle w:val="38"/>
        <w:spacing w:before="72" w:after="72"/>
        <w:ind w:firstLine="480"/>
        <w:rPr>
          <w:rFonts w:hint="eastAsia"/>
        </w:rPr>
      </w:pPr>
      <w:r>
        <w:rPr>
          <w:rFonts w:hint="eastAsia"/>
        </w:rPr>
        <w:t>（1）上夹河污水处理厂概况及可依托性</w:t>
      </w:r>
    </w:p>
    <w:p>
      <w:pPr>
        <w:pStyle w:val="38"/>
        <w:spacing w:before="72" w:after="72"/>
        <w:ind w:firstLine="480"/>
        <w:rPr>
          <w:rFonts w:hint="eastAsia"/>
        </w:rPr>
      </w:pPr>
      <w:r>
        <w:rPr>
          <w:rFonts w:hint="eastAsia"/>
        </w:rPr>
        <w:t>上夹河污水处理厂位于沈阳市浑南新区后榆树台村12号，占地面积90亩，于2005 年9月开始动工建设，2006年12月主体工程竣工，2007年末开始通水试运行，2008年6月通过验收。上夹河污水处理厂设计日处理污水4万吨，（现每日实际处理量约4万吨）按照城市一级污水处理厂设计，处理工艺为A/O，建设配套管网长度49.7公里，收集浑南新区除产业区以外的所有污水；上夹河污水处理厂于2017年由区国资局列入提标升级改造计划，该工程于2017年9月份招标，10月1日开工</w:t>
      </w:r>
      <w:r>
        <w:rPr>
          <w:rFonts w:hint="eastAsia"/>
          <w:lang w:eastAsia="zh-CN"/>
        </w:rPr>
        <w:t>，</w:t>
      </w:r>
      <w:r>
        <w:rPr>
          <w:rFonts w:hint="eastAsia"/>
        </w:rPr>
        <w:t>2018年6月30日前完成提标升级改造，目前出水水质能够按一级A标准达标排放。</w:t>
      </w:r>
    </w:p>
    <w:p>
      <w:pPr>
        <w:pStyle w:val="38"/>
        <w:spacing w:before="72" w:after="72"/>
        <w:ind w:firstLine="480"/>
        <w:rPr>
          <w:rFonts w:hint="eastAsia"/>
        </w:rPr>
      </w:pPr>
      <w:r>
        <w:rPr>
          <w:rFonts w:hint="eastAsia"/>
        </w:rPr>
        <w:t>由于上夹河污水处理厂现每日实际处理量已经达到设计处理规模，规划新增的污水将不能依托上夹河污水处理厂解决。</w:t>
      </w:r>
    </w:p>
    <w:p>
      <w:pPr>
        <w:pStyle w:val="38"/>
        <w:spacing w:before="72" w:after="72"/>
        <w:ind w:firstLine="480"/>
        <w:rPr>
          <w:rFonts w:hint="eastAsia"/>
        </w:rPr>
      </w:pPr>
      <w:r>
        <w:rPr>
          <w:rFonts w:hint="eastAsia"/>
        </w:rPr>
        <w:t>（2）桃仙污水处理厂概况及可依托性</w:t>
      </w:r>
    </w:p>
    <w:p>
      <w:pPr>
        <w:pStyle w:val="38"/>
        <w:spacing w:before="72" w:after="72"/>
        <w:ind w:firstLine="480"/>
        <w:rPr>
          <w:rFonts w:hint="eastAsia"/>
        </w:rPr>
      </w:pPr>
      <w:r>
        <w:rPr>
          <w:rFonts w:hint="eastAsia"/>
        </w:rPr>
        <w:t>沈阳浑南新城桃仙污水处理厂位于沈阳市浑南区毡匠屯，占地面积151405平方米，项目估算总投资24148.76万元，该污水处理厂总设计规模为14万吨/天，分两期建设，其中一期处理规模为8万吨/天，工程采用恒水位序批式反应工艺（CWSBR）,主要接纳深南新城和部分浑南新区污水，该工程2012年3月开工建设，于2013年初建成。该厂进水水质设计为：BOD</w:t>
      </w:r>
      <w:r>
        <w:rPr>
          <w:rFonts w:hint="eastAsia"/>
          <w:vertAlign w:val="subscript"/>
        </w:rPr>
        <w:t>5</w:t>
      </w:r>
      <w:r>
        <w:rPr>
          <w:rFonts w:hint="eastAsia"/>
        </w:rPr>
        <w:t>180mg/L、COD400 mg/L、SS190 mg/L、NH</w:t>
      </w:r>
      <w:r>
        <w:rPr>
          <w:rFonts w:hint="eastAsia"/>
          <w:vertAlign w:val="subscript"/>
        </w:rPr>
        <w:t>3</w:t>
      </w:r>
      <w:r>
        <w:rPr>
          <w:rFonts w:hint="eastAsia"/>
        </w:rPr>
        <w:t>-N30mg/L、TP4mg/L,出水水质设计为 BOD</w:t>
      </w:r>
      <w:r>
        <w:rPr>
          <w:rFonts w:hint="eastAsia"/>
          <w:vertAlign w:val="subscript"/>
        </w:rPr>
        <w:t>5</w:t>
      </w:r>
      <w:r>
        <w:rPr>
          <w:rFonts w:hint="eastAsia"/>
        </w:rPr>
        <w:t>10mg/L、COD50 mg/L、SS10 mg/L、NH</w:t>
      </w:r>
      <w:r>
        <w:rPr>
          <w:rFonts w:hint="eastAsia"/>
          <w:vertAlign w:val="subscript"/>
        </w:rPr>
        <w:t>3</w:t>
      </w:r>
      <w:r>
        <w:rPr>
          <w:rFonts w:hint="eastAsia"/>
        </w:rPr>
        <w:t>-N5mg/L、TP0.5 mg/L。</w:t>
      </w:r>
    </w:p>
    <w:p>
      <w:pPr>
        <w:pStyle w:val="38"/>
        <w:spacing w:before="72" w:after="72"/>
        <w:ind w:firstLine="480"/>
        <w:rPr>
          <w:rFonts w:hint="eastAsia"/>
        </w:rPr>
      </w:pPr>
      <w:r>
        <w:rPr>
          <w:rFonts w:hint="eastAsia"/>
        </w:rPr>
        <w:t>浑南区自2017年4月6日将产业区污水正式转输至桃仙污水处理厂加之大学城对污水的调流，每日有3.5万余吨污水进入桃仙污水处理厂，桃仙污水处理厂于2018年6月30日能够按一级A标准达标排放。目前桃仙污水处理厂处理规模仅为设计能力的50%，因此，规划区域新增的污水可以依托桃仙污水处理厂处理后达到一级A标准排放。</w:t>
      </w:r>
    </w:p>
    <w:p>
      <w:pPr>
        <w:pStyle w:val="38"/>
        <w:spacing w:before="72" w:after="72"/>
        <w:ind w:firstLine="480"/>
        <w:rPr>
          <w:rFonts w:hint="eastAsia" w:eastAsia="宋体"/>
          <w:spacing w:val="-1"/>
          <w:lang w:eastAsia="zh-CN"/>
        </w:rPr>
      </w:pPr>
      <w:r>
        <w:t>但由于</w:t>
      </w:r>
      <w:r>
        <w:rPr>
          <w:rFonts w:hint="eastAsia"/>
        </w:rPr>
        <w:t>国际新兴产业园区区域排水、中水和供热管网覆盖程度不完善，村屯生活污水没得到有效收集和处理，</w:t>
      </w:r>
      <w:r>
        <w:t>建议</w:t>
      </w:r>
      <w:r>
        <w:rPr>
          <w:rFonts w:hint="eastAsia"/>
        </w:rPr>
        <w:t>加强污水管网建设，202</w:t>
      </w:r>
      <w:r>
        <w:rPr>
          <w:rFonts w:hint="eastAsia"/>
          <w:lang w:val="en-US" w:eastAsia="zh-CN"/>
        </w:rPr>
        <w:t>2</w:t>
      </w:r>
      <w:r>
        <w:rPr>
          <w:rFonts w:hint="eastAsia"/>
        </w:rPr>
        <w:t>年完成区域污水管网建设，实施废水全部收集处理加快农村生活污水站建设，并配备人工湿地，实现农村污水达标排放</w:t>
      </w:r>
      <w:r>
        <w:t>。</w:t>
      </w:r>
      <w:r>
        <w:rPr>
          <w:rFonts w:hint="eastAsia"/>
        </w:rPr>
        <w:t>巩固杨官河黑臭水体治理成果；实施海绵城市建设，减少入河污染；实施农村污水治理，切断入河面源污染</w:t>
      </w:r>
      <w:r>
        <w:rPr>
          <w:rFonts w:hint="eastAsia"/>
          <w:lang w:eastAsia="zh-CN"/>
        </w:rPr>
        <w:t>；</w:t>
      </w:r>
      <w:r>
        <w:rPr>
          <w:rFonts w:hint="eastAsia"/>
        </w:rPr>
        <w:t>北沙河现状氨氮没有环境容量加强桃仙污水处理厂运行管理，实施中水回用工程；按沈阳市水污染防治行动计划对北沙河进行系统防控，封育北沙河；封育桃仙河，巩固桃仙河黑臭水体治理成果</w:t>
      </w:r>
      <w:r>
        <w:rPr>
          <w:rFonts w:hint="eastAsia"/>
          <w:lang w:eastAsia="zh-CN"/>
        </w:rPr>
        <w:t>。</w:t>
      </w:r>
    </w:p>
    <w:p>
      <w:pPr>
        <w:pStyle w:val="9"/>
        <w:rPr>
          <w:rFonts w:ascii="Times New Roman" w:hAnsi="Times New Roman"/>
        </w:rPr>
      </w:pPr>
      <w:bookmarkStart w:id="181" w:name="_Toc32363"/>
      <w:r>
        <w:rPr>
          <w:rFonts w:ascii="Times New Roman" w:hAnsi="Times New Roman"/>
        </w:rPr>
        <w:t>5.1.3 声环境影响对比评估</w:t>
      </w:r>
      <w:bookmarkEnd w:id="181"/>
    </w:p>
    <w:p>
      <w:pPr>
        <w:ind w:firstLine="480"/>
        <w:rPr>
          <w:rFonts w:cs="Times New Roman"/>
          <w:lang w:eastAsia="zh-CN"/>
        </w:rPr>
      </w:pPr>
      <w:r>
        <w:rPr>
          <w:rFonts w:cs="Times New Roman"/>
          <w:lang w:eastAsia="zh-CN"/>
        </w:rPr>
        <w:t>规划环评预测结果，</w:t>
      </w:r>
      <w:r>
        <w:rPr>
          <w:rFonts w:hint="eastAsia" w:cs="Times New Roman"/>
          <w:lang w:eastAsia="zh-CN"/>
        </w:rPr>
        <w:t>国际新兴产业园区</w:t>
      </w:r>
      <w:r>
        <w:rPr>
          <w:rFonts w:cs="Times New Roman"/>
          <w:lang w:eastAsia="zh-CN"/>
        </w:rPr>
        <w:t>规划实施后，部分区域将改变原来土地功能和区域性质，有部分农业用地变为工业用地。随着</w:t>
      </w:r>
      <w:r>
        <w:rPr>
          <w:rFonts w:hint="eastAsia" w:cs="Times New Roman"/>
          <w:lang w:eastAsia="zh-CN"/>
        </w:rPr>
        <w:t>国际新兴产业园区</w:t>
      </w:r>
      <w:r>
        <w:rPr>
          <w:rFonts w:cs="Times New Roman"/>
          <w:lang w:eastAsia="zh-CN"/>
        </w:rPr>
        <w:t>规划的进一步落实，在拉动当地经济的同时，也会增加工业噪声和随之而来的交通噪声。随着入驻企业的增加，工业用地区域环境声级将比现状有所提高，主要是来自机械制造产业、新型材料产业及加工类企业设备噪声，根据同行业的类比分析，企业在采用相应的有效降噪措施后，必须保证厂界达标及所在声环境功能区达标。另一方面随着</w:t>
      </w:r>
      <w:r>
        <w:rPr>
          <w:rFonts w:hint="eastAsia" w:cs="Times New Roman"/>
          <w:lang w:eastAsia="zh-CN"/>
        </w:rPr>
        <w:t>国际新兴产业园区</w:t>
      </w:r>
      <w:r>
        <w:rPr>
          <w:rFonts w:cs="Times New Roman"/>
          <w:lang w:eastAsia="zh-CN"/>
        </w:rPr>
        <w:t>规划的实施，交通噪声将会增强，主要是企业运输量的增加，从而造成交通噪声也会增强。通过合理布局</w:t>
      </w:r>
      <w:r>
        <w:rPr>
          <w:rFonts w:hint="eastAsia" w:cs="Times New Roman"/>
          <w:lang w:eastAsia="zh-CN"/>
        </w:rPr>
        <w:t>国际新兴产业园区</w:t>
      </w:r>
      <w:r>
        <w:rPr>
          <w:rFonts w:cs="Times New Roman"/>
          <w:lang w:eastAsia="zh-CN"/>
        </w:rPr>
        <w:t>内各企业、各建设项目采取相应措施，严格控制厂界噪声达标，从而保证区域大环境的噪声功能达标，对区域外环境也不会造成明显噪声影响。</w:t>
      </w:r>
    </w:p>
    <w:p>
      <w:pPr>
        <w:ind w:firstLine="480"/>
        <w:rPr>
          <w:rFonts w:hint="default" w:cs="Times New Roman"/>
          <w:lang w:val="en-US" w:eastAsia="zh-CN"/>
        </w:rPr>
      </w:pPr>
      <w:r>
        <w:rPr>
          <w:rFonts w:cs="Times New Roman"/>
          <w:lang w:eastAsia="zh-CN"/>
        </w:rPr>
        <w:t>规划实施通过采取相应的噪声防治和减缓措施，基本保证了</w:t>
      </w:r>
      <w:r>
        <w:rPr>
          <w:rFonts w:hint="eastAsia" w:cs="Times New Roman"/>
          <w:lang w:eastAsia="zh-CN"/>
        </w:rPr>
        <w:t>国际新兴产业园区</w:t>
      </w:r>
      <w:r>
        <w:rPr>
          <w:rFonts w:cs="Times New Roman"/>
          <w:lang w:eastAsia="zh-CN"/>
        </w:rPr>
        <w:t>内的噪声源满足标准和规划的噪声功能区划要求。</w:t>
      </w:r>
      <w:r>
        <w:rPr>
          <w:rFonts w:cs="Times New Roman"/>
          <w:spacing w:val="6"/>
          <w:lang w:eastAsia="zh-CN"/>
        </w:rPr>
        <w:t>根据</w:t>
      </w:r>
      <w:r>
        <w:rPr>
          <w:rFonts w:eastAsia="Arial" w:cs="Times New Roman"/>
          <w:lang w:eastAsia="zh-CN"/>
        </w:rPr>
        <w:t>2020</w:t>
      </w:r>
      <w:r>
        <w:rPr>
          <w:rFonts w:cs="Times New Roman"/>
          <w:lang w:eastAsia="zh-CN"/>
        </w:rPr>
        <w:t>年</w:t>
      </w:r>
      <w:r>
        <w:rPr>
          <w:rFonts w:eastAsia="Arial" w:cs="Times New Roman"/>
          <w:lang w:eastAsia="zh-CN"/>
        </w:rPr>
        <w:t>6</w:t>
      </w:r>
      <w:r>
        <w:rPr>
          <w:rFonts w:cs="Times New Roman"/>
          <w:spacing w:val="13"/>
          <w:lang w:eastAsia="zh-CN"/>
        </w:rPr>
        <w:t>月和10月的监测结果，</w:t>
      </w:r>
      <w:r>
        <w:rPr>
          <w:rFonts w:cs="Times New Roman"/>
          <w:kern w:val="2"/>
          <w:lang w:eastAsia="zh-CN"/>
        </w:rPr>
        <w:t>区域内各监测点满足声功能区标准要求，区域主要噪声来源于道路交通噪声影响。</w:t>
      </w:r>
      <w:r>
        <w:rPr>
          <w:rFonts w:cs="Times New Roman"/>
          <w:lang w:eastAsia="zh-CN"/>
        </w:rPr>
        <w:t>与上一轮规划环评时</w:t>
      </w:r>
      <w:r>
        <w:rPr>
          <w:rFonts w:hint="eastAsia" w:cs="Times New Roman"/>
          <w:lang w:eastAsia="zh-CN"/>
        </w:rPr>
        <w:t>国际新兴产业园区</w:t>
      </w:r>
      <w:r>
        <w:rPr>
          <w:rFonts w:cs="Times New Roman"/>
          <w:lang w:eastAsia="zh-CN"/>
        </w:rPr>
        <w:t>声环境质量状况相比，规划实施以来，</w:t>
      </w:r>
      <w:r>
        <w:rPr>
          <w:rFonts w:hint="eastAsia" w:cs="Times New Roman"/>
          <w:lang w:eastAsia="zh-CN"/>
        </w:rPr>
        <w:t>国际新兴产业园区</w:t>
      </w:r>
      <w:r>
        <w:rPr>
          <w:rFonts w:cs="Times New Roman"/>
          <w:lang w:eastAsia="zh-CN"/>
        </w:rPr>
        <w:t>的声环境质量略有上升，但噪声影响可以接受。</w:t>
      </w:r>
    </w:p>
    <w:p>
      <w:pPr>
        <w:pStyle w:val="9"/>
        <w:rPr>
          <w:rFonts w:ascii="Times New Roman" w:hAnsi="Times New Roman"/>
        </w:rPr>
      </w:pPr>
      <w:bookmarkStart w:id="182" w:name="_Toc32128"/>
      <w:r>
        <w:rPr>
          <w:rFonts w:ascii="Times New Roman" w:hAnsi="Times New Roman"/>
        </w:rPr>
        <w:t>5.1.4 固体废物影响对比评估</w:t>
      </w:r>
      <w:bookmarkEnd w:id="182"/>
    </w:p>
    <w:p>
      <w:pPr>
        <w:pStyle w:val="25"/>
        <w:spacing w:line="356" w:lineRule="auto"/>
        <w:ind w:right="357" w:firstLine="480"/>
        <w:contextualSpacing/>
        <w:rPr>
          <w:rFonts w:cs="Times New Roman"/>
          <w:lang w:eastAsia="zh-CN"/>
        </w:rPr>
      </w:pPr>
      <w:r>
        <w:rPr>
          <w:rFonts w:cs="Times New Roman"/>
          <w:lang w:eastAsia="zh-CN"/>
        </w:rPr>
        <w:t>上一轮规划环评要求</w:t>
      </w:r>
      <w:r>
        <w:rPr>
          <w:rFonts w:hint="eastAsia" w:cs="Times New Roman"/>
          <w:lang w:eastAsia="zh-CN"/>
        </w:rPr>
        <w:t>国际新兴产业园区</w:t>
      </w:r>
      <w:r>
        <w:rPr>
          <w:rFonts w:cs="Times New Roman"/>
          <w:lang w:eastAsia="zh-CN"/>
        </w:rPr>
        <w:t>内固体废物实行分类管理，遵循资源化、减量化、无害化的原则。属危险废物的要送至危险废物处理中心统一处理，其它工业废物要提高综合利用效率，不能综合利用的工业固体废物和生活垃圾应妥善收集，运至垃圾中转站后统一送至垃圾处理厂进行处理。生活垃圾无害化处理率达到95%以上；危险废物无害化处理率达到100%。</w:t>
      </w:r>
    </w:p>
    <w:p>
      <w:pPr>
        <w:pStyle w:val="25"/>
        <w:spacing w:line="356" w:lineRule="auto"/>
        <w:ind w:right="357" w:firstLine="480"/>
        <w:contextualSpacing/>
        <w:rPr>
          <w:rFonts w:cs="Times New Roman"/>
          <w:lang w:eastAsia="zh-CN"/>
        </w:rPr>
      </w:pPr>
      <w:r>
        <w:rPr>
          <w:rFonts w:cs="Times New Roman"/>
          <w:lang w:eastAsia="zh-CN"/>
        </w:rPr>
        <w:t>根据现状调查，</w:t>
      </w:r>
      <w:r>
        <w:rPr>
          <w:rFonts w:hint="eastAsia" w:cs="Times New Roman"/>
          <w:lang w:eastAsia="zh-CN"/>
        </w:rPr>
        <w:t>国际新兴产业园区</w:t>
      </w:r>
      <w:r>
        <w:rPr>
          <w:rFonts w:cs="Times New Roman"/>
          <w:lang w:eastAsia="zh-CN"/>
        </w:rPr>
        <w:t>内生活垃圾</w:t>
      </w:r>
      <w:r>
        <w:rPr>
          <w:rFonts w:cs="Times New Roman"/>
          <w:spacing w:val="-1"/>
          <w:lang w:eastAsia="zh-CN"/>
        </w:rPr>
        <w:t>由城管部门定期收运，集中运至沈阳市大辛垃圾处理厂处理</w:t>
      </w:r>
      <w:r>
        <w:rPr>
          <w:rFonts w:cs="Times New Roman"/>
          <w:lang w:eastAsia="zh-CN"/>
        </w:rPr>
        <w:t>。</w:t>
      </w:r>
      <w:r>
        <w:rPr>
          <w:rFonts w:cs="Times New Roman"/>
          <w:spacing w:val="-1"/>
          <w:lang w:eastAsia="zh-CN"/>
        </w:rPr>
        <w:t>一般工业固体废物</w:t>
      </w:r>
      <w:r>
        <w:rPr>
          <w:rFonts w:cs="Times New Roman"/>
          <w:lang w:eastAsia="zh-CN"/>
        </w:rPr>
        <w:t>按不同的物化性质采用外售处理、集中收集后回用于生产等处置方式。</w:t>
      </w:r>
      <w:r>
        <w:rPr>
          <w:rFonts w:hint="eastAsia" w:cs="Times New Roman"/>
          <w:lang w:eastAsia="zh-CN"/>
        </w:rPr>
        <w:t>国际新兴产业园区</w:t>
      </w:r>
      <w:r>
        <w:rPr>
          <w:rFonts w:cs="Times New Roman"/>
          <w:lang w:eastAsia="zh-CN"/>
        </w:rPr>
        <w:t>内企业产生的危险废物在厂区危废暂存间暂存，送至有资质单位处置。</w:t>
      </w:r>
      <w:r>
        <w:rPr>
          <w:rFonts w:hint="eastAsia" w:cs="Times New Roman"/>
          <w:lang w:eastAsia="zh-CN"/>
        </w:rPr>
        <w:t>国际新兴产业园区</w:t>
      </w:r>
      <w:r>
        <w:rPr>
          <w:rFonts w:cs="Times New Roman"/>
          <w:lang w:eastAsia="zh-CN"/>
        </w:rPr>
        <w:t>产生的固体废物对</w:t>
      </w:r>
      <w:r>
        <w:rPr>
          <w:rFonts w:hint="eastAsia" w:cs="Times New Roman"/>
          <w:lang w:eastAsia="zh-CN"/>
        </w:rPr>
        <w:t>国际新兴产业园区</w:t>
      </w:r>
      <w:r>
        <w:rPr>
          <w:rFonts w:cs="Times New Roman"/>
          <w:lang w:eastAsia="zh-CN"/>
        </w:rPr>
        <w:t>及周边环境影响不大。因此，规划环评对固体废物的影响预测与实际影响程度差异不大。</w:t>
      </w:r>
    </w:p>
    <w:p>
      <w:pPr>
        <w:pStyle w:val="8"/>
        <w:rPr>
          <w:rFonts w:ascii="Times New Roman" w:hAnsi="Times New Roman" w:cs="Times New Roman"/>
          <w:lang w:eastAsia="zh-CN"/>
        </w:rPr>
      </w:pPr>
      <w:bookmarkStart w:id="183" w:name="_Toc34903927"/>
      <w:bookmarkStart w:id="184" w:name="_Toc12854"/>
      <w:bookmarkStart w:id="185" w:name="_Toc17165"/>
      <w:r>
        <w:rPr>
          <w:rFonts w:ascii="Times New Roman" w:hAnsi="Times New Roman" w:cs="Times New Roman"/>
          <w:lang w:eastAsia="zh-CN"/>
        </w:rPr>
        <w:t>5.2 环保措施有效性分析及整改建议</w:t>
      </w:r>
      <w:bookmarkEnd w:id="183"/>
      <w:bookmarkEnd w:id="184"/>
      <w:bookmarkEnd w:id="185"/>
    </w:p>
    <w:p>
      <w:pPr>
        <w:pStyle w:val="9"/>
        <w:rPr>
          <w:rFonts w:ascii="Times New Roman" w:hAnsi="Times New Roman"/>
        </w:rPr>
      </w:pPr>
      <w:bookmarkStart w:id="186" w:name="_Toc16058"/>
      <w:r>
        <w:rPr>
          <w:rFonts w:ascii="Times New Roman" w:hAnsi="Times New Roman"/>
        </w:rPr>
        <w:t>5.2.1 大气环境影响减缓措施有效性分析及整改建议</w:t>
      </w:r>
      <w:bookmarkEnd w:id="186"/>
    </w:p>
    <w:p>
      <w:pPr>
        <w:pStyle w:val="10"/>
        <w:rPr>
          <w:rFonts w:cs="Times New Roman"/>
        </w:rPr>
      </w:pPr>
      <w:r>
        <w:rPr>
          <w:rFonts w:cs="Times New Roman"/>
        </w:rPr>
        <w:t>5.2.1.1 大气污染防治措施有效性分析</w:t>
      </w:r>
    </w:p>
    <w:p>
      <w:pPr>
        <w:ind w:firstLine="480"/>
        <w:rPr>
          <w:rFonts w:cs="Times New Roman"/>
          <w:lang w:eastAsia="zh-CN"/>
        </w:rPr>
      </w:pPr>
      <w:r>
        <w:rPr>
          <w:rFonts w:cs="Times New Roman"/>
          <w:lang w:eastAsia="zh-CN"/>
        </w:rPr>
        <w:t>规划环评中提出的大气污染防治措施</w:t>
      </w:r>
      <w:r>
        <w:rPr>
          <w:rFonts w:cs="Times New Roman"/>
          <w:spacing w:val="-60"/>
          <w:lang w:eastAsia="zh-CN"/>
        </w:rPr>
        <w:t>，</w:t>
      </w:r>
      <w:r>
        <w:rPr>
          <w:rFonts w:cs="Times New Roman"/>
          <w:lang w:eastAsia="zh-CN"/>
        </w:rPr>
        <w:t>在规划环评执行期间大气污染防治措施的落实情况及措施有效性分析见表5.2-1</w:t>
      </w:r>
      <w:r>
        <w:rPr>
          <w:rFonts w:cs="Times New Roman"/>
          <w:spacing w:val="-1"/>
          <w:lang w:eastAsia="zh-CN"/>
        </w:rPr>
        <w:t>。</w:t>
      </w:r>
    </w:p>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sz w:val="24"/>
          <w:szCs w:val="22"/>
          <w:lang w:eastAsia="zh-CN"/>
        </w:rPr>
      </w:pPr>
      <w:r>
        <w:rPr>
          <w:rFonts w:ascii="Times New Roman" w:hAnsi="Times New Roman" w:eastAsia="宋体" w:cs="Times New Roman"/>
          <w:b/>
          <w:bCs/>
          <w:sz w:val="24"/>
          <w:szCs w:val="22"/>
          <w:lang w:eastAsia="zh-CN"/>
        </w:rPr>
        <w:t>表5.2-1</w:t>
      </w:r>
      <w:r>
        <w:rPr>
          <w:rFonts w:ascii="Times New Roman" w:hAnsi="Times New Roman" w:eastAsia="宋体" w:cs="Times New Roman"/>
          <w:b/>
          <w:bCs/>
          <w:sz w:val="24"/>
          <w:szCs w:val="22"/>
          <w:lang w:eastAsia="zh-CN"/>
        </w:rPr>
        <w:tab/>
      </w:r>
      <w:r>
        <w:rPr>
          <w:rFonts w:ascii="Times New Roman" w:hAnsi="Times New Roman" w:eastAsia="宋体" w:cs="Times New Roman"/>
          <w:b/>
          <w:bCs/>
          <w:sz w:val="24"/>
          <w:szCs w:val="22"/>
          <w:lang w:eastAsia="zh-CN"/>
        </w:rPr>
        <w:t>规划环评大气污染防治措施落实及有效性分析</w:t>
      </w:r>
    </w:p>
    <w:tbl>
      <w:tblPr>
        <w:tblStyle w:val="64"/>
        <w:tblpPr w:leftFromText="180" w:rightFromText="180" w:vertAnchor="text" w:horzAnchor="page" w:tblpX="1433" w:tblpY="134"/>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4105"/>
        <w:gridCol w:w="3598"/>
        <w:gridCol w:w="92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序号</w:t>
            </w:r>
          </w:p>
        </w:tc>
        <w:tc>
          <w:tcPr>
            <w:tcW w:w="2210"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规划环评提出的大气污染防治措施</w:t>
            </w:r>
          </w:p>
        </w:tc>
        <w:tc>
          <w:tcPr>
            <w:tcW w:w="19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落实情况</w:t>
            </w:r>
          </w:p>
        </w:tc>
        <w:tc>
          <w:tcPr>
            <w:tcW w:w="496"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有效性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1</w:t>
            </w:r>
          </w:p>
        </w:tc>
        <w:tc>
          <w:tcPr>
            <w:tcW w:w="2210"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严格控制生产过程中产生的含有机污染物废气和含无机污染物废气的排放，必须达到《大气污染物综合排放标准》（GB16297-1996）或相应的标准后方可排放，减少对大气的污染。</w:t>
            </w:r>
          </w:p>
        </w:tc>
        <w:tc>
          <w:tcPr>
            <w:tcW w:w="19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规划区域</w:t>
            </w:r>
            <w:r>
              <w:rPr>
                <w:rFonts w:hint="default" w:ascii="Times New Roman" w:hAnsi="Times New Roman" w:cs="Times New Roman"/>
                <w:sz w:val="21"/>
                <w:szCs w:val="21"/>
                <w:lang w:val="en-US" w:eastAsia="zh-CN"/>
              </w:rPr>
              <w:t>严格执行“</w:t>
            </w:r>
            <w:r>
              <w:rPr>
                <w:rFonts w:hint="default" w:ascii="Times New Roman" w:hAnsi="Times New Roman" w:cs="Times New Roman"/>
                <w:sz w:val="21"/>
                <w:szCs w:val="21"/>
              </w:rPr>
              <w:t>沈阳市生态环境局关于切实加强涉VOCs建设项目环境影响评价审批工作的通知</w:t>
            </w: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污染物满足</w:t>
            </w:r>
            <w:r>
              <w:rPr>
                <w:rFonts w:hint="default" w:ascii="Times New Roman" w:hAnsi="Times New Roman" w:cs="Times New Roman"/>
                <w:sz w:val="21"/>
                <w:szCs w:val="21"/>
              </w:rPr>
              <w:t>相应的排放标准</w:t>
            </w:r>
          </w:p>
        </w:tc>
        <w:tc>
          <w:tcPr>
            <w:tcW w:w="4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ascii="Times New Roman" w:hAnsi="Times New Roman"/>
                <w:sz w:val="21"/>
                <w:szCs w:val="21"/>
              </w:rPr>
              <w:t>有效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2</w:t>
            </w:r>
          </w:p>
        </w:tc>
        <w:tc>
          <w:tcPr>
            <w:tcW w:w="2210"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rPr>
              <w:t>区内建设的集中供热设施在规划期内采用脱硝技术，减少对大气的污染。</w:t>
            </w:r>
          </w:p>
        </w:tc>
        <w:tc>
          <w:tcPr>
            <w:tcW w:w="19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规划区域热源为</w:t>
            </w:r>
            <w:r>
              <w:rPr>
                <w:rFonts w:hint="eastAsia" w:ascii="Times New Roman" w:hAnsi="Times New Roman"/>
                <w:sz w:val="21"/>
                <w:szCs w:val="21"/>
                <w:lang w:eastAsia="zh-CN"/>
              </w:rPr>
              <w:t>沈阳浑南热力有限责任公司第三热源厂供热，</w:t>
            </w:r>
            <w:r>
              <w:rPr>
                <w:rFonts w:ascii="Times New Roman" w:hAnsi="Times New Roman"/>
                <w:sz w:val="21"/>
                <w:szCs w:val="21"/>
              </w:rPr>
              <w:t>2019年两热源厂分别对现有锅炉进行了脱硝改造，现有烟气排放满足锅炉大气污染物特别排放限制要求</w:t>
            </w:r>
            <w:r>
              <w:rPr>
                <w:rFonts w:hint="eastAsia" w:ascii="Times New Roman" w:hAnsi="Times New Roman"/>
                <w:sz w:val="21"/>
                <w:szCs w:val="21"/>
                <w:lang w:eastAsia="zh-CN"/>
              </w:rPr>
              <w:t>。</w:t>
            </w:r>
          </w:p>
        </w:tc>
        <w:tc>
          <w:tcPr>
            <w:tcW w:w="4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ascii="Times New Roman" w:hAnsi="Times New Roman"/>
                <w:sz w:val="21"/>
                <w:szCs w:val="21"/>
              </w:rPr>
              <w:t>有效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3</w:t>
            </w:r>
          </w:p>
        </w:tc>
        <w:tc>
          <w:tcPr>
            <w:tcW w:w="2210"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rPr>
              <w:t>依据《关于进一步加强煤炭管制的通告》（沈环保[2002]73号）规定，对于进入规划区内用于电厂的煤炭含硫量必须低于0.6%，杜绝含硫量超过0.6%的煤炭进入规划区域。</w:t>
            </w:r>
          </w:p>
        </w:tc>
        <w:tc>
          <w:tcPr>
            <w:tcW w:w="19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lang w:eastAsia="zh-CN"/>
              </w:rPr>
              <w:t>沈阳浑南热力有限责任公司第三热源厂供热</w:t>
            </w:r>
            <w:r>
              <w:rPr>
                <w:rFonts w:hint="eastAsia" w:ascii="Times New Roman" w:hAnsi="Times New Roman"/>
                <w:sz w:val="21"/>
                <w:szCs w:val="21"/>
                <w:lang w:val="en-US" w:eastAsia="zh-CN"/>
              </w:rPr>
              <w:t>使用</w:t>
            </w:r>
            <w:r>
              <w:rPr>
                <w:rFonts w:hint="eastAsia" w:ascii="Times New Roman" w:hAnsi="Times New Roman"/>
                <w:sz w:val="21"/>
                <w:szCs w:val="21"/>
              </w:rPr>
              <w:t>煤炭含硫量低于0.6%</w:t>
            </w:r>
          </w:p>
        </w:tc>
        <w:tc>
          <w:tcPr>
            <w:tcW w:w="4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ascii="Times New Roman" w:hAnsi="Times New Roman"/>
                <w:sz w:val="21"/>
                <w:szCs w:val="21"/>
              </w:rPr>
              <w:t>有效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4</w:t>
            </w:r>
          </w:p>
        </w:tc>
        <w:tc>
          <w:tcPr>
            <w:tcW w:w="2210"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对于区内的高架污染源应全部安装在线监测系统，在线监测仪器与东陵区监测站中心控制系统相连，以便随时掌握高架源的排放情况。</w:t>
            </w:r>
          </w:p>
        </w:tc>
        <w:tc>
          <w:tcPr>
            <w:tcW w:w="19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sz w:val="21"/>
                <w:szCs w:val="21"/>
                <w:lang w:val="en-US" w:eastAsia="zh-CN"/>
              </w:rPr>
            </w:pPr>
            <w:r>
              <w:rPr>
                <w:rFonts w:hint="eastAsia" w:ascii="Times New Roman" w:hAnsi="Times New Roman"/>
                <w:sz w:val="21"/>
                <w:szCs w:val="21"/>
                <w:lang w:eastAsia="zh-CN"/>
              </w:rPr>
              <w:t>沈阳浑南热力有限责任公司第三热源厂</w:t>
            </w:r>
            <w:r>
              <w:rPr>
                <w:rFonts w:hint="eastAsia" w:ascii="Times New Roman" w:hAnsi="Times New Roman"/>
                <w:sz w:val="21"/>
                <w:szCs w:val="21"/>
                <w:lang w:val="en-US" w:eastAsia="zh-CN"/>
              </w:rPr>
              <w:t>已安装</w:t>
            </w:r>
            <w:r>
              <w:rPr>
                <w:rFonts w:hint="eastAsia" w:ascii="Times New Roman" w:hAnsi="Times New Roman"/>
                <w:sz w:val="21"/>
                <w:szCs w:val="21"/>
              </w:rPr>
              <w:t>在线监测仪器</w:t>
            </w:r>
            <w:r>
              <w:rPr>
                <w:rFonts w:hint="eastAsia" w:ascii="Times New Roman" w:hAnsi="Times New Roman"/>
                <w:sz w:val="21"/>
                <w:szCs w:val="21"/>
                <w:lang w:eastAsia="zh-CN"/>
              </w:rPr>
              <w:t>，</w:t>
            </w:r>
            <w:r>
              <w:rPr>
                <w:rFonts w:hint="eastAsia" w:ascii="Times New Roman" w:hAnsi="Times New Roman"/>
                <w:sz w:val="21"/>
                <w:szCs w:val="21"/>
                <w:lang w:val="en-US" w:eastAsia="zh-CN"/>
              </w:rPr>
              <w:t>并与沈阳是浑南生态分局联网</w:t>
            </w:r>
          </w:p>
        </w:tc>
        <w:tc>
          <w:tcPr>
            <w:tcW w:w="4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ascii="Times New Roman" w:hAnsi="Times New Roman"/>
                <w:sz w:val="21"/>
                <w:szCs w:val="21"/>
              </w:rPr>
              <w:t>有效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5</w:t>
            </w:r>
          </w:p>
        </w:tc>
        <w:tc>
          <w:tcPr>
            <w:tcW w:w="2210"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通过政府引导，尽量提高清洁能源（如电、天然气、地热能等）的使用比例，减少碳排放量。</w:t>
            </w:r>
          </w:p>
        </w:tc>
        <w:tc>
          <w:tcPr>
            <w:tcW w:w="19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rPr>
              <w:t>国际新兴产业园区</w:t>
            </w:r>
            <w:r>
              <w:rPr>
                <w:rFonts w:ascii="Times New Roman" w:hAnsi="Times New Roman"/>
                <w:sz w:val="21"/>
                <w:szCs w:val="21"/>
              </w:rPr>
              <w:t>目前除</w:t>
            </w:r>
            <w:r>
              <w:rPr>
                <w:rFonts w:hint="eastAsia" w:ascii="Times New Roman" w:hAnsi="Times New Roman"/>
                <w:sz w:val="21"/>
                <w:szCs w:val="21"/>
                <w:lang w:val="en-US" w:eastAsia="zh-CN"/>
              </w:rPr>
              <w:t>1</w:t>
            </w:r>
            <w:r>
              <w:rPr>
                <w:rFonts w:ascii="Times New Roman" w:hAnsi="Times New Roman"/>
                <w:sz w:val="21"/>
                <w:szCs w:val="21"/>
              </w:rPr>
              <w:t>座集中热源厂为燃煤锅炉外，无燃煤消耗企业。</w:t>
            </w:r>
          </w:p>
        </w:tc>
        <w:tc>
          <w:tcPr>
            <w:tcW w:w="4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ascii="Times New Roman" w:hAnsi="Times New Roman"/>
                <w:sz w:val="21"/>
                <w:szCs w:val="21"/>
              </w:rPr>
              <w:t>有效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6</w:t>
            </w:r>
          </w:p>
        </w:tc>
        <w:tc>
          <w:tcPr>
            <w:tcW w:w="2210"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区域全部纳入浑南新区3号热源厂和沈东热电厂的供热区域，规划区域内不建设热源厂，随着沈东热源厂建成，3#热源厂转为调峰热源。</w:t>
            </w:r>
          </w:p>
        </w:tc>
        <w:tc>
          <w:tcPr>
            <w:tcW w:w="19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lang w:val="en-US" w:eastAsia="zh-CN"/>
              </w:rPr>
              <w:t>规划区域热源为</w:t>
            </w:r>
            <w:r>
              <w:rPr>
                <w:rFonts w:hint="eastAsia" w:ascii="Times New Roman" w:hAnsi="Times New Roman"/>
                <w:sz w:val="21"/>
                <w:szCs w:val="21"/>
                <w:lang w:eastAsia="zh-CN"/>
              </w:rPr>
              <w:t>沈阳浑南热力有限责任公司第三热源厂供热，区域供热设施符合《沈阳市城市热电发展总体规划（2017-2020 年）》及其规划环评要求</w:t>
            </w:r>
          </w:p>
        </w:tc>
        <w:tc>
          <w:tcPr>
            <w:tcW w:w="496" w:type="pct"/>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ascii="Times New Roman" w:hAnsi="Times New Roman"/>
                <w:sz w:val="21"/>
                <w:szCs w:val="21"/>
              </w:rPr>
              <w:t>有效</w:t>
            </w:r>
          </w:p>
        </w:tc>
      </w:tr>
    </w:tbl>
    <w:p>
      <w:pPr>
        <w:spacing w:before="8"/>
        <w:ind w:firstLine="160"/>
        <w:rPr>
          <w:rFonts w:cs="Times New Roman"/>
          <w:sz w:val="8"/>
          <w:szCs w:val="8"/>
          <w:lang w:eastAsia="zh-CN"/>
        </w:rPr>
      </w:pPr>
    </w:p>
    <w:p>
      <w:pPr>
        <w:pStyle w:val="10"/>
        <w:rPr>
          <w:rFonts w:cs="Times New Roman"/>
          <w:lang w:eastAsia="zh-CN"/>
        </w:rPr>
      </w:pPr>
      <w:r>
        <w:rPr>
          <w:rFonts w:cs="Times New Roman"/>
          <w:lang w:eastAsia="zh-CN"/>
        </w:rPr>
        <w:t>5.2.1.2 大气环境影响减缓措施整改建议</w:t>
      </w:r>
    </w:p>
    <w:p>
      <w:pPr>
        <w:pStyle w:val="25"/>
        <w:keepNext w:val="0"/>
        <w:keepLines w:val="0"/>
        <w:pageBreakBefore w:val="0"/>
        <w:widowControl w:val="0"/>
        <w:kinsoku/>
        <w:wordWrap/>
        <w:overflowPunct/>
        <w:topLinePunct w:val="0"/>
        <w:bidi w:val="0"/>
        <w:snapToGrid/>
        <w:spacing w:after="0"/>
        <w:ind w:right="0" w:firstLine="480"/>
        <w:contextualSpacing/>
        <w:textAlignment w:val="auto"/>
        <w:rPr>
          <w:rFonts w:hint="default" w:ascii="Times New Roman" w:hAnsi="Times New Roman" w:cs="Times New Roman"/>
          <w:lang w:eastAsia="zh-CN"/>
        </w:rPr>
      </w:pPr>
      <w:r>
        <w:rPr>
          <w:rFonts w:hint="default" w:ascii="Times New Roman" w:hAnsi="Times New Roman" w:cs="Times New Roman"/>
          <w:lang w:eastAsia="zh-CN"/>
        </w:rPr>
        <w:t>2020年浑南区环境空气主要污染物：细颗粒物PM</w:t>
      </w:r>
      <w:r>
        <w:rPr>
          <w:rFonts w:hint="default" w:ascii="Times New Roman" w:hAnsi="Times New Roman" w:cs="Times New Roman"/>
          <w:vertAlign w:val="subscript"/>
          <w:lang w:eastAsia="zh-CN"/>
        </w:rPr>
        <w:t>2.5</w:t>
      </w:r>
      <w:r>
        <w:rPr>
          <w:rFonts w:hint="default" w:ascii="Times New Roman" w:hAnsi="Times New Roman" w:cs="Times New Roman"/>
          <w:lang w:eastAsia="zh-CN"/>
        </w:rPr>
        <w:t>和可吸入颗粒物PM</w:t>
      </w:r>
      <w:r>
        <w:rPr>
          <w:rFonts w:hint="default" w:ascii="Times New Roman" w:hAnsi="Times New Roman" w:cs="Times New Roman"/>
          <w:vertAlign w:val="subscript"/>
          <w:lang w:eastAsia="zh-CN"/>
        </w:rPr>
        <w:t>10</w:t>
      </w:r>
      <w:r>
        <w:rPr>
          <w:rFonts w:hint="default" w:ascii="Times New Roman" w:hAnsi="Times New Roman" w:cs="Times New Roman"/>
          <w:lang w:eastAsia="zh-CN"/>
        </w:rPr>
        <w:t>年均浓度超过国家环境空气质量二级标准，超标倍数分别为0.25倍和0.11倍；二氧化硫</w:t>
      </w:r>
      <w:r>
        <w:rPr>
          <w:rFonts w:hint="eastAsia" w:ascii="Times New Roman" w:hAnsi="Times New Roman" w:cs="Times New Roman"/>
          <w:lang w:eastAsia="zh-CN"/>
        </w:rPr>
        <w:t>、</w:t>
      </w:r>
      <w:r>
        <w:rPr>
          <w:rFonts w:hint="default" w:ascii="Times New Roman" w:hAnsi="Times New Roman" w:cs="Times New Roman"/>
          <w:lang w:eastAsia="zh-CN"/>
        </w:rPr>
        <w:t>二氧化氮</w:t>
      </w:r>
      <w:r>
        <w:rPr>
          <w:rFonts w:hint="eastAsia" w:ascii="Times New Roman" w:hAnsi="Times New Roman" w:cs="Times New Roman"/>
          <w:lang w:eastAsia="zh-CN"/>
        </w:rPr>
        <w:t>、</w:t>
      </w:r>
      <w:r>
        <w:rPr>
          <w:rFonts w:hint="default" w:ascii="Times New Roman" w:hAnsi="Times New Roman" w:cs="Times New Roman"/>
          <w:lang w:eastAsia="zh-CN"/>
        </w:rPr>
        <w:t>一氧化碳</w:t>
      </w:r>
      <w:r>
        <w:rPr>
          <w:rFonts w:hint="eastAsia" w:ascii="Times New Roman" w:hAnsi="Times New Roman" w:cs="Times New Roman"/>
          <w:lang w:eastAsia="zh-CN"/>
        </w:rPr>
        <w:t>、</w:t>
      </w:r>
      <w:r>
        <w:rPr>
          <w:rFonts w:hint="default" w:ascii="Times New Roman" w:hAnsi="Times New Roman" w:cs="Times New Roman"/>
          <w:lang w:eastAsia="zh-CN"/>
        </w:rPr>
        <w:t>臭氧年均浓度达到环境空气质量二级标准。与2019年相比</w:t>
      </w:r>
      <w:r>
        <w:rPr>
          <w:rFonts w:hint="eastAsia" w:ascii="Times New Roman" w:hAnsi="Times New Roman" w:cs="Times New Roman"/>
          <w:lang w:eastAsia="zh-CN"/>
        </w:rPr>
        <w:t>，</w:t>
      </w:r>
      <w:r>
        <w:rPr>
          <w:rFonts w:hint="default" w:ascii="Times New Roman" w:hAnsi="Times New Roman" w:cs="Times New Roman"/>
          <w:lang w:eastAsia="zh-CN"/>
        </w:rPr>
        <w:t>细颗粒物PM</w:t>
      </w:r>
      <w:r>
        <w:rPr>
          <w:rFonts w:hint="default" w:ascii="Times New Roman" w:hAnsi="Times New Roman" w:cs="Times New Roman"/>
          <w:vertAlign w:val="subscript"/>
          <w:lang w:eastAsia="zh-CN"/>
        </w:rPr>
        <w:t>2.5</w:t>
      </w:r>
      <w:r>
        <w:rPr>
          <w:rFonts w:hint="default" w:ascii="Times New Roman" w:hAnsi="Times New Roman" w:cs="Times New Roman"/>
          <w:lang w:eastAsia="zh-CN"/>
        </w:rPr>
        <w:t>和可吸入颗粒物PM</w:t>
      </w:r>
      <w:r>
        <w:rPr>
          <w:rFonts w:hint="default" w:ascii="Times New Roman" w:hAnsi="Times New Roman" w:cs="Times New Roman"/>
          <w:vertAlign w:val="subscript"/>
          <w:lang w:eastAsia="zh-CN"/>
        </w:rPr>
        <w:t>10</w:t>
      </w:r>
      <w:r>
        <w:rPr>
          <w:rFonts w:hint="default" w:ascii="Times New Roman" w:hAnsi="Times New Roman" w:cs="Times New Roman"/>
          <w:lang w:eastAsia="zh-CN"/>
        </w:rPr>
        <w:t>浓度均有轻微下降，下降幅度分别为2.22%和2.50%</w:t>
      </w:r>
      <w:r>
        <w:rPr>
          <w:rFonts w:hint="eastAsia" w:ascii="Times New Roman" w:hAnsi="Times New Roman" w:cs="Times New Roman"/>
          <w:lang w:eastAsia="zh-CN"/>
        </w:rPr>
        <w:t>；</w:t>
      </w:r>
      <w:r>
        <w:rPr>
          <w:rFonts w:hint="default" w:ascii="Times New Roman" w:hAnsi="Times New Roman" w:cs="Times New Roman"/>
          <w:lang w:eastAsia="zh-CN"/>
        </w:rPr>
        <w:t>二氧化硫浓度、二氧化氮浓度、一氧化碳浓度和臭氧浓度与2019年持平。</w:t>
      </w:r>
    </w:p>
    <w:p>
      <w:pPr>
        <w:pStyle w:val="25"/>
        <w:keepNext w:val="0"/>
        <w:keepLines w:val="0"/>
        <w:pageBreakBefore w:val="0"/>
        <w:widowControl w:val="0"/>
        <w:kinsoku/>
        <w:wordWrap/>
        <w:overflowPunct/>
        <w:topLinePunct w:val="0"/>
        <w:bidi w:val="0"/>
        <w:snapToGrid/>
        <w:spacing w:after="0"/>
        <w:ind w:right="0" w:firstLine="480"/>
        <w:contextualSpacing/>
        <w:textAlignment w:val="auto"/>
        <w:rPr>
          <w:rFonts w:eastAsia="Times New Roman" w:cs="Times New Roman"/>
          <w:spacing w:val="-1"/>
          <w:lang w:eastAsia="zh-CN"/>
        </w:rPr>
      </w:pPr>
      <w:r>
        <w:rPr>
          <w:rFonts w:hint="default" w:ascii="Times New Roman" w:hAnsi="Times New Roman" w:cs="Times New Roman"/>
          <w:lang w:eastAsia="zh-CN"/>
        </w:rPr>
        <w:t>与2016年相比，细颗粒物PM</w:t>
      </w:r>
      <w:r>
        <w:rPr>
          <w:rFonts w:hint="default" w:ascii="Times New Roman" w:hAnsi="Times New Roman" w:cs="Times New Roman"/>
          <w:vertAlign w:val="subscript"/>
          <w:lang w:eastAsia="zh-CN"/>
        </w:rPr>
        <w:t>2.5</w:t>
      </w:r>
      <w:r>
        <w:rPr>
          <w:rFonts w:hint="default" w:ascii="Times New Roman" w:hAnsi="Times New Roman" w:cs="Times New Roman"/>
          <w:lang w:eastAsia="zh-CN"/>
        </w:rPr>
        <w:t>、可吸入颗粒物PM</w:t>
      </w:r>
      <w:r>
        <w:rPr>
          <w:rFonts w:hint="default" w:ascii="Times New Roman" w:hAnsi="Times New Roman" w:cs="Times New Roman"/>
          <w:vertAlign w:val="subscript"/>
          <w:lang w:eastAsia="zh-CN"/>
        </w:rPr>
        <w:t>10</w:t>
      </w:r>
      <w:r>
        <w:rPr>
          <w:rFonts w:hint="default" w:ascii="Times New Roman" w:hAnsi="Times New Roman" w:cs="Times New Roman"/>
          <w:lang w:eastAsia="zh-CN"/>
        </w:rPr>
        <w:t>浓度和二氧化硫浓度均有较大幅度改善，改善幅度分别为15.8%、14.6%和51.8%；二氧化氮浓度、一氧化碳浓度和臭氧三项污染物浓度与2016年相比略有恶化</w:t>
      </w:r>
      <w:r>
        <w:rPr>
          <w:rFonts w:cs="Times New Roman"/>
          <w:lang w:eastAsia="zh-CN"/>
        </w:rPr>
        <w:t>。</w:t>
      </w:r>
    </w:p>
    <w:p>
      <w:pPr>
        <w:keepNext w:val="0"/>
        <w:keepLines w:val="0"/>
        <w:pageBreakBefore w:val="0"/>
        <w:widowControl w:val="0"/>
        <w:kinsoku/>
        <w:wordWrap/>
        <w:overflowPunct/>
        <w:topLinePunct w:val="0"/>
        <w:autoSpaceDE w:val="0"/>
        <w:autoSpaceDN w:val="0"/>
        <w:bidi w:val="0"/>
        <w:adjustRightInd w:val="0"/>
        <w:snapToGrid/>
        <w:ind w:right="0" w:firstLine="480"/>
        <w:textAlignment w:val="auto"/>
        <w:rPr>
          <w:rFonts w:cs="Times New Roman"/>
          <w:lang w:eastAsia="zh-CN"/>
        </w:rPr>
      </w:pPr>
      <w:r>
        <w:rPr>
          <w:rFonts w:cs="Times New Roman"/>
          <w:lang w:eastAsia="zh-CN"/>
        </w:rPr>
        <w:t>PM</w:t>
      </w:r>
      <w:r>
        <w:rPr>
          <w:rFonts w:cs="Times New Roman"/>
          <w:vertAlign w:val="subscript"/>
          <w:lang w:eastAsia="zh-CN"/>
        </w:rPr>
        <w:t>10</w:t>
      </w:r>
      <w:r>
        <w:rPr>
          <w:rFonts w:cs="Times New Roman"/>
          <w:lang w:eastAsia="zh-CN"/>
        </w:rPr>
        <w:t>和PM</w:t>
      </w:r>
      <w:r>
        <w:rPr>
          <w:rFonts w:cs="Times New Roman"/>
          <w:vertAlign w:val="subscript"/>
          <w:lang w:eastAsia="zh-CN"/>
        </w:rPr>
        <w:t>2.5</w:t>
      </w:r>
      <w:r>
        <w:rPr>
          <w:rFonts w:cs="Times New Roman"/>
          <w:lang w:eastAsia="zh-CN"/>
        </w:rPr>
        <w:t>年均浓度超标原因主要是：区域基础设施大规模建设、汽车尾气与道路扬尘、工业企业建设和生产等造成的污染物排放。随着《辽宁省大气污染防治行动计划实施方案》的有效落实，目前环境空气质量逐步改善。</w:t>
      </w:r>
      <w:r>
        <w:rPr>
          <w:rFonts w:hint="eastAsia" w:cs="Times New Roman"/>
          <w:lang w:eastAsia="zh-CN"/>
        </w:rPr>
        <w:t>国际新兴产业园区</w:t>
      </w:r>
      <w:r>
        <w:rPr>
          <w:rFonts w:cs="Times New Roman"/>
          <w:lang w:eastAsia="zh-CN"/>
        </w:rPr>
        <w:t>现状监测除PM</w:t>
      </w:r>
      <w:r>
        <w:rPr>
          <w:rFonts w:cs="Times New Roman"/>
          <w:vertAlign w:val="subscript"/>
          <w:lang w:eastAsia="zh-CN"/>
        </w:rPr>
        <w:t>2.5</w:t>
      </w:r>
      <w:r>
        <w:rPr>
          <w:rFonts w:cs="Times New Roman"/>
          <w:lang w:eastAsia="zh-CN"/>
        </w:rPr>
        <w:t>超标，其余指标均达标，说明按照上一轮规划环评及审查意见提出的各项生态环境保护对策和措施基本已落实，</w:t>
      </w:r>
      <w:r>
        <w:rPr>
          <w:rFonts w:hint="eastAsia" w:cs="Times New Roman"/>
          <w:lang w:eastAsia="zh-CN"/>
        </w:rPr>
        <w:t>国际新兴产业园区</w:t>
      </w:r>
      <w:r>
        <w:rPr>
          <w:rFonts w:cs="Times New Roman"/>
          <w:lang w:eastAsia="zh-CN"/>
        </w:rPr>
        <w:t>采取的各项大气环境防治措施基本有效。同时</w:t>
      </w:r>
      <w:r>
        <w:rPr>
          <w:rFonts w:hint="eastAsia" w:cs="Times New Roman"/>
          <w:lang w:eastAsia="zh-CN"/>
        </w:rPr>
        <w:t>国际新兴产业园区</w:t>
      </w:r>
      <w:r>
        <w:rPr>
          <w:rFonts w:cs="Times New Roman"/>
          <w:lang w:eastAsia="zh-CN"/>
        </w:rPr>
        <w:t>大气环境质量也受周边区域污染源的输送影响。</w:t>
      </w:r>
    </w:p>
    <w:p>
      <w:pPr>
        <w:keepNext w:val="0"/>
        <w:keepLines w:val="0"/>
        <w:pageBreakBefore w:val="0"/>
        <w:widowControl w:val="0"/>
        <w:kinsoku/>
        <w:wordWrap/>
        <w:overflowPunct/>
        <w:topLinePunct w:val="0"/>
        <w:bidi w:val="0"/>
        <w:snapToGrid/>
        <w:ind w:right="0" w:firstLine="480"/>
        <w:textAlignment w:val="auto"/>
        <w:rPr>
          <w:rFonts w:hint="eastAsia" w:cs="Times New Roman"/>
          <w:lang w:eastAsia="zh-CN"/>
        </w:rPr>
      </w:pPr>
      <w:r>
        <w:rPr>
          <w:rFonts w:hint="eastAsia" w:cs="Times New Roman"/>
          <w:lang w:eastAsia="zh-CN"/>
        </w:rPr>
        <w:t>“臭氧超标”并不是由污染源直接排放所导致，而是排放到空气中的氮氧化物、挥发性有机物（VOCs），在空气中进行复杂的光化学反应产生的。 与秋冬季节大气污染以细颗粒物为主不同，夏季空气质量超标的原因多为臭氧。</w:t>
      </w:r>
    </w:p>
    <w:p>
      <w:pPr>
        <w:keepNext w:val="0"/>
        <w:keepLines w:val="0"/>
        <w:pageBreakBefore w:val="0"/>
        <w:widowControl w:val="0"/>
        <w:kinsoku/>
        <w:wordWrap/>
        <w:overflowPunct/>
        <w:topLinePunct w:val="0"/>
        <w:bidi w:val="0"/>
        <w:snapToGrid/>
        <w:ind w:right="0" w:firstLine="480"/>
        <w:textAlignment w:val="auto"/>
        <w:rPr>
          <w:rFonts w:cs="Times New Roman"/>
          <w:lang w:eastAsia="zh-CN"/>
        </w:rPr>
      </w:pPr>
      <w:r>
        <w:rPr>
          <w:rFonts w:cs="Times New Roman"/>
          <w:lang w:eastAsia="zh-CN"/>
        </w:rPr>
        <w:t>根据以上环境质量及环境问题分析可知，本次跟踪评价期间、上一轮规划环评及审</w:t>
      </w:r>
      <w:r>
        <w:rPr>
          <w:rFonts w:hint="default" w:ascii="Times New Roman" w:hAnsi="Times New Roman" w:cs="Times New Roman"/>
          <w:lang w:eastAsia="zh-CN"/>
        </w:rPr>
        <w:t>查意见提出的各项生态环境保护对策和措施已落实并且基本有效，但国际新兴产业园区PM</w:t>
      </w:r>
      <w:r>
        <w:rPr>
          <w:rFonts w:hint="default" w:ascii="Times New Roman" w:hAnsi="Times New Roman" w:cs="Times New Roman"/>
          <w:vertAlign w:val="subscript"/>
          <w:lang w:eastAsia="zh-CN"/>
        </w:rPr>
        <w:t>2.5</w:t>
      </w:r>
      <w:r>
        <w:rPr>
          <w:rFonts w:hint="default" w:ascii="Times New Roman" w:hAnsi="Times New Roman" w:cs="Times New Roman"/>
          <w:lang w:eastAsia="zh-CN"/>
        </w:rPr>
        <w:t>和 PM</w:t>
      </w:r>
      <w:r>
        <w:rPr>
          <w:rFonts w:hint="default" w:ascii="Times New Roman" w:hAnsi="Times New Roman" w:cs="Times New Roman"/>
          <w:vertAlign w:val="subscript"/>
          <w:lang w:eastAsia="zh-CN"/>
        </w:rPr>
        <w:t>10</w:t>
      </w:r>
      <w:r>
        <w:rPr>
          <w:rFonts w:hint="default" w:ascii="Times New Roman" w:hAnsi="Times New Roman" w:cs="Times New Roman"/>
          <w:lang w:eastAsia="zh-CN"/>
        </w:rPr>
        <w:t>存在超</w:t>
      </w:r>
      <w:r>
        <w:rPr>
          <w:rFonts w:cs="Times New Roman"/>
          <w:lang w:eastAsia="zh-CN"/>
        </w:rPr>
        <w:t>标现象，区域生态环境质量突破底线要求，因此，本次跟踪评价从空间布局优化、污染物排放控制、环境风险防范、区域污染治理、环境管理水平提升等方面对规划已实施部分采取的预防或减轻不良生态环境影响的对策和措施提出改进建议。</w:t>
      </w:r>
    </w:p>
    <w:p>
      <w:pPr>
        <w:ind w:firstLine="480"/>
        <w:rPr>
          <w:rFonts w:cs="Times New Roman"/>
          <w:lang w:eastAsia="zh-CN"/>
        </w:rPr>
      </w:pPr>
      <w:r>
        <w:rPr>
          <w:rFonts w:cs="Times New Roman"/>
          <w:lang w:eastAsia="zh-CN"/>
        </w:rPr>
        <w:t>1）空间布局优化</w:t>
      </w:r>
    </w:p>
    <w:p>
      <w:pPr>
        <w:ind w:firstLine="480"/>
        <w:rPr>
          <w:rFonts w:cs="Times New Roman"/>
          <w:lang w:eastAsia="zh-CN"/>
        </w:rPr>
      </w:pPr>
      <w:r>
        <w:rPr>
          <w:rFonts w:cs="Times New Roman"/>
          <w:lang w:eastAsia="zh-CN"/>
        </w:rPr>
        <w:t>入驻企业的厂址选择，必须符合</w:t>
      </w:r>
      <w:r>
        <w:rPr>
          <w:rFonts w:hint="eastAsia" w:cs="Times New Roman"/>
          <w:lang w:eastAsia="zh-CN"/>
        </w:rPr>
        <w:t>国际新兴产业园区</w:t>
      </w:r>
      <w:r>
        <w:rPr>
          <w:rFonts w:cs="Times New Roman"/>
          <w:lang w:eastAsia="zh-CN"/>
        </w:rPr>
        <w:t>总体规划布局。针对入驻项目排放的工艺尾气情况，通过环境影响评价，合理布局和调整厂区平面布置，排气筒高度需满足相关标准要求，以最大可能减少对区域空气环境的影响。</w:t>
      </w:r>
    </w:p>
    <w:p>
      <w:pPr>
        <w:ind w:firstLine="480"/>
        <w:rPr>
          <w:rFonts w:cs="Times New Roman"/>
          <w:lang w:eastAsia="zh-CN"/>
        </w:rPr>
      </w:pPr>
      <w:r>
        <w:rPr>
          <w:rFonts w:cs="Times New Roman"/>
          <w:lang w:eastAsia="zh-CN"/>
        </w:rPr>
        <w:t>优化区域工业布局，加快推进“两高一资”产业技术升级改造，严禁过剩产能新增项目用地。</w:t>
      </w:r>
    </w:p>
    <w:p>
      <w:pPr>
        <w:ind w:firstLine="480"/>
        <w:rPr>
          <w:rFonts w:cs="Times New Roman"/>
          <w:lang w:eastAsia="zh-CN"/>
        </w:rPr>
      </w:pPr>
      <w:r>
        <w:rPr>
          <w:rFonts w:cs="Times New Roman"/>
          <w:lang w:eastAsia="zh-CN"/>
        </w:rPr>
        <w:t>随着规划继续实施，进行道路硬化及行道树建设。根据上一轮规划环评要求，切实做好生态环境保护和生态建设，保护区域内现有自然山体、生态植被、地表水系。落实报告书提出的</w:t>
      </w:r>
      <w:r>
        <w:rPr>
          <w:rFonts w:hint="eastAsia" w:cs="Times New Roman"/>
          <w:lang w:eastAsia="zh-CN"/>
        </w:rPr>
        <w:t>国际新兴产业园区</w:t>
      </w:r>
      <w:r>
        <w:rPr>
          <w:rFonts w:cs="Times New Roman"/>
          <w:lang w:eastAsia="zh-CN"/>
        </w:rPr>
        <w:t>及周围生态绿化隔离带、沿路绿化带、生产防护绿化隔离带、</w:t>
      </w:r>
      <w:r>
        <w:rPr>
          <w:rFonts w:hint="eastAsia" w:cs="Times New Roman"/>
          <w:lang w:eastAsia="zh-CN"/>
        </w:rPr>
        <w:t>国际新兴产业园区</w:t>
      </w:r>
      <w:r>
        <w:rPr>
          <w:rFonts w:cs="Times New Roman"/>
          <w:lang w:eastAsia="zh-CN"/>
        </w:rPr>
        <w:t>公共绿地等绿地系统建设规划。加强</w:t>
      </w:r>
      <w:r>
        <w:rPr>
          <w:rFonts w:hint="eastAsia" w:cs="Times New Roman"/>
          <w:lang w:eastAsia="zh-CN"/>
        </w:rPr>
        <w:t>国际新兴产业园区</w:t>
      </w:r>
      <w:r>
        <w:rPr>
          <w:rFonts w:cs="Times New Roman"/>
          <w:lang w:eastAsia="zh-CN"/>
        </w:rPr>
        <w:t>沿路绿化带建设，完善生产与周边居民区的绿化隔离带建设，减小</w:t>
      </w:r>
      <w:r>
        <w:rPr>
          <w:rFonts w:hint="eastAsia" w:cs="Times New Roman"/>
          <w:lang w:eastAsia="zh-CN"/>
        </w:rPr>
        <w:t>国际新兴产业园区</w:t>
      </w:r>
      <w:r>
        <w:rPr>
          <w:rFonts w:cs="Times New Roman"/>
          <w:lang w:eastAsia="zh-CN"/>
        </w:rPr>
        <w:t>对周边敏感区的影响。后期的企业选址应按照</w:t>
      </w:r>
      <w:r>
        <w:rPr>
          <w:rFonts w:hint="eastAsia" w:cs="Times New Roman"/>
          <w:lang w:eastAsia="zh-CN"/>
        </w:rPr>
        <w:t>国际新兴产业园区</w:t>
      </w:r>
      <w:r>
        <w:rPr>
          <w:rFonts w:cs="Times New Roman"/>
          <w:lang w:eastAsia="zh-CN"/>
        </w:rPr>
        <w:t>工业组团合理布局，减小</w:t>
      </w:r>
      <w:r>
        <w:rPr>
          <w:rFonts w:hint="eastAsia" w:cs="Times New Roman"/>
          <w:lang w:eastAsia="zh-CN"/>
        </w:rPr>
        <w:t>国际新兴产业园区</w:t>
      </w:r>
      <w:r>
        <w:rPr>
          <w:rFonts w:cs="Times New Roman"/>
          <w:lang w:eastAsia="zh-CN"/>
        </w:rPr>
        <w:t>对周边敏感区的影响。</w:t>
      </w:r>
      <w:r>
        <w:rPr>
          <w:rFonts w:hint="eastAsia" w:cs="Times New Roman"/>
          <w:lang w:eastAsia="zh-CN"/>
        </w:rPr>
        <w:t>国际新兴产业园区</w:t>
      </w:r>
      <w:r>
        <w:rPr>
          <w:rFonts w:cs="Times New Roman"/>
          <w:lang w:eastAsia="zh-CN"/>
        </w:rPr>
        <w:t>应合理控制开发规模，增加绿地面积，利用其净化功能改善环境，营造良好的休憩空间。</w:t>
      </w:r>
    </w:p>
    <w:p>
      <w:pPr>
        <w:ind w:firstLine="480"/>
        <w:rPr>
          <w:rFonts w:cs="Times New Roman"/>
          <w:lang w:eastAsia="zh-CN"/>
        </w:rPr>
      </w:pPr>
      <w:r>
        <w:rPr>
          <w:rFonts w:cs="Times New Roman"/>
          <w:lang w:eastAsia="zh-CN"/>
        </w:rPr>
        <w:t>2）污染物排放控制</w:t>
      </w:r>
    </w:p>
    <w:p>
      <w:pPr>
        <w:ind w:firstLine="480"/>
        <w:rPr>
          <w:rFonts w:cs="Times New Roman"/>
          <w:lang w:eastAsia="zh-CN"/>
        </w:rPr>
      </w:pPr>
      <w:r>
        <w:rPr>
          <w:rFonts w:cs="Times New Roman"/>
          <w:lang w:eastAsia="zh-CN"/>
        </w:rPr>
        <w:t>加强工业企业大气污染综合治理严格按照《辽宁省大气污染防治行动计划实施方案》和《辽宁省打赢蓝天保卫战三年行动方案方案（2018—2020年）辽政发〔2018〕31号等要求，加强工业企业大气污染综合治理，对重点污染源及特征污染物排放量较大的企业加强监督与管理，减少污染物排放。</w:t>
      </w:r>
    </w:p>
    <w:p>
      <w:pPr>
        <w:ind w:firstLine="480"/>
        <w:rPr>
          <w:rFonts w:cs="Times New Roman"/>
          <w:lang w:eastAsia="zh-CN"/>
        </w:rPr>
      </w:pPr>
      <w:r>
        <w:rPr>
          <w:rFonts w:cs="Times New Roman"/>
          <w:lang w:eastAsia="zh-CN"/>
        </w:rPr>
        <w:t>按照《辽宁省打赢蓝天保卫战三年行动方案方案 （2018—2020年）》辽政发〔2018〕31号的要求，持续推进工业污染源全面达标排放，按照国家部署和相关规范将烟气在线监测数据作为执法依据，加大超标处罚和联合惩戒力度，未达标排放的企业一律依法停产整治。建立覆盖所有固定污染源的企业排放许可制度，2020年底前，完成排污许可管理名录规定的行业许可证核发。</w:t>
      </w:r>
    </w:p>
    <w:p>
      <w:pPr>
        <w:ind w:firstLine="480"/>
        <w:rPr>
          <w:rFonts w:cs="Times New Roman"/>
          <w:lang w:eastAsia="zh-CN"/>
        </w:rPr>
      </w:pPr>
      <w:r>
        <w:rPr>
          <w:rFonts w:cs="Times New Roman"/>
          <w:lang w:eastAsia="zh-CN"/>
        </w:rPr>
        <w:t>实施挥发性有机物污染整治。深化工业挥发性有机物（VOCs）治理。采取源头削减、过程控制、末端治理的全过程防治措施，严控工业挥发性有机物排放。严格执行《沈阳市挥发性有机物（VOCs）深度治理专项工作方案》。将挥发性有机物重点源纳入重点排污单位名录，主要排污口安装挥发性有机物自动监测设备，并与环保部门联网。</w:t>
      </w:r>
    </w:p>
    <w:p>
      <w:pPr>
        <w:pStyle w:val="124"/>
        <w:numPr>
          <w:ilvl w:val="0"/>
          <w:numId w:val="11"/>
        </w:numPr>
        <w:ind w:firstLineChars="0"/>
        <w:rPr>
          <w:rFonts w:cs="Times New Roman"/>
          <w:color w:val="000000"/>
          <w:lang w:eastAsia="zh-CN"/>
        </w:rPr>
      </w:pPr>
      <w:r>
        <w:rPr>
          <w:rFonts w:cs="Times New Roman"/>
          <w:color w:val="000000"/>
          <w:lang w:eastAsia="zh-CN"/>
        </w:rPr>
        <w:t>加强扬尘综合治理。严格施工扬尘监管。建筑工地要做到工地周边围挡、物料</w:t>
      </w:r>
    </w:p>
    <w:p>
      <w:pPr>
        <w:ind w:firstLine="480"/>
        <w:rPr>
          <w:rFonts w:cs="Times New Roman"/>
          <w:color w:val="000000"/>
          <w:lang w:eastAsia="zh-CN"/>
        </w:rPr>
      </w:pPr>
      <w:r>
        <w:rPr>
          <w:rFonts w:cs="Times New Roman"/>
          <w:color w:val="000000"/>
          <w:lang w:eastAsia="zh-CN"/>
        </w:rPr>
        <w:t>堆放覆盖、工地湿法作业、路面硬化、出入车辆清洗、渣土车辆密闭运输“六个百分百”。严格执行《施工及堆料场地扬尘排放标准》，城市主要工地安装视频监控。将施工工地扬尘污染防治纳入文明施工管理范畴，将工地安装视频监控费用、建筑垃圾和工程渣土运输费用、处置费用等扬尘治理费用列入工程造价。</w:t>
      </w:r>
      <w:r>
        <w:rPr>
          <w:rFonts w:cs="Times New Roman"/>
          <w:color w:val="000000"/>
          <w:lang w:eastAsia="zh-CN"/>
        </w:rPr>
        <w:br w:type="textWrapping"/>
      </w:r>
      <w:r>
        <w:rPr>
          <w:rFonts w:cs="Times New Roman"/>
          <w:color w:val="000000"/>
          <w:lang w:eastAsia="zh-CN"/>
        </w:rPr>
        <w:t>　　建筑垃圾运输车辆严格按照国家有关要求，安装全密闭运输机械装置或密闭苫盖装置，并安装行驶及装卸记录仪。加强建筑垃圾消纳场所的规划和建设，基本实现建筑垃圾消纳场所的有效供给。加强道路扬尘综合整治，城区内垃圾、渣土车密闭运输，大力推进道路清扫保洁机械化作业，提高道路机械化清扫率。</w:t>
      </w:r>
    </w:p>
    <w:p>
      <w:pPr>
        <w:ind w:firstLine="480"/>
        <w:rPr>
          <w:rFonts w:cs="Times New Roman"/>
          <w:color w:val="000000"/>
          <w:lang w:eastAsia="zh-CN"/>
        </w:rPr>
      </w:pPr>
      <w:r>
        <w:rPr>
          <w:rFonts w:cs="Times New Roman"/>
          <w:color w:val="000000"/>
          <w:lang w:eastAsia="zh-CN"/>
        </w:rPr>
        <w:t>实施城市裸露土地绿化覆盖工程。加强对城市公共区域、临时闲置土地、城区道路两侧和城区河道两侧的裸露土地硬化和绿化。制定年度实施计划，对裸露地面绿化工作进度进行定期调度。</w:t>
      </w:r>
    </w:p>
    <w:p>
      <w:pPr>
        <w:pStyle w:val="124"/>
        <w:keepNext w:val="0"/>
        <w:keepLines w:val="0"/>
        <w:pageBreakBefore w:val="0"/>
        <w:widowControl w:val="0"/>
        <w:numPr>
          <w:ilvl w:val="0"/>
          <w:numId w:val="11"/>
        </w:numPr>
        <w:kinsoku/>
        <w:wordWrap/>
        <w:overflowPunct/>
        <w:topLinePunct w:val="0"/>
        <w:autoSpaceDE/>
        <w:autoSpaceDN/>
        <w:bidi w:val="0"/>
        <w:adjustRightInd/>
        <w:snapToGrid/>
        <w:ind w:left="0" w:firstLine="480" w:firstLineChars="200"/>
        <w:textAlignment w:val="auto"/>
        <w:rPr>
          <w:rFonts w:cs="Times New Roman"/>
          <w:lang w:eastAsia="zh-CN"/>
        </w:rPr>
      </w:pPr>
      <w:r>
        <w:rPr>
          <w:rFonts w:cs="Times New Roman"/>
          <w:lang w:eastAsia="zh-CN"/>
        </w:rPr>
        <w:t>能源结构问题及建议。根据上一轮规划环评批复要求，</w:t>
      </w:r>
      <w:r>
        <w:rPr>
          <w:rFonts w:hint="eastAsia" w:cs="Times New Roman"/>
          <w:lang w:eastAsia="zh-CN"/>
        </w:rPr>
        <w:t>国际新兴产业园区</w:t>
      </w:r>
      <w:r>
        <w:rPr>
          <w:rFonts w:cs="Times New Roman"/>
          <w:lang w:eastAsia="zh-CN"/>
        </w:rPr>
        <w:t>应合理配置能源结构，推广使用清洁二次能源，鼓励应用地源热泵、污水源热泵技术及太阳能等清洁能源。</w:t>
      </w:r>
      <w:r>
        <w:rPr>
          <w:rFonts w:hint="eastAsia" w:cs="Times New Roman"/>
          <w:lang w:eastAsia="zh-CN"/>
        </w:rPr>
        <w:t>国际新兴产业园区</w:t>
      </w:r>
      <w:r>
        <w:rPr>
          <w:rFonts w:cs="Times New Roman"/>
          <w:lang w:eastAsia="zh-CN"/>
        </w:rPr>
        <w:t>在建设过程中根据实际情况适时择机推广使用清洁二次能源。</w:t>
      </w:r>
    </w:p>
    <w:p>
      <w:pPr>
        <w:ind w:firstLine="480"/>
        <w:rPr>
          <w:rFonts w:cs="Times New Roman"/>
          <w:lang w:eastAsia="zh-CN"/>
        </w:rPr>
      </w:pPr>
      <w:r>
        <w:rPr>
          <w:rFonts w:cs="Times New Roman"/>
          <w:lang w:eastAsia="zh-CN"/>
        </w:rPr>
        <w:t xml:space="preserve"> 3）环境风险防范</w:t>
      </w:r>
    </w:p>
    <w:p>
      <w:pPr>
        <w:ind w:firstLine="480"/>
        <w:rPr>
          <w:rFonts w:cs="Times New Roman"/>
          <w:lang w:eastAsia="zh-CN"/>
        </w:rPr>
      </w:pPr>
      <w:r>
        <w:rPr>
          <w:rFonts w:cs="Times New Roman"/>
          <w:lang w:eastAsia="zh-CN"/>
        </w:rPr>
        <w:t xml:space="preserve">（1）制定环境风险应急预案 </w:t>
      </w:r>
      <w:r>
        <w:rPr>
          <w:rFonts w:hint="eastAsia" w:cs="Times New Roman"/>
          <w:lang w:eastAsia="zh-CN"/>
        </w:rPr>
        <w:t>国际新兴产业园区</w:t>
      </w:r>
      <w:r>
        <w:rPr>
          <w:rFonts w:cs="Times New Roman"/>
          <w:lang w:eastAsia="zh-CN"/>
        </w:rPr>
        <w:t>应结合风险类型特征，制订突发公共事件部门应急预案、地方应急预案、企事业单位应急预案。建议</w:t>
      </w:r>
      <w:r>
        <w:rPr>
          <w:rFonts w:hint="eastAsia" w:cs="Times New Roman"/>
          <w:lang w:eastAsia="zh-CN"/>
        </w:rPr>
        <w:t>国际新兴产业园区</w:t>
      </w:r>
      <w:r>
        <w:rPr>
          <w:rFonts w:cs="Times New Roman"/>
          <w:lang w:eastAsia="zh-CN"/>
        </w:rPr>
        <w:t>按《国家突发公共事件总体应急预案》提出的事故类型和分级、报告程序和预防原则方案构建应急预案系统。</w:t>
      </w:r>
    </w:p>
    <w:p>
      <w:pPr>
        <w:ind w:firstLine="480"/>
        <w:rPr>
          <w:rFonts w:cs="Times New Roman"/>
          <w:lang w:eastAsia="zh-CN"/>
        </w:rPr>
      </w:pPr>
      <w:r>
        <w:rPr>
          <w:rFonts w:cs="Times New Roman"/>
          <w:lang w:eastAsia="zh-CN"/>
        </w:rPr>
        <w:t>（2）加强监管体系建设，提高应急处置能力加强环境质量监管体系建设。加强细颗粒物（PM</w:t>
      </w:r>
      <w:r>
        <w:rPr>
          <w:rFonts w:cs="Times New Roman"/>
          <w:vertAlign w:val="subscript"/>
          <w:lang w:eastAsia="zh-CN"/>
        </w:rPr>
        <w:t>2.5</w:t>
      </w:r>
      <w:r>
        <w:rPr>
          <w:rFonts w:cs="Times New Roman"/>
          <w:lang w:eastAsia="zh-CN"/>
        </w:rPr>
        <w:t>）、臭氧（O</w:t>
      </w:r>
      <w:r>
        <w:rPr>
          <w:rFonts w:cs="Times New Roman"/>
          <w:vertAlign w:val="subscript"/>
          <w:lang w:eastAsia="zh-CN"/>
        </w:rPr>
        <w:t>3</w:t>
      </w:r>
      <w:r>
        <w:rPr>
          <w:rFonts w:cs="Times New Roman"/>
          <w:lang w:eastAsia="zh-CN"/>
        </w:rPr>
        <w:t>）、挥发性有机物（VOCs）等污染物监测能力建设，完成空气质量自动监测系统，建成细颗粒物监测点，并根据要求实时发布监测结果；建立健全大气重污染日预警应急机制，在重污染天气条件下启动应急预警。</w:t>
      </w:r>
    </w:p>
    <w:p>
      <w:pPr>
        <w:ind w:firstLine="480"/>
        <w:rPr>
          <w:rFonts w:cs="Times New Roman"/>
          <w:lang w:eastAsia="zh-CN"/>
        </w:rPr>
      </w:pPr>
      <w:r>
        <w:rPr>
          <w:rFonts w:cs="Times New Roman"/>
          <w:lang w:eastAsia="zh-CN"/>
        </w:rPr>
        <w:t>增加</w:t>
      </w:r>
      <w:r>
        <w:rPr>
          <w:rFonts w:hint="eastAsia" w:cs="Times New Roman"/>
          <w:lang w:eastAsia="zh-CN"/>
        </w:rPr>
        <w:t>国际新兴产业园区</w:t>
      </w:r>
      <w:r>
        <w:rPr>
          <w:rFonts w:cs="Times New Roman"/>
          <w:lang w:eastAsia="zh-CN"/>
        </w:rPr>
        <w:t>在线监控设备的布设，对</w:t>
      </w:r>
      <w:r>
        <w:rPr>
          <w:rFonts w:hint="eastAsia" w:cs="Times New Roman"/>
          <w:lang w:eastAsia="zh-CN"/>
        </w:rPr>
        <w:t>国际新兴产业园区</w:t>
      </w:r>
      <w:r>
        <w:rPr>
          <w:rFonts w:cs="Times New Roman"/>
          <w:lang w:eastAsia="zh-CN"/>
        </w:rPr>
        <w:t>内重点企业危险源、排污设施、周边居民、主要道路进行监控，直接和市应急中心联网，实现市、管委会的三级在线监管，进一步完善环境风险事故应急响应监控平台联防联控机制。</w:t>
      </w:r>
    </w:p>
    <w:p>
      <w:pPr>
        <w:ind w:firstLine="480"/>
        <w:rPr>
          <w:rFonts w:cs="Times New Roman"/>
          <w:lang w:eastAsia="zh-CN"/>
        </w:rPr>
      </w:pPr>
      <w:r>
        <w:rPr>
          <w:rFonts w:cs="Times New Roman"/>
          <w:lang w:eastAsia="zh-CN"/>
        </w:rPr>
        <w:t>（3）建立完善</w:t>
      </w:r>
      <w:r>
        <w:rPr>
          <w:rFonts w:hint="eastAsia" w:cs="Times New Roman"/>
          <w:lang w:eastAsia="zh-CN"/>
        </w:rPr>
        <w:t>国际新兴产业园区</w:t>
      </w:r>
      <w:r>
        <w:rPr>
          <w:rFonts w:cs="Times New Roman"/>
          <w:lang w:eastAsia="zh-CN"/>
        </w:rPr>
        <w:t>应急响应指挥控制中心建设，加强重点风险源的预警设施建设强化危险废物、废弃危险化学品环境管理；区内重点风险源企业对危险品使用实行在线监控，实时掌握危险品储存、转移、输运等情况。建立健全环境污染及突发环境事件防控制度，环保、安监、公安消防、交通等相关职能部门要分级建立应急联动机制；加强应急处置队伍和能力建设，提高科学应急处置能力。做好突发环境事件应急处置，细化环境应急预案，定期组织开展环境应急演练。</w:t>
      </w:r>
    </w:p>
    <w:p>
      <w:pPr>
        <w:ind w:firstLine="480"/>
        <w:rPr>
          <w:rFonts w:cs="Times New Roman"/>
          <w:lang w:eastAsia="zh-CN"/>
        </w:rPr>
      </w:pPr>
      <w:r>
        <w:rPr>
          <w:rFonts w:cs="Times New Roman"/>
          <w:lang w:eastAsia="zh-CN"/>
        </w:rPr>
        <w:t>4）区域污染治理</w:t>
      </w:r>
    </w:p>
    <w:p>
      <w:pPr>
        <w:ind w:firstLine="480"/>
        <w:rPr>
          <w:rFonts w:cs="Times New Roman"/>
          <w:lang w:eastAsia="zh-CN"/>
        </w:rPr>
      </w:pPr>
      <w:r>
        <w:rPr>
          <w:rFonts w:cs="Times New Roman"/>
          <w:lang w:eastAsia="zh-CN"/>
        </w:rPr>
        <w:t>根据环境保护部关于印发《建设项目主要污染物排放总量指标审核及管理暂行办法》的通知（环发〔2014〕197号），细颗粒物（PM</w:t>
      </w:r>
      <w:r>
        <w:rPr>
          <w:rFonts w:cs="Times New Roman"/>
          <w:vertAlign w:val="subscript"/>
          <w:lang w:eastAsia="zh-CN"/>
        </w:rPr>
        <w:t>2.5</w:t>
      </w:r>
      <w:r>
        <w:rPr>
          <w:rFonts w:cs="Times New Roman"/>
          <w:lang w:eastAsia="zh-CN"/>
        </w:rPr>
        <w:t>）年平均浓度不达标的城市，二氧化硫、氮氧化物、烟粉尘、挥发性有机物四项污染物均需削减替代。</w:t>
      </w:r>
      <w:r>
        <w:rPr>
          <w:rFonts w:hint="eastAsia" w:cs="Times New Roman"/>
          <w:lang w:eastAsia="zh-CN"/>
        </w:rPr>
        <w:t>国际新兴产业园区</w:t>
      </w:r>
      <w:r>
        <w:rPr>
          <w:rFonts w:cs="Times New Roman"/>
          <w:lang w:eastAsia="zh-CN"/>
        </w:rPr>
        <w:t>PM</w:t>
      </w:r>
      <w:r>
        <w:rPr>
          <w:rFonts w:cs="Times New Roman"/>
          <w:vertAlign w:val="subscript"/>
          <w:lang w:eastAsia="zh-CN"/>
        </w:rPr>
        <w:t>2.5</w:t>
      </w:r>
      <w:r>
        <w:rPr>
          <w:rFonts w:cs="Times New Roman"/>
          <w:lang w:eastAsia="zh-CN"/>
        </w:rPr>
        <w:t>和 PM</w:t>
      </w:r>
      <w:r>
        <w:rPr>
          <w:rFonts w:cs="Times New Roman"/>
          <w:vertAlign w:val="subscript"/>
          <w:lang w:eastAsia="zh-CN"/>
        </w:rPr>
        <w:t>10</w:t>
      </w:r>
      <w:r>
        <w:rPr>
          <w:rFonts w:cs="Times New Roman"/>
          <w:lang w:eastAsia="zh-CN"/>
        </w:rPr>
        <w:t>存在超标现象，因此</w:t>
      </w:r>
      <w:r>
        <w:rPr>
          <w:rFonts w:hint="eastAsia" w:cs="Times New Roman"/>
          <w:lang w:eastAsia="zh-CN"/>
        </w:rPr>
        <w:t>国际新兴产业园区</w:t>
      </w:r>
      <w:r>
        <w:rPr>
          <w:rFonts w:cs="Times New Roman"/>
          <w:lang w:eastAsia="zh-CN"/>
        </w:rPr>
        <w:t>内企业二氧化硫、氮氧化物、烟粉尘、挥发性有机物四项污染物均需削减替代。预计到2020年，即使</w:t>
      </w:r>
      <w:r>
        <w:rPr>
          <w:rFonts w:hint="eastAsia" w:cs="Times New Roman"/>
          <w:lang w:eastAsia="zh-CN"/>
        </w:rPr>
        <w:t>国际新兴产业园区</w:t>
      </w:r>
      <w:r>
        <w:rPr>
          <w:rFonts w:cs="Times New Roman"/>
          <w:lang w:eastAsia="zh-CN"/>
        </w:rPr>
        <w:t>有新项目建设、工业增加值增加，</w:t>
      </w:r>
      <w:r>
        <w:rPr>
          <w:rFonts w:hint="eastAsia" w:cs="Times New Roman"/>
          <w:lang w:eastAsia="zh-CN"/>
        </w:rPr>
        <w:t>国际新兴产业园区</w:t>
      </w:r>
      <w:r>
        <w:rPr>
          <w:rFonts w:cs="Times New Roman"/>
          <w:lang w:eastAsia="zh-CN"/>
        </w:rPr>
        <w:t>污染物排放量削减实施替代，污染物排放量将保持低于现状排放水平，预测</w:t>
      </w:r>
      <w:r>
        <w:rPr>
          <w:rFonts w:hint="eastAsia" w:cs="Times New Roman"/>
          <w:lang w:eastAsia="zh-CN"/>
        </w:rPr>
        <w:t>国际新兴产业园区</w:t>
      </w:r>
      <w:r>
        <w:rPr>
          <w:rFonts w:cs="Times New Roman"/>
          <w:lang w:eastAsia="zh-CN"/>
        </w:rPr>
        <w:t>的大气环境质量可进一步改善。</w:t>
      </w:r>
    </w:p>
    <w:p>
      <w:pPr>
        <w:ind w:firstLine="480"/>
        <w:rPr>
          <w:rFonts w:cs="Times New Roman"/>
          <w:lang w:eastAsia="zh-CN"/>
        </w:rPr>
      </w:pPr>
      <w:r>
        <w:rPr>
          <w:rFonts w:cs="Times New Roman"/>
          <w:lang w:eastAsia="zh-CN"/>
        </w:rPr>
        <w:t>5）环境管理水平提升</w:t>
      </w:r>
    </w:p>
    <w:p>
      <w:pPr>
        <w:pStyle w:val="124"/>
        <w:numPr>
          <w:ilvl w:val="0"/>
          <w:numId w:val="11"/>
        </w:numPr>
        <w:ind w:firstLineChars="0"/>
        <w:rPr>
          <w:rFonts w:cs="Times New Roman"/>
          <w:lang w:eastAsia="zh-CN"/>
        </w:rPr>
      </w:pPr>
      <w:r>
        <w:rPr>
          <w:rFonts w:cs="Times New Roman"/>
          <w:lang w:eastAsia="zh-CN"/>
        </w:rPr>
        <w:t>严格实施环境影响评价制度和环保“三同时”制度</w:t>
      </w:r>
    </w:p>
    <w:p>
      <w:pPr>
        <w:ind w:firstLine="492"/>
        <w:rPr>
          <w:rFonts w:cs="Times New Roman"/>
          <w:lang w:eastAsia="zh-CN"/>
        </w:rPr>
      </w:pPr>
      <w:r>
        <w:rPr>
          <w:rFonts w:hint="eastAsia" w:cs="Times New Roman"/>
          <w:spacing w:val="3"/>
          <w:lang w:eastAsia="zh-CN"/>
        </w:rPr>
        <w:t>国际新兴产业园区</w:t>
      </w:r>
      <w:r>
        <w:rPr>
          <w:rFonts w:cs="Times New Roman"/>
          <w:lang w:eastAsia="zh-CN"/>
        </w:rPr>
        <w:t>应严格实施环境影响评价制度和环保“三同时”制度，建立建设项目环境保护联动机制，把好建设项目环境准入关，尽快完成区内企业环评及验收手续。</w:t>
      </w:r>
    </w:p>
    <w:p>
      <w:pPr>
        <w:ind w:firstLine="480"/>
        <w:rPr>
          <w:rFonts w:cs="Times New Roman"/>
          <w:lang w:eastAsia="zh-CN"/>
        </w:rPr>
      </w:pPr>
      <w:r>
        <w:rPr>
          <w:rFonts w:hint="eastAsia" w:cs="Times New Roman"/>
          <w:lang w:eastAsia="zh-CN"/>
        </w:rPr>
        <w:t>国际新兴产业园区</w:t>
      </w:r>
      <w:r>
        <w:rPr>
          <w:rFonts w:cs="Times New Roman"/>
          <w:lang w:eastAsia="zh-CN"/>
        </w:rPr>
        <w:t>内的企业均未纳入应当开展强制清洁生产审核的企业名单，区内企业未开展清洁生产审核，应严格按照《清洁生产审核暂行办法》，完善应开展清洁生产审核的企业名单。</w:t>
      </w:r>
    </w:p>
    <w:p>
      <w:pPr>
        <w:pStyle w:val="124"/>
        <w:numPr>
          <w:ilvl w:val="0"/>
          <w:numId w:val="11"/>
        </w:numPr>
        <w:ind w:firstLineChars="0"/>
        <w:rPr>
          <w:rFonts w:cs="Times New Roman"/>
          <w:lang w:eastAsia="zh-CN"/>
        </w:rPr>
      </w:pPr>
      <w:r>
        <w:rPr>
          <w:rFonts w:cs="Times New Roman"/>
          <w:lang w:eastAsia="zh-CN"/>
        </w:rPr>
        <w:t xml:space="preserve">强化环境管理与环境准入 </w:t>
      </w:r>
    </w:p>
    <w:p>
      <w:pPr>
        <w:ind w:firstLine="480"/>
        <w:rPr>
          <w:rFonts w:cs="Times New Roman"/>
          <w:lang w:eastAsia="zh-CN"/>
        </w:rPr>
      </w:pPr>
      <w:r>
        <w:rPr>
          <w:rFonts w:cs="Times New Roman"/>
          <w:lang w:eastAsia="zh-CN"/>
        </w:rPr>
        <w:t>在</w:t>
      </w:r>
      <w:r>
        <w:rPr>
          <w:rFonts w:hint="eastAsia" w:cs="Times New Roman"/>
          <w:lang w:eastAsia="zh-CN"/>
        </w:rPr>
        <w:t>国际新兴产业园区</w:t>
      </w:r>
      <w:r>
        <w:rPr>
          <w:rFonts w:cs="Times New Roman"/>
          <w:lang w:eastAsia="zh-CN"/>
        </w:rPr>
        <w:t>企业入驻上，应选择高技术含量、低污染的企业，防止污染产业向</w:t>
      </w:r>
      <w:r>
        <w:rPr>
          <w:rFonts w:hint="eastAsia" w:cs="Times New Roman"/>
          <w:lang w:eastAsia="zh-CN"/>
        </w:rPr>
        <w:t>国际新兴产业园区</w:t>
      </w:r>
      <w:r>
        <w:rPr>
          <w:rFonts w:cs="Times New Roman"/>
          <w:lang w:eastAsia="zh-CN"/>
        </w:rPr>
        <w:t>转移，实现</w:t>
      </w:r>
      <w:r>
        <w:rPr>
          <w:rFonts w:hint="eastAsia" w:cs="Times New Roman"/>
          <w:lang w:eastAsia="zh-CN"/>
        </w:rPr>
        <w:t>国际新兴产业园区</w:t>
      </w:r>
      <w:r>
        <w:rPr>
          <w:rFonts w:cs="Times New Roman"/>
          <w:lang w:eastAsia="zh-CN"/>
        </w:rPr>
        <w:t>经济发展和生态安全的协调统一，避免“新一轮的开发，新一轮的污染”。</w:t>
      </w:r>
      <w:r>
        <w:rPr>
          <w:rFonts w:hint="eastAsia" w:cs="Times New Roman"/>
          <w:lang w:eastAsia="zh-CN"/>
        </w:rPr>
        <w:t>国际新兴产业园区</w:t>
      </w:r>
      <w:r>
        <w:rPr>
          <w:rFonts w:cs="Times New Roman"/>
          <w:lang w:eastAsia="zh-CN"/>
        </w:rPr>
        <w:t>应要求入驻企业采用清洁工艺，以减少气体污染物的排放量。坚决淘汰和取缔污染严重的不符合国家产业政策的工艺和设备。提高 VOCs 排放重点行业环保准入门槛，严格控制新增污染物排放量。</w:t>
      </w:r>
    </w:p>
    <w:p>
      <w:pPr>
        <w:pStyle w:val="38"/>
        <w:numPr>
          <w:ilvl w:val="0"/>
          <w:numId w:val="12"/>
        </w:numPr>
        <w:spacing w:before="72" w:after="72"/>
        <w:ind w:firstLine="480"/>
      </w:pPr>
      <w:r>
        <w:t>落实热源厂规划</w:t>
      </w:r>
    </w:p>
    <w:p>
      <w:pPr>
        <w:ind w:firstLine="480"/>
        <w:rPr>
          <w:rFonts w:cs="Times New Roman"/>
          <w:lang w:eastAsia="zh-CN"/>
        </w:rPr>
      </w:pPr>
      <w:r>
        <w:rPr>
          <w:rFonts w:cs="Times New Roman"/>
          <w:lang w:eastAsia="zh-CN"/>
        </w:rPr>
        <w:t xml:space="preserve"> 根据《沈阳市城市热电发展总体规划（2017-2020年）》，</w:t>
      </w:r>
      <w:r>
        <w:rPr>
          <w:rFonts w:hint="eastAsia" w:cs="Times New Roman"/>
          <w:lang w:eastAsia="zh-CN"/>
        </w:rPr>
        <w:t>国际新兴产业园区</w:t>
      </w:r>
      <w:r>
        <w:rPr>
          <w:rFonts w:cs="Times New Roman"/>
          <w:lang w:eastAsia="zh-CN"/>
        </w:rPr>
        <w:t>规划供热热</w:t>
      </w:r>
      <w:r>
        <w:rPr>
          <w:rFonts w:hint="eastAsia" w:ascii="宋体" w:hAnsi="宋体" w:cs="宋体"/>
          <w:color w:val="000000"/>
          <w:lang w:eastAsia="zh-CN" w:bidi="ar"/>
        </w:rPr>
        <w:t>源为沈阳浑南热力有限责任公司第三热源厂，</w:t>
      </w:r>
      <w:r>
        <w:rPr>
          <w:rFonts w:cs="Times New Roman"/>
          <w:lang w:eastAsia="zh-CN"/>
        </w:rPr>
        <w:t>现有供热热源</w:t>
      </w:r>
      <w:r>
        <w:rPr>
          <w:rFonts w:hint="eastAsia" w:ascii="宋体" w:hAnsi="宋体" w:cs="宋体"/>
          <w:color w:val="000000"/>
          <w:lang w:eastAsia="zh-CN" w:bidi="ar"/>
        </w:rPr>
        <w:t>沈阳浑南热力有限责任公司第三热源厂</w:t>
      </w:r>
      <w:r>
        <w:rPr>
          <w:rFonts w:hint="eastAsia" w:cs="Times New Roman"/>
          <w:lang w:eastAsia="zh-CN"/>
        </w:rPr>
        <w:t>，</w:t>
      </w:r>
      <w:r>
        <w:rPr>
          <w:rFonts w:hint="eastAsia" w:cs="Times New Roman"/>
          <w:lang w:val="en-US" w:eastAsia="zh-CN"/>
        </w:rPr>
        <w:t>供热热源与</w:t>
      </w:r>
      <w:r>
        <w:rPr>
          <w:rFonts w:cs="Times New Roman"/>
          <w:lang w:eastAsia="zh-CN"/>
        </w:rPr>
        <w:t>《沈阳市城市热电发展总体规划（2017-2020年）》</w:t>
      </w:r>
      <w:r>
        <w:rPr>
          <w:rFonts w:hint="eastAsia" w:cs="Times New Roman"/>
          <w:lang w:val="en-US" w:eastAsia="zh-CN"/>
        </w:rPr>
        <w:t>相符</w:t>
      </w:r>
      <w:r>
        <w:rPr>
          <w:rFonts w:cs="Times New Roman"/>
          <w:lang w:eastAsia="zh-CN"/>
        </w:rPr>
        <w:t>。</w:t>
      </w:r>
    </w:p>
    <w:p>
      <w:pPr>
        <w:pStyle w:val="9"/>
        <w:rPr>
          <w:rFonts w:ascii="Times New Roman" w:hAnsi="Times New Roman"/>
        </w:rPr>
      </w:pPr>
      <w:bookmarkStart w:id="187" w:name="_Toc32469"/>
      <w:r>
        <w:rPr>
          <w:rFonts w:ascii="Times New Roman" w:hAnsi="Times New Roman"/>
        </w:rPr>
        <w:t>5.2.2 水环境影响减缓措施有效性分析及整改建议</w:t>
      </w:r>
      <w:bookmarkEnd w:id="187"/>
    </w:p>
    <w:p>
      <w:pPr>
        <w:pStyle w:val="10"/>
        <w:rPr>
          <w:rFonts w:cs="Times New Roman"/>
          <w:lang w:eastAsia="zh-CN"/>
        </w:rPr>
      </w:pPr>
      <w:r>
        <w:rPr>
          <w:rFonts w:cs="Times New Roman"/>
          <w:lang w:eastAsia="zh-CN"/>
        </w:rPr>
        <w:t>5.2.2.1 环评水污染防治措施有效性分析</w:t>
      </w:r>
    </w:p>
    <w:p>
      <w:pPr>
        <w:pStyle w:val="25"/>
        <w:spacing w:after="0"/>
        <w:ind w:left="210" w:right="119" w:firstLine="480"/>
        <w:contextualSpacing/>
        <w:rPr>
          <w:rFonts w:cs="Times New Roman"/>
          <w:spacing w:val="-1"/>
          <w:lang w:eastAsia="zh-CN"/>
        </w:rPr>
      </w:pPr>
      <w:r>
        <w:rPr>
          <w:rFonts w:cs="Times New Roman"/>
          <w:lang w:eastAsia="zh-CN"/>
        </w:rPr>
        <w:t>规划环评中提出的水污染防治措施</w:t>
      </w:r>
      <w:r>
        <w:rPr>
          <w:rFonts w:cs="Times New Roman"/>
          <w:spacing w:val="-60"/>
          <w:lang w:eastAsia="zh-CN"/>
        </w:rPr>
        <w:t>、</w:t>
      </w:r>
      <w:r>
        <w:rPr>
          <w:rFonts w:cs="Times New Roman"/>
          <w:lang w:eastAsia="zh-CN"/>
        </w:rPr>
        <w:t>在规划环评执行期间水污染防治措施的落实 情况及措施有效性分析见表</w:t>
      </w:r>
      <w:r>
        <w:rPr>
          <w:rFonts w:cs="Times New Roman"/>
          <w:spacing w:val="-60"/>
          <w:lang w:eastAsia="zh-CN"/>
        </w:rPr>
        <w:t xml:space="preserve"> </w:t>
      </w:r>
      <w:r>
        <w:rPr>
          <w:rFonts w:eastAsia="Times New Roman" w:cs="Times New Roman"/>
          <w:spacing w:val="-1"/>
          <w:lang w:eastAsia="zh-CN"/>
        </w:rPr>
        <w:t>5.2-2</w:t>
      </w:r>
      <w:r>
        <w:rPr>
          <w:rFonts w:cs="Times New Roman"/>
          <w:spacing w:val="-1"/>
          <w:lang w:eastAsia="zh-CN"/>
        </w:rPr>
        <w:t>。</w:t>
      </w:r>
    </w:p>
    <w:p>
      <w:pPr>
        <w:spacing w:before="2"/>
        <w:ind w:firstLine="80"/>
        <w:rPr>
          <w:rFonts w:cs="Times New Roman"/>
          <w:b/>
          <w:bCs/>
          <w:color w:val="4472C4" w:themeColor="accent5"/>
          <w:sz w:val="4"/>
          <w:szCs w:val="4"/>
          <w:lang w:eastAsia="zh-CN"/>
          <w14:textFill>
            <w14:solidFill>
              <w14:schemeClr w14:val="accent5"/>
            </w14:solidFill>
          </w14:textFill>
        </w:rPr>
      </w:pPr>
    </w:p>
    <w:p>
      <w:pPr>
        <w:spacing w:before="12"/>
        <w:ind w:firstLine="100"/>
        <w:rPr>
          <w:rFonts w:cs="Times New Roman"/>
          <w:b/>
          <w:bCs/>
          <w:color w:val="4472C4" w:themeColor="accent5"/>
          <w:sz w:val="5"/>
          <w:szCs w:val="5"/>
          <w:lang w:eastAsia="zh-CN"/>
          <w14:textFill>
            <w14:solidFill>
              <w14:schemeClr w14:val="accent5"/>
            </w14:solidFill>
          </w14:textFill>
        </w:rPr>
      </w:pPr>
    </w:p>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sz w:val="21"/>
          <w:lang w:eastAsia="zh-CN"/>
        </w:rPr>
      </w:pPr>
      <w:r>
        <w:rPr>
          <w:rFonts w:ascii="Times New Roman" w:hAnsi="Times New Roman" w:eastAsia="宋体" w:cs="Times New Roman"/>
          <w:b/>
          <w:bCs/>
          <w:sz w:val="24"/>
          <w:szCs w:val="22"/>
          <w:lang w:eastAsia="zh-CN"/>
        </w:rPr>
        <w:t>表5.2-2</w:t>
      </w:r>
      <w:r>
        <w:rPr>
          <w:rFonts w:ascii="Times New Roman" w:hAnsi="Times New Roman" w:eastAsia="宋体" w:cs="Times New Roman"/>
          <w:b/>
          <w:bCs/>
          <w:sz w:val="24"/>
          <w:szCs w:val="22"/>
          <w:lang w:eastAsia="zh-CN"/>
        </w:rPr>
        <w:tab/>
      </w:r>
      <w:r>
        <w:rPr>
          <w:rFonts w:ascii="Times New Roman" w:hAnsi="Times New Roman" w:eastAsia="宋体" w:cs="Times New Roman"/>
          <w:b/>
          <w:bCs/>
          <w:sz w:val="24"/>
          <w:szCs w:val="22"/>
          <w:lang w:eastAsia="zh-CN"/>
        </w:rPr>
        <w:t xml:space="preserve">  规划环评水污染防治措施落实及有效性分析</w:t>
      </w:r>
    </w:p>
    <w:tbl>
      <w:tblPr>
        <w:tblStyle w:val="64"/>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3208"/>
        <w:gridCol w:w="2658"/>
        <w:gridCol w:w="997"/>
        <w:gridCol w:w="128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10"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b/>
                <w:bCs/>
                <w:sz w:val="21"/>
                <w:szCs w:val="21"/>
                <w:lang w:val="en-US" w:eastAsia="zh-CN"/>
              </w:rPr>
            </w:pPr>
            <w:r>
              <w:rPr>
                <w:rFonts w:hint="eastAsia" w:ascii="Times New Roman" w:hAnsi="Times New Roman"/>
                <w:b/>
                <w:bCs/>
                <w:sz w:val="21"/>
                <w:szCs w:val="21"/>
                <w:lang w:val="en-US" w:eastAsia="zh-CN"/>
              </w:rPr>
              <w:t>控制措施</w:t>
            </w:r>
          </w:p>
        </w:tc>
        <w:tc>
          <w:tcPr>
            <w:tcW w:w="172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规划环评提出的水污染防治措施</w:t>
            </w:r>
          </w:p>
        </w:tc>
        <w:tc>
          <w:tcPr>
            <w:tcW w:w="1431"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落实情况</w:t>
            </w:r>
          </w:p>
        </w:tc>
        <w:tc>
          <w:tcPr>
            <w:tcW w:w="5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有效性</w:t>
            </w:r>
          </w:p>
        </w:tc>
        <w:tc>
          <w:tcPr>
            <w:tcW w:w="69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整改措施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10" w:type="pc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hint="eastAsia" w:ascii="Times New Roman" w:hAnsi="Times New Roman" w:eastAsia="宋体" w:cs="Times New Roman"/>
                <w:sz w:val="21"/>
                <w:szCs w:val="21"/>
                <w:lang w:val="en-US" w:eastAsia="zh-CN" w:bidi="ar-SA"/>
              </w:rPr>
              <w:t>污水处理措施</w:t>
            </w:r>
          </w:p>
        </w:tc>
        <w:tc>
          <w:tcPr>
            <w:tcW w:w="1727" w:type="pc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both"/>
              <w:textAlignment w:val="auto"/>
              <w:rPr>
                <w:rFonts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 xml:space="preserve">①对进入集中污水处理厂的污水实施在线监控，严格执行接纳标准，并按规定收费。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both"/>
              <w:textAlignment w:val="auto"/>
              <w:rPr>
                <w:rFonts w:ascii="Times New Roman" w:hAnsi="Times New Roman"/>
                <w:sz w:val="21"/>
                <w:szCs w:val="21"/>
              </w:rPr>
            </w:pPr>
            <w:r>
              <w:rPr>
                <w:rFonts w:hint="eastAsia" w:ascii="Times New Roman" w:hAnsi="Times New Roman" w:eastAsia="宋体" w:cs="Times New Roman"/>
                <w:sz w:val="21"/>
                <w:szCs w:val="21"/>
                <w:lang w:val="en-US" w:eastAsia="zh-CN" w:bidi="ar-SA"/>
              </w:rPr>
              <w:t>②区内的绿化、道路冲刷和一部分工业水的补充水考虑中水回用。各入驻企业要建设中水回用系统，选用节水设备，提高水的重复利用率。供水部门要制定中水利用优惠措施，鼓励使用中水，逐步提高中水回用率。</w:t>
            </w:r>
          </w:p>
        </w:tc>
        <w:tc>
          <w:tcPr>
            <w:tcW w:w="1431"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国际新兴产业园区</w:t>
            </w:r>
            <w:r>
              <w:rPr>
                <w:rFonts w:ascii="Times New Roman" w:hAnsi="Times New Roman"/>
                <w:sz w:val="21"/>
                <w:szCs w:val="21"/>
              </w:rPr>
              <w:t>内企业严格执行污水处理厂接管标准。</w:t>
            </w:r>
          </w:p>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eastAsia="zh-CN"/>
              </w:rPr>
            </w:pPr>
            <w:r>
              <w:rPr>
                <w:rFonts w:hint="eastAsia" w:ascii="Times New Roman" w:hAnsi="Times New Roman"/>
                <w:sz w:val="21"/>
                <w:szCs w:val="21"/>
              </w:rPr>
              <w:t>国际新兴产业园区</w:t>
            </w:r>
            <w:r>
              <w:rPr>
                <w:rFonts w:ascii="Times New Roman" w:hAnsi="Times New Roman"/>
                <w:sz w:val="21"/>
                <w:szCs w:val="21"/>
              </w:rPr>
              <w:t>内企业均已采用节水设备，但区域无中水回用企业</w:t>
            </w:r>
            <w:r>
              <w:rPr>
                <w:rFonts w:hint="eastAsia" w:ascii="Times New Roman" w:hAnsi="Times New Roman"/>
                <w:sz w:val="21"/>
                <w:szCs w:val="21"/>
                <w:lang w:eastAsia="zh-CN"/>
              </w:rPr>
              <w:t>。</w:t>
            </w:r>
          </w:p>
        </w:tc>
        <w:tc>
          <w:tcPr>
            <w:tcW w:w="5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有效</w:t>
            </w:r>
          </w:p>
        </w:tc>
        <w:tc>
          <w:tcPr>
            <w:tcW w:w="69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610" w:type="pc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hint="eastAsia" w:ascii="Times New Roman" w:hAnsi="Times New Roman" w:eastAsia="宋体" w:cs="Times New Roman"/>
                <w:sz w:val="21"/>
                <w:szCs w:val="21"/>
                <w:lang w:val="en-US" w:eastAsia="zh-CN" w:bidi="ar-SA"/>
              </w:rPr>
              <w:t>入区企业环保要求</w:t>
            </w:r>
          </w:p>
        </w:tc>
        <w:tc>
          <w:tcPr>
            <w:tcW w:w="1727" w:type="pc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both"/>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 xml:space="preserve">①贯彻一水多用、中水回用的原则，提高工业用水的重复利用率，实现污水资源化，达到节约用水、水资源可持续发展的目的。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both"/>
              <w:textAlignment w:val="auto"/>
              <w:rPr>
                <w:rFonts w:ascii="Times New Roman" w:hAnsi="Times New Roman"/>
                <w:sz w:val="21"/>
                <w:szCs w:val="21"/>
              </w:rPr>
            </w:pPr>
            <w:r>
              <w:rPr>
                <w:rFonts w:hint="eastAsia" w:ascii="Times New Roman" w:hAnsi="Times New Roman" w:eastAsia="宋体" w:cs="Times New Roman"/>
                <w:sz w:val="21"/>
                <w:szCs w:val="21"/>
                <w:lang w:val="en-US" w:eastAsia="zh-CN" w:bidi="ar-SA"/>
              </w:rPr>
              <w:t>②进入区内的项目要进行清洁生产分析，使入区的项目达到一级清洁生产水平，达到先进的技术水平，实现最小的污水生产量及耗水量。</w:t>
            </w:r>
          </w:p>
        </w:tc>
        <w:tc>
          <w:tcPr>
            <w:tcW w:w="1431"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5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部分</w:t>
            </w:r>
          </w:p>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有效</w:t>
            </w:r>
          </w:p>
        </w:tc>
        <w:tc>
          <w:tcPr>
            <w:tcW w:w="693"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建议周边统筹建设中水回用设施，共同提高中水回用率。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610" w:type="pc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提高中水回用率</w:t>
            </w:r>
          </w:p>
        </w:tc>
        <w:tc>
          <w:tcPr>
            <w:tcW w:w="172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根据《沈阳创建国家环境建设样板城总体规划》，规划区域的中水回用水平也应满足其建设指标。另外，在浑河没有环境容量的前提下，为减少规划区域排水对浑河水质的影响，最切实可行的办法是提高中水回用率，减少污水排放量。</w:t>
            </w:r>
          </w:p>
        </w:tc>
        <w:tc>
          <w:tcPr>
            <w:tcW w:w="1431"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eastAsia="zh-CN"/>
              </w:rPr>
            </w:pPr>
          </w:p>
        </w:tc>
        <w:tc>
          <w:tcPr>
            <w:tcW w:w="53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有效</w:t>
            </w:r>
          </w:p>
        </w:tc>
        <w:tc>
          <w:tcPr>
            <w:tcW w:w="693"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610" w:type="pc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明确污水处置管理要求</w:t>
            </w:r>
          </w:p>
        </w:tc>
        <w:tc>
          <w:tcPr>
            <w:tcW w:w="172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在污水排放口安装污水流量计；对区内污水排放量超过1000t/d 或CODCr排放量超过100kg/d的企业，其污水排口均需安装COD在线监测仪等设备，并与东陵区环境管理部门和沈阳市环境监控网络联网。</w:t>
            </w:r>
          </w:p>
        </w:tc>
        <w:tc>
          <w:tcPr>
            <w:tcW w:w="1431"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lang w:val="en-US" w:eastAsia="zh-CN"/>
              </w:rPr>
              <w:t>相关企业已</w:t>
            </w:r>
            <w:r>
              <w:rPr>
                <w:rFonts w:hint="eastAsia" w:ascii="Times New Roman" w:hAnsi="Times New Roman"/>
                <w:sz w:val="21"/>
                <w:szCs w:val="21"/>
              </w:rPr>
              <w:t>在污水排放口安装污水流量计；并与</w:t>
            </w:r>
            <w:r>
              <w:rPr>
                <w:rFonts w:hint="eastAsia" w:ascii="Times New Roman" w:hAnsi="Times New Roman"/>
                <w:sz w:val="21"/>
                <w:szCs w:val="21"/>
                <w:lang w:val="en-US" w:eastAsia="zh-CN"/>
              </w:rPr>
              <w:t>浑南去</w:t>
            </w:r>
            <w:r>
              <w:rPr>
                <w:rFonts w:hint="eastAsia" w:ascii="Times New Roman" w:hAnsi="Times New Roman"/>
                <w:sz w:val="21"/>
                <w:szCs w:val="21"/>
              </w:rPr>
              <w:t>环境管理部门和沈阳市环境监控网络联网。</w:t>
            </w:r>
          </w:p>
        </w:tc>
        <w:tc>
          <w:tcPr>
            <w:tcW w:w="997"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ind w:firstLine="0" w:firstLineChars="0"/>
              <w:textAlignment w:val="auto"/>
              <w:rPr>
                <w:rFonts w:ascii="Times New Roman" w:hAnsi="Times New Roman"/>
                <w:sz w:val="21"/>
                <w:szCs w:val="21"/>
              </w:rPr>
            </w:pPr>
            <w:r>
              <w:rPr>
                <w:rFonts w:ascii="Times New Roman" w:hAnsi="Times New Roman"/>
                <w:sz w:val="21"/>
                <w:szCs w:val="21"/>
              </w:rPr>
              <w:t>有效</w:t>
            </w:r>
          </w:p>
        </w:tc>
        <w:tc>
          <w:tcPr>
            <w:tcW w:w="1287"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ind w:firstLine="0" w:firstLineChars="0"/>
              <w:textAlignment w:val="auto"/>
              <w:rPr>
                <w:rFonts w:ascii="Times New Roman" w:hAnsi="Times New Roman"/>
                <w:sz w:val="21"/>
                <w:szCs w:val="21"/>
              </w:rPr>
            </w:pPr>
            <w:r>
              <w:rPr>
                <w:rFonts w:ascii="Times New Roman" w:hAnsi="Times New Roman"/>
                <w:sz w:val="21"/>
                <w:szCs w:val="21"/>
              </w:rPr>
              <w:t>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610" w:type="pct"/>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初期雨水的收集与处置</w:t>
            </w:r>
          </w:p>
        </w:tc>
        <w:tc>
          <w:tcPr>
            <w:tcW w:w="172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规划区域面积较大，初期雨水产生的污染较大，区域应在评价建议在污水处理厂设置临时收集池，收集初期雨水，并对其进行处理。</w:t>
            </w:r>
          </w:p>
        </w:tc>
        <w:tc>
          <w:tcPr>
            <w:tcW w:w="1431"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lang w:eastAsia="zh-CN"/>
              </w:rPr>
              <w:t>对于国际新兴产业园区内确有必要收集初期雨水的企业，企业应收集生产装置区地面初期污染雨水，将初期雨水厂内预处理后回用或达接管标准后进入污水处理厂。</w:t>
            </w:r>
          </w:p>
        </w:tc>
        <w:tc>
          <w:tcPr>
            <w:tcW w:w="997"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ind w:firstLine="0" w:firstLineChars="0"/>
              <w:textAlignment w:val="auto"/>
              <w:rPr>
                <w:rFonts w:ascii="Times New Roman" w:hAnsi="Times New Roman"/>
                <w:sz w:val="21"/>
                <w:szCs w:val="21"/>
              </w:rPr>
            </w:pPr>
            <w:r>
              <w:rPr>
                <w:rFonts w:ascii="Times New Roman" w:hAnsi="Times New Roman"/>
                <w:sz w:val="21"/>
                <w:szCs w:val="21"/>
              </w:rPr>
              <w:t>有效</w:t>
            </w:r>
          </w:p>
        </w:tc>
        <w:tc>
          <w:tcPr>
            <w:tcW w:w="1287" w:type="dxa"/>
            <w:vAlign w:val="center"/>
          </w:tcPr>
          <w:p>
            <w:pPr>
              <w:pStyle w:val="16"/>
              <w:keepNext w:val="0"/>
              <w:keepLines w:val="0"/>
              <w:pageBreakBefore w:val="0"/>
              <w:widowControl w:val="0"/>
              <w:kinsoku/>
              <w:wordWrap/>
              <w:overflowPunct/>
              <w:topLinePunct w:val="0"/>
              <w:autoSpaceDE/>
              <w:autoSpaceDN/>
              <w:bidi w:val="0"/>
              <w:adjustRightInd/>
              <w:snapToGrid/>
              <w:spacing w:line="400" w:lineRule="exact"/>
              <w:ind w:firstLine="0" w:firstLineChars="0"/>
              <w:textAlignment w:val="auto"/>
              <w:rPr>
                <w:rFonts w:ascii="Times New Roman" w:hAnsi="Times New Roman"/>
                <w:sz w:val="21"/>
                <w:szCs w:val="21"/>
              </w:rPr>
            </w:pPr>
            <w:r>
              <w:rPr>
                <w:rFonts w:ascii="Times New Roman" w:hAnsi="Times New Roman"/>
                <w:sz w:val="21"/>
                <w:szCs w:val="21"/>
              </w:rPr>
              <w:t>无</w:t>
            </w:r>
          </w:p>
        </w:tc>
      </w:tr>
    </w:tbl>
    <w:p>
      <w:pPr>
        <w:spacing w:before="12"/>
        <w:ind w:firstLine="100"/>
        <w:rPr>
          <w:rFonts w:cs="Times New Roman"/>
          <w:b/>
          <w:bCs/>
          <w:color w:val="4472C4" w:themeColor="accent5"/>
          <w:sz w:val="5"/>
          <w:szCs w:val="5"/>
          <w:lang w:eastAsia="zh-CN"/>
          <w14:textFill>
            <w14:solidFill>
              <w14:schemeClr w14:val="accent5"/>
            </w14:solidFill>
          </w14:textFill>
        </w:rPr>
      </w:pPr>
    </w:p>
    <w:p>
      <w:pPr>
        <w:pStyle w:val="10"/>
        <w:rPr>
          <w:rFonts w:cs="Times New Roman"/>
          <w:lang w:eastAsia="zh-CN"/>
        </w:rPr>
      </w:pPr>
      <w:r>
        <w:rPr>
          <w:rFonts w:cs="Times New Roman"/>
          <w:lang w:eastAsia="zh-CN"/>
        </w:rPr>
        <w:t>5.2.2.2 水环境影响减缓措施整改建议</w:t>
      </w:r>
    </w:p>
    <w:p>
      <w:pPr>
        <w:ind w:firstLine="480"/>
        <w:rPr>
          <w:rFonts w:cs="Times New Roman"/>
          <w:lang w:eastAsia="zh-CN"/>
        </w:rPr>
      </w:pPr>
      <w:r>
        <w:rPr>
          <w:rFonts w:cs="Times New Roman"/>
          <w:lang w:eastAsia="zh-CN"/>
        </w:rPr>
        <w:t>规划区域已实施部分的水环境保护对策和措施效果较好，但由于</w:t>
      </w:r>
      <w:r>
        <w:rPr>
          <w:rFonts w:hint="eastAsia" w:cs="Times New Roman"/>
          <w:lang w:eastAsia="zh-CN"/>
        </w:rPr>
        <w:t>国际新兴产业园区</w:t>
      </w:r>
      <w:r>
        <w:rPr>
          <w:rFonts w:cs="Times New Roman"/>
          <w:lang w:eastAsia="zh-CN"/>
        </w:rPr>
        <w:t>污水依托外部污水处理厂，</w:t>
      </w:r>
      <w:r>
        <w:rPr>
          <w:rFonts w:hint="eastAsia" w:cs="Times New Roman"/>
          <w:lang w:eastAsia="zh-CN"/>
        </w:rPr>
        <w:t>国际新兴产业园区</w:t>
      </w:r>
      <w:r>
        <w:rPr>
          <w:rFonts w:cs="Times New Roman"/>
          <w:lang w:eastAsia="zh-CN"/>
        </w:rPr>
        <w:t>内基本未开展中水回用，</w:t>
      </w:r>
      <w:r>
        <w:rPr>
          <w:rFonts w:cs="Times New Roman"/>
          <w:spacing w:val="2"/>
          <w:lang w:eastAsia="zh-CN"/>
        </w:rPr>
        <w:t>根据上一轮规划环评及其审查意见，提出水环境影响减缓措施整改建议如下：</w:t>
      </w:r>
    </w:p>
    <w:p>
      <w:pPr>
        <w:ind w:firstLine="472"/>
        <w:rPr>
          <w:rFonts w:cs="Times New Roman"/>
          <w:kern w:val="2"/>
          <w:lang w:eastAsia="zh-CN"/>
        </w:rPr>
      </w:pPr>
      <w:r>
        <w:rPr>
          <w:rFonts w:cs="Times New Roman"/>
          <w:spacing w:val="-2"/>
          <w:lang w:eastAsia="zh-CN"/>
        </w:rPr>
        <w:t>（</w:t>
      </w:r>
      <w:r>
        <w:rPr>
          <w:rFonts w:eastAsia="Arial" w:cs="Times New Roman"/>
          <w:spacing w:val="-2"/>
          <w:lang w:eastAsia="zh-CN"/>
        </w:rPr>
        <w:t>1</w:t>
      </w:r>
      <w:r>
        <w:rPr>
          <w:rFonts w:cs="Times New Roman"/>
          <w:spacing w:val="-2"/>
          <w:lang w:eastAsia="zh-CN"/>
        </w:rPr>
        <w:t>）</w:t>
      </w:r>
      <w:r>
        <w:rPr>
          <w:rFonts w:cs="Times New Roman"/>
          <w:kern w:val="2"/>
          <w:lang w:eastAsia="zh-CN"/>
        </w:rPr>
        <w:t>建议</w:t>
      </w:r>
      <w:r>
        <w:rPr>
          <w:rFonts w:hint="eastAsia" w:cs="Times New Roman"/>
          <w:kern w:val="2"/>
          <w:lang w:val="en-US" w:eastAsia="zh-CN"/>
        </w:rPr>
        <w:t>浑南</w:t>
      </w:r>
      <w:r>
        <w:rPr>
          <w:rFonts w:cs="Times New Roman"/>
          <w:kern w:val="2"/>
          <w:lang w:eastAsia="zh-CN"/>
        </w:rPr>
        <w:t>区或</w:t>
      </w:r>
      <w:r>
        <w:rPr>
          <w:rFonts w:hint="eastAsia" w:cs="Times New Roman"/>
          <w:kern w:val="2"/>
          <w:lang w:eastAsia="zh-CN"/>
        </w:rPr>
        <w:t>国际新兴产业园区</w:t>
      </w:r>
      <w:r>
        <w:rPr>
          <w:rFonts w:cs="Times New Roman"/>
          <w:kern w:val="2"/>
          <w:lang w:eastAsia="zh-CN"/>
        </w:rPr>
        <w:t>与周边</w:t>
      </w:r>
      <w:r>
        <w:rPr>
          <w:rFonts w:hint="eastAsia" w:cs="Times New Roman"/>
          <w:kern w:val="2"/>
          <w:lang w:eastAsia="zh-CN"/>
        </w:rPr>
        <w:t>国际新兴产业园区</w:t>
      </w:r>
      <w:r>
        <w:rPr>
          <w:rFonts w:cs="Times New Roman"/>
          <w:kern w:val="2"/>
          <w:lang w:eastAsia="zh-CN"/>
        </w:rPr>
        <w:t>统筹建设中水回用设施，研究尽快实施污水处理厂的中水回用工程，考虑用于</w:t>
      </w:r>
      <w:r>
        <w:rPr>
          <w:rFonts w:hint="eastAsia" w:cs="Times New Roman"/>
          <w:kern w:val="2"/>
          <w:lang w:eastAsia="zh-CN"/>
        </w:rPr>
        <w:t>国际新兴产业园区</w:t>
      </w:r>
      <w:r>
        <w:rPr>
          <w:rFonts w:cs="Times New Roman"/>
          <w:kern w:val="2"/>
          <w:lang w:eastAsia="zh-CN"/>
        </w:rPr>
        <w:t>绿化、生态景观用水等，实现污水资源化，同提高中水回用率。</w:t>
      </w:r>
    </w:p>
    <w:p>
      <w:pPr>
        <w:ind w:firstLine="488"/>
        <w:rPr>
          <w:rFonts w:cs="Times New Roman"/>
          <w:lang w:eastAsia="zh-CN"/>
        </w:rPr>
      </w:pPr>
      <w:r>
        <w:rPr>
          <w:rFonts w:cs="Times New Roman"/>
          <w:spacing w:val="2"/>
          <w:lang w:eastAsia="zh-CN"/>
        </w:rPr>
        <w:t>（</w:t>
      </w:r>
      <w:r>
        <w:rPr>
          <w:rFonts w:eastAsia="Arial" w:cs="Times New Roman"/>
          <w:spacing w:val="2"/>
          <w:lang w:eastAsia="zh-CN"/>
        </w:rPr>
        <w:t>2</w:t>
      </w:r>
      <w:r>
        <w:rPr>
          <w:rFonts w:cs="Times New Roman"/>
          <w:spacing w:val="2"/>
          <w:lang w:eastAsia="zh-CN"/>
        </w:rPr>
        <w:t>）加强现有排污企业的监管及整治：抓紧企业的排污口的集中整治，杜绝超标</w:t>
      </w:r>
      <w:r>
        <w:rPr>
          <w:rFonts w:cs="Times New Roman"/>
          <w:lang w:eastAsia="zh-CN"/>
        </w:rPr>
        <w:t>排放。严禁将高浓度废水稀释排放，生态环境局应根据各企业的生产情况核定各企业的废水排放量。废水预处理设施的关键设备应有备件，以保证预处理设施正常运行。加强对企业废水排放监督管理。重视污水排放单位出现不正常排放情况，杜绝污水处理厂非正常排放情况的出现。</w:t>
      </w:r>
    </w:p>
    <w:p>
      <w:pPr>
        <w:ind w:firstLine="488"/>
        <w:rPr>
          <w:rFonts w:cs="Times New Roman"/>
          <w:lang w:eastAsia="zh-CN"/>
        </w:rPr>
      </w:pPr>
      <w:r>
        <w:rPr>
          <w:rFonts w:cs="Times New Roman"/>
          <w:spacing w:val="2"/>
          <w:lang w:eastAsia="zh-CN"/>
        </w:rPr>
        <w:t>（</w:t>
      </w:r>
      <w:r>
        <w:rPr>
          <w:rFonts w:eastAsia="Arial" w:cs="Times New Roman"/>
          <w:spacing w:val="2"/>
          <w:lang w:eastAsia="zh-CN"/>
        </w:rPr>
        <w:t>3</w:t>
      </w:r>
      <w:r>
        <w:rPr>
          <w:rFonts w:cs="Times New Roman"/>
          <w:spacing w:val="2"/>
          <w:lang w:eastAsia="zh-CN"/>
        </w:rPr>
        <w:t>）对于</w:t>
      </w:r>
      <w:r>
        <w:rPr>
          <w:rFonts w:hint="eastAsia" w:cs="Times New Roman"/>
          <w:spacing w:val="2"/>
          <w:lang w:eastAsia="zh-CN"/>
        </w:rPr>
        <w:t>国际新兴产业园区</w:t>
      </w:r>
      <w:r>
        <w:rPr>
          <w:rFonts w:cs="Times New Roman"/>
          <w:spacing w:val="2"/>
          <w:lang w:eastAsia="zh-CN"/>
        </w:rPr>
        <w:t>内确有必要收集初期雨水的企业，管委会应加强对其排水监管，监</w:t>
      </w:r>
      <w:r>
        <w:rPr>
          <w:rFonts w:cs="Times New Roman"/>
          <w:lang w:eastAsia="zh-CN"/>
        </w:rPr>
        <w:t>督其增设初期雨水收集系统，企业应收集生产装置区地面初期污染雨水，将初期雨水厂内预处理后回用或达接管标准后进入</w:t>
      </w:r>
      <w:r>
        <w:rPr>
          <w:rFonts w:hint="eastAsia" w:cs="Times New Roman"/>
          <w:lang w:eastAsia="zh-CN"/>
        </w:rPr>
        <w:t>国际新兴产业园区</w:t>
      </w:r>
      <w:r>
        <w:rPr>
          <w:rFonts w:cs="Times New Roman"/>
          <w:lang w:eastAsia="zh-CN"/>
        </w:rPr>
        <w:t>污水处理厂，减轻进入附近地表水体的污染负荷。</w:t>
      </w:r>
    </w:p>
    <w:p>
      <w:pPr>
        <w:pStyle w:val="9"/>
        <w:rPr>
          <w:rFonts w:ascii="Times New Roman" w:hAnsi="Times New Roman"/>
        </w:rPr>
      </w:pPr>
      <w:bookmarkStart w:id="188" w:name="_Toc18305"/>
      <w:r>
        <w:rPr>
          <w:rFonts w:ascii="Times New Roman" w:hAnsi="Times New Roman"/>
        </w:rPr>
        <w:t>5.2.3 声环境影响减缓措施有效性分析及建议</w:t>
      </w:r>
      <w:bookmarkEnd w:id="188"/>
    </w:p>
    <w:p>
      <w:pPr>
        <w:ind w:firstLine="480"/>
        <w:rPr>
          <w:rFonts w:cs="Times New Roman"/>
          <w:spacing w:val="-1"/>
          <w:lang w:eastAsia="zh-CN"/>
        </w:rPr>
      </w:pPr>
      <w:r>
        <w:rPr>
          <w:rFonts w:cs="Times New Roman"/>
          <w:lang w:eastAsia="zh-CN"/>
        </w:rPr>
        <w:t>规划环评中提出的噪声防治措施</w:t>
      </w:r>
      <w:r>
        <w:rPr>
          <w:rFonts w:cs="Times New Roman"/>
          <w:spacing w:val="-60"/>
          <w:lang w:eastAsia="zh-CN"/>
        </w:rPr>
        <w:t>、</w:t>
      </w:r>
      <w:r>
        <w:rPr>
          <w:rFonts w:cs="Times New Roman"/>
          <w:lang w:eastAsia="zh-CN"/>
        </w:rPr>
        <w:t>在规划环评执行期间噪声防治措施的落实情况及措施有效性分析见表</w:t>
      </w:r>
      <w:r>
        <w:rPr>
          <w:rFonts w:cs="Times New Roman"/>
          <w:spacing w:val="-59"/>
          <w:lang w:eastAsia="zh-CN"/>
        </w:rPr>
        <w:t xml:space="preserve"> </w:t>
      </w:r>
      <w:r>
        <w:rPr>
          <w:rFonts w:eastAsia="Times New Roman" w:cs="Times New Roman"/>
          <w:spacing w:val="-1"/>
          <w:lang w:eastAsia="zh-CN"/>
        </w:rPr>
        <w:t>5.2-3</w:t>
      </w:r>
      <w:r>
        <w:rPr>
          <w:rFonts w:cs="Times New Roman"/>
          <w:spacing w:val="-1"/>
          <w:lang w:eastAsia="zh-CN"/>
        </w:rPr>
        <w:t>。</w:t>
      </w:r>
    </w:p>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sz w:val="24"/>
          <w:szCs w:val="22"/>
          <w:lang w:eastAsia="zh-CN"/>
        </w:rPr>
      </w:pPr>
      <w:r>
        <w:rPr>
          <w:rFonts w:ascii="Times New Roman" w:hAnsi="Times New Roman" w:eastAsia="宋体" w:cs="Times New Roman"/>
          <w:b/>
          <w:bCs/>
          <w:sz w:val="24"/>
          <w:szCs w:val="22"/>
          <w:lang w:eastAsia="zh-CN"/>
        </w:rPr>
        <w:t>表5.2-3</w:t>
      </w:r>
      <w:r>
        <w:rPr>
          <w:rFonts w:ascii="Times New Roman" w:hAnsi="Times New Roman" w:eastAsia="宋体" w:cs="Times New Roman"/>
          <w:b/>
          <w:bCs/>
          <w:sz w:val="24"/>
          <w:szCs w:val="22"/>
          <w:lang w:eastAsia="zh-CN"/>
        </w:rPr>
        <w:tab/>
      </w:r>
      <w:r>
        <w:rPr>
          <w:rFonts w:ascii="Times New Roman" w:hAnsi="Times New Roman" w:eastAsia="宋体" w:cs="Times New Roman"/>
          <w:b/>
          <w:bCs/>
          <w:sz w:val="24"/>
          <w:szCs w:val="22"/>
          <w:lang w:eastAsia="zh-CN"/>
        </w:rPr>
        <w:t>规划环评噪声防治措施落实及有效性分析</w:t>
      </w:r>
    </w:p>
    <w:tbl>
      <w:tblPr>
        <w:tblStyle w:val="64"/>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3947"/>
        <w:gridCol w:w="3270"/>
        <w:gridCol w:w="108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序号</w:t>
            </w:r>
          </w:p>
        </w:tc>
        <w:tc>
          <w:tcPr>
            <w:tcW w:w="212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规划环评提出的噪声污染防治措施</w:t>
            </w:r>
          </w:p>
        </w:tc>
        <w:tc>
          <w:tcPr>
            <w:tcW w:w="175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落实情况</w:t>
            </w:r>
          </w:p>
        </w:tc>
        <w:tc>
          <w:tcPr>
            <w:tcW w:w="582"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有效性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53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w:t>
            </w:r>
          </w:p>
        </w:tc>
        <w:tc>
          <w:tcPr>
            <w:tcW w:w="212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 xml:space="preserve">加强企业厂界噪声达标管理，对拥有噪声设备的企业，必须配备降噪设备和措施，严格控制其厂界噪声水平，并定期检查。 </w:t>
            </w:r>
          </w:p>
        </w:tc>
        <w:tc>
          <w:tcPr>
            <w:tcW w:w="175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实施企业厂界噪声达标管理，严格配备降噪设备，严格控制其厂界噪声水平，并定期检查。</w:t>
            </w:r>
          </w:p>
        </w:tc>
        <w:tc>
          <w:tcPr>
            <w:tcW w:w="582"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有效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9" w:hRule="atLeast"/>
          <w:jc w:val="center"/>
        </w:trPr>
        <w:tc>
          <w:tcPr>
            <w:tcW w:w="53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2</w:t>
            </w:r>
          </w:p>
        </w:tc>
        <w:tc>
          <w:tcPr>
            <w:tcW w:w="212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交通噪声要按规划限值要求进行控制，对不同种车辆的行驶路线、时间作出明确规定。禁鸣区路段设立标牌。严格控制城区摩托车辆的增长速度。</w:t>
            </w:r>
          </w:p>
        </w:tc>
        <w:tc>
          <w:tcPr>
            <w:tcW w:w="175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国际新兴产业园区</w:t>
            </w:r>
            <w:r>
              <w:rPr>
                <w:rFonts w:ascii="Times New Roman" w:hAnsi="Times New Roman"/>
                <w:sz w:val="21"/>
                <w:szCs w:val="21"/>
              </w:rPr>
              <w:t>加强了交通噪声和社会噪声的污染防治工作。</w:t>
            </w:r>
          </w:p>
        </w:tc>
        <w:tc>
          <w:tcPr>
            <w:tcW w:w="582"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有效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3</w:t>
            </w:r>
          </w:p>
        </w:tc>
        <w:tc>
          <w:tcPr>
            <w:tcW w:w="2123"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在噪声源与被防物之间设防护装置</w:t>
            </w:r>
          </w:p>
        </w:tc>
        <w:tc>
          <w:tcPr>
            <w:tcW w:w="175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噪声源工厂与居住区之间以及主要街路两侧设置绿化隔离带。</w:t>
            </w:r>
          </w:p>
        </w:tc>
        <w:tc>
          <w:tcPr>
            <w:tcW w:w="582"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有效</w:t>
            </w:r>
          </w:p>
        </w:tc>
      </w:tr>
    </w:tbl>
    <w:p>
      <w:pPr>
        <w:ind w:firstLine="480"/>
        <w:rPr>
          <w:rFonts w:cs="Times New Roman"/>
          <w:lang w:eastAsia="zh-CN"/>
        </w:rPr>
      </w:pPr>
      <w:r>
        <w:rPr>
          <w:rFonts w:hint="eastAsia" w:cs="Times New Roman"/>
          <w:lang w:eastAsia="zh-CN"/>
        </w:rPr>
        <w:t>国际新兴产业园区</w:t>
      </w:r>
      <w:r>
        <w:rPr>
          <w:rFonts w:cs="Times New Roman"/>
          <w:lang w:eastAsia="zh-CN"/>
        </w:rPr>
        <w:t>噪声主要来源于交通噪声、工业噪声和建筑施工噪声等。根据现场调查及监测，规划区发展过程中，已严格落实规划环评关于交通噪声的各项防治措施，区域声环境可以满足声环境功能区的要求。上一轮规划环评中对于声环境影响的对策和措施有效，可继续实施上一轮规划环评的方案。</w:t>
      </w:r>
    </w:p>
    <w:p>
      <w:pPr>
        <w:pStyle w:val="9"/>
        <w:rPr>
          <w:rFonts w:ascii="Times New Roman" w:hAnsi="Times New Roman"/>
        </w:rPr>
      </w:pPr>
      <w:bookmarkStart w:id="189" w:name="_Toc25778"/>
      <w:r>
        <w:rPr>
          <w:rFonts w:ascii="Times New Roman" w:hAnsi="Times New Roman"/>
        </w:rPr>
        <w:t>5.2.4 固体废物影响减缓措施有效性分析及整改建议</w:t>
      </w:r>
      <w:bookmarkEnd w:id="189"/>
    </w:p>
    <w:p>
      <w:pPr>
        <w:ind w:firstLine="480"/>
        <w:rPr>
          <w:rFonts w:cs="Times New Roman"/>
          <w:lang w:eastAsia="zh-CN"/>
        </w:rPr>
      </w:pPr>
      <w:r>
        <w:rPr>
          <w:rFonts w:cs="Times New Roman"/>
          <w:lang w:eastAsia="zh-CN"/>
        </w:rPr>
        <w:t>规划环评中提出的固体污染防治措施</w:t>
      </w:r>
      <w:r>
        <w:rPr>
          <w:rFonts w:cs="Times New Roman"/>
          <w:spacing w:val="-60"/>
          <w:lang w:eastAsia="zh-CN"/>
        </w:rPr>
        <w:t>、</w:t>
      </w:r>
      <w:r>
        <w:rPr>
          <w:rFonts w:cs="Times New Roman"/>
          <w:lang w:eastAsia="zh-CN"/>
        </w:rPr>
        <w:t>在规划环评执行期间固体污染防治措施的落实情况及措施有效性分析见下表</w:t>
      </w:r>
      <w:r>
        <w:rPr>
          <w:rFonts w:cs="Times New Roman"/>
          <w:spacing w:val="-59"/>
          <w:lang w:eastAsia="zh-CN"/>
        </w:rPr>
        <w:t xml:space="preserve"> </w:t>
      </w:r>
      <w:r>
        <w:rPr>
          <w:rFonts w:cs="Times New Roman"/>
          <w:spacing w:val="-1"/>
          <w:lang w:eastAsia="zh-CN"/>
        </w:rPr>
        <w:t>。</w:t>
      </w:r>
    </w:p>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sz w:val="21"/>
          <w:szCs w:val="21"/>
          <w:lang w:eastAsia="zh-CN"/>
        </w:rPr>
      </w:pPr>
      <w:r>
        <w:rPr>
          <w:rFonts w:ascii="Times New Roman" w:hAnsi="Times New Roman" w:eastAsia="宋体" w:cs="Times New Roman"/>
          <w:b/>
          <w:bCs/>
          <w:sz w:val="24"/>
          <w:szCs w:val="24"/>
          <w:lang w:eastAsia="zh-CN"/>
        </w:rPr>
        <w:t>表5.2-4  规划环评</w:t>
      </w:r>
      <w:r>
        <w:rPr>
          <w:rFonts w:ascii="Times New Roman" w:hAnsi="Times New Roman" w:eastAsia="宋体" w:cs="Times New Roman"/>
          <w:b/>
          <w:bCs/>
          <w:spacing w:val="-1"/>
          <w:sz w:val="24"/>
          <w:szCs w:val="24"/>
          <w:lang w:eastAsia="zh-CN"/>
        </w:rPr>
        <w:t>固体污染</w:t>
      </w:r>
      <w:r>
        <w:rPr>
          <w:rFonts w:ascii="Times New Roman" w:hAnsi="Times New Roman" w:eastAsia="宋体" w:cs="Times New Roman"/>
          <w:b/>
          <w:bCs/>
          <w:sz w:val="24"/>
          <w:szCs w:val="24"/>
          <w:lang w:eastAsia="zh-CN"/>
        </w:rPr>
        <w:t>防治措施落实及有效性分析</w:t>
      </w:r>
    </w:p>
    <w:tbl>
      <w:tblPr>
        <w:tblStyle w:val="6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0"/>
        <w:gridCol w:w="4751"/>
        <w:gridCol w:w="2945"/>
        <w:gridCol w:w="101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序号</w:t>
            </w:r>
          </w:p>
        </w:tc>
        <w:tc>
          <w:tcPr>
            <w:tcW w:w="255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规划环评提出的</w:t>
            </w:r>
          </w:p>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固体污染防治措施</w:t>
            </w:r>
          </w:p>
        </w:tc>
        <w:tc>
          <w:tcPr>
            <w:tcW w:w="158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落实情况</w:t>
            </w:r>
          </w:p>
        </w:tc>
        <w:tc>
          <w:tcPr>
            <w:tcW w:w="546"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有效性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1" w:hRule="atLeast"/>
        </w:trPr>
        <w:tc>
          <w:tcPr>
            <w:tcW w:w="312"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w:t>
            </w:r>
          </w:p>
        </w:tc>
        <w:tc>
          <w:tcPr>
            <w:tcW w:w="255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对</w:t>
            </w:r>
            <w:r>
              <w:rPr>
                <w:rFonts w:hint="eastAsia" w:ascii="Times New Roman" w:hAnsi="Times New Roman"/>
                <w:sz w:val="21"/>
                <w:szCs w:val="21"/>
              </w:rPr>
              <w:t>国际新兴产业园区</w:t>
            </w:r>
            <w:r>
              <w:rPr>
                <w:rFonts w:ascii="Times New Roman" w:hAnsi="Times New Roman"/>
                <w:sz w:val="21"/>
                <w:szCs w:val="21"/>
              </w:rPr>
              <w:t>的工业废弃物必须加以有效控制，企业应明确提供固体废物综合利用去向及安全处置方式。通过固体废物申报登记，强化对固废产生源的管理。积极推行清洁生产，淘汰高能耗、高物耗、高废物生产工艺，发展无废工艺，减少固体废物的产生量。</w:t>
            </w:r>
          </w:p>
        </w:tc>
        <w:tc>
          <w:tcPr>
            <w:tcW w:w="158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国际新兴产业园区</w:t>
            </w:r>
            <w:r>
              <w:rPr>
                <w:rFonts w:ascii="Times New Roman" w:hAnsi="Times New Roman"/>
                <w:sz w:val="21"/>
                <w:szCs w:val="21"/>
              </w:rPr>
              <w:t>企业产生一般固体废物都将送至废品回收站或原供应商回收处置。</w:t>
            </w:r>
          </w:p>
        </w:tc>
        <w:tc>
          <w:tcPr>
            <w:tcW w:w="546"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有效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6" w:hRule="atLeast"/>
        </w:trPr>
        <w:tc>
          <w:tcPr>
            <w:tcW w:w="312"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2</w:t>
            </w:r>
          </w:p>
        </w:tc>
        <w:tc>
          <w:tcPr>
            <w:tcW w:w="255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限制产生危险废物的工业企业的数量，尽可能综合利用。无法回收、暂不能利用的危险废物，应登记在案，送至具有资质的工业固体废物处置中心处置。逐步建立起危险废物的市场化运作机制，实现危险废物的无害化处置。</w:t>
            </w:r>
          </w:p>
        </w:tc>
        <w:tc>
          <w:tcPr>
            <w:tcW w:w="158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国际新兴产业园区</w:t>
            </w:r>
            <w:r>
              <w:rPr>
                <w:rFonts w:ascii="Times New Roman" w:hAnsi="Times New Roman"/>
                <w:sz w:val="21"/>
                <w:szCs w:val="21"/>
              </w:rPr>
              <w:t>产生危险废物均送至有资质企业进行综合处理。</w:t>
            </w:r>
          </w:p>
        </w:tc>
        <w:tc>
          <w:tcPr>
            <w:tcW w:w="546"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有效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4" w:hRule="atLeast"/>
        </w:trPr>
        <w:tc>
          <w:tcPr>
            <w:tcW w:w="312"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3</w:t>
            </w:r>
          </w:p>
        </w:tc>
        <w:tc>
          <w:tcPr>
            <w:tcW w:w="2557"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在各个小区内都要建立规范化的生活垃圾临时存放点，并且做好管理和消毒等工作，协调环卫部门统一及时清运进行无害化处理，防止对周围环境造成不良影响。</w:t>
            </w:r>
          </w:p>
        </w:tc>
        <w:tc>
          <w:tcPr>
            <w:tcW w:w="1585"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 xml:space="preserve">各个小区内均建立规范化的生活垃圾临时存放点，做好管理和消毒等工作。 </w:t>
            </w:r>
          </w:p>
        </w:tc>
        <w:tc>
          <w:tcPr>
            <w:tcW w:w="546"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有效</w:t>
            </w:r>
          </w:p>
        </w:tc>
      </w:tr>
    </w:tbl>
    <w:p>
      <w:pPr>
        <w:ind w:firstLine="480"/>
        <w:rPr>
          <w:rFonts w:cs="Times New Roman"/>
          <w:lang w:eastAsia="zh-CN"/>
        </w:rPr>
        <w:sectPr>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r>
        <w:rPr>
          <w:rFonts w:hint="eastAsia" w:cs="Times New Roman"/>
          <w:lang w:eastAsia="zh-CN"/>
        </w:rPr>
        <w:t>国际新兴产业园区</w:t>
      </w:r>
      <w:r>
        <w:rPr>
          <w:rFonts w:cs="Times New Roman"/>
          <w:lang w:eastAsia="zh-CN"/>
        </w:rPr>
        <w:t>固体废弃物主要由工业废弃物、生活垃圾以及危险废弃物组成。规划区发展过程中，已严格落实规划环评中各项固体废物污染防治措施，各项固废对策和措施有效，可继续实施上一轮规划环评的方案。</w:t>
      </w:r>
    </w:p>
    <w:p>
      <w:pPr>
        <w:pStyle w:val="7"/>
        <w:rPr>
          <w:rFonts w:ascii="Times New Roman" w:hAnsi="Times New Roman" w:cs="Times New Roman"/>
          <w:lang w:eastAsia="zh-CN"/>
        </w:rPr>
      </w:pPr>
      <w:bookmarkStart w:id="190" w:name="_Toc34903928"/>
      <w:bookmarkStart w:id="191" w:name="_Toc12464"/>
      <w:bookmarkStart w:id="192" w:name="_Toc12533"/>
      <w:r>
        <w:rPr>
          <w:rFonts w:ascii="Times New Roman" w:hAnsi="Times New Roman" w:cs="Times New Roman"/>
          <w:lang w:eastAsia="zh-CN"/>
        </w:rPr>
        <w:t>6 规划跟踪评价优化建议</w:t>
      </w:r>
      <w:bookmarkEnd w:id="190"/>
      <w:bookmarkEnd w:id="191"/>
      <w:bookmarkEnd w:id="192"/>
    </w:p>
    <w:p>
      <w:pPr>
        <w:pStyle w:val="8"/>
        <w:rPr>
          <w:rFonts w:ascii="Times New Roman" w:hAnsi="Times New Roman" w:cs="Times New Roman"/>
          <w:lang w:eastAsia="zh-CN"/>
        </w:rPr>
      </w:pPr>
      <w:bookmarkStart w:id="193" w:name="_bookmark33"/>
      <w:bookmarkEnd w:id="193"/>
      <w:bookmarkStart w:id="194" w:name="_Toc32527"/>
      <w:bookmarkStart w:id="195" w:name="_Toc1116"/>
      <w:bookmarkStart w:id="196" w:name="_Toc34903929"/>
      <w:r>
        <w:rPr>
          <w:rFonts w:ascii="Times New Roman" w:hAnsi="Times New Roman" w:cs="Times New Roman"/>
          <w:lang w:eastAsia="zh-CN"/>
        </w:rPr>
        <w:t>6.1 存在问题</w:t>
      </w:r>
      <w:bookmarkEnd w:id="194"/>
      <w:bookmarkEnd w:id="195"/>
    </w:p>
    <w:p>
      <w:pPr>
        <w:pStyle w:val="25"/>
        <w:spacing w:before="163"/>
        <w:ind w:firstLine="439" w:firstLineChars="183"/>
        <w:rPr>
          <w:rFonts w:cs="Times New Roman"/>
          <w:lang w:eastAsia="zh-CN"/>
        </w:rPr>
      </w:pPr>
      <w:r>
        <w:rPr>
          <w:rFonts w:cs="Times New Roman"/>
          <w:lang w:eastAsia="zh-CN"/>
        </w:rPr>
        <w:t>通过跟踪评价，对</w:t>
      </w:r>
      <w:r>
        <w:rPr>
          <w:rFonts w:hint="eastAsia" w:cs="Times New Roman"/>
          <w:lang w:eastAsia="zh-CN"/>
        </w:rPr>
        <w:t>国际新兴产业园区</w:t>
      </w:r>
      <w:r>
        <w:rPr>
          <w:rFonts w:cs="Times New Roman"/>
          <w:lang w:eastAsia="zh-CN"/>
        </w:rPr>
        <w:t>规划实施过程中存在的生态环境问题进行系统梳理，详见表6.1-1。</w:t>
      </w:r>
    </w:p>
    <w:p>
      <w:pPr>
        <w:pStyle w:val="2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sz w:val="24"/>
          <w:szCs w:val="24"/>
          <w:lang w:eastAsia="zh-CN"/>
        </w:rPr>
      </w:pPr>
      <w:r>
        <w:rPr>
          <w:rFonts w:ascii="Times New Roman" w:hAnsi="Times New Roman" w:eastAsia="宋体" w:cs="Times New Roman"/>
          <w:b/>
          <w:bCs/>
          <w:sz w:val="24"/>
          <w:szCs w:val="24"/>
          <w:lang w:eastAsia="zh-CN"/>
        </w:rPr>
        <w:t xml:space="preserve">表6.1-1   </w:t>
      </w:r>
      <w:r>
        <w:rPr>
          <w:rFonts w:hint="eastAsia" w:ascii="Times New Roman" w:hAnsi="Times New Roman" w:eastAsia="宋体" w:cs="Times New Roman"/>
          <w:b/>
          <w:bCs/>
          <w:sz w:val="24"/>
          <w:szCs w:val="24"/>
          <w:lang w:eastAsia="zh-CN"/>
        </w:rPr>
        <w:t>国际新兴产业园区</w:t>
      </w:r>
      <w:r>
        <w:rPr>
          <w:rFonts w:ascii="Times New Roman" w:hAnsi="Times New Roman" w:eastAsia="宋体" w:cs="Times New Roman"/>
          <w:b/>
          <w:bCs/>
          <w:sz w:val="24"/>
          <w:szCs w:val="24"/>
          <w:lang w:eastAsia="zh-CN"/>
        </w:rPr>
        <w:t>规划现存问题一览表</w:t>
      </w:r>
    </w:p>
    <w:tbl>
      <w:tblPr>
        <w:tblStyle w:val="64"/>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139"/>
        <w:gridCol w:w="3712"/>
        <w:gridCol w:w="400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序号</w:t>
            </w:r>
          </w:p>
        </w:tc>
        <w:tc>
          <w:tcPr>
            <w:tcW w:w="614"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类别</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存在的问题</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建议整改措施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w:t>
            </w:r>
          </w:p>
        </w:tc>
        <w:tc>
          <w:tcPr>
            <w:tcW w:w="614"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用地布局</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园区内现状尚存农村居民点待搬迁，与规划用地性质不符，且与现状工业企业紧邻，呈现</w:t>
            </w:r>
            <w:r>
              <w:rPr>
                <w:rFonts w:hint="eastAsia" w:ascii="Times New Roman" w:hAnsi="Times New Roman"/>
                <w:sz w:val="21"/>
                <w:szCs w:val="21"/>
                <w:lang w:eastAsia="zh-CN"/>
              </w:rPr>
              <w:t>“</w:t>
            </w:r>
            <w:r>
              <w:rPr>
                <w:rFonts w:ascii="Times New Roman" w:hAnsi="Times New Roman"/>
                <w:sz w:val="21"/>
                <w:szCs w:val="21"/>
              </w:rPr>
              <w:t>工居混杂</w:t>
            </w:r>
            <w:r>
              <w:rPr>
                <w:rFonts w:hint="eastAsia" w:ascii="Times New Roman" w:hAnsi="Times New Roman"/>
                <w:sz w:val="21"/>
                <w:szCs w:val="21"/>
                <w:lang w:eastAsia="zh-CN"/>
              </w:rPr>
              <w:t>”</w:t>
            </w:r>
            <w:r>
              <w:rPr>
                <w:rFonts w:ascii="Times New Roman" w:hAnsi="Times New Roman"/>
                <w:sz w:val="21"/>
                <w:szCs w:val="21"/>
              </w:rPr>
              <w:t>局面，易引发厂群矛盾。</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lang w:val="en-US" w:eastAsia="zh-CN"/>
              </w:rPr>
              <w:t>应</w:t>
            </w:r>
            <w:r>
              <w:rPr>
                <w:rFonts w:hint="eastAsia" w:ascii="Times New Roman" w:hAnsi="Times New Roman"/>
                <w:sz w:val="21"/>
                <w:szCs w:val="21"/>
              </w:rPr>
              <w:t>加快区内农村居民点的搬迁进度，妥善安置待搬迁居民，确保动迁居民生活质量与环境质量不降低。</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2</w:t>
            </w:r>
          </w:p>
        </w:tc>
        <w:tc>
          <w:tcPr>
            <w:tcW w:w="614"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用地规划</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规划区域位于沈阳市主导风向上风向，产生的污染易对城区造成污染</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imes New Roman" w:hAnsi="Times New Roman"/>
                <w:sz w:val="21"/>
                <w:szCs w:val="21"/>
                <w:highlight w:val="none"/>
              </w:rPr>
            </w:pPr>
            <w:r>
              <w:rPr>
                <w:rFonts w:hint="eastAsia" w:ascii="Times New Roman" w:hAnsi="Times New Roman"/>
                <w:sz w:val="21"/>
                <w:szCs w:val="21"/>
                <w:highlight w:val="none"/>
              </w:rPr>
              <w:t xml:space="preserve">热源应于2020年底实现超低排放； </w:t>
            </w:r>
          </w:p>
          <w:p>
            <w:pPr>
              <w:pStyle w:val="16"/>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imes New Roman" w:hAnsi="Times New Roman"/>
                <w:sz w:val="21"/>
                <w:szCs w:val="21"/>
              </w:rPr>
            </w:pPr>
            <w:r>
              <w:rPr>
                <w:rFonts w:hint="eastAsia" w:ascii="Times New Roman" w:hAnsi="Times New Roman"/>
                <w:sz w:val="21"/>
                <w:szCs w:val="21"/>
              </w:rPr>
              <w:t xml:space="preserve">加油站满足安全设计要求，污染物排放满足相关管理要求，设置双层罐； </w:t>
            </w:r>
          </w:p>
          <w:p>
            <w:pPr>
              <w:pStyle w:val="16"/>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ascii="Times New Roman" w:hAnsi="Times New Roman"/>
                <w:sz w:val="21"/>
                <w:szCs w:val="21"/>
              </w:rPr>
            </w:pPr>
            <w:r>
              <w:rPr>
                <w:rFonts w:hint="eastAsia" w:ascii="Times New Roman" w:hAnsi="Times New Roman"/>
                <w:sz w:val="21"/>
                <w:szCs w:val="21"/>
              </w:rPr>
              <w:t>餐饮油烟得到有效治理，禁止无内置独立烟道的商业网点进行餐饮服务活动。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3</w:t>
            </w:r>
          </w:p>
        </w:tc>
        <w:tc>
          <w:tcPr>
            <w:tcW w:w="614"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rPr>
              <w:t>规划区内浑南供水公司产业区应用水源保护区</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imes New Roman" w:hAnsi="Times New Roman"/>
                <w:sz w:val="21"/>
                <w:szCs w:val="21"/>
              </w:rPr>
            </w:pPr>
            <w:r>
              <w:rPr>
                <w:rFonts w:hint="eastAsia" w:ascii="Times New Roman" w:hAnsi="Times New Roman"/>
                <w:sz w:val="21"/>
                <w:szCs w:val="21"/>
              </w:rPr>
              <w:t>禁止在饮用水水源一级保护区内新建、改建、目扩；建禁与止供在水饮设用施水和水保源护二水级源保无护关区的内建新设建项、改建、扩建排放污染物的建设项目。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229"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3</w:t>
            </w:r>
          </w:p>
        </w:tc>
        <w:tc>
          <w:tcPr>
            <w:tcW w:w="614"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基础设施</w:t>
            </w:r>
          </w:p>
        </w:tc>
        <w:tc>
          <w:tcPr>
            <w:tcW w:w="1999" w:type="pct"/>
            <w:vMerge w:val="restart"/>
            <w:tcBorders>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区域排水、中水和供热管网覆盖程度不完善，村屯生活污水没得到有效收集和处理，集中供热水平不高</w:t>
            </w:r>
            <w:r>
              <w:rPr>
                <w:rFonts w:hint="eastAsia" w:cs="Times New Roman"/>
                <w:sz w:val="21"/>
                <w:szCs w:val="21"/>
                <w:lang w:val="en-US" w:eastAsia="zh-CN" w:bidi="ar-SA"/>
              </w:rPr>
              <w:t>；</w:t>
            </w:r>
            <w:r>
              <w:rPr>
                <w:rFonts w:hint="eastAsia" w:ascii="Times New Roman" w:hAnsi="Times New Roman" w:eastAsia="宋体" w:cs="Times New Roman"/>
                <w:sz w:val="21"/>
                <w:szCs w:val="21"/>
                <w:lang w:val="en-US" w:eastAsia="zh-CN" w:bidi="ar-SA"/>
              </w:rPr>
              <w:t>国际新兴产业园区无中水回用设施。</w:t>
            </w:r>
          </w:p>
        </w:tc>
        <w:tc>
          <w:tcPr>
            <w:tcW w:w="2156" w:type="pct"/>
            <w:tcBorders>
              <w:bottom w:val="single" w:color="auto" w:sz="4" w:space="0"/>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农村地区采用清洁供暖或实施集中供热改造</w:t>
            </w:r>
            <w:r>
              <w:rPr>
                <w:rFonts w:hint="eastAsia" w:cs="Times New Roman"/>
                <w:sz w:val="21"/>
                <w:szCs w:val="21"/>
                <w:lang w:val="en-US" w:eastAsia="zh-CN" w:bidi="ar-SA"/>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229"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614"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1999" w:type="pct"/>
            <w:vMerge w:val="continue"/>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2156" w:type="pct"/>
            <w:tcBorders>
              <w:top w:val="single" w:color="auto" w:sz="4" w:space="0"/>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hint="eastAsia" w:ascii="宋体" w:hAnsi="宋体" w:eastAsia="宋体" w:cs="宋体"/>
                <w:color w:val="000000"/>
                <w:kern w:val="0"/>
                <w:sz w:val="21"/>
                <w:szCs w:val="21"/>
                <w:lang w:val="en-US" w:eastAsia="zh-CN" w:bidi="ar"/>
              </w:rPr>
              <w:t>加强污区域污水管网建设，实施废水全部收集处理；加快农村生活污水站建设，并配备人工湿地，实现农村污水达标排放</w:t>
            </w:r>
            <w:r>
              <w:rPr>
                <w:rFonts w:hint="eastAsia" w:ascii="宋体" w:hAnsi="宋体" w:cs="宋体"/>
                <w:color w:val="000000"/>
                <w:kern w:val="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229"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pPr>
          </w:p>
        </w:tc>
        <w:tc>
          <w:tcPr>
            <w:tcW w:w="614"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pPr>
          </w:p>
        </w:tc>
        <w:tc>
          <w:tcPr>
            <w:tcW w:w="1999" w:type="pct"/>
            <w:vMerge w:val="continue"/>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pPr>
          </w:p>
        </w:tc>
        <w:tc>
          <w:tcPr>
            <w:tcW w:w="2156" w:type="pct"/>
            <w:tcBorders>
              <w:top w:val="single" w:color="auto" w:sz="4" w:space="0"/>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ascii="Times New Roman" w:hAnsi="Times New Roman"/>
                <w:sz w:val="21"/>
                <w:szCs w:val="21"/>
              </w:rPr>
              <w:t>由于</w:t>
            </w:r>
            <w:r>
              <w:rPr>
                <w:rFonts w:hint="eastAsia" w:ascii="Times New Roman" w:hAnsi="Times New Roman"/>
                <w:sz w:val="21"/>
                <w:szCs w:val="21"/>
              </w:rPr>
              <w:t>国际新兴产业园区</w:t>
            </w:r>
            <w:r>
              <w:rPr>
                <w:rFonts w:ascii="Times New Roman" w:hAnsi="Times New Roman"/>
                <w:sz w:val="21"/>
                <w:szCs w:val="21"/>
              </w:rPr>
              <w:t>污水依托外部污水处理厂，</w:t>
            </w:r>
            <w:r>
              <w:rPr>
                <w:rFonts w:hint="eastAsia" w:ascii="Times New Roman" w:hAnsi="Times New Roman"/>
                <w:sz w:val="21"/>
                <w:szCs w:val="21"/>
              </w:rPr>
              <w:t>国际新兴产业园区</w:t>
            </w:r>
            <w:r>
              <w:rPr>
                <w:rFonts w:ascii="Times New Roman" w:hAnsi="Times New Roman"/>
                <w:sz w:val="21"/>
                <w:szCs w:val="21"/>
              </w:rPr>
              <w:t>内未开展中水回用，建议取消</w:t>
            </w:r>
            <w:r>
              <w:rPr>
                <w:rFonts w:hint="eastAsia" w:ascii="Times New Roman" w:hAnsi="Times New Roman"/>
                <w:sz w:val="21"/>
                <w:szCs w:val="21"/>
              </w:rPr>
              <w:t>国际新兴产业园区</w:t>
            </w:r>
            <w:r>
              <w:rPr>
                <w:rFonts w:ascii="Times New Roman" w:hAnsi="Times New Roman"/>
                <w:sz w:val="21"/>
                <w:szCs w:val="21"/>
              </w:rPr>
              <w:t>中水回用指标，由</w:t>
            </w:r>
            <w:r>
              <w:rPr>
                <w:rFonts w:hint="eastAsia"/>
                <w:sz w:val="21"/>
                <w:szCs w:val="21"/>
                <w:lang w:val="en-US" w:eastAsia="zh-CN"/>
              </w:rPr>
              <w:t>浑南</w:t>
            </w:r>
            <w:r>
              <w:rPr>
                <w:rFonts w:ascii="Times New Roman" w:hAnsi="Times New Roman"/>
                <w:sz w:val="21"/>
                <w:szCs w:val="21"/>
              </w:rPr>
              <w:t>区或</w:t>
            </w:r>
            <w:r>
              <w:rPr>
                <w:rFonts w:hint="eastAsia" w:ascii="Times New Roman" w:hAnsi="Times New Roman"/>
                <w:sz w:val="21"/>
                <w:szCs w:val="21"/>
              </w:rPr>
              <w:t>浑南国际新兴产业园区管理委员</w:t>
            </w:r>
            <w:r>
              <w:rPr>
                <w:rFonts w:ascii="Times New Roman" w:hAnsi="Times New Roman"/>
                <w:sz w:val="21"/>
                <w:szCs w:val="21"/>
              </w:rPr>
              <w:t>对本</w:t>
            </w:r>
            <w:r>
              <w:rPr>
                <w:rFonts w:hint="eastAsia" w:ascii="Times New Roman" w:hAnsi="Times New Roman"/>
                <w:sz w:val="21"/>
                <w:szCs w:val="21"/>
              </w:rPr>
              <w:t>国际新兴产业园区</w:t>
            </w:r>
            <w:r>
              <w:rPr>
                <w:rFonts w:ascii="Times New Roman" w:hAnsi="Times New Roman"/>
                <w:sz w:val="21"/>
                <w:szCs w:val="21"/>
              </w:rPr>
              <w:t>及周边</w:t>
            </w:r>
            <w:r>
              <w:rPr>
                <w:rFonts w:hint="eastAsia" w:ascii="Times New Roman" w:hAnsi="Times New Roman"/>
                <w:sz w:val="21"/>
                <w:szCs w:val="21"/>
              </w:rPr>
              <w:t>国际新兴产业园区</w:t>
            </w:r>
            <w:r>
              <w:rPr>
                <w:rFonts w:ascii="Times New Roman" w:hAnsi="Times New Roman"/>
                <w:sz w:val="21"/>
                <w:szCs w:val="21"/>
              </w:rPr>
              <w:t>统筹建设中水回用设施，研究尽快实施污水处理厂的中水回用工程，考虑用于</w:t>
            </w:r>
            <w:r>
              <w:rPr>
                <w:rFonts w:hint="eastAsia" w:ascii="Times New Roman" w:hAnsi="Times New Roman"/>
                <w:sz w:val="21"/>
                <w:szCs w:val="21"/>
              </w:rPr>
              <w:t>国际新兴产业园区</w:t>
            </w:r>
            <w:r>
              <w:rPr>
                <w:rFonts w:ascii="Times New Roman" w:hAnsi="Times New Roman"/>
                <w:sz w:val="21"/>
                <w:szCs w:val="21"/>
              </w:rPr>
              <w:t>绿化、生态景观用水等，实现污水资源化，同提高中水回用率。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4</w:t>
            </w:r>
          </w:p>
        </w:tc>
        <w:tc>
          <w:tcPr>
            <w:tcW w:w="614"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环境管理</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国际新兴产业园区</w:t>
            </w:r>
            <w:r>
              <w:rPr>
                <w:rFonts w:ascii="Times New Roman" w:hAnsi="Times New Roman"/>
                <w:sz w:val="21"/>
                <w:szCs w:val="21"/>
              </w:rPr>
              <w:t>未编制突发环境事件应急预案，环境风险防范设施、应急防范能力较弱、未按要求落实例行监测制度。</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由</w:t>
            </w:r>
            <w:r>
              <w:rPr>
                <w:rFonts w:hint="eastAsia" w:ascii="Times New Roman" w:hAnsi="Times New Roman"/>
                <w:sz w:val="21"/>
                <w:szCs w:val="21"/>
                <w:lang w:val="en-US" w:eastAsia="zh-CN"/>
              </w:rPr>
              <w:t>浑南</w:t>
            </w:r>
            <w:r>
              <w:rPr>
                <w:rFonts w:ascii="Times New Roman" w:hAnsi="Times New Roman"/>
                <w:sz w:val="21"/>
                <w:szCs w:val="21"/>
              </w:rPr>
              <w:t>区或</w:t>
            </w:r>
            <w:r>
              <w:rPr>
                <w:rFonts w:hint="eastAsia" w:ascii="Times New Roman" w:hAnsi="Times New Roman"/>
                <w:sz w:val="21"/>
                <w:szCs w:val="21"/>
              </w:rPr>
              <w:t>浑南国际新兴产业园区管理委员</w:t>
            </w:r>
            <w:r>
              <w:rPr>
                <w:rFonts w:ascii="Times New Roman" w:hAnsi="Times New Roman"/>
                <w:sz w:val="21"/>
                <w:szCs w:val="21"/>
              </w:rPr>
              <w:t>对本</w:t>
            </w:r>
            <w:r>
              <w:rPr>
                <w:rFonts w:hint="eastAsia" w:ascii="Times New Roman" w:hAnsi="Times New Roman"/>
                <w:sz w:val="21"/>
                <w:szCs w:val="21"/>
              </w:rPr>
              <w:t>国际新兴产业园区</w:t>
            </w:r>
            <w:r>
              <w:rPr>
                <w:rFonts w:ascii="Times New Roman" w:hAnsi="Times New Roman"/>
                <w:sz w:val="21"/>
                <w:szCs w:val="21"/>
              </w:rPr>
              <w:t>及周边</w:t>
            </w:r>
            <w:r>
              <w:rPr>
                <w:rFonts w:hint="eastAsia" w:ascii="Times New Roman" w:hAnsi="Times New Roman"/>
                <w:sz w:val="21"/>
                <w:szCs w:val="21"/>
              </w:rPr>
              <w:t>国际新兴产业园区</w:t>
            </w:r>
            <w:r>
              <w:rPr>
                <w:rFonts w:ascii="Times New Roman" w:hAnsi="Times New Roman"/>
                <w:sz w:val="21"/>
                <w:szCs w:val="21"/>
              </w:rPr>
              <w:t>统筹编制区域环境风险应急预案，并定期修编。定期进行例行监测。</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9"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5</w:t>
            </w:r>
          </w:p>
        </w:tc>
        <w:tc>
          <w:tcPr>
            <w:tcW w:w="614"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区域环境质量</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杨官河是浑河的一条小型河 流，主要承担城市排水功能。</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lang w:eastAsia="zh-CN"/>
              </w:rPr>
            </w:pPr>
            <w:r>
              <w:rPr>
                <w:rFonts w:hint="eastAsia" w:ascii="Times New Roman" w:hAnsi="Times New Roman"/>
                <w:sz w:val="21"/>
                <w:szCs w:val="21"/>
              </w:rPr>
              <w:t>封育杨官河，巩固杨官河黑臭水体治理成果；实施海绵城市建设，减少入河污染；实施农村污水治理</w:t>
            </w:r>
            <w:r>
              <w:rPr>
                <w:rFonts w:hint="eastAsia" w:ascii="Times New Roman" w:hAnsi="Times New Roman"/>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9"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lang w:val="en-US" w:eastAsia="zh-CN"/>
              </w:rPr>
            </w:pPr>
          </w:p>
        </w:tc>
        <w:tc>
          <w:tcPr>
            <w:tcW w:w="614"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lang w:val="en-US" w:eastAsia="zh-CN"/>
              </w:rPr>
            </w:pPr>
          </w:p>
        </w:tc>
        <w:tc>
          <w:tcPr>
            <w:tcW w:w="1999" w:type="pct"/>
            <w:tcBorders>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除二氧化硫、二氧化氮仍有剩余环境容量外，可吸入颗粒物、细颗粒物均超过环境容量。</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rPr>
              <w:t>三号热源实施超低排放改造，区域交通出行 实现绿色化，提高新能源出行比例</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6</w:t>
            </w:r>
          </w:p>
        </w:tc>
        <w:tc>
          <w:tcPr>
            <w:tcW w:w="614"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项目环 评与</w:t>
            </w:r>
            <w:r>
              <w:rPr>
                <w:rFonts w:hint="eastAsia" w:ascii="Times New Roman" w:hAnsi="Times New Roman"/>
                <w:sz w:val="21"/>
                <w:szCs w:val="21"/>
                <w:lang w:eastAsia="zh-CN"/>
              </w:rPr>
              <w:t>“</w:t>
            </w:r>
            <w:r>
              <w:rPr>
                <w:rFonts w:ascii="Times New Roman" w:hAnsi="Times New Roman"/>
                <w:sz w:val="21"/>
                <w:szCs w:val="21"/>
              </w:rPr>
              <w:t>三 同时</w:t>
            </w:r>
            <w:r>
              <w:rPr>
                <w:rFonts w:hint="eastAsia" w:ascii="Times New Roman" w:hAnsi="Times New Roman"/>
                <w:sz w:val="21"/>
                <w:szCs w:val="21"/>
                <w:lang w:val="en-US" w:eastAsia="zh-CN"/>
              </w:rPr>
              <w:t>”</w:t>
            </w:r>
            <w:r>
              <w:rPr>
                <w:rFonts w:ascii="Times New Roman" w:hAnsi="Times New Roman"/>
                <w:sz w:val="21"/>
                <w:szCs w:val="21"/>
              </w:rPr>
              <w:t>执 行情况</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ascii="Times New Roman" w:hAnsi="Times New Roman"/>
                <w:sz w:val="21"/>
                <w:szCs w:val="21"/>
              </w:rPr>
              <w:t>区内现状企业部分项目环保“三同时”环保验收执行率仍需提高。</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rPr>
              <w:t>要求开发区督促现有具备验收条件、尚未完成环保竣工验收工作的项目尽快完成环境保护竣工验收工作，进一步提高建设项目“三同时”验收制度执行率。</w:t>
            </w:r>
          </w:p>
        </w:tc>
      </w:tr>
    </w:tbl>
    <w:p>
      <w:pPr>
        <w:tabs>
          <w:tab w:val="left" w:pos="9251"/>
        </w:tabs>
        <w:spacing w:before="10"/>
        <w:ind w:firstLine="420"/>
        <w:rPr>
          <w:rFonts w:cs="Times New Roman"/>
          <w:sz w:val="21"/>
          <w:szCs w:val="21"/>
          <w:lang w:eastAsia="zh-CN"/>
        </w:rPr>
        <w:sectPr>
          <w:pgSz w:w="11910" w:h="16840"/>
          <w:pgMar w:top="1417" w:right="1418" w:bottom="1417" w:left="1418" w:header="997" w:footer="986" w:gutter="0"/>
          <w:pgBorders>
            <w:top w:val="none" w:sz="0" w:space="0"/>
            <w:left w:val="none" w:sz="0" w:space="0"/>
            <w:bottom w:val="none" w:sz="0" w:space="0"/>
            <w:right w:val="none" w:sz="0" w:space="0"/>
          </w:pgBorders>
          <w:cols w:space="0" w:num="1"/>
        </w:sectPr>
      </w:pPr>
    </w:p>
    <w:bookmarkEnd w:id="196"/>
    <w:p>
      <w:pPr>
        <w:pStyle w:val="8"/>
        <w:spacing w:before="65"/>
        <w:ind w:left="212"/>
        <w:rPr>
          <w:rFonts w:ascii="Times New Roman" w:hAnsi="Times New Roman" w:eastAsia="Times New Roman" w:cs="Times New Roman"/>
          <w:lang w:eastAsia="zh-CN"/>
        </w:rPr>
      </w:pPr>
      <w:bookmarkStart w:id="197" w:name="_Toc13429"/>
      <w:bookmarkStart w:id="198" w:name="_Toc14798"/>
      <w:bookmarkStart w:id="199" w:name="_Toc13956"/>
      <w:bookmarkStart w:id="200" w:name="_Toc34903932"/>
      <w:r>
        <w:rPr>
          <w:rFonts w:ascii="Times New Roman" w:hAnsi="Times New Roman" w:eastAsia="Times New Roman" w:cs="Times New Roman"/>
          <w:lang w:eastAsia="zh-CN"/>
        </w:rPr>
        <w:t>6.</w:t>
      </w:r>
      <w:bookmarkEnd w:id="197"/>
      <w:r>
        <w:rPr>
          <w:rFonts w:ascii="Times New Roman" w:hAnsi="Times New Roman" w:eastAsia="Times New Roman" w:cs="Times New Roman"/>
          <w:lang w:eastAsia="zh-CN"/>
        </w:rPr>
        <w:t>2 环境管控要求</w:t>
      </w:r>
      <w:bookmarkEnd w:id="198"/>
      <w:bookmarkEnd w:id="199"/>
      <w:bookmarkEnd w:id="200"/>
    </w:p>
    <w:p>
      <w:pPr>
        <w:pStyle w:val="23"/>
        <w:ind w:firstLine="420"/>
        <w:rPr>
          <w:rFonts w:cs="Times New Roman"/>
          <w:kern w:val="2"/>
          <w:lang w:eastAsia="zh-CN"/>
        </w:rPr>
      </w:pPr>
      <w:r>
        <w:rPr>
          <w:rFonts w:cs="Times New Roman"/>
          <w:kern w:val="2"/>
          <w:lang w:eastAsia="zh-CN"/>
        </w:rPr>
        <w:t>根据《关于以改善环境质量为核心加强环境影响评价管理的通知》（环环评〔2016〕150号）文件要求，为适应以改善环境质量为核心的环境管理要求，切实加强环境影响评价（以下简称环评）管理，须落实</w:t>
      </w:r>
      <w:r>
        <w:rPr>
          <w:rFonts w:hint="eastAsia"/>
          <w:lang w:eastAsia="zh-CN"/>
        </w:rPr>
        <w:t>辽宁省人民政府关于实施“三线一单”生态环境分区管控的意见（辽政发〔2021〕6号）、辽宁省“三线一单”（初步成果）、沈阳市人民政府关于实施“三线一单”生态环境分区管控的意见（沈政发〔2021〕10号）、沈阳市生态环境准入清单(2021年版)</w:t>
      </w:r>
      <w:r>
        <w:rPr>
          <w:rFonts w:hint="eastAsia" w:ascii="宋体" w:hAnsi="宋体"/>
          <w:sz w:val="18"/>
          <w:szCs w:val="18"/>
          <w:lang w:eastAsia="zh-CN"/>
        </w:rPr>
        <w:t xml:space="preserve"> </w:t>
      </w:r>
      <w:r>
        <w:rPr>
          <w:rFonts w:hint="eastAsia"/>
          <w:lang w:eastAsia="zh-CN"/>
        </w:rPr>
        <w:t>（沈环发〔2</w:t>
      </w:r>
      <w:r>
        <w:rPr>
          <w:lang w:eastAsia="zh-CN"/>
        </w:rPr>
        <w:t>021</w:t>
      </w:r>
      <w:r>
        <w:rPr>
          <w:rFonts w:hint="eastAsia"/>
          <w:lang w:eastAsia="zh-CN"/>
        </w:rPr>
        <w:t>〕3</w:t>
      </w:r>
      <w:r>
        <w:rPr>
          <w:lang w:eastAsia="zh-CN"/>
        </w:rPr>
        <w:t>1号</w:t>
      </w:r>
      <w:r>
        <w:rPr>
          <w:rFonts w:cs="Times New Roman"/>
          <w:kern w:val="2"/>
          <w:lang w:eastAsia="zh-CN"/>
        </w:rPr>
        <w:t>）约束，以更好地发挥环评制度从源头防范环境污染和生态破坏的作用，加快推进改善环境质量。</w:t>
      </w:r>
    </w:p>
    <w:p>
      <w:pPr>
        <w:pStyle w:val="9"/>
        <w:rPr>
          <w:rFonts w:ascii="Times New Roman" w:hAnsi="Times New Roman"/>
        </w:rPr>
      </w:pPr>
      <w:bookmarkStart w:id="201" w:name="_Toc23585"/>
      <w:r>
        <w:rPr>
          <w:rFonts w:ascii="Times New Roman" w:hAnsi="Times New Roman"/>
        </w:rPr>
        <w:t>6.2.1 生态空间管制红线</w:t>
      </w:r>
      <w:bookmarkEnd w:id="201"/>
    </w:p>
    <w:p>
      <w:pPr>
        <w:ind w:firstLine="480"/>
        <w:rPr>
          <w:rFonts w:cs="Times New Roman"/>
          <w:lang w:eastAsia="zh-CN"/>
        </w:rPr>
      </w:pPr>
      <w:r>
        <w:rPr>
          <w:rFonts w:cs="Times New Roman"/>
          <w:lang w:eastAsia="zh-CN"/>
        </w:rPr>
        <w:t>根据《沈阳市生态保护红线划定方案》，</w:t>
      </w:r>
      <w:r>
        <w:rPr>
          <w:rFonts w:hint="eastAsia" w:cs="Times New Roman"/>
          <w:lang w:eastAsia="zh-CN"/>
        </w:rPr>
        <w:t>国际新兴产业园区</w:t>
      </w:r>
      <w:r>
        <w:rPr>
          <w:rFonts w:cs="Times New Roman"/>
          <w:lang w:eastAsia="zh-CN"/>
        </w:rPr>
        <w:t>内除三环路网廊道生态保护红线区外，无其他生态保护红线。</w:t>
      </w:r>
    </w:p>
    <w:p>
      <w:pPr>
        <w:ind w:firstLine="480"/>
        <w:rPr>
          <w:rFonts w:cs="Times New Roman"/>
          <w:lang w:eastAsia="zh-CN"/>
        </w:rPr>
      </w:pPr>
      <w:r>
        <w:rPr>
          <w:rFonts w:cs="Times New Roman"/>
          <w:lang w:eastAsia="zh-CN"/>
        </w:rPr>
        <w:t>三环路网廊道生态保护红线、属于城市路网廊道及绿化带红线区。红线管控要求如下：</w:t>
      </w:r>
    </w:p>
    <w:p>
      <w:pPr>
        <w:ind w:firstLine="480"/>
        <w:rPr>
          <w:rFonts w:cs="Times New Roman"/>
          <w:lang w:eastAsia="zh-CN"/>
        </w:rPr>
      </w:pPr>
      <w:r>
        <w:rPr>
          <w:rFonts w:cs="Times New Roman"/>
          <w:lang w:eastAsia="zh-CN"/>
        </w:rPr>
        <w:t>二类区内不得建设与园林绿地管理要求不符的建设项目，红线区的城市园林绿地不得占用，已被占用的要限期退换。</w:t>
      </w:r>
    </w:p>
    <w:p>
      <w:pPr>
        <w:ind w:firstLine="480"/>
        <w:rPr>
          <w:rFonts w:cs="Times New Roman"/>
          <w:lang w:eastAsia="zh-CN"/>
        </w:rPr>
      </w:pPr>
      <w:r>
        <w:rPr>
          <w:rFonts w:cs="Times New Roman"/>
          <w:lang w:eastAsia="zh-CN"/>
        </w:rPr>
        <w:t>妥善保护红线区花草树木、野生动物和园林绿化设施，禁止在园林绿地内进行采石、挖砂、取土、建坟、烧荒、放牧等破坏景观环境的行为。严禁将未经处理的生活污水、废气、废渣等污染物排入红线区。</w:t>
      </w:r>
    </w:p>
    <w:p>
      <w:pPr>
        <w:pStyle w:val="9"/>
        <w:rPr>
          <w:rFonts w:ascii="Times New Roman" w:hAnsi="Times New Roman"/>
        </w:rPr>
      </w:pPr>
      <w:bookmarkStart w:id="202" w:name="_Toc22550362"/>
      <w:bookmarkStart w:id="203" w:name="_Toc22551316"/>
      <w:bookmarkStart w:id="204" w:name="_Toc22551032"/>
      <w:bookmarkStart w:id="205" w:name="_Toc5360"/>
      <w:bookmarkStart w:id="206" w:name="_Toc57582286"/>
      <w:bookmarkStart w:id="207" w:name="_Toc24752113"/>
      <w:bookmarkStart w:id="208" w:name="_Toc14189"/>
      <w:bookmarkStart w:id="209" w:name="_Toc22549330"/>
      <w:bookmarkStart w:id="210" w:name="_Toc57572535"/>
      <w:bookmarkStart w:id="211" w:name="_Toc13182"/>
      <w:r>
        <w:rPr>
          <w:rFonts w:ascii="Times New Roman" w:hAnsi="Times New Roman"/>
        </w:rPr>
        <w:t>6.2.2 环境质量底线清单</w:t>
      </w:r>
      <w:bookmarkEnd w:id="202"/>
      <w:bookmarkEnd w:id="203"/>
      <w:bookmarkEnd w:id="204"/>
      <w:bookmarkEnd w:id="205"/>
      <w:bookmarkEnd w:id="206"/>
      <w:bookmarkEnd w:id="207"/>
      <w:bookmarkEnd w:id="208"/>
      <w:bookmarkEnd w:id="209"/>
      <w:bookmarkEnd w:id="210"/>
      <w:bookmarkEnd w:id="211"/>
    </w:p>
    <w:p>
      <w:pPr>
        <w:ind w:firstLine="480"/>
        <w:rPr>
          <w:rFonts w:cs="Times New Roman"/>
          <w:lang w:eastAsia="zh-CN"/>
        </w:rPr>
      </w:pPr>
      <w:r>
        <w:rPr>
          <w:rFonts w:cs="Times New Roman"/>
          <w:lang w:eastAsia="zh-CN"/>
        </w:rPr>
        <w:t>根据《中共中央国务院关于全面加强生态环境保护，坚决打好污染防治攻坚战的意见》，结合跟踪评价阶段</w:t>
      </w:r>
      <w:r>
        <w:rPr>
          <w:rFonts w:hint="eastAsia" w:cs="Times New Roman"/>
          <w:lang w:eastAsia="zh-CN"/>
        </w:rPr>
        <w:t>国际新兴产业园区</w:t>
      </w:r>
      <w:r>
        <w:rPr>
          <w:rFonts w:cs="Times New Roman"/>
          <w:lang w:eastAsia="zh-CN"/>
        </w:rPr>
        <w:t>环境质量现状和资源承载力水平，跟踪评价提出规划后续实施过程中的环境质量底线见表6.2-1，</w:t>
      </w:r>
      <w:r>
        <w:rPr>
          <w:rFonts w:hint="eastAsia" w:cs="Times New Roman"/>
          <w:lang w:eastAsia="zh-CN"/>
        </w:rPr>
        <w:t>国际新兴产业园区</w:t>
      </w:r>
      <w:r>
        <w:rPr>
          <w:rFonts w:cs="Times New Roman"/>
          <w:lang w:eastAsia="zh-CN"/>
        </w:rPr>
        <w:t>污染物排放总量将在沈北新区控制性详细规划环境影响评价中提出。</w:t>
      </w:r>
    </w:p>
    <w:p>
      <w:pPr>
        <w:pStyle w:val="302"/>
        <w:keepNext w:val="0"/>
        <w:keepLines w:val="0"/>
        <w:pageBreakBefore w:val="0"/>
        <w:widowControl w:val="0"/>
        <w:kinsoku/>
        <w:wordWrap/>
        <w:overflowPunct/>
        <w:topLinePunct w:val="0"/>
        <w:autoSpaceDE/>
        <w:autoSpaceDN/>
        <w:bidi w:val="0"/>
        <w:adjustRightInd w:val="0"/>
        <w:snapToGrid/>
        <w:spacing w:before="0" w:after="0" w:line="240" w:lineRule="auto"/>
        <w:ind w:firstLine="0" w:firstLineChars="0"/>
        <w:textAlignment w:val="auto"/>
        <w:rPr>
          <w:rFonts w:ascii="Times New Roman" w:hAnsi="Times New Roman" w:eastAsia="宋体"/>
          <w:b/>
          <w:bCs/>
          <w:sz w:val="24"/>
          <w:szCs w:val="22"/>
        </w:rPr>
      </w:pPr>
      <w:r>
        <w:rPr>
          <w:rFonts w:ascii="Times New Roman" w:hAnsi="Times New Roman" w:eastAsia="宋体"/>
          <w:b/>
          <w:bCs/>
          <w:sz w:val="24"/>
          <w:szCs w:val="22"/>
        </w:rPr>
        <w:t xml:space="preserve">表6.2-1  </w:t>
      </w:r>
      <w:r>
        <w:rPr>
          <w:rFonts w:hint="eastAsia" w:ascii="Times New Roman" w:hAnsi="Times New Roman" w:eastAsia="宋体"/>
          <w:b/>
          <w:bCs/>
          <w:sz w:val="24"/>
          <w:szCs w:val="22"/>
        </w:rPr>
        <w:t>国际新兴产业园区</w:t>
      </w:r>
      <w:r>
        <w:rPr>
          <w:rFonts w:ascii="Times New Roman" w:hAnsi="Times New Roman" w:eastAsia="宋体"/>
          <w:b/>
          <w:bCs/>
          <w:sz w:val="24"/>
          <w:szCs w:val="22"/>
        </w:rPr>
        <w:t>规划后续实施环境质量底线</w:t>
      </w:r>
    </w:p>
    <w:tbl>
      <w:tblPr>
        <w:tblStyle w:val="64"/>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89"/>
        <w:gridCol w:w="1813"/>
        <w:gridCol w:w="3108"/>
        <w:gridCol w:w="338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000" w:type="pct"/>
            <w:gridSpan w:val="4"/>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水环境质量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序号</w:t>
            </w:r>
          </w:p>
        </w:tc>
        <w:tc>
          <w:tcPr>
            <w:tcW w:w="976"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所在流域水体</w:t>
            </w:r>
          </w:p>
        </w:tc>
        <w:tc>
          <w:tcPr>
            <w:tcW w:w="167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规划近期水质目标</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规划远期水质目标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9"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w:t>
            </w:r>
          </w:p>
        </w:tc>
        <w:tc>
          <w:tcPr>
            <w:tcW w:w="976"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杨官河</w:t>
            </w:r>
          </w:p>
        </w:tc>
        <w:tc>
          <w:tcPr>
            <w:tcW w:w="1672" w:type="pct"/>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hint="eastAsia" w:ascii="Times New Roman" w:hAnsi="Times New Roman" w:eastAsia="宋体" w:cs="Times New Roman"/>
                <w:sz w:val="21"/>
                <w:szCs w:val="21"/>
                <w:lang w:val="en-US" w:eastAsia="zh-CN" w:bidi="ar-SA"/>
              </w:rPr>
              <w:t>劣Ⅴ类</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V类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2</w:t>
            </w:r>
          </w:p>
        </w:tc>
        <w:tc>
          <w:tcPr>
            <w:tcW w:w="976"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lang w:val="en-US" w:eastAsia="zh-CN"/>
              </w:rPr>
              <w:t>浑</w:t>
            </w:r>
            <w:r>
              <w:rPr>
                <w:rFonts w:ascii="Times New Roman" w:hAnsi="Times New Roman"/>
                <w:sz w:val="21"/>
                <w:szCs w:val="21"/>
              </w:rPr>
              <w:t>河</w:t>
            </w:r>
          </w:p>
        </w:tc>
        <w:tc>
          <w:tcPr>
            <w:tcW w:w="167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Ⅲ</w:t>
            </w:r>
            <w:r>
              <w:rPr>
                <w:rFonts w:ascii="Times New Roman" w:hAnsi="Times New Roman"/>
                <w:sz w:val="21"/>
                <w:szCs w:val="21"/>
              </w:rPr>
              <w:t>类</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Ⅲ</w:t>
            </w:r>
            <w:r>
              <w:rPr>
                <w:rFonts w:ascii="Times New Roman" w:hAnsi="Times New Roman"/>
                <w:sz w:val="21"/>
                <w:szCs w:val="21"/>
              </w:rPr>
              <w:t>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000" w:type="pct"/>
            <w:gridSpan w:val="4"/>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大气环境质量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序号</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污染因子</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目标/μg/m3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二氧化硫</w:t>
            </w:r>
          </w:p>
        </w:tc>
        <w:tc>
          <w:tcPr>
            <w:tcW w:w="1818" w:type="pct"/>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达到二级标准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2</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二氧化氮</w:t>
            </w:r>
          </w:p>
        </w:tc>
        <w:tc>
          <w:tcPr>
            <w:tcW w:w="1818" w:type="pct"/>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达到二级标准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3</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PM10</w:t>
            </w:r>
          </w:p>
        </w:tc>
        <w:tc>
          <w:tcPr>
            <w:tcW w:w="1818" w:type="pct"/>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达到二级标准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4</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PM2.5</w:t>
            </w:r>
          </w:p>
        </w:tc>
        <w:tc>
          <w:tcPr>
            <w:tcW w:w="1818" w:type="pct"/>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达到二级标准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5</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臭氧</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达到二级标准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6</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CO</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达到二级标准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000" w:type="pct"/>
            <w:gridSpan w:val="4"/>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声环境质量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序号</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功能区</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目标/dB（A）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1类声环境功能区</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昼间：55、夜间：45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2</w:t>
            </w:r>
          </w:p>
        </w:tc>
        <w:tc>
          <w:tcPr>
            <w:tcW w:w="2649" w:type="pct"/>
            <w:gridSpan w:val="2"/>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hint="default" w:ascii="Times New Roman" w:hAnsi="Times New Roman" w:eastAsia="宋体" w:cs="Times New Roman"/>
                <w:sz w:val="21"/>
                <w:szCs w:val="21"/>
                <w:lang w:val="en-US" w:eastAsia="zh-CN" w:bidi="ar-SA"/>
              </w:rPr>
              <w:t xml:space="preserve">2 </w:t>
            </w:r>
            <w:r>
              <w:rPr>
                <w:rFonts w:hint="eastAsia" w:ascii="Times New Roman" w:hAnsi="Times New Roman" w:eastAsia="宋体" w:cs="Times New Roman"/>
                <w:sz w:val="21"/>
                <w:szCs w:val="21"/>
                <w:lang w:val="en-US" w:eastAsia="zh-CN" w:bidi="ar-SA"/>
              </w:rPr>
              <w:t>类声环境功能区</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sz w:val="21"/>
                <w:szCs w:val="21"/>
                <w:lang w:val="en-US" w:eastAsia="zh-CN"/>
              </w:rPr>
            </w:pPr>
            <w:r>
              <w:rPr>
                <w:rFonts w:ascii="Times New Roman" w:hAnsi="Times New Roman"/>
                <w:sz w:val="21"/>
                <w:szCs w:val="21"/>
              </w:rPr>
              <w:t>昼间：</w:t>
            </w:r>
            <w:r>
              <w:rPr>
                <w:rFonts w:hint="eastAsia" w:ascii="Times New Roman" w:hAnsi="Times New Roman"/>
                <w:sz w:val="21"/>
                <w:szCs w:val="21"/>
                <w:lang w:val="en-US" w:eastAsia="zh-CN"/>
              </w:rPr>
              <w:t>60</w:t>
            </w:r>
            <w:r>
              <w:rPr>
                <w:rFonts w:ascii="Times New Roman" w:hAnsi="Times New Roman"/>
                <w:sz w:val="21"/>
                <w:szCs w:val="21"/>
              </w:rPr>
              <w:t>、夜间：</w:t>
            </w:r>
            <w:r>
              <w:rPr>
                <w:rFonts w:hint="eastAsia" w:ascii="Times New Roman" w:hAnsi="Times New Roman"/>
                <w:sz w:val="21"/>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3</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4类声环境功能区</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昼间：70、夜间：55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000" w:type="pct"/>
            <w:gridSpan w:val="4"/>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土壤环境质量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序号</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用地类别</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目标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规划涉及的 GB50137 中的 R2、A32、A33、 A35、G1</w:t>
            </w:r>
            <w:r>
              <w:rPr>
                <w:rFonts w:ascii="Times New Roman" w:hAnsi="Times New Roman"/>
                <w:sz w:val="21"/>
                <w:szCs w:val="21"/>
              </w:rPr>
              <w:t xml:space="preserve"> </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GB36600-2018第一类用地筛选值或管制值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2</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规划涉及的 GB50137 中的 M1、M2、W1、 B1、B41、S1、S41、U11、U12、U13、 U21、U31、G2、H2</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GB36600-2018第二类用地筛选值或管制值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32" w:type="pct"/>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3</w:t>
            </w:r>
          </w:p>
        </w:tc>
        <w:tc>
          <w:tcPr>
            <w:tcW w:w="2649" w:type="pct"/>
            <w:gridSpan w:val="2"/>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H8</w:t>
            </w:r>
          </w:p>
        </w:tc>
        <w:tc>
          <w:tcPr>
            <w:tcW w:w="1818"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农用地土壤污染风险管控标准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000" w:type="pct"/>
            <w:gridSpan w:val="4"/>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地下水环境质量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trPr>
        <w:tc>
          <w:tcPr>
            <w:tcW w:w="5000" w:type="pct"/>
            <w:gridSpan w:val="4"/>
            <w:noWrap/>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《地下水质量标准》（GB14848-2017）Ⅲ类</w:t>
            </w:r>
          </w:p>
        </w:tc>
      </w:tr>
    </w:tbl>
    <w:p>
      <w:pPr>
        <w:pStyle w:val="9"/>
        <w:rPr>
          <w:rFonts w:ascii="Times New Roman" w:hAnsi="Times New Roman"/>
        </w:rPr>
      </w:pPr>
      <w:bookmarkStart w:id="212" w:name="_Toc25786"/>
      <w:bookmarkStart w:id="213" w:name="_Toc22551033"/>
      <w:bookmarkStart w:id="214" w:name="_Toc22550363"/>
      <w:bookmarkStart w:id="215" w:name="_Toc22551317"/>
      <w:bookmarkStart w:id="216" w:name="_Toc22549331"/>
      <w:bookmarkStart w:id="217" w:name="_Toc57572536"/>
      <w:bookmarkStart w:id="218" w:name="_Toc57582287"/>
      <w:bookmarkStart w:id="219" w:name="_Toc24752114"/>
      <w:bookmarkStart w:id="220" w:name="_Toc10904"/>
      <w:bookmarkStart w:id="221" w:name="_Toc8063"/>
      <w:r>
        <w:rPr>
          <w:rFonts w:ascii="Times New Roman" w:hAnsi="Times New Roman"/>
        </w:rPr>
        <w:t>6.2.3 资源利用上限清单</w:t>
      </w:r>
      <w:bookmarkEnd w:id="212"/>
      <w:bookmarkEnd w:id="213"/>
      <w:bookmarkEnd w:id="214"/>
      <w:bookmarkEnd w:id="215"/>
      <w:bookmarkEnd w:id="216"/>
      <w:bookmarkEnd w:id="217"/>
      <w:bookmarkEnd w:id="218"/>
      <w:bookmarkEnd w:id="219"/>
      <w:r>
        <w:rPr>
          <w:rFonts w:ascii="Times New Roman" w:hAnsi="Times New Roman"/>
        </w:rPr>
        <w:t>、产业准入负面清单</w:t>
      </w:r>
      <w:bookmarkEnd w:id="220"/>
      <w:bookmarkEnd w:id="221"/>
    </w:p>
    <w:p>
      <w:pPr>
        <w:ind w:firstLine="480"/>
        <w:rPr>
          <w:rFonts w:cs="Times New Roman"/>
          <w:lang w:eastAsia="zh-CN"/>
        </w:rPr>
      </w:pPr>
      <w:r>
        <w:rPr>
          <w:rFonts w:cs="Times New Roman"/>
          <w:lang w:eastAsia="zh-CN"/>
        </w:rPr>
        <w:t>由于规划已经调整，后续资源利用上限清单、产业准入负面清单将在沈北新区控制性详细规划环境影响评价中提出。</w:t>
      </w:r>
    </w:p>
    <w:p>
      <w:pPr>
        <w:pStyle w:val="8"/>
        <w:spacing w:before="65"/>
        <w:rPr>
          <w:rFonts w:ascii="Times New Roman" w:hAnsi="Times New Roman" w:eastAsia="Times New Roman" w:cs="Times New Roman"/>
          <w:lang w:eastAsia="zh-CN"/>
        </w:rPr>
      </w:pPr>
      <w:bookmarkStart w:id="222" w:name="_Toc34903933"/>
      <w:bookmarkStart w:id="223" w:name="_Toc22759"/>
      <w:bookmarkStart w:id="224" w:name="_Toc25894"/>
      <w:r>
        <w:rPr>
          <w:rFonts w:ascii="Times New Roman" w:hAnsi="Times New Roman" w:eastAsia="Times New Roman" w:cs="Times New Roman"/>
          <w:lang w:eastAsia="zh-CN"/>
        </w:rPr>
        <w:t xml:space="preserve">6.3 </w:t>
      </w:r>
      <w:r>
        <w:rPr>
          <w:rFonts w:ascii="Times New Roman" w:hAnsi="Times New Roman" w:cs="Times New Roman"/>
          <w:spacing w:val="-1"/>
          <w:lang w:eastAsia="zh-CN"/>
        </w:rPr>
        <w:t>后续</w:t>
      </w:r>
      <w:r>
        <w:rPr>
          <w:rFonts w:ascii="Times New Roman" w:hAnsi="Times New Roman" w:eastAsia="Times New Roman" w:cs="Times New Roman"/>
          <w:lang w:eastAsia="zh-CN"/>
        </w:rPr>
        <w:t>规划优化调整建议</w:t>
      </w:r>
      <w:bookmarkEnd w:id="222"/>
      <w:bookmarkEnd w:id="223"/>
      <w:bookmarkEnd w:id="224"/>
    </w:p>
    <w:p>
      <w:pPr>
        <w:ind w:firstLine="484"/>
        <w:rPr>
          <w:rFonts w:hint="eastAsia" w:cs="Times New Roman"/>
          <w:spacing w:val="1"/>
          <w:lang w:eastAsia="zh-CN"/>
        </w:rPr>
      </w:pPr>
      <w:r>
        <w:rPr>
          <w:rFonts w:hint="eastAsia" w:cs="Times New Roman"/>
          <w:spacing w:val="1"/>
          <w:lang w:eastAsia="zh-CN"/>
        </w:rPr>
        <w:t>（1）加快清洁生产审核工作</w:t>
      </w:r>
    </w:p>
    <w:p>
      <w:pPr>
        <w:ind w:firstLine="484"/>
        <w:rPr>
          <w:rFonts w:hint="eastAsia" w:cs="Times New Roman"/>
          <w:spacing w:val="1"/>
          <w:lang w:eastAsia="zh-CN"/>
        </w:rPr>
      </w:pPr>
      <w:r>
        <w:rPr>
          <w:rFonts w:hint="eastAsia" w:cs="Times New Roman"/>
          <w:spacing w:val="1"/>
          <w:lang w:eastAsia="zh-CN"/>
        </w:rPr>
        <w:t>区内清洁生产审核工作比较滞后，跟踪评价建议，相关部门应督促企业按相关要求开展清洁生产审核。</w:t>
      </w:r>
    </w:p>
    <w:p>
      <w:pPr>
        <w:pStyle w:val="38"/>
        <w:spacing w:before="72" w:after="72"/>
        <w:ind w:firstLine="480"/>
        <w:rPr>
          <w:rFonts w:hint="eastAsia" w:eastAsia="宋体"/>
          <w:spacing w:val="-1"/>
          <w:lang w:eastAsia="zh-CN"/>
        </w:rPr>
      </w:pPr>
      <w:r>
        <w:rPr>
          <w:rFonts w:hint="eastAsia" w:cs="Times New Roman"/>
          <w:spacing w:val="1"/>
          <w:lang w:eastAsia="zh-CN"/>
        </w:rPr>
        <w:t>（2）鉴于现状</w:t>
      </w:r>
      <w:r>
        <w:rPr>
          <w:rFonts w:hint="eastAsia" w:ascii="宋体" w:hAnsi="宋体" w:cs="宋体"/>
          <w:color w:val="000000"/>
          <w:lang w:eastAsia="zh-CN" w:bidi="ar"/>
        </w:rPr>
        <w:t>排入上夹河污水处理厂或转输到桃仙污水处理厂处理。</w:t>
      </w:r>
      <w:r>
        <w:t>但由于</w:t>
      </w:r>
      <w:r>
        <w:rPr>
          <w:rFonts w:hint="eastAsia"/>
        </w:rPr>
        <w:t>国际新兴产业园区区域排水、中水和供热管网覆盖程度不完善，村屯生活污水没得到有效收集和处理，</w:t>
      </w:r>
      <w:r>
        <w:t>建议</w:t>
      </w:r>
      <w:r>
        <w:rPr>
          <w:rFonts w:hint="eastAsia"/>
        </w:rPr>
        <w:t>加强污水管网建设，202</w:t>
      </w:r>
      <w:r>
        <w:rPr>
          <w:rFonts w:hint="eastAsia"/>
          <w:lang w:val="en-US" w:eastAsia="zh-CN"/>
        </w:rPr>
        <w:t>2</w:t>
      </w:r>
      <w:r>
        <w:rPr>
          <w:rFonts w:hint="eastAsia"/>
        </w:rPr>
        <w:t>年完成区域污水管网建设，实施废水全部收集处理加快农村生活污水站建设，并配备人工湿地，实现农村污水达标排放</w:t>
      </w:r>
      <w:r>
        <w:t>。</w:t>
      </w:r>
      <w:r>
        <w:rPr>
          <w:rFonts w:hint="eastAsia"/>
        </w:rPr>
        <w:t>巩固杨官河黑臭水体治理成果；实施海绵城市建设，减少入河污染；实施农村污水治理，切断入河面源污染</w:t>
      </w:r>
      <w:r>
        <w:rPr>
          <w:rFonts w:hint="eastAsia"/>
          <w:lang w:eastAsia="zh-CN"/>
        </w:rPr>
        <w:t>；</w:t>
      </w:r>
      <w:r>
        <w:rPr>
          <w:rFonts w:hint="eastAsia"/>
        </w:rPr>
        <w:t>北沙河现状氨氮没有环境容量加强桃仙污水处理厂运行管理，实施中水回用工程；按沈阳市水污染防治行动计划对北沙河进行系统防控，封育北沙河；封育桃仙河，巩固桃仙河黑臭水体治理成果</w:t>
      </w:r>
      <w:r>
        <w:rPr>
          <w:rFonts w:hint="eastAsia"/>
          <w:lang w:eastAsia="zh-CN"/>
        </w:rPr>
        <w:t>。</w:t>
      </w:r>
    </w:p>
    <w:p>
      <w:pPr>
        <w:ind w:firstLine="484"/>
        <w:rPr>
          <w:rFonts w:hint="eastAsia" w:cs="Times New Roman"/>
          <w:spacing w:val="1"/>
          <w:lang w:eastAsia="zh-CN"/>
        </w:rPr>
      </w:pPr>
      <w:r>
        <w:rPr>
          <w:rFonts w:hint="eastAsia" w:cs="Times New Roman"/>
          <w:spacing w:val="1"/>
          <w:lang w:eastAsia="zh-CN"/>
        </w:rPr>
        <w:t>（4）在规划后续实施过程中，应与周边园区、县市建立大气、流域的应急联防机制，建立大气、流域的联防联控机制。</w:t>
      </w:r>
    </w:p>
    <w:p>
      <w:pPr>
        <w:ind w:firstLine="484"/>
        <w:rPr>
          <w:rFonts w:hint="eastAsia" w:cs="Times New Roman"/>
          <w:spacing w:val="1"/>
          <w:lang w:eastAsia="zh-CN"/>
        </w:rPr>
      </w:pPr>
      <w:r>
        <w:rPr>
          <w:rFonts w:hint="eastAsia" w:cs="Times New Roman"/>
          <w:spacing w:val="1"/>
          <w:lang w:eastAsia="zh-CN"/>
        </w:rPr>
        <w:t>（</w:t>
      </w:r>
      <w:r>
        <w:rPr>
          <w:rFonts w:hint="eastAsia" w:cs="Times New Roman"/>
          <w:spacing w:val="1"/>
          <w:lang w:val="en-US" w:eastAsia="zh-CN"/>
        </w:rPr>
        <w:t>5</w:t>
      </w:r>
      <w:r>
        <w:rPr>
          <w:rFonts w:hint="eastAsia" w:cs="Times New Roman"/>
          <w:spacing w:val="1"/>
          <w:lang w:eastAsia="zh-CN"/>
        </w:rPr>
        <w:t>）现状</w:t>
      </w:r>
      <w:r>
        <w:rPr>
          <w:rFonts w:hint="eastAsia" w:cs="Times New Roman"/>
          <w:spacing w:val="1"/>
          <w:lang w:val="en-US" w:eastAsia="zh-CN"/>
        </w:rPr>
        <w:t>浑南区控制性详细规划环境影响评价正在编制中</w:t>
      </w:r>
      <w:r>
        <w:rPr>
          <w:rFonts w:hint="eastAsia" w:cs="Times New Roman"/>
          <w:spacing w:val="1"/>
          <w:lang w:eastAsia="zh-CN"/>
        </w:rPr>
        <w:t>，建议在规划后续实施过程中，应紧密结合区域规划调整工作，统筹安排市域内各类工业园区规模、布局、产业定位、环保基础设施和相关环境管理工作，实现可持续发展。必要时开展规划的修编及规划环评工作。</w:t>
      </w:r>
    </w:p>
    <w:p>
      <w:pPr>
        <w:ind w:firstLine="484"/>
        <w:rPr>
          <w:rFonts w:hint="eastAsia" w:cs="Times New Roman"/>
          <w:spacing w:val="1"/>
          <w:lang w:eastAsia="zh-CN"/>
        </w:rPr>
      </w:pPr>
      <w:r>
        <w:rPr>
          <w:rFonts w:hint="eastAsia" w:cs="Times New Roman"/>
          <w:spacing w:val="1"/>
          <w:lang w:eastAsia="zh-CN"/>
        </w:rPr>
        <w:t>（</w:t>
      </w:r>
      <w:r>
        <w:rPr>
          <w:rFonts w:hint="eastAsia" w:cs="Times New Roman"/>
          <w:spacing w:val="1"/>
          <w:lang w:val="en-US" w:eastAsia="zh-CN"/>
        </w:rPr>
        <w:t>6</w:t>
      </w:r>
      <w:r>
        <w:rPr>
          <w:rFonts w:hint="eastAsia" w:cs="Times New Roman"/>
          <w:spacing w:val="1"/>
          <w:lang w:eastAsia="zh-CN"/>
        </w:rPr>
        <w:t>）建议园区管委会结合《关于印发&lt;环评与排污许可监管行动计划（2021-2023年）&gt;的通知》（环办环评函[2020]463号）、《关于优化小微企业项目环评工作的意见》（环环评[2020]49号），以及当前“放管服”环境政策与管理要求，进一步落实最新的环保政策及相关环保要求。</w:t>
      </w:r>
    </w:p>
    <w:p>
      <w:pPr>
        <w:pStyle w:val="8"/>
        <w:rPr>
          <w:rFonts w:ascii="Times New Roman" w:hAnsi="Times New Roman" w:cs="Times New Roman"/>
          <w:lang w:eastAsia="zh-CN"/>
        </w:rPr>
      </w:pPr>
      <w:bookmarkStart w:id="225" w:name="_Toc34903935"/>
      <w:bookmarkStart w:id="226" w:name="_Toc5985"/>
      <w:bookmarkStart w:id="227" w:name="_Toc4827"/>
      <w:r>
        <w:rPr>
          <w:rFonts w:ascii="Times New Roman" w:hAnsi="Times New Roman" w:cs="Times New Roman"/>
          <w:lang w:eastAsia="zh-CN"/>
        </w:rPr>
        <w:t>6.4 规划后续实施过程中的环保对策与减缓措施</w:t>
      </w:r>
      <w:bookmarkEnd w:id="225"/>
      <w:r>
        <w:rPr>
          <w:rFonts w:ascii="Times New Roman" w:hAnsi="Times New Roman" w:cs="Times New Roman"/>
          <w:lang w:eastAsia="zh-CN"/>
        </w:rPr>
        <w:t>建议</w:t>
      </w:r>
      <w:bookmarkEnd w:id="226"/>
      <w:bookmarkEnd w:id="227"/>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s="Times New Roman"/>
          <w:lang w:eastAsia="zh-CN"/>
        </w:rPr>
      </w:pPr>
      <w:r>
        <w:rPr>
          <w:rFonts w:hint="eastAsia" w:cs="Times New Roman"/>
          <w:lang w:eastAsia="zh-CN"/>
        </w:rPr>
        <w:t xml:space="preserve">规划所处区域资源环境承载力低，现状大气、水环境容量均为赤字，在具体实 施建设过程中，应按照以下原则进行规划建设： </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lang w:eastAsia="zh-CN"/>
        </w:rPr>
      </w:pPr>
      <w:r>
        <w:rPr>
          <w:rFonts w:hint="eastAsia" w:cs="Times New Roman"/>
          <w:lang w:eastAsia="zh-CN"/>
        </w:rPr>
        <w:t>（</w:t>
      </w:r>
      <w:r>
        <w:rPr>
          <w:rFonts w:hint="eastAsia" w:cs="Times New Roman"/>
          <w:lang w:val="en-US" w:eastAsia="zh-CN"/>
        </w:rPr>
        <w:t>1</w:t>
      </w:r>
      <w:r>
        <w:rPr>
          <w:rFonts w:hint="eastAsia" w:cs="Times New Roman"/>
          <w:lang w:eastAsia="zh-CN"/>
        </w:rPr>
        <w:t xml:space="preserve">）贯彻落实绿色经济发展模式内涵，以科学发展为统领、以创新驱动为核心、 以结构调整为主线，严格执行产业环境准入清单，提高产业发展的资源环境优势度； </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cs="Times New Roman"/>
          <w:lang w:eastAsia="zh-CN"/>
        </w:rPr>
      </w:pPr>
      <w:r>
        <w:rPr>
          <w:rFonts w:hint="eastAsia" w:cs="Times New Roman"/>
          <w:lang w:eastAsia="zh-CN"/>
        </w:rPr>
        <w:t xml:space="preserve">（2）以“城区生态化”为主线，依据区域生态禀赋划定生态空间，进行生态营 建和生态修复，为区域可持续发展提供生态空间保障；依托区域水系和路网建设， 建设生态廊道，逐步修复区域生态环境，提高区域生态价值，构建生态城区； </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cs="Times New Roman"/>
          <w:lang w:eastAsia="zh-CN"/>
        </w:rPr>
      </w:pPr>
      <w:r>
        <w:rPr>
          <w:rFonts w:hint="eastAsia" w:cs="Times New Roman"/>
          <w:lang w:eastAsia="zh-CN"/>
        </w:rPr>
        <w:t xml:space="preserve">（3）以“产业绿色化”为手段，努力提高区域工业资源循环利用水平，设定区 域资源开发利用上限，和工业企业污染减排措施，有效控制大气污染物排放上限； </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cs="Times New Roman"/>
          <w:lang w:eastAsia="zh-CN"/>
        </w:rPr>
      </w:pPr>
      <w:r>
        <w:rPr>
          <w:rFonts w:hint="eastAsia" w:cs="Times New Roman"/>
          <w:lang w:eastAsia="zh-CN"/>
        </w:rPr>
        <w:t xml:space="preserve">（4）以“产业低碳化”为追求，加大可再生能源的利用，设定区域能源利用上 限，积极发展能源高效利用新技术，推进天然气利用工程，切实采取节能措施降低 规划区域能源消耗，落实集中热源超低排放措施。 </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cs="Times New Roman"/>
          <w:lang w:eastAsia="zh-CN"/>
        </w:rPr>
      </w:pPr>
      <w:r>
        <w:rPr>
          <w:rFonts w:hint="eastAsia" w:cs="Times New Roman"/>
          <w:lang w:eastAsia="zh-CN"/>
        </w:rPr>
        <w:t xml:space="preserve">（5）以“用地集约化”为宗旨，科学编制用地规划，增强节约集约用地意识， 加大闲置土地处置力度，按照产业集聚、布局集中、用地集约的要求，提高土地集 约利用水平，并逐步化解用地存在的冲突与矛盾。 </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cs="Times New Roman"/>
          <w:lang w:eastAsia="zh-CN"/>
        </w:rPr>
        <w:sectPr>
          <w:pgSz w:w="11910" w:h="16840"/>
          <w:pgMar w:top="1418" w:right="1418" w:bottom="1418" w:left="1418" w:header="1134" w:footer="1134" w:gutter="0"/>
          <w:pgBorders>
            <w:top w:val="none" w:sz="0" w:space="0"/>
            <w:left w:val="none" w:sz="0" w:space="0"/>
            <w:bottom w:val="none" w:sz="0" w:space="0"/>
            <w:right w:val="none" w:sz="0" w:space="0"/>
          </w:pgBorders>
          <w:cols w:space="720" w:num="1"/>
          <w:docGrid w:linePitch="299" w:charSpace="0"/>
        </w:sectPr>
      </w:pPr>
      <w:r>
        <w:rPr>
          <w:rFonts w:hint="eastAsia" w:cs="Times New Roman"/>
          <w:lang w:eastAsia="zh-CN"/>
        </w:rPr>
        <w:t>（6）以“美丽沈阳”为最终目标，大力推进区域环境质量改善计划，从而确保 所处区域生态环境质量实现根本好转</w:t>
      </w:r>
      <w:r>
        <w:rPr>
          <w:rFonts w:cs="Times New Roman"/>
          <w:lang w:eastAsia="zh-CN"/>
        </w:rPr>
        <w:t>。</w:t>
      </w:r>
    </w:p>
    <w:p>
      <w:pPr>
        <w:pStyle w:val="7"/>
        <w:spacing w:line="487" w:lineRule="exact"/>
        <w:rPr>
          <w:rFonts w:ascii="Times New Roman" w:hAnsi="Times New Roman" w:eastAsia="Times New Roman" w:cs="Times New Roman"/>
          <w:lang w:eastAsia="zh-CN"/>
        </w:rPr>
      </w:pPr>
      <w:bookmarkStart w:id="228" w:name="_Toc7754"/>
      <w:bookmarkStart w:id="229" w:name="_Toc22158"/>
      <w:bookmarkStart w:id="230" w:name="_Toc34903936"/>
      <w:r>
        <w:rPr>
          <w:rFonts w:ascii="Times New Roman" w:hAnsi="Times New Roman" w:eastAsia="Times New Roman" w:cs="Times New Roman"/>
          <w:lang w:eastAsia="zh-CN"/>
        </w:rPr>
        <w:t xml:space="preserve">7 </w:t>
      </w:r>
      <w:bookmarkStart w:id="231" w:name="_Hlk56900900"/>
      <w:r>
        <w:rPr>
          <w:rFonts w:ascii="Times New Roman" w:hAnsi="Times New Roman" w:eastAsia="Times New Roman" w:cs="Times New Roman"/>
          <w:lang w:eastAsia="zh-CN"/>
        </w:rPr>
        <w:t>评价结论</w:t>
      </w:r>
      <w:bookmarkEnd w:id="228"/>
      <w:bookmarkEnd w:id="229"/>
      <w:bookmarkEnd w:id="230"/>
      <w:bookmarkEnd w:id="231"/>
    </w:p>
    <w:p>
      <w:pPr>
        <w:pStyle w:val="8"/>
        <w:spacing w:before="0" w:after="0"/>
        <w:ind w:left="10" w:hanging="10"/>
        <w:rPr>
          <w:rFonts w:ascii="Times New Roman" w:hAnsi="Times New Roman" w:eastAsia="Times New Roman" w:cs="Times New Roman"/>
          <w:lang w:eastAsia="zh-CN"/>
        </w:rPr>
      </w:pPr>
      <w:bookmarkStart w:id="232" w:name="_bookmark42"/>
      <w:bookmarkEnd w:id="232"/>
      <w:bookmarkStart w:id="233" w:name="_Toc14625"/>
      <w:bookmarkStart w:id="234" w:name="_Toc30792"/>
      <w:bookmarkStart w:id="235" w:name="_Toc34903937"/>
      <w:r>
        <w:rPr>
          <w:rFonts w:ascii="Times New Roman" w:hAnsi="Times New Roman" w:eastAsia="Times New Roman" w:cs="Times New Roman"/>
          <w:lang w:eastAsia="zh-CN"/>
        </w:rPr>
        <w:t>7.1 规划</w:t>
      </w:r>
      <w:r>
        <w:rPr>
          <w:rFonts w:hint="eastAsia" w:ascii="Times New Roman" w:hAnsi="Times New Roman" w:eastAsia="Times New Roman" w:cs="Times New Roman"/>
          <w:lang w:eastAsia="zh-CN"/>
        </w:rPr>
        <w:t>国际新兴产业园区</w:t>
      </w:r>
      <w:r>
        <w:rPr>
          <w:rFonts w:ascii="Times New Roman" w:hAnsi="Times New Roman" w:eastAsia="Times New Roman" w:cs="Times New Roman"/>
          <w:lang w:eastAsia="zh-CN"/>
        </w:rPr>
        <w:t>规划实施概况</w:t>
      </w:r>
      <w:bookmarkEnd w:id="233"/>
      <w:bookmarkEnd w:id="234"/>
    </w:p>
    <w:p>
      <w:pPr>
        <w:ind w:firstLine="482"/>
        <w:rPr>
          <w:rFonts w:cs="Times New Roman"/>
          <w:b/>
          <w:bCs/>
          <w:lang w:eastAsia="zh-CN"/>
        </w:rPr>
      </w:pPr>
      <w:r>
        <w:rPr>
          <w:rFonts w:cs="Times New Roman"/>
          <w:b/>
          <w:bCs/>
          <w:lang w:eastAsia="zh-CN"/>
        </w:rPr>
        <w:t>7.1.1 规划实施基本情况</w:t>
      </w:r>
    </w:p>
    <w:p>
      <w:pPr>
        <w:ind w:firstLine="460"/>
        <w:rPr>
          <w:sz w:val="24"/>
          <w:szCs w:val="24"/>
        </w:rPr>
      </w:pPr>
      <w:r>
        <w:rPr>
          <w:spacing w:val="-5"/>
          <w:lang w:eastAsia="zh-CN"/>
        </w:rPr>
        <w:t>浑南国际新兴产业园区东邻沈抚连接带的沈抚新城、西邻连接主城金廊的浑南现</w:t>
      </w:r>
      <w:r>
        <w:rPr>
          <w:spacing w:val="-11"/>
          <w:lang w:eastAsia="zh-CN"/>
        </w:rPr>
        <w:t>代商贸区、西南邻未来沈阳的行政中心、文化中心、科技中心浑南新城，并与这三大</w:t>
      </w:r>
      <w:r>
        <w:rPr>
          <w:lang w:eastAsia="zh-CN"/>
        </w:rPr>
        <w:t>战略板块形成的互动作用明显，是城市向南发展的又一重点地区</w:t>
      </w:r>
      <w:r>
        <w:rPr>
          <w:rFonts w:hint="eastAsia"/>
          <w:lang w:eastAsia="zh-CN"/>
        </w:rPr>
        <w:t>。</w:t>
      </w:r>
      <w:r>
        <w:rPr>
          <w:sz w:val="24"/>
          <w:szCs w:val="24"/>
        </w:rPr>
        <w:t>规划总用地面积为</w:t>
      </w:r>
      <w:r>
        <w:rPr>
          <w:rFonts w:hint="eastAsia"/>
          <w:sz w:val="24"/>
          <w:szCs w:val="24"/>
          <w:lang w:val="en-US" w:eastAsia="zh-CN"/>
        </w:rPr>
        <w:t>51</w:t>
      </w:r>
      <w:r>
        <w:rPr>
          <w:rFonts w:eastAsia="Times New Roman"/>
          <w:lang w:eastAsia="zh-CN"/>
        </w:rPr>
        <w:t>km</w:t>
      </w:r>
      <w:r>
        <w:rPr>
          <w:rFonts w:eastAsia="Times New Roman"/>
          <w:vertAlign w:val="superscript"/>
          <w:lang w:eastAsia="zh-CN"/>
        </w:rPr>
        <w:t>2</w:t>
      </w:r>
      <w:r>
        <w:rPr>
          <w:sz w:val="24"/>
          <w:szCs w:val="24"/>
        </w:rPr>
        <w:t>。</w:t>
      </w:r>
      <w:r>
        <w:rPr>
          <w:rFonts w:hint="eastAsia"/>
          <w:sz w:val="24"/>
          <w:szCs w:val="24"/>
        </w:rPr>
        <w:t>国际新兴产业园区</w:t>
      </w:r>
      <w:r>
        <w:rPr>
          <w:sz w:val="24"/>
          <w:szCs w:val="24"/>
        </w:rPr>
        <w:t>自</w:t>
      </w:r>
      <w:r>
        <w:rPr>
          <w:rFonts w:hint="eastAsia" w:cs="Times New Roman"/>
          <w:lang w:eastAsia="zh-CN"/>
        </w:rPr>
        <w:t>2015年1月</w:t>
      </w:r>
      <w:r>
        <w:rPr>
          <w:sz w:val="24"/>
          <w:szCs w:val="24"/>
        </w:rPr>
        <w:t>取得规划环评审查意见后，历时已接近</w:t>
      </w:r>
      <w:r>
        <w:rPr>
          <w:rFonts w:hint="eastAsia"/>
          <w:sz w:val="24"/>
          <w:szCs w:val="24"/>
          <w:lang w:val="en-US" w:eastAsia="zh-CN"/>
        </w:rPr>
        <w:t>6</w:t>
      </w:r>
      <w:r>
        <w:rPr>
          <w:sz w:val="24"/>
          <w:szCs w:val="24"/>
        </w:rPr>
        <w:t>年时间，需开展规划环境影响跟踪评价工作。为此，</w:t>
      </w:r>
      <w:r>
        <w:rPr>
          <w:rFonts w:hint="eastAsia"/>
          <w:sz w:val="24"/>
          <w:szCs w:val="24"/>
        </w:rPr>
        <w:t>浑南国际新兴产业园区管理委员</w:t>
      </w:r>
      <w:r>
        <w:rPr>
          <w:sz w:val="24"/>
          <w:szCs w:val="24"/>
        </w:rPr>
        <w:t>托</w:t>
      </w:r>
      <w:r>
        <w:rPr>
          <w:rFonts w:hint="eastAsia"/>
          <w:sz w:val="24"/>
          <w:szCs w:val="24"/>
        </w:rPr>
        <w:t>沈阳联鑫环保科技有限公司</w:t>
      </w:r>
      <w:r>
        <w:rPr>
          <w:sz w:val="24"/>
          <w:szCs w:val="24"/>
        </w:rPr>
        <w:t>开展</w:t>
      </w:r>
      <w:r>
        <w:rPr>
          <w:rFonts w:hint="eastAsia"/>
          <w:sz w:val="24"/>
          <w:szCs w:val="24"/>
        </w:rPr>
        <w:t>浑南国际新兴产业园区总体发展规划</w:t>
      </w:r>
      <w:r>
        <w:rPr>
          <w:sz w:val="24"/>
          <w:szCs w:val="24"/>
        </w:rPr>
        <w:t>环境影响跟踪评价工作。</w:t>
      </w:r>
    </w:p>
    <w:p>
      <w:pPr>
        <w:ind w:firstLine="480"/>
        <w:rPr>
          <w:rFonts w:cs="Times New Roman"/>
          <w:lang w:eastAsia="zh-CN"/>
        </w:rPr>
      </w:pPr>
      <w:r>
        <w:rPr>
          <w:rFonts w:hint="eastAsia" w:cs="Times New Roman"/>
          <w:lang w:eastAsia="zh-CN"/>
        </w:rPr>
        <w:t>国际新兴产业园区</w:t>
      </w:r>
      <w:r>
        <w:rPr>
          <w:rFonts w:cs="Times New Roman"/>
          <w:lang w:eastAsia="zh-CN"/>
        </w:rPr>
        <w:t>规划实施以来</w:t>
      </w:r>
      <w:r>
        <w:rPr>
          <w:rFonts w:hint="eastAsia" w:cs="Times New Roman"/>
          <w:lang w:eastAsia="zh-CN"/>
        </w:rPr>
        <w:t>国际新兴产业园区</w:t>
      </w:r>
      <w:r>
        <w:rPr>
          <w:rFonts w:cs="Times New Roman"/>
          <w:lang w:eastAsia="zh-CN"/>
        </w:rPr>
        <w:t>战略定位、总体布局</w:t>
      </w:r>
      <w:r>
        <w:rPr>
          <w:rFonts w:hint="eastAsia" w:cs="Times New Roman"/>
          <w:lang w:eastAsia="zh-CN"/>
        </w:rPr>
        <w:t>、</w:t>
      </w:r>
      <w:r>
        <w:rPr>
          <w:rFonts w:cs="Times New Roman"/>
          <w:lang w:eastAsia="zh-CN"/>
        </w:rPr>
        <w:t>发展目标、总用地面积等未发生变化</w:t>
      </w:r>
      <w:bookmarkEnd w:id="235"/>
      <w:r>
        <w:rPr>
          <w:rFonts w:cs="Times New Roman"/>
          <w:lang w:eastAsia="zh-CN"/>
        </w:rPr>
        <w:t>。</w:t>
      </w:r>
    </w:p>
    <w:p>
      <w:pPr>
        <w:pStyle w:val="8"/>
        <w:spacing w:before="65"/>
        <w:ind w:left="212"/>
        <w:rPr>
          <w:rFonts w:ascii="Times New Roman" w:hAnsi="Times New Roman" w:eastAsia="Times New Roman" w:cs="Times New Roman"/>
          <w:lang w:eastAsia="zh-CN"/>
        </w:rPr>
      </w:pPr>
      <w:bookmarkStart w:id="236" w:name="_Toc34903938"/>
      <w:bookmarkStart w:id="237" w:name="_Toc15580"/>
      <w:bookmarkStart w:id="238" w:name="_Toc3081"/>
      <w:r>
        <w:rPr>
          <w:rFonts w:ascii="Times New Roman" w:hAnsi="Times New Roman" w:eastAsia="Times New Roman" w:cs="Times New Roman"/>
          <w:lang w:eastAsia="zh-CN"/>
        </w:rPr>
        <w:t>7.2 区域生态环境演变趋势</w:t>
      </w:r>
      <w:bookmarkEnd w:id="236"/>
      <w:bookmarkEnd w:id="237"/>
      <w:bookmarkEnd w:id="238"/>
    </w:p>
    <w:p>
      <w:pPr>
        <w:pStyle w:val="9"/>
        <w:adjustRightInd/>
        <w:spacing w:before="256" w:after="260" w:line="416" w:lineRule="auto"/>
        <w:ind w:left="164"/>
        <w:rPr>
          <w:rFonts w:ascii="Times New Roman" w:hAnsi="Times New Roman"/>
          <w:spacing w:val="-1"/>
        </w:rPr>
      </w:pPr>
      <w:bookmarkStart w:id="239" w:name="_Toc21146"/>
      <w:r>
        <w:rPr>
          <w:rFonts w:ascii="Times New Roman" w:hAnsi="Times New Roman"/>
          <w:spacing w:val="-1"/>
        </w:rPr>
        <w:t>7.2.1 环境质量变化趋势</w:t>
      </w:r>
      <w:bookmarkEnd w:id="239"/>
    </w:p>
    <w:p>
      <w:pPr>
        <w:ind w:firstLine="480"/>
        <w:rPr>
          <w:rFonts w:cs="Times New Roman"/>
          <w:lang w:eastAsia="zh-CN"/>
        </w:rPr>
      </w:pPr>
      <w:r>
        <w:rPr>
          <w:rFonts w:cs="Times New Roman"/>
          <w:lang w:eastAsia="zh-CN"/>
        </w:rPr>
        <w:t>（1）环境空气质量</w:t>
      </w:r>
    </w:p>
    <w:p>
      <w:pPr>
        <w:ind w:firstLine="480"/>
        <w:rPr>
          <w:rFonts w:cs="Times New Roman"/>
          <w:lang w:eastAsia="zh-CN"/>
        </w:rPr>
      </w:pPr>
      <w:r>
        <w:rPr>
          <w:rFonts w:cs="Times New Roman"/>
          <w:lang w:eastAsia="zh-CN"/>
        </w:rPr>
        <w:t>根据 201</w:t>
      </w:r>
      <w:r>
        <w:rPr>
          <w:rFonts w:hint="eastAsia" w:cs="Times New Roman"/>
          <w:lang w:val="en-US" w:eastAsia="zh-CN"/>
        </w:rPr>
        <w:t>6</w:t>
      </w:r>
      <w:r>
        <w:rPr>
          <w:rFonts w:cs="Times New Roman"/>
          <w:lang w:eastAsia="zh-CN"/>
        </w:rPr>
        <w:t>～</w:t>
      </w:r>
      <w:r>
        <w:rPr>
          <w:rFonts w:hint="eastAsia" w:cs="Times New Roman"/>
          <w:lang w:val="en-US" w:eastAsia="zh-CN"/>
        </w:rPr>
        <w:t>2020</w:t>
      </w:r>
      <w:r>
        <w:rPr>
          <w:rFonts w:cs="Times New Roman"/>
          <w:lang w:eastAsia="zh-CN"/>
        </w:rPr>
        <w:t>年沈阳市</w:t>
      </w:r>
      <w:r>
        <w:rPr>
          <w:rFonts w:hint="eastAsia" w:cs="Times New Roman"/>
          <w:lang w:val="en-US" w:eastAsia="zh-CN"/>
        </w:rPr>
        <w:t>浑南</w:t>
      </w:r>
      <w:r>
        <w:rPr>
          <w:rFonts w:cs="Times New Roman"/>
          <w:lang w:eastAsia="zh-CN"/>
        </w:rPr>
        <w:t>区环境质量报告书，</w:t>
      </w:r>
      <w:r>
        <w:rPr>
          <w:rFonts w:hint="eastAsia" w:cs="Times New Roman"/>
          <w:lang w:eastAsia="zh-CN"/>
        </w:rPr>
        <w:t>国际新兴产业园区</w:t>
      </w:r>
      <w:r>
        <w:rPr>
          <w:rFonts w:cs="Times New Roman"/>
          <w:lang w:eastAsia="zh-CN"/>
        </w:rPr>
        <w:t>各环境空气质量监测因子日均浓度监测结果基本均呈逐年减小的趋势，表明通过积极落实《辽宁省大气污染防治行动计划实施方案》，沈阳市的环境空气质量得到有效改善。说明规划实施以来，</w:t>
      </w:r>
      <w:r>
        <w:rPr>
          <w:rFonts w:hint="eastAsia" w:cs="Times New Roman"/>
          <w:lang w:eastAsia="zh-CN"/>
        </w:rPr>
        <w:t>国际新兴产业园区</w:t>
      </w:r>
      <w:r>
        <w:rPr>
          <w:rFonts w:cs="Times New Roman"/>
          <w:lang w:eastAsia="zh-CN"/>
        </w:rPr>
        <w:t>的建设对区域环境空气质量影响在可控范围内。根据现状监测对比数据，跟踪评价与上一轮规划环评时各环境空气监测因子浓度值差距不大，PM</w:t>
      </w:r>
      <w:r>
        <w:rPr>
          <w:rFonts w:cs="Times New Roman"/>
          <w:vertAlign w:val="subscript"/>
          <w:lang w:eastAsia="zh-CN"/>
        </w:rPr>
        <w:t>10</w:t>
      </w:r>
      <w:r>
        <w:rPr>
          <w:rFonts w:cs="Times New Roman"/>
          <w:lang w:eastAsia="zh-CN"/>
        </w:rPr>
        <w:t>、SO</w:t>
      </w:r>
      <w:r>
        <w:rPr>
          <w:rFonts w:cs="Times New Roman"/>
          <w:vertAlign w:val="subscript"/>
          <w:lang w:eastAsia="zh-CN"/>
        </w:rPr>
        <w:t>2</w:t>
      </w:r>
      <w:r>
        <w:rPr>
          <w:rFonts w:cs="Times New Roman"/>
          <w:lang w:eastAsia="zh-CN"/>
        </w:rPr>
        <w:t>、NO</w:t>
      </w:r>
      <w:r>
        <w:rPr>
          <w:rFonts w:cs="Times New Roman"/>
          <w:vertAlign w:val="subscript"/>
          <w:lang w:eastAsia="zh-CN"/>
        </w:rPr>
        <w:t>2</w:t>
      </w:r>
      <w:r>
        <w:rPr>
          <w:rFonts w:cs="Times New Roman"/>
          <w:lang w:eastAsia="zh-CN"/>
        </w:rPr>
        <w:t>均能满足《环境空气质量标准》（GB3095-2012）中的二级标准的要求，区域环境空气质量较好。</w:t>
      </w:r>
    </w:p>
    <w:p>
      <w:pPr>
        <w:ind w:firstLine="480"/>
        <w:rPr>
          <w:rFonts w:cs="Times New Roman"/>
          <w:lang w:eastAsia="zh-CN"/>
        </w:rPr>
      </w:pPr>
      <w:r>
        <w:rPr>
          <w:rFonts w:cs="Times New Roman"/>
          <w:lang w:eastAsia="zh-CN"/>
        </w:rPr>
        <w:t xml:space="preserve">（2）地表水环境质量 </w:t>
      </w:r>
    </w:p>
    <w:p>
      <w:pPr>
        <w:ind w:firstLine="480"/>
        <w:rPr>
          <w:rFonts w:eastAsia="新宋体" w:cs="Times New Roman"/>
          <w:bCs/>
          <w:kern w:val="2"/>
          <w:lang w:eastAsia="zh-CN"/>
        </w:rPr>
      </w:pPr>
      <w:r>
        <w:rPr>
          <w:rFonts w:hint="eastAsia" w:cs="Times New Roman"/>
          <w:lang w:eastAsia="zh-CN"/>
        </w:rPr>
        <w:t>根据《</w:t>
      </w:r>
      <w:r>
        <w:rPr>
          <w:rFonts w:eastAsia="Times New Roman"/>
          <w:lang w:eastAsia="zh-CN"/>
        </w:rPr>
        <w:t>20</w:t>
      </w:r>
      <w:r>
        <w:rPr>
          <w:rFonts w:hint="eastAsia" w:eastAsia="Times New Roman"/>
          <w:lang w:val="en-US" w:eastAsia="zh-CN"/>
        </w:rPr>
        <w:t>20</w:t>
      </w:r>
      <w:r>
        <w:rPr>
          <w:spacing w:val="-2"/>
          <w:lang w:eastAsia="zh-CN"/>
        </w:rPr>
        <w:t>年</w:t>
      </w:r>
      <w:r>
        <w:rPr>
          <w:lang w:eastAsia="zh-CN"/>
        </w:rPr>
        <w:t>浑南</w:t>
      </w:r>
      <w:r>
        <w:rPr>
          <w:spacing w:val="-3"/>
          <w:lang w:eastAsia="zh-CN"/>
        </w:rPr>
        <w:t>区环境质量报告</w:t>
      </w:r>
      <w:r>
        <w:rPr>
          <w:rFonts w:hint="eastAsia"/>
          <w:spacing w:val="-3"/>
          <w:lang w:eastAsia="zh-CN"/>
        </w:rPr>
        <w:t>书</w:t>
      </w:r>
      <w:r>
        <w:rPr>
          <w:rFonts w:hint="eastAsia" w:cs="Times New Roman"/>
          <w:lang w:eastAsia="zh-CN"/>
        </w:rPr>
        <w:t>》监测数据，20</w:t>
      </w:r>
      <w:r>
        <w:rPr>
          <w:rFonts w:hint="eastAsia" w:cs="Times New Roman"/>
          <w:lang w:val="en-US" w:eastAsia="zh-CN"/>
        </w:rPr>
        <w:t>20</w:t>
      </w:r>
      <w:r>
        <w:rPr>
          <w:rFonts w:hint="eastAsia" w:cs="Times New Roman"/>
          <w:lang w:eastAsia="zh-CN"/>
        </w:rPr>
        <w:t>年</w:t>
      </w:r>
      <w:r>
        <w:rPr>
          <w:rFonts w:hint="eastAsia"/>
          <w:spacing w:val="-3"/>
          <w:lang w:eastAsia="zh-CN"/>
        </w:rPr>
        <w:t>杨官河监测</w:t>
      </w:r>
      <w:r>
        <w:rPr>
          <w:szCs w:val="32"/>
          <w:lang w:eastAsia="zh-CN"/>
        </w:rPr>
        <w:t>COD</w:t>
      </w:r>
      <w:r>
        <w:rPr>
          <w:rFonts w:hint="eastAsia"/>
          <w:szCs w:val="32"/>
          <w:lang w:eastAsia="zh-CN"/>
        </w:rPr>
        <w:t>浓度2</w:t>
      </w:r>
      <w:r>
        <w:rPr>
          <w:rFonts w:hint="eastAsia"/>
          <w:szCs w:val="32"/>
          <w:lang w:val="en-US" w:eastAsia="zh-CN"/>
        </w:rPr>
        <w:t>8.44</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r>
        <w:rPr>
          <w:szCs w:val="32"/>
          <w:lang w:eastAsia="zh-CN"/>
        </w:rPr>
        <w:t>NH</w:t>
      </w:r>
      <w:r>
        <w:rPr>
          <w:szCs w:val="32"/>
          <w:vertAlign w:val="subscript"/>
          <w:lang w:eastAsia="zh-CN"/>
        </w:rPr>
        <w:t>3</w:t>
      </w:r>
      <w:r>
        <w:rPr>
          <w:szCs w:val="32"/>
          <w:lang w:eastAsia="zh-CN"/>
        </w:rPr>
        <w:t>-N</w:t>
      </w:r>
      <w:r>
        <w:rPr>
          <w:rFonts w:hint="eastAsia"/>
          <w:szCs w:val="32"/>
          <w:lang w:eastAsia="zh-CN"/>
        </w:rPr>
        <w:t>浓度</w:t>
      </w:r>
      <w:r>
        <w:rPr>
          <w:rFonts w:hint="eastAsia"/>
          <w:szCs w:val="32"/>
          <w:lang w:val="en-US" w:eastAsia="zh-CN"/>
        </w:rPr>
        <w:t>2.51</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，总磷</w:t>
      </w:r>
      <w:r>
        <w:rPr>
          <w:rFonts w:hint="eastAsia"/>
          <w:szCs w:val="32"/>
          <w:lang w:eastAsia="zh-CN"/>
        </w:rPr>
        <w:t>浓度0.28</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p>
    <w:p>
      <w:pPr>
        <w:pStyle w:val="6"/>
        <w:adjustRightInd w:val="0"/>
        <w:snapToGrid w:val="0"/>
        <w:spacing w:before="72" w:beforeLines="30" w:after="72" w:afterLines="30"/>
        <w:ind w:firstLine="480"/>
        <w:rPr>
          <w:rFonts w:eastAsia="新宋体" w:cs="Times New Roman"/>
          <w:bCs/>
          <w:kern w:val="2"/>
          <w:lang w:eastAsia="zh-CN"/>
        </w:rPr>
      </w:pPr>
      <w:r>
        <w:rPr>
          <w:rFonts w:hint="default" w:ascii="Times New Roman" w:hAnsi="Times New Roman" w:eastAsia="宋体" w:cs="Times New Roman"/>
          <w:sz w:val="24"/>
          <w:szCs w:val="24"/>
          <w:lang w:eastAsia="zh-CN"/>
        </w:rPr>
        <w:t>2020年杨官河主要污染物为化学需氧量、氨氮和总磷，超过地表水Ⅲ类标准的倍数分别为0.42倍、1.51倍和0.38倍。其中，氨氮超过Ⅴ类标准限值0.26倍。因此，2020年杨官河为劣Ⅴ类水质，属于重度污染</w:t>
      </w:r>
      <w:r>
        <w:rPr>
          <w:rFonts w:hint="default" w:ascii="Times New Roman" w:hAnsi="Times New Roman" w:cs="Times New Roman"/>
          <w:sz w:val="24"/>
          <w:szCs w:val="24"/>
        </w:rPr>
        <w:t>。</w:t>
      </w:r>
    </w:p>
    <w:p>
      <w:pPr>
        <w:ind w:firstLine="480"/>
        <w:rPr>
          <w:lang w:eastAsia="zh-CN"/>
        </w:rPr>
      </w:pPr>
      <w:r>
        <w:rPr>
          <w:rFonts w:cs="Times New Roman"/>
          <w:lang w:eastAsia="zh-CN"/>
        </w:rPr>
        <w:t>自2018年开始，沈阳市继续对建成区以外中心城区范围内的沈抚运河等15条水体开展综合整治。主要实施污染源治理、清淤和岸线环境整治等工作，运河水系将执行更加精细的管理方案，通过严格落实河长制，加强水质监测，做好污染源的巡查与管控，并做好河面漂浮物及两岸环境的综合治理的工作</w:t>
      </w:r>
      <w:r>
        <w:rPr>
          <w:lang w:eastAsia="zh-CN"/>
        </w:rPr>
        <w:t>。</w:t>
      </w:r>
    </w:p>
    <w:p>
      <w:pPr>
        <w:autoSpaceDE w:val="0"/>
        <w:autoSpaceDN w:val="0"/>
        <w:adjustRightInd w:val="0"/>
        <w:ind w:firstLine="480"/>
        <w:rPr>
          <w:rFonts w:cs="Times New Roman"/>
          <w:lang w:eastAsia="zh-CN"/>
        </w:rPr>
      </w:pPr>
      <w:r>
        <w:rPr>
          <w:rFonts w:cs="Times New Roman"/>
          <w:lang w:eastAsia="zh-CN"/>
        </w:rPr>
        <w:t>（3）声环境质量</w:t>
      </w:r>
    </w:p>
    <w:p>
      <w:pPr>
        <w:ind w:firstLine="480"/>
        <w:rPr>
          <w:rFonts w:hint="eastAsia" w:cs="Times New Roman"/>
          <w:lang w:eastAsia="zh-CN"/>
        </w:rPr>
      </w:pPr>
      <w:r>
        <w:rPr>
          <w:rFonts w:hint="eastAsia" w:cs="Times New Roman"/>
          <w:lang w:eastAsia="zh-CN"/>
        </w:rPr>
        <w:t>区域环境噪声质量较好，1类未达到《声环境质量标准》（GB 3096-2008）标准限值要求、2类和4类区域均达到《声环境质量标准》（GB 3096-2008）标准限值要求。</w:t>
      </w:r>
    </w:p>
    <w:p>
      <w:pPr>
        <w:ind w:firstLine="480"/>
        <w:rPr>
          <w:rFonts w:cs="Times New Roman"/>
          <w:lang w:eastAsia="zh-CN"/>
        </w:rPr>
      </w:pPr>
      <w:r>
        <w:rPr>
          <w:rFonts w:cs="Times New Roman"/>
          <w:lang w:eastAsia="zh-CN"/>
        </w:rPr>
        <w:t>（4）地下水质量</w:t>
      </w:r>
    </w:p>
    <w:p>
      <w:pPr>
        <w:pStyle w:val="38"/>
        <w:spacing w:before="72" w:after="72"/>
        <w:ind w:firstLine="480"/>
      </w:pPr>
      <w:r>
        <w:t>现状地下水监测结果与环评阶段地下水相比，</w:t>
      </w:r>
      <w:r>
        <w:rPr>
          <w:rFonts w:hint="eastAsia" w:ascii="Times New Roman" w:hAnsi="Times New Roman" w:eastAsia="宋体" w:cs="Times New Roman"/>
          <w:lang w:eastAsia="zh-CN"/>
        </w:rPr>
        <w:t>氯化物、硫酸盐、硝酸盐氮3项污染物指标下降趋势最为明显</w:t>
      </w:r>
      <w:r>
        <w:t>，地下水水质均满足地下水《地下水质量标准》（GB14848-93）Ⅲ类标准要求。</w:t>
      </w:r>
    </w:p>
    <w:p>
      <w:pPr>
        <w:pStyle w:val="38"/>
        <w:spacing w:before="72" w:after="72"/>
        <w:ind w:firstLine="480"/>
      </w:pPr>
      <w:r>
        <w:t>（5）土壤环境质量</w:t>
      </w:r>
    </w:p>
    <w:p>
      <w:pPr>
        <w:pStyle w:val="170"/>
        <w:rPr>
          <w:rFonts w:cs="Times New Roman"/>
        </w:rPr>
      </w:pPr>
      <w:r>
        <w:rPr>
          <w:rFonts w:cs="Times New Roman"/>
        </w:rPr>
        <w:t>现状土壤监测结果与环评阶段</w:t>
      </w:r>
      <w:r>
        <w:rPr>
          <w:rFonts w:hint="eastAsia" w:cs="Times New Roman"/>
          <w:lang w:val="en-US" w:eastAsia="zh-CN"/>
        </w:rPr>
        <w:t>土壤</w:t>
      </w:r>
      <w:r>
        <w:rPr>
          <w:rFonts w:cs="Times New Roman"/>
        </w:rPr>
        <w:t>相比，变化不大，均符合《土壤环境质量 农用地土壤污染风险管控标准（试行）》（GB15618-2018）和《土壤环境质量 建设用地土壤污染风险管控标准（试</w:t>
      </w:r>
      <w:r>
        <w:rPr>
          <w:rFonts w:cs="Times New Roman"/>
          <w:kern w:val="0"/>
        </w:rPr>
        <w:t>行）》（GB36600</w:t>
      </w:r>
      <w:r>
        <w:rPr>
          <w:rFonts w:eastAsia="Arial" w:cs="Times New Roman"/>
          <w:spacing w:val="-1"/>
        </w:rPr>
        <w:t>-2018</w:t>
      </w:r>
      <w:r>
        <w:rPr>
          <w:rFonts w:cs="Times New Roman"/>
        </w:rPr>
        <w:t>）中的筛选值要求。</w:t>
      </w:r>
    </w:p>
    <w:p>
      <w:pPr>
        <w:pStyle w:val="9"/>
        <w:adjustRightInd/>
        <w:spacing w:before="256" w:after="260" w:line="416" w:lineRule="auto"/>
        <w:ind w:left="164"/>
        <w:rPr>
          <w:rFonts w:ascii="Times New Roman" w:hAnsi="Times New Roman"/>
          <w:spacing w:val="-1"/>
        </w:rPr>
      </w:pPr>
      <w:bookmarkStart w:id="240" w:name="_Toc29561"/>
      <w:r>
        <w:rPr>
          <w:rFonts w:ascii="Times New Roman" w:hAnsi="Times New Roman"/>
          <w:spacing w:val="-1"/>
        </w:rPr>
        <w:t>7.2.2 区域生态系统结构与功能变化结论</w:t>
      </w:r>
      <w:bookmarkEnd w:id="240"/>
    </w:p>
    <w:p>
      <w:pPr>
        <w:adjustRightInd w:val="0"/>
        <w:snapToGrid w:val="0"/>
        <w:ind w:firstLine="480"/>
        <w:rPr>
          <w:rFonts w:cs="Times New Roman" w:eastAsiaTheme="minorEastAsia"/>
          <w:kern w:val="2"/>
          <w:lang w:eastAsia="zh-CN"/>
        </w:rPr>
      </w:pPr>
      <w:bookmarkStart w:id="241" w:name="_Toc34903939"/>
      <w:r>
        <w:rPr>
          <w:rFonts w:cs="Times New Roman" w:eastAsiaTheme="minorEastAsia"/>
          <w:kern w:val="2"/>
          <w:lang w:eastAsia="zh-CN"/>
        </w:rPr>
        <w:t>随着规划的实施，规划区域生态系统结构与功能变化不大，建议在后续规划中充分考虑新建的人工生态系统的调控能力，做好生态系统长期保护工作。</w:t>
      </w:r>
    </w:p>
    <w:bookmarkEnd w:id="241"/>
    <w:p>
      <w:pPr>
        <w:pStyle w:val="8"/>
        <w:spacing w:before="65"/>
        <w:ind w:left="212"/>
        <w:rPr>
          <w:rFonts w:ascii="Times New Roman" w:hAnsi="Times New Roman" w:eastAsia="Times New Roman" w:cs="Times New Roman"/>
          <w:lang w:eastAsia="zh-CN"/>
        </w:rPr>
      </w:pPr>
      <w:bookmarkStart w:id="242" w:name="_Toc23510"/>
      <w:bookmarkStart w:id="243" w:name="_Toc34903940"/>
      <w:bookmarkStart w:id="244" w:name="_Toc24867"/>
      <w:r>
        <w:rPr>
          <w:rFonts w:ascii="Times New Roman" w:hAnsi="Times New Roman" w:eastAsia="Times New Roman" w:cs="Times New Roman"/>
          <w:lang w:eastAsia="zh-CN"/>
        </w:rPr>
        <w:t>7.3 资源环境承载力的变化情况</w:t>
      </w:r>
      <w:bookmarkEnd w:id="242"/>
      <w:bookmarkEnd w:id="243"/>
      <w:bookmarkEnd w:id="244"/>
    </w:p>
    <w:p>
      <w:pPr>
        <w:pStyle w:val="9"/>
        <w:adjustRightInd/>
        <w:spacing w:before="256" w:after="260" w:line="416" w:lineRule="auto"/>
        <w:ind w:left="164"/>
        <w:rPr>
          <w:rFonts w:ascii="Times New Roman" w:hAnsi="Times New Roman"/>
          <w:spacing w:val="-1"/>
        </w:rPr>
      </w:pPr>
      <w:bookmarkStart w:id="245" w:name="_Toc1989"/>
      <w:r>
        <w:rPr>
          <w:rFonts w:ascii="Times New Roman" w:hAnsi="Times New Roman"/>
          <w:spacing w:val="-1"/>
        </w:rPr>
        <w:t>7.3.1 资源承载力的变化情况</w:t>
      </w:r>
      <w:bookmarkEnd w:id="245"/>
    </w:p>
    <w:p>
      <w:pPr>
        <w:pStyle w:val="25"/>
        <w:spacing w:before="3" w:line="343" w:lineRule="auto"/>
        <w:ind w:left="192" w:right="110" w:firstLine="480"/>
        <w:rPr>
          <w:rFonts w:cs="Times New Roman"/>
          <w:szCs w:val="28"/>
          <w:lang w:eastAsia="zh-CN"/>
        </w:rPr>
      </w:pPr>
      <w:r>
        <w:rPr>
          <w:rFonts w:cs="Times New Roman"/>
          <w:szCs w:val="28"/>
          <w:lang w:eastAsia="zh-CN"/>
        </w:rPr>
        <w:t>（1）土地资源承载力</w:t>
      </w:r>
    </w:p>
    <w:p>
      <w:pPr>
        <w:ind w:firstLine="480"/>
        <w:rPr>
          <w:rFonts w:cs="Times New Roman"/>
          <w:szCs w:val="20"/>
          <w:lang w:eastAsia="zh-CN"/>
        </w:rPr>
      </w:pPr>
      <w:r>
        <w:rPr>
          <w:rFonts w:hint="eastAsia" w:cs="Times New Roman"/>
          <w:lang w:eastAsia="zh-CN"/>
        </w:rPr>
        <w:t>国际新兴产业园区</w:t>
      </w:r>
      <w:r>
        <w:rPr>
          <w:rFonts w:cs="Times New Roman"/>
          <w:lang w:eastAsia="zh-CN"/>
        </w:rPr>
        <w:t>规划总用地面积</w:t>
      </w:r>
      <w:r>
        <w:rPr>
          <w:rFonts w:hint="eastAsia" w:cs="Times New Roman"/>
          <w:lang w:val="en-US" w:eastAsia="zh-CN"/>
        </w:rPr>
        <w:t>51</w:t>
      </w:r>
      <w:r>
        <w:rPr>
          <w:rFonts w:cs="Times New Roman"/>
          <w:lang w:eastAsia="zh-CN"/>
        </w:rPr>
        <w:t>km</w:t>
      </w:r>
      <w:r>
        <w:rPr>
          <w:rFonts w:cs="Times New Roman"/>
          <w:vertAlign w:val="superscript"/>
          <w:lang w:eastAsia="zh-CN"/>
        </w:rPr>
        <w:t>2</w:t>
      </w:r>
      <w:r>
        <w:rPr>
          <w:rFonts w:cs="Times New Roman"/>
          <w:lang w:eastAsia="zh-CN"/>
        </w:rPr>
        <w:t>，目前开发面积未</w:t>
      </w:r>
      <w:r>
        <w:rPr>
          <w:rFonts w:cs="Times New Roman"/>
          <w:szCs w:val="20"/>
          <w:lang w:eastAsia="zh-CN"/>
        </w:rPr>
        <w:t>超出土地资源承载力上线。后续开发将不会突破可建设用地范围。</w:t>
      </w:r>
    </w:p>
    <w:p>
      <w:pPr>
        <w:pStyle w:val="25"/>
        <w:ind w:right="360" w:firstLine="480"/>
        <w:contextualSpacing/>
        <w:rPr>
          <w:rFonts w:cs="Times New Roman"/>
          <w:szCs w:val="28"/>
          <w:lang w:eastAsia="zh-CN"/>
        </w:rPr>
      </w:pPr>
      <w:r>
        <w:rPr>
          <w:rFonts w:cs="Times New Roman"/>
          <w:szCs w:val="28"/>
          <w:lang w:eastAsia="zh-CN"/>
        </w:rPr>
        <w:t>（2）水资源承载力</w:t>
      </w:r>
    </w:p>
    <w:p>
      <w:pPr>
        <w:pStyle w:val="29"/>
        <w:spacing w:after="0"/>
        <w:ind w:left="0" w:leftChars="0" w:right="0" w:rightChars="0" w:firstLine="480"/>
        <w:rPr>
          <w:rFonts w:ascii="Times New Roman" w:hAnsi="Times New Roman"/>
          <w:sz w:val="24"/>
        </w:rPr>
      </w:pPr>
      <w:r>
        <w:rPr>
          <w:rFonts w:ascii="Times New Roman" w:hAnsi="Times New Roman"/>
          <w:sz w:val="24"/>
        </w:rPr>
        <w:t>根据规划，</w:t>
      </w:r>
      <w:r>
        <w:rPr>
          <w:rFonts w:hint="eastAsia" w:ascii="Times New Roman" w:hAnsi="Times New Roman"/>
          <w:sz w:val="24"/>
          <w:lang w:val="en-US" w:eastAsia="zh-CN"/>
        </w:rPr>
        <w:t>农业用水主要采用地表水解决，已经开发的居住小区和工业企业用水由浑南供水公司产业区水源解决，</w:t>
      </w:r>
      <w:r>
        <w:rPr>
          <w:rFonts w:hint="eastAsia" w:ascii="Times New Roman" w:hAnsi="Times New Roman"/>
          <w:sz w:val="24"/>
          <w:lang w:eastAsia="zh-CN"/>
        </w:rPr>
        <w:t>供水规模</w:t>
      </w:r>
      <w:r>
        <w:rPr>
          <w:rFonts w:ascii="Times New Roman" w:hAnsi="Times New Roman"/>
          <w:sz w:val="24"/>
          <w:lang w:eastAsia="zh-CN"/>
        </w:rPr>
        <w:t>218.4</w:t>
      </w:r>
      <w:r>
        <w:rPr>
          <w:rFonts w:hint="eastAsia" w:ascii="Times New Roman" w:hAnsi="Times New Roman"/>
          <w:sz w:val="24"/>
          <w:lang w:eastAsia="zh-CN"/>
        </w:rPr>
        <w:t>万吨</w:t>
      </w:r>
      <w:r>
        <w:rPr>
          <w:rFonts w:ascii="Times New Roman" w:hAnsi="Times New Roman"/>
          <w:sz w:val="24"/>
          <w:lang w:eastAsia="zh-CN"/>
        </w:rPr>
        <w:t>/</w:t>
      </w:r>
      <w:r>
        <w:rPr>
          <w:rFonts w:hint="eastAsia" w:ascii="Times New Roman" w:hAnsi="Times New Roman"/>
          <w:sz w:val="24"/>
          <w:lang w:eastAsia="zh-CN"/>
        </w:rPr>
        <w:t>日</w:t>
      </w:r>
      <w:r>
        <w:rPr>
          <w:rFonts w:hint="eastAsia" w:ascii="Times New Roman" w:hAnsi="Times New Roman"/>
          <w:sz w:val="24"/>
          <w:lang w:val="en-US" w:eastAsia="zh-CN"/>
        </w:rPr>
        <w:t>。</w:t>
      </w:r>
      <w:r>
        <w:rPr>
          <w:rFonts w:ascii="Times New Roman" w:hAnsi="Times New Roman"/>
          <w:sz w:val="24"/>
          <w:lang w:eastAsia="zh-CN"/>
        </w:rPr>
        <w:t>目前可以满足</w:t>
      </w:r>
      <w:r>
        <w:rPr>
          <w:rFonts w:hint="eastAsia" w:ascii="Times New Roman" w:hAnsi="Times New Roman"/>
          <w:sz w:val="24"/>
          <w:lang w:eastAsia="zh-CN"/>
        </w:rPr>
        <w:t>国际新兴产业园区</w:t>
      </w:r>
      <w:r>
        <w:rPr>
          <w:rFonts w:ascii="Times New Roman" w:hAnsi="Times New Roman"/>
          <w:sz w:val="24"/>
          <w:lang w:eastAsia="zh-CN"/>
        </w:rPr>
        <w:t>供水需求。</w:t>
      </w:r>
      <w:r>
        <w:rPr>
          <w:rFonts w:hint="eastAsia" w:ascii="Times New Roman" w:hAnsi="Times New Roman"/>
          <w:sz w:val="24"/>
          <w:lang w:eastAsia="zh-CN"/>
        </w:rPr>
        <w:t>国际新兴产业园区</w:t>
      </w:r>
      <w:r>
        <w:rPr>
          <w:rFonts w:ascii="Times New Roman" w:hAnsi="Times New Roman"/>
          <w:sz w:val="24"/>
          <w:lang w:eastAsia="zh-CN"/>
        </w:rPr>
        <w:t>给水管线已修建完成，供水管网均已覆盖</w:t>
      </w:r>
      <w:r>
        <w:rPr>
          <w:rFonts w:ascii="Times New Roman" w:hAnsi="Times New Roman"/>
          <w:sz w:val="24"/>
        </w:rPr>
        <w:t>。因此区域水资源能够承担园区规划的实施。</w:t>
      </w:r>
    </w:p>
    <w:p>
      <w:pPr>
        <w:pStyle w:val="9"/>
        <w:adjustRightInd/>
        <w:spacing w:before="256" w:after="260" w:line="416" w:lineRule="auto"/>
        <w:ind w:left="164"/>
        <w:rPr>
          <w:rFonts w:ascii="Times New Roman" w:hAnsi="Times New Roman"/>
          <w:spacing w:val="-1"/>
        </w:rPr>
      </w:pPr>
      <w:bookmarkStart w:id="246" w:name="_Toc17175"/>
      <w:r>
        <w:rPr>
          <w:rFonts w:ascii="Times New Roman" w:hAnsi="Times New Roman"/>
          <w:spacing w:val="-1"/>
        </w:rPr>
        <w:t>7.</w:t>
      </w:r>
      <w:r>
        <w:rPr>
          <w:rFonts w:hint="eastAsia" w:ascii="Times New Roman" w:hAnsi="Times New Roman"/>
          <w:spacing w:val="-1"/>
        </w:rPr>
        <w:t>3</w:t>
      </w:r>
      <w:r>
        <w:rPr>
          <w:rFonts w:ascii="Times New Roman" w:hAnsi="Times New Roman"/>
          <w:spacing w:val="-1"/>
        </w:rPr>
        <w:t>.2 环境承载力的变化情况</w:t>
      </w:r>
      <w:bookmarkEnd w:id="246"/>
    </w:p>
    <w:p>
      <w:pPr>
        <w:adjustRightInd w:val="0"/>
        <w:snapToGrid w:val="0"/>
        <w:ind w:firstLine="480"/>
        <w:rPr>
          <w:rFonts w:cs="Times New Roman"/>
          <w:lang w:eastAsia="zh-CN"/>
        </w:rPr>
      </w:pPr>
      <w:r>
        <w:rPr>
          <w:rFonts w:cs="Times New Roman"/>
          <w:lang w:eastAsia="zh-CN"/>
        </w:rPr>
        <w:t>（1）大气环境承载力</w:t>
      </w:r>
    </w:p>
    <w:p>
      <w:pPr>
        <w:adjustRightInd w:val="0"/>
        <w:snapToGrid w:val="0"/>
        <w:ind w:firstLine="480"/>
        <w:rPr>
          <w:rFonts w:cs="Times New Roman"/>
          <w:lang w:eastAsia="zh-CN"/>
        </w:rPr>
      </w:pPr>
      <w:r>
        <w:rPr>
          <w:rFonts w:hint="eastAsia" w:cs="Times New Roman"/>
          <w:lang w:eastAsia="zh-CN"/>
        </w:rPr>
        <w:t>国际新兴产业园区</w:t>
      </w:r>
      <w:r>
        <w:rPr>
          <w:rFonts w:cs="Times New Roman"/>
          <w:lang w:eastAsia="zh-CN"/>
        </w:rPr>
        <w:t>剩余环境容量SO</w:t>
      </w:r>
      <w:r>
        <w:rPr>
          <w:rFonts w:cs="Times New Roman"/>
          <w:vertAlign w:val="subscript"/>
          <w:lang w:eastAsia="zh-CN"/>
        </w:rPr>
        <w:t>2</w:t>
      </w:r>
      <w:r>
        <w:rPr>
          <w:rFonts w:cs="Times New Roman"/>
          <w:lang w:eastAsia="zh-CN"/>
        </w:rPr>
        <w:t>为8</w:t>
      </w:r>
      <w:r>
        <w:rPr>
          <w:rFonts w:hint="eastAsia" w:cs="Times New Roman"/>
          <w:lang w:val="en-US" w:eastAsia="zh-CN"/>
        </w:rPr>
        <w:t>098</w:t>
      </w:r>
      <w:r>
        <w:rPr>
          <w:rFonts w:cs="Times New Roman"/>
          <w:lang w:eastAsia="zh-CN"/>
        </w:rPr>
        <w:t>t/a，NO</w:t>
      </w:r>
      <w:r>
        <w:rPr>
          <w:rFonts w:cs="Times New Roman"/>
          <w:vertAlign w:val="subscript"/>
          <w:lang w:eastAsia="zh-CN"/>
        </w:rPr>
        <w:t>2</w:t>
      </w:r>
      <w:r>
        <w:rPr>
          <w:rFonts w:cs="Times New Roman"/>
          <w:lang w:eastAsia="zh-CN"/>
        </w:rPr>
        <w:t>为</w:t>
      </w:r>
      <w:r>
        <w:rPr>
          <w:rFonts w:hint="eastAsia" w:cs="Times New Roman"/>
          <w:lang w:val="en-US" w:eastAsia="zh-CN"/>
        </w:rPr>
        <w:t>758</w:t>
      </w:r>
      <w:r>
        <w:rPr>
          <w:rFonts w:cs="Times New Roman"/>
          <w:lang w:eastAsia="zh-CN"/>
        </w:rPr>
        <w:t>t/a，PM</w:t>
      </w:r>
      <w:r>
        <w:rPr>
          <w:rFonts w:cs="Times New Roman"/>
          <w:vertAlign w:val="subscript"/>
          <w:lang w:eastAsia="zh-CN"/>
        </w:rPr>
        <w:t>10</w:t>
      </w:r>
      <w:r>
        <w:rPr>
          <w:rFonts w:hint="eastAsia" w:cs="Times New Roman"/>
          <w:lang w:eastAsia="zh-CN"/>
        </w:rPr>
        <w:t>、</w:t>
      </w:r>
      <w:r>
        <w:rPr>
          <w:rFonts w:cs="Times New Roman"/>
          <w:lang w:eastAsia="zh-CN"/>
        </w:rPr>
        <w:t>PM</w:t>
      </w:r>
      <w:r>
        <w:rPr>
          <w:rFonts w:cs="Times New Roman"/>
          <w:vertAlign w:val="subscript"/>
          <w:lang w:eastAsia="zh-CN"/>
        </w:rPr>
        <w:t>2.5</w:t>
      </w:r>
      <w:r>
        <w:rPr>
          <w:rFonts w:cs="Times New Roman"/>
          <w:lang w:eastAsia="zh-CN"/>
        </w:rPr>
        <w:t>已超过环境容量；较原有规划环评阶段计算的</w:t>
      </w:r>
      <w:r>
        <w:rPr>
          <w:rFonts w:hint="eastAsia" w:cs="Times New Roman"/>
          <w:lang w:eastAsia="zh-CN"/>
        </w:rPr>
        <w:t>国际新兴产业园区</w:t>
      </w:r>
      <w:r>
        <w:rPr>
          <w:rFonts w:cs="Times New Roman"/>
          <w:lang w:eastAsia="zh-CN"/>
        </w:rPr>
        <w:t>2010年SO</w:t>
      </w:r>
      <w:r>
        <w:rPr>
          <w:rFonts w:cs="Times New Roman"/>
          <w:vertAlign w:val="subscript"/>
          <w:lang w:eastAsia="zh-CN"/>
        </w:rPr>
        <w:t>2</w:t>
      </w:r>
      <w:r>
        <w:rPr>
          <w:rFonts w:cs="Times New Roman"/>
          <w:lang w:eastAsia="zh-CN"/>
        </w:rPr>
        <w:t>剩余环境容量为</w:t>
      </w:r>
      <w:r>
        <w:rPr>
          <w:rFonts w:hint="eastAsia" w:cs="Times New Roman"/>
          <w:lang w:val="en-US" w:eastAsia="zh-CN"/>
        </w:rPr>
        <w:t>2368</w:t>
      </w:r>
      <w:r>
        <w:rPr>
          <w:rFonts w:cs="Times New Roman"/>
          <w:lang w:eastAsia="zh-CN"/>
        </w:rPr>
        <w:t>t/a，现有SO</w:t>
      </w:r>
      <w:r>
        <w:rPr>
          <w:rFonts w:cs="Times New Roman"/>
          <w:vertAlign w:val="subscript"/>
          <w:lang w:eastAsia="zh-CN"/>
        </w:rPr>
        <w:t>2</w:t>
      </w:r>
      <w:r>
        <w:rPr>
          <w:rFonts w:cs="Times New Roman"/>
          <w:lang w:eastAsia="zh-CN"/>
        </w:rPr>
        <w:t>剩余容量较上一轮环评大幅提升，说明随着近几年大气污染防治行动的施行，我市通过推行集中供热、锅炉脱硫脱硝提标改造以及每年的抗霾攻坚作战，全市环境空气质量得到大幅改善，SO</w:t>
      </w:r>
      <w:r>
        <w:rPr>
          <w:rFonts w:cs="Times New Roman"/>
          <w:vertAlign w:val="subscript"/>
          <w:lang w:eastAsia="zh-CN"/>
        </w:rPr>
        <w:t>2</w:t>
      </w:r>
      <w:r>
        <w:rPr>
          <w:rFonts w:cs="Times New Roman"/>
          <w:lang w:eastAsia="zh-CN"/>
        </w:rPr>
        <w:t>环境质量容量较环评阶段有所提升，但是由于区域主要受外环境污染影响，沈阳市</w:t>
      </w:r>
      <w:r>
        <w:rPr>
          <w:rFonts w:hint="eastAsia" w:cs="Times New Roman"/>
          <w:lang w:eastAsia="zh-CN"/>
        </w:rPr>
        <w:t>浑南区</w:t>
      </w:r>
      <w:r>
        <w:rPr>
          <w:rFonts w:cs="Times New Roman"/>
          <w:lang w:eastAsia="zh-CN"/>
        </w:rPr>
        <w:t>乃至沈阳市环境空气质量PM</w:t>
      </w:r>
      <w:r>
        <w:rPr>
          <w:rFonts w:cs="Times New Roman"/>
          <w:vertAlign w:val="subscript"/>
          <w:lang w:eastAsia="zh-CN"/>
        </w:rPr>
        <w:t>2.5</w:t>
      </w:r>
      <w:r>
        <w:rPr>
          <w:rFonts w:hint="eastAsia" w:cs="Times New Roman"/>
          <w:vertAlign w:val="baseline"/>
          <w:lang w:eastAsia="zh-CN"/>
        </w:rPr>
        <w:t>、</w:t>
      </w:r>
      <w:r>
        <w:rPr>
          <w:rFonts w:cs="Times New Roman"/>
          <w:lang w:eastAsia="zh-CN"/>
        </w:rPr>
        <w:t>PM</w:t>
      </w:r>
      <w:r>
        <w:rPr>
          <w:rFonts w:cs="Times New Roman"/>
          <w:vertAlign w:val="subscript"/>
          <w:lang w:eastAsia="zh-CN"/>
        </w:rPr>
        <w:t>10</w:t>
      </w:r>
      <w:r>
        <w:rPr>
          <w:rFonts w:cs="Times New Roman"/>
          <w:lang w:eastAsia="zh-CN"/>
        </w:rPr>
        <w:t>已超标，已没有环境容量，规划区域为实现大气环境达标，需要通过规划区外和内部实施大气污染减排。</w:t>
      </w:r>
    </w:p>
    <w:p>
      <w:pPr>
        <w:pStyle w:val="25"/>
        <w:ind w:left="480" w:leftChars="200" w:right="360" w:firstLine="0" w:firstLineChars="0"/>
        <w:contextualSpacing/>
        <w:rPr>
          <w:rFonts w:cs="Times New Roman"/>
          <w:lang w:eastAsia="zh-CN"/>
        </w:rPr>
      </w:pPr>
      <w:r>
        <w:rPr>
          <w:rFonts w:cs="Times New Roman"/>
          <w:lang w:eastAsia="zh-CN"/>
        </w:rPr>
        <w:t>（2）水环境承载力</w:t>
      </w:r>
    </w:p>
    <w:p>
      <w:pPr>
        <w:ind w:firstLine="480"/>
        <w:rPr>
          <w:rFonts w:hint="eastAsia" w:eastAsia="宋体"/>
          <w:b/>
          <w:bCs/>
          <w:sz w:val="24"/>
          <w:szCs w:val="24"/>
          <w:lang w:eastAsia="zh-CN"/>
        </w:rPr>
      </w:pPr>
      <w:r>
        <w:rPr>
          <w:rFonts w:hint="eastAsia"/>
          <w:sz w:val="24"/>
          <w:szCs w:val="24"/>
        </w:rPr>
        <w:t>杨官河</w:t>
      </w:r>
      <w:r>
        <w:rPr>
          <w:rFonts w:hint="eastAsia"/>
          <w:sz w:val="24"/>
          <w:szCs w:val="24"/>
          <w:lang w:eastAsia="zh-CN"/>
        </w:rPr>
        <w:t>无入河排污口，</w:t>
      </w:r>
      <w:r>
        <w:rPr>
          <w:rFonts w:hint="eastAsia"/>
          <w:sz w:val="24"/>
          <w:szCs w:val="24"/>
        </w:rPr>
        <w:t>其环境保护目标为《地表水环境质量标准》（GB3838-2002）Ⅴ类标准</w:t>
      </w:r>
      <w:r>
        <w:rPr>
          <w:rFonts w:hint="eastAsia"/>
          <w:sz w:val="24"/>
          <w:szCs w:val="24"/>
          <w:lang w:eastAsia="zh-CN"/>
        </w:rPr>
        <w:t>。</w:t>
      </w:r>
      <w:r>
        <w:rPr>
          <w:rFonts w:hint="eastAsia" w:cs="Times New Roman"/>
          <w:lang w:eastAsia="zh-CN"/>
        </w:rPr>
        <w:t>根据《</w:t>
      </w:r>
      <w:r>
        <w:rPr>
          <w:rFonts w:eastAsia="Times New Roman"/>
          <w:lang w:eastAsia="zh-CN"/>
        </w:rPr>
        <w:t>20</w:t>
      </w:r>
      <w:r>
        <w:rPr>
          <w:rFonts w:hint="eastAsia" w:eastAsia="Times New Roman"/>
          <w:lang w:val="en-US" w:eastAsia="zh-CN"/>
        </w:rPr>
        <w:t>20</w:t>
      </w:r>
      <w:r>
        <w:rPr>
          <w:spacing w:val="-2"/>
          <w:lang w:eastAsia="zh-CN"/>
        </w:rPr>
        <w:t>年</w:t>
      </w:r>
      <w:r>
        <w:rPr>
          <w:lang w:eastAsia="zh-CN"/>
        </w:rPr>
        <w:t>浑南</w:t>
      </w:r>
      <w:r>
        <w:rPr>
          <w:spacing w:val="-3"/>
          <w:lang w:eastAsia="zh-CN"/>
        </w:rPr>
        <w:t>区环境质量报告</w:t>
      </w:r>
      <w:r>
        <w:rPr>
          <w:rFonts w:hint="eastAsia"/>
          <w:spacing w:val="-3"/>
          <w:lang w:eastAsia="zh-CN"/>
        </w:rPr>
        <w:t>书</w:t>
      </w:r>
      <w:r>
        <w:rPr>
          <w:rFonts w:hint="eastAsia" w:cs="Times New Roman"/>
          <w:lang w:eastAsia="zh-CN"/>
        </w:rPr>
        <w:t>》监测数据，20</w:t>
      </w:r>
      <w:r>
        <w:rPr>
          <w:rFonts w:hint="eastAsia" w:cs="Times New Roman"/>
          <w:lang w:val="en-US" w:eastAsia="zh-CN"/>
        </w:rPr>
        <w:t>20</w:t>
      </w:r>
      <w:r>
        <w:rPr>
          <w:rFonts w:hint="eastAsia" w:cs="Times New Roman"/>
          <w:lang w:eastAsia="zh-CN"/>
        </w:rPr>
        <w:t>年</w:t>
      </w:r>
      <w:r>
        <w:rPr>
          <w:rFonts w:hint="eastAsia"/>
          <w:spacing w:val="-3"/>
          <w:lang w:eastAsia="zh-CN"/>
        </w:rPr>
        <w:t>杨官河监测</w:t>
      </w:r>
      <w:r>
        <w:rPr>
          <w:szCs w:val="32"/>
          <w:lang w:eastAsia="zh-CN"/>
        </w:rPr>
        <w:t>COD</w:t>
      </w:r>
      <w:r>
        <w:rPr>
          <w:rFonts w:hint="eastAsia"/>
          <w:szCs w:val="32"/>
          <w:lang w:eastAsia="zh-CN"/>
        </w:rPr>
        <w:t>浓度2</w:t>
      </w:r>
      <w:r>
        <w:rPr>
          <w:rFonts w:hint="eastAsia"/>
          <w:szCs w:val="32"/>
          <w:lang w:val="en-US" w:eastAsia="zh-CN"/>
        </w:rPr>
        <w:t>8.44</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r>
        <w:rPr>
          <w:szCs w:val="32"/>
          <w:lang w:eastAsia="zh-CN"/>
        </w:rPr>
        <w:t>NH</w:t>
      </w:r>
      <w:r>
        <w:rPr>
          <w:szCs w:val="32"/>
          <w:vertAlign w:val="subscript"/>
          <w:lang w:eastAsia="zh-CN"/>
        </w:rPr>
        <w:t>3</w:t>
      </w:r>
      <w:r>
        <w:rPr>
          <w:szCs w:val="32"/>
          <w:lang w:eastAsia="zh-CN"/>
        </w:rPr>
        <w:t>-N</w:t>
      </w:r>
      <w:r>
        <w:rPr>
          <w:rFonts w:hint="eastAsia"/>
          <w:szCs w:val="32"/>
          <w:lang w:eastAsia="zh-CN"/>
        </w:rPr>
        <w:t>浓度</w:t>
      </w:r>
      <w:r>
        <w:rPr>
          <w:rFonts w:hint="eastAsia"/>
          <w:szCs w:val="32"/>
          <w:lang w:val="en-US" w:eastAsia="zh-CN"/>
        </w:rPr>
        <w:t>2.51</w:t>
      </w:r>
      <w:r>
        <w:rPr>
          <w:rFonts w:eastAsia="新宋体" w:cs="Times New Roman"/>
          <w:bCs/>
          <w:kern w:val="2"/>
          <w:lang w:eastAsia="zh-CN"/>
        </w:rPr>
        <w:t>mg/m</w:t>
      </w:r>
      <w:r>
        <w:rPr>
          <w:rFonts w:eastAsia="新宋体" w:cs="Times New Roman"/>
          <w:bCs/>
          <w:kern w:val="2"/>
          <w:vertAlign w:val="superscript"/>
          <w:lang w:eastAsia="zh-CN"/>
        </w:rPr>
        <w:t>3</w:t>
      </w:r>
      <w:r>
        <w:rPr>
          <w:rFonts w:hint="eastAsia" w:eastAsia="新宋体" w:cs="Times New Roman"/>
          <w:bCs/>
          <w:kern w:val="2"/>
          <w:lang w:eastAsia="zh-CN"/>
        </w:rPr>
        <w:t>。</w:t>
      </w:r>
      <w:r>
        <w:rPr>
          <w:rFonts w:hint="eastAsia" w:ascii="Times New Roman" w:hAnsi="Times New Roman" w:eastAsia="宋体"/>
          <w:lang w:eastAsia="zh-CN"/>
        </w:rPr>
        <w:t>2020年杨官河主要污染物为化学需氧量、氨氮，超过地表水Ⅲ类标准的倍数分别为0.42倍、1.51倍。其中，氨氮超过Ⅴ类标准限值0.26倍。</w:t>
      </w:r>
      <w:r>
        <w:rPr>
          <w:rFonts w:hint="eastAsia"/>
          <w:sz w:val="24"/>
          <w:szCs w:val="24"/>
          <w:lang w:eastAsia="zh-CN"/>
        </w:rPr>
        <w:t>目前已无环境容量，已不能新增污染物的排放，为达到功能区目标，须削减排入河流的COD和氨氮污染量。</w:t>
      </w:r>
    </w:p>
    <w:p>
      <w:pPr>
        <w:pStyle w:val="25"/>
        <w:ind w:right="360" w:firstLine="439" w:firstLineChars="183"/>
        <w:contextualSpacing/>
        <w:rPr>
          <w:rFonts w:cs="Times New Roman" w:eastAsiaTheme="minorEastAsia"/>
          <w:szCs w:val="22"/>
          <w:lang w:eastAsia="zh-CN"/>
        </w:rPr>
      </w:pPr>
      <w:r>
        <w:rPr>
          <w:rFonts w:hint="default" w:ascii="Times New Roman" w:hAnsi="Times New Roman" w:cs="Times New Roman"/>
          <w:szCs w:val="20"/>
          <w:lang w:eastAsia="zh-CN"/>
        </w:rPr>
        <w:t>浑河COD仍有</w:t>
      </w:r>
      <w:r>
        <w:rPr>
          <w:rFonts w:hint="default" w:ascii="Times New Roman" w:hAnsi="Times New Roman" w:cs="Times New Roman"/>
          <w:szCs w:val="20"/>
          <w:lang w:val="en-US" w:eastAsia="zh-CN"/>
        </w:rPr>
        <w:t>842.19</w:t>
      </w:r>
      <w:r>
        <w:rPr>
          <w:rFonts w:hint="default" w:ascii="Times New Roman" w:hAnsi="Times New Roman" w:cs="Times New Roman"/>
          <w:szCs w:val="20"/>
          <w:lang w:eastAsia="zh-CN"/>
        </w:rPr>
        <w:t>t/a的容量，氨氮没有环境容量，目前已不能新增污染物的排放，需对河流水污染进行治理腾出环境容量以供后续发展所需</w:t>
      </w:r>
      <w:r>
        <w:rPr>
          <w:rFonts w:cs="Times New Roman" w:eastAsiaTheme="minorEastAsia"/>
          <w:szCs w:val="22"/>
          <w:lang w:eastAsia="zh-CN"/>
        </w:rPr>
        <w:t>。</w:t>
      </w:r>
    </w:p>
    <w:p>
      <w:pPr>
        <w:pStyle w:val="8"/>
        <w:spacing w:before="65" w:line="240" w:lineRule="auto"/>
        <w:ind w:left="212"/>
        <w:rPr>
          <w:rFonts w:ascii="Times New Roman" w:hAnsi="Times New Roman" w:eastAsia="Times New Roman" w:cs="Times New Roman"/>
          <w:lang w:eastAsia="zh-CN"/>
        </w:rPr>
      </w:pPr>
      <w:bookmarkStart w:id="247" w:name="_Toc18739"/>
      <w:bookmarkStart w:id="248" w:name="_Toc8499"/>
      <w:r>
        <w:rPr>
          <w:rFonts w:ascii="Times New Roman" w:hAnsi="Times New Roman" w:eastAsia="Times New Roman" w:cs="Times New Roman"/>
          <w:lang w:eastAsia="zh-CN"/>
        </w:rPr>
        <w:t xml:space="preserve">7.4 </w:t>
      </w:r>
      <w:r>
        <w:rPr>
          <w:rFonts w:ascii="Times New Roman" w:hAnsi="Times New Roman" w:eastAsia="Times New Roman" w:cs="Times New Roman"/>
          <w:highlight w:val="none"/>
          <w:lang w:eastAsia="zh-CN"/>
        </w:rPr>
        <w:t>公众意见调查</w:t>
      </w:r>
      <w:bookmarkEnd w:id="247"/>
      <w:bookmarkEnd w:id="248"/>
    </w:p>
    <w:p>
      <w:pPr>
        <w:pStyle w:val="25"/>
        <w:spacing w:before="253" w:after="0"/>
        <w:ind w:firstLine="439" w:firstLineChars="183"/>
        <w:contextualSpacing/>
        <w:rPr>
          <w:rFonts w:cs="Times New Roman"/>
          <w:lang w:eastAsia="zh-CN"/>
        </w:rPr>
      </w:pPr>
      <w:r>
        <w:rPr>
          <w:rFonts w:cs="Times New Roman"/>
          <w:lang w:eastAsia="zh-CN"/>
        </w:rPr>
        <w:t>规划实施以来，</w:t>
      </w:r>
      <w:r>
        <w:rPr>
          <w:rFonts w:hint="eastAsia" w:cs="Times New Roman"/>
          <w:lang w:eastAsia="zh-CN"/>
        </w:rPr>
        <w:t>国际新兴产业园区</w:t>
      </w:r>
      <w:r>
        <w:rPr>
          <w:rFonts w:cs="Times New Roman"/>
          <w:lang w:eastAsia="zh-CN"/>
        </w:rPr>
        <w:t>未收到过公众环保投诉问题。本次跟踪评价分别于</w:t>
      </w:r>
      <w:r>
        <w:rPr>
          <w:rFonts w:cs="Times New Roman"/>
          <w:spacing w:val="4"/>
          <w:lang w:eastAsia="zh-CN"/>
        </w:rPr>
        <w:t>2020年8月14日和</w:t>
      </w:r>
      <w:r>
        <w:rPr>
          <w:rFonts w:eastAsia="Times New Roman" w:cs="Times New Roman"/>
          <w:lang w:eastAsia="zh-CN"/>
        </w:rPr>
        <w:t>2020</w:t>
      </w:r>
      <w:r>
        <w:rPr>
          <w:rFonts w:cs="Times New Roman"/>
          <w:lang w:eastAsia="zh-CN"/>
        </w:rPr>
        <w:t>年</w:t>
      </w:r>
      <w:r>
        <w:rPr>
          <w:rFonts w:eastAsia="Times New Roman" w:cs="Times New Roman"/>
          <w:lang w:eastAsia="zh-CN"/>
        </w:rPr>
        <w:t>10</w:t>
      </w:r>
      <w:r>
        <w:rPr>
          <w:rFonts w:cs="Times New Roman"/>
          <w:lang w:eastAsia="zh-CN"/>
        </w:rPr>
        <w:t>月</w:t>
      </w:r>
      <w:r>
        <w:rPr>
          <w:rFonts w:eastAsia="Times New Roman" w:cs="Times New Roman"/>
          <w:lang w:eastAsia="zh-CN"/>
        </w:rPr>
        <w:t>9</w:t>
      </w:r>
      <w:r>
        <w:rPr>
          <w:rFonts w:cs="Times New Roman"/>
          <w:spacing w:val="-1"/>
          <w:lang w:eastAsia="zh-CN"/>
        </w:rPr>
        <w:t>日进行了两轮公示</w:t>
      </w:r>
      <w:r>
        <w:rPr>
          <w:rFonts w:cs="Times New Roman"/>
          <w:lang w:eastAsia="zh-CN"/>
        </w:rPr>
        <w:t>，并征询了沈阳市沈北新区工业和信息化局、沈阳市沈北生态环境分局、沈阳市自然资源局沈北分局、沈阳市沈北新区道义街道办事处等四个相关部门意见，均表示对该规划的实施没有意见。</w:t>
      </w:r>
    </w:p>
    <w:p>
      <w:pPr>
        <w:pStyle w:val="8"/>
        <w:spacing w:before="0" w:after="0"/>
        <w:ind w:left="210"/>
        <w:rPr>
          <w:rFonts w:ascii="Times New Roman" w:hAnsi="Times New Roman" w:eastAsia="Times New Roman" w:cs="Times New Roman"/>
          <w:lang w:eastAsia="zh-CN"/>
        </w:rPr>
      </w:pPr>
      <w:bookmarkStart w:id="249" w:name="_Toc4489"/>
      <w:bookmarkStart w:id="250" w:name="_Toc28243"/>
      <w:r>
        <w:rPr>
          <w:rFonts w:ascii="Times New Roman" w:hAnsi="Times New Roman" w:eastAsia="Times New Roman" w:cs="Times New Roman"/>
          <w:lang w:eastAsia="zh-CN"/>
        </w:rPr>
        <w:t>7.5 规划实施过程中存在的环境问题及解决方案建议</w:t>
      </w:r>
      <w:bookmarkEnd w:id="249"/>
      <w:bookmarkEnd w:id="250"/>
    </w:p>
    <w:p>
      <w:pPr>
        <w:ind w:firstLine="480"/>
        <w:rPr>
          <w:rFonts w:cs="Times New Roman" w:eastAsiaTheme="minorEastAsia"/>
          <w:szCs w:val="22"/>
          <w:lang w:eastAsia="zh-CN"/>
        </w:rPr>
      </w:pPr>
      <w:r>
        <w:rPr>
          <w:rFonts w:cs="Times New Roman" w:eastAsiaTheme="minorEastAsia"/>
          <w:szCs w:val="22"/>
          <w:lang w:eastAsia="zh-CN"/>
        </w:rPr>
        <w:t>规划实施过程存在的生态环境问题及解决方案汇总，见表7</w:t>
      </w:r>
      <w:r>
        <w:rPr>
          <w:rFonts w:hint="eastAsia" w:cs="Times New Roman" w:eastAsiaTheme="minorEastAsia"/>
          <w:szCs w:val="22"/>
          <w:lang w:eastAsia="zh-CN"/>
        </w:rPr>
        <w:t>.5</w:t>
      </w:r>
      <w:r>
        <w:rPr>
          <w:rFonts w:cs="Times New Roman" w:eastAsiaTheme="minorEastAsia"/>
          <w:szCs w:val="22"/>
          <w:lang w:eastAsia="zh-CN"/>
        </w:rPr>
        <w:t>-1。</w:t>
      </w:r>
    </w:p>
    <w:p>
      <w:pPr>
        <w:pStyle w:val="38"/>
        <w:spacing w:before="0" w:beforeLines="0" w:after="0" w:afterLines="0" w:line="240" w:lineRule="auto"/>
        <w:ind w:firstLine="0" w:firstLineChars="0"/>
        <w:jc w:val="center"/>
        <w:rPr>
          <w:rFonts w:eastAsiaTheme="minorEastAsia"/>
          <w:b/>
          <w:bCs/>
          <w:sz w:val="24"/>
          <w:szCs w:val="24"/>
        </w:rPr>
      </w:pPr>
      <w:r>
        <w:rPr>
          <w:rFonts w:eastAsiaTheme="minorEastAsia"/>
          <w:b/>
          <w:bCs/>
          <w:sz w:val="24"/>
          <w:szCs w:val="24"/>
        </w:rPr>
        <w:t>表7</w:t>
      </w:r>
      <w:r>
        <w:rPr>
          <w:rFonts w:hint="eastAsia" w:eastAsiaTheme="minorEastAsia"/>
          <w:b/>
          <w:bCs/>
          <w:sz w:val="24"/>
          <w:szCs w:val="24"/>
        </w:rPr>
        <w:t>.5</w:t>
      </w:r>
      <w:r>
        <w:rPr>
          <w:rFonts w:eastAsiaTheme="minorEastAsia"/>
          <w:b/>
          <w:bCs/>
          <w:sz w:val="24"/>
          <w:szCs w:val="24"/>
        </w:rPr>
        <w:t>-1 规划存在问题及调整建议</w:t>
      </w:r>
    </w:p>
    <w:tbl>
      <w:tblPr>
        <w:tblStyle w:val="64"/>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139"/>
        <w:gridCol w:w="3710"/>
        <w:gridCol w:w="400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bookmarkStart w:id="251" w:name="_Toc34903942"/>
            <w:r>
              <w:rPr>
                <w:rFonts w:ascii="Times New Roman" w:hAnsi="Times New Roman"/>
                <w:b/>
                <w:bCs/>
                <w:sz w:val="21"/>
                <w:szCs w:val="21"/>
              </w:rPr>
              <w:t>序号</w:t>
            </w:r>
          </w:p>
        </w:tc>
        <w:tc>
          <w:tcPr>
            <w:tcW w:w="614"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类别</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存在的问题</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b/>
                <w:bCs/>
                <w:sz w:val="21"/>
                <w:szCs w:val="21"/>
              </w:rPr>
            </w:pPr>
            <w:r>
              <w:rPr>
                <w:rFonts w:ascii="Times New Roman" w:hAnsi="Times New Roman"/>
                <w:b/>
                <w:bCs/>
                <w:sz w:val="21"/>
                <w:szCs w:val="21"/>
              </w:rPr>
              <w:t>建议整改措施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1</w:t>
            </w:r>
          </w:p>
        </w:tc>
        <w:tc>
          <w:tcPr>
            <w:tcW w:w="614"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用地布局</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园区内现状尚存农村居民点待搬迁，与规划用地性质不符，且与现状工业企业紧邻，呈现</w:t>
            </w:r>
            <w:r>
              <w:rPr>
                <w:rFonts w:hint="eastAsia" w:ascii="Times New Roman" w:hAnsi="Times New Roman"/>
                <w:sz w:val="21"/>
                <w:szCs w:val="21"/>
                <w:lang w:eastAsia="zh-CN"/>
              </w:rPr>
              <w:t>“</w:t>
            </w:r>
            <w:r>
              <w:rPr>
                <w:rFonts w:ascii="Times New Roman" w:hAnsi="Times New Roman"/>
                <w:sz w:val="21"/>
                <w:szCs w:val="21"/>
              </w:rPr>
              <w:t>工居混杂</w:t>
            </w:r>
            <w:r>
              <w:rPr>
                <w:rFonts w:hint="eastAsia" w:ascii="Times New Roman" w:hAnsi="Times New Roman"/>
                <w:sz w:val="21"/>
                <w:szCs w:val="21"/>
                <w:lang w:eastAsia="zh-CN"/>
              </w:rPr>
              <w:t>”</w:t>
            </w:r>
            <w:r>
              <w:rPr>
                <w:rFonts w:ascii="Times New Roman" w:hAnsi="Times New Roman"/>
                <w:sz w:val="21"/>
                <w:szCs w:val="21"/>
              </w:rPr>
              <w:t>局面，易引发厂群矛盾。</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lang w:val="en-US" w:eastAsia="zh-CN"/>
              </w:rPr>
              <w:t>应</w:t>
            </w:r>
            <w:r>
              <w:rPr>
                <w:rFonts w:hint="eastAsia" w:ascii="Times New Roman" w:hAnsi="Times New Roman"/>
                <w:sz w:val="21"/>
                <w:szCs w:val="21"/>
              </w:rPr>
              <w:t>加快区内农村居民点的搬迁进度，妥善安置待搬迁居民，确保动迁居民生活质量与环境质量不降低。</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2</w:t>
            </w:r>
          </w:p>
        </w:tc>
        <w:tc>
          <w:tcPr>
            <w:tcW w:w="614"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用地规划</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规划区域位于沈阳市主导风向上风向，产生的污染易对城区造成污染</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imes New Roman" w:hAnsi="Times New Roman"/>
                <w:sz w:val="21"/>
                <w:szCs w:val="21"/>
                <w:highlight w:val="none"/>
              </w:rPr>
            </w:pPr>
            <w:r>
              <w:rPr>
                <w:rFonts w:hint="eastAsia" w:ascii="Times New Roman" w:hAnsi="Times New Roman"/>
                <w:sz w:val="21"/>
                <w:szCs w:val="21"/>
                <w:highlight w:val="none"/>
              </w:rPr>
              <w:t xml:space="preserve">热源应于2020年底实现超低排放，作为沈东热电厂的调峰热源； </w:t>
            </w:r>
          </w:p>
          <w:p>
            <w:pPr>
              <w:pStyle w:val="16"/>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imes New Roman" w:hAnsi="Times New Roman"/>
                <w:sz w:val="21"/>
                <w:szCs w:val="21"/>
              </w:rPr>
            </w:pPr>
            <w:r>
              <w:rPr>
                <w:rFonts w:hint="eastAsia" w:ascii="Times New Roman" w:hAnsi="Times New Roman"/>
                <w:sz w:val="21"/>
                <w:szCs w:val="21"/>
              </w:rPr>
              <w:t xml:space="preserve">加油站满足安全设计要求，污染物排放满足相关管理要求，设置双层罐； </w:t>
            </w:r>
          </w:p>
          <w:p>
            <w:pPr>
              <w:pStyle w:val="16"/>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ascii="Times New Roman" w:hAnsi="Times New Roman"/>
                <w:sz w:val="21"/>
                <w:szCs w:val="21"/>
              </w:rPr>
            </w:pPr>
            <w:r>
              <w:rPr>
                <w:rFonts w:hint="eastAsia" w:ascii="Times New Roman" w:hAnsi="Times New Roman"/>
                <w:sz w:val="21"/>
                <w:szCs w:val="21"/>
              </w:rPr>
              <w:t>餐饮油烟得到有效治理，禁止无内置独立烟道的商业网点进行餐饮服务活动。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3</w:t>
            </w:r>
          </w:p>
        </w:tc>
        <w:tc>
          <w:tcPr>
            <w:tcW w:w="614"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rPr>
              <w:t>规划区内浑南供水公司产业区应用水源保护区</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imes New Roman" w:hAnsi="Times New Roman"/>
                <w:sz w:val="21"/>
                <w:szCs w:val="21"/>
              </w:rPr>
            </w:pPr>
            <w:r>
              <w:rPr>
                <w:rFonts w:hint="eastAsia" w:ascii="Times New Roman" w:hAnsi="Times New Roman"/>
                <w:sz w:val="21"/>
                <w:szCs w:val="21"/>
              </w:rPr>
              <w:t>禁止在饮用水水源一级保护区内新建、改建、目扩；建禁与止供在水饮设用施水和水保源护二水级源保无护关区的内建新设建项、改建、扩建排放污染物的建设项目。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229"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3</w:t>
            </w:r>
          </w:p>
        </w:tc>
        <w:tc>
          <w:tcPr>
            <w:tcW w:w="614"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基础设施</w:t>
            </w:r>
          </w:p>
        </w:tc>
        <w:tc>
          <w:tcPr>
            <w:tcW w:w="1999" w:type="pct"/>
            <w:vMerge w:val="restart"/>
            <w:tcBorders>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区域排水、中水和供热管网覆盖程度不完善，村屯生活污水没得到有效收集和处理，集中供热水平不高</w:t>
            </w:r>
            <w:r>
              <w:rPr>
                <w:rFonts w:hint="eastAsia" w:cs="Times New Roman"/>
                <w:sz w:val="21"/>
                <w:szCs w:val="21"/>
                <w:lang w:val="en-US" w:eastAsia="zh-CN" w:bidi="ar-SA"/>
              </w:rPr>
              <w:t>；</w:t>
            </w:r>
            <w:r>
              <w:rPr>
                <w:rFonts w:hint="eastAsia" w:ascii="Times New Roman" w:hAnsi="Times New Roman" w:eastAsia="宋体" w:cs="Times New Roman"/>
                <w:sz w:val="21"/>
                <w:szCs w:val="21"/>
                <w:lang w:val="en-US" w:eastAsia="zh-CN" w:bidi="ar-SA"/>
              </w:rPr>
              <w:t>国际新兴产业园区无中水回用设施。</w:t>
            </w:r>
          </w:p>
        </w:tc>
        <w:tc>
          <w:tcPr>
            <w:tcW w:w="2156" w:type="pct"/>
            <w:tcBorders>
              <w:bottom w:val="single" w:color="auto" w:sz="4" w:space="0"/>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农村地区采用清洁供暖或实施集中供热改造</w:t>
            </w:r>
            <w:r>
              <w:rPr>
                <w:rFonts w:hint="eastAsia" w:cs="Times New Roman"/>
                <w:sz w:val="21"/>
                <w:szCs w:val="21"/>
                <w:lang w:val="en-US" w:eastAsia="zh-CN" w:bidi="ar-SA"/>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229"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614"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1999" w:type="pct"/>
            <w:vMerge w:val="continue"/>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p>
        </w:tc>
        <w:tc>
          <w:tcPr>
            <w:tcW w:w="2156" w:type="pct"/>
            <w:tcBorders>
              <w:top w:val="single" w:color="auto" w:sz="4" w:space="0"/>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hint="eastAsia" w:ascii="宋体" w:hAnsi="宋体" w:eastAsia="宋体" w:cs="宋体"/>
                <w:color w:val="000000"/>
                <w:kern w:val="0"/>
                <w:sz w:val="21"/>
                <w:szCs w:val="21"/>
                <w:lang w:val="en-US" w:eastAsia="zh-CN" w:bidi="ar"/>
              </w:rPr>
              <w:t>加强污区域污水管网建设，实施废水全部收集处理；加快农村生活污水站建设，并配备人工湿地，实现农村污水达标排放</w:t>
            </w:r>
            <w:r>
              <w:rPr>
                <w:rFonts w:hint="eastAsia" w:ascii="宋体" w:hAnsi="宋体" w:cs="宋体"/>
                <w:color w:val="000000"/>
                <w:kern w:val="0"/>
                <w:sz w:val="21"/>
                <w:szCs w:val="21"/>
                <w:lang w:val="en-US" w:eastAsia="zh-CN" w:bidi="ar"/>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229"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pPr>
          </w:p>
        </w:tc>
        <w:tc>
          <w:tcPr>
            <w:tcW w:w="614"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pPr>
          </w:p>
        </w:tc>
        <w:tc>
          <w:tcPr>
            <w:tcW w:w="1999" w:type="pct"/>
            <w:vMerge w:val="continue"/>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pPr>
          </w:p>
        </w:tc>
        <w:tc>
          <w:tcPr>
            <w:tcW w:w="2156" w:type="pct"/>
            <w:tcBorders>
              <w:top w:val="single" w:color="auto" w:sz="4" w:space="0"/>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firstLine="0" w:firstLineChars="0"/>
              <w:jc w:val="center"/>
              <w:textAlignment w:val="auto"/>
              <w:rPr>
                <w:rFonts w:ascii="Times New Roman" w:hAnsi="Times New Roman"/>
                <w:sz w:val="21"/>
                <w:szCs w:val="21"/>
              </w:rPr>
            </w:pPr>
            <w:r>
              <w:rPr>
                <w:rFonts w:ascii="Times New Roman" w:hAnsi="Times New Roman"/>
                <w:sz w:val="21"/>
                <w:szCs w:val="21"/>
              </w:rPr>
              <w:t>由于</w:t>
            </w:r>
            <w:r>
              <w:rPr>
                <w:rFonts w:hint="eastAsia" w:ascii="Times New Roman" w:hAnsi="Times New Roman"/>
                <w:sz w:val="21"/>
                <w:szCs w:val="21"/>
              </w:rPr>
              <w:t>国际新兴产业园区</w:t>
            </w:r>
            <w:r>
              <w:rPr>
                <w:rFonts w:ascii="Times New Roman" w:hAnsi="Times New Roman"/>
                <w:sz w:val="21"/>
                <w:szCs w:val="21"/>
              </w:rPr>
              <w:t>污水依托外部污水处理厂，</w:t>
            </w:r>
            <w:r>
              <w:rPr>
                <w:rFonts w:hint="eastAsia" w:ascii="Times New Roman" w:hAnsi="Times New Roman"/>
                <w:sz w:val="21"/>
                <w:szCs w:val="21"/>
              </w:rPr>
              <w:t>国际新兴产业园区</w:t>
            </w:r>
            <w:r>
              <w:rPr>
                <w:rFonts w:ascii="Times New Roman" w:hAnsi="Times New Roman"/>
                <w:sz w:val="21"/>
                <w:szCs w:val="21"/>
              </w:rPr>
              <w:t>内未开展中水回用，建议取消</w:t>
            </w:r>
            <w:r>
              <w:rPr>
                <w:rFonts w:hint="eastAsia" w:ascii="Times New Roman" w:hAnsi="Times New Roman"/>
                <w:sz w:val="21"/>
                <w:szCs w:val="21"/>
              </w:rPr>
              <w:t>国际新兴产业园区</w:t>
            </w:r>
            <w:r>
              <w:rPr>
                <w:rFonts w:ascii="Times New Roman" w:hAnsi="Times New Roman"/>
                <w:sz w:val="21"/>
                <w:szCs w:val="21"/>
              </w:rPr>
              <w:t>中水回用指标，由</w:t>
            </w:r>
            <w:r>
              <w:rPr>
                <w:rFonts w:hint="eastAsia"/>
                <w:sz w:val="21"/>
                <w:szCs w:val="21"/>
                <w:lang w:val="en-US" w:eastAsia="zh-CN"/>
              </w:rPr>
              <w:t>浑南</w:t>
            </w:r>
            <w:r>
              <w:rPr>
                <w:rFonts w:ascii="Times New Roman" w:hAnsi="Times New Roman"/>
                <w:sz w:val="21"/>
                <w:szCs w:val="21"/>
              </w:rPr>
              <w:t>区或</w:t>
            </w:r>
            <w:r>
              <w:rPr>
                <w:rFonts w:hint="eastAsia" w:ascii="Times New Roman" w:hAnsi="Times New Roman"/>
                <w:sz w:val="21"/>
                <w:szCs w:val="21"/>
              </w:rPr>
              <w:t>浑南国际新兴产业园区管理委员</w:t>
            </w:r>
            <w:r>
              <w:rPr>
                <w:rFonts w:ascii="Times New Roman" w:hAnsi="Times New Roman"/>
                <w:sz w:val="21"/>
                <w:szCs w:val="21"/>
              </w:rPr>
              <w:t>对本</w:t>
            </w:r>
            <w:r>
              <w:rPr>
                <w:rFonts w:hint="eastAsia" w:ascii="Times New Roman" w:hAnsi="Times New Roman"/>
                <w:sz w:val="21"/>
                <w:szCs w:val="21"/>
              </w:rPr>
              <w:t>国际新兴产业园区</w:t>
            </w:r>
            <w:r>
              <w:rPr>
                <w:rFonts w:ascii="Times New Roman" w:hAnsi="Times New Roman"/>
                <w:sz w:val="21"/>
                <w:szCs w:val="21"/>
              </w:rPr>
              <w:t>及周边</w:t>
            </w:r>
            <w:r>
              <w:rPr>
                <w:rFonts w:hint="eastAsia" w:ascii="Times New Roman" w:hAnsi="Times New Roman"/>
                <w:sz w:val="21"/>
                <w:szCs w:val="21"/>
              </w:rPr>
              <w:t>国际新兴产业园区</w:t>
            </w:r>
            <w:r>
              <w:rPr>
                <w:rFonts w:ascii="Times New Roman" w:hAnsi="Times New Roman"/>
                <w:sz w:val="21"/>
                <w:szCs w:val="21"/>
              </w:rPr>
              <w:t>统筹建设中水回用设施，研究尽快实施污水处理厂的中水回用工程，考虑用于</w:t>
            </w:r>
            <w:r>
              <w:rPr>
                <w:rFonts w:hint="eastAsia" w:ascii="Times New Roman" w:hAnsi="Times New Roman"/>
                <w:sz w:val="21"/>
                <w:szCs w:val="21"/>
              </w:rPr>
              <w:t>国际新兴产业园区</w:t>
            </w:r>
            <w:r>
              <w:rPr>
                <w:rFonts w:ascii="Times New Roman" w:hAnsi="Times New Roman"/>
                <w:sz w:val="21"/>
                <w:szCs w:val="21"/>
              </w:rPr>
              <w:t>绿化、生态景观用水等，实现污水资源化，同提高中水回用率。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4</w:t>
            </w:r>
          </w:p>
        </w:tc>
        <w:tc>
          <w:tcPr>
            <w:tcW w:w="614"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环境管理</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hint="eastAsia" w:ascii="Times New Roman" w:hAnsi="Times New Roman"/>
                <w:sz w:val="21"/>
                <w:szCs w:val="21"/>
              </w:rPr>
              <w:t>国际新兴产业园区</w:t>
            </w:r>
            <w:r>
              <w:rPr>
                <w:rFonts w:ascii="Times New Roman" w:hAnsi="Times New Roman"/>
                <w:sz w:val="21"/>
                <w:szCs w:val="21"/>
              </w:rPr>
              <w:t>未编制突发环境事件应急预案，环境风险防范设施、应急防范能力较弱、未按要求落实例行监测制度。</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由</w:t>
            </w:r>
            <w:r>
              <w:rPr>
                <w:rFonts w:hint="eastAsia" w:ascii="Times New Roman" w:hAnsi="Times New Roman"/>
                <w:sz w:val="21"/>
                <w:szCs w:val="21"/>
                <w:lang w:val="en-US" w:eastAsia="zh-CN"/>
              </w:rPr>
              <w:t>浑南</w:t>
            </w:r>
            <w:r>
              <w:rPr>
                <w:rFonts w:ascii="Times New Roman" w:hAnsi="Times New Roman"/>
                <w:sz w:val="21"/>
                <w:szCs w:val="21"/>
              </w:rPr>
              <w:t>区或</w:t>
            </w:r>
            <w:r>
              <w:rPr>
                <w:rFonts w:hint="eastAsia" w:ascii="Times New Roman" w:hAnsi="Times New Roman"/>
                <w:sz w:val="21"/>
                <w:szCs w:val="21"/>
              </w:rPr>
              <w:t>浑南国际新兴产业园区管理委员</w:t>
            </w:r>
            <w:r>
              <w:rPr>
                <w:rFonts w:ascii="Times New Roman" w:hAnsi="Times New Roman"/>
                <w:sz w:val="21"/>
                <w:szCs w:val="21"/>
              </w:rPr>
              <w:t>对本</w:t>
            </w:r>
            <w:r>
              <w:rPr>
                <w:rFonts w:hint="eastAsia" w:ascii="Times New Roman" w:hAnsi="Times New Roman"/>
                <w:sz w:val="21"/>
                <w:szCs w:val="21"/>
              </w:rPr>
              <w:t>国际新兴产业园区</w:t>
            </w:r>
            <w:r>
              <w:rPr>
                <w:rFonts w:ascii="Times New Roman" w:hAnsi="Times New Roman"/>
                <w:sz w:val="21"/>
                <w:szCs w:val="21"/>
              </w:rPr>
              <w:t>及周边</w:t>
            </w:r>
            <w:r>
              <w:rPr>
                <w:rFonts w:hint="eastAsia" w:ascii="Times New Roman" w:hAnsi="Times New Roman"/>
                <w:sz w:val="21"/>
                <w:szCs w:val="21"/>
              </w:rPr>
              <w:t>国际新兴产业园区</w:t>
            </w:r>
            <w:r>
              <w:rPr>
                <w:rFonts w:ascii="Times New Roman" w:hAnsi="Times New Roman"/>
                <w:sz w:val="21"/>
                <w:szCs w:val="21"/>
              </w:rPr>
              <w:t>统筹编制区域环境风险应急预案，并定期修编。定期进行例行监测。</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9"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5</w:t>
            </w:r>
          </w:p>
        </w:tc>
        <w:tc>
          <w:tcPr>
            <w:tcW w:w="614" w:type="pct"/>
            <w:vMerge w:val="restar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区域环境质量</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杨官河是浑河的一条小型河 流，主要承担城市排水功能。</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lang w:eastAsia="zh-CN"/>
              </w:rPr>
            </w:pPr>
            <w:r>
              <w:rPr>
                <w:rFonts w:hint="eastAsia" w:ascii="Times New Roman" w:hAnsi="Times New Roman"/>
                <w:sz w:val="21"/>
                <w:szCs w:val="21"/>
              </w:rPr>
              <w:t>封育杨官河，巩固杨官河黑臭水体治理成果；实施海绵城市建设，减少入河污染；实施农村污水治理</w:t>
            </w:r>
            <w:r>
              <w:rPr>
                <w:rFonts w:hint="eastAsia" w:ascii="Times New Roman" w:hAnsi="Times New Roman"/>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9"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lang w:val="en-US" w:eastAsia="zh-CN"/>
              </w:rPr>
            </w:pPr>
          </w:p>
        </w:tc>
        <w:tc>
          <w:tcPr>
            <w:tcW w:w="614" w:type="pct"/>
            <w:vMerge w:val="continue"/>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lang w:val="en-US" w:eastAsia="zh-CN"/>
              </w:rPr>
            </w:pPr>
          </w:p>
        </w:tc>
        <w:tc>
          <w:tcPr>
            <w:tcW w:w="1999" w:type="pct"/>
            <w:tcBorders>
              <w:right w:val="single" w:color="auto" w:sz="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除二氧化硫、二氧化氮仍有剩余环境容量外，可吸入颗粒物、细颗粒物均超过环境容量。</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rPr>
              <w:t>三号热源实施超低排放改造，区域交通出行 实现绿色化，提高新能源出行比例</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9"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6</w:t>
            </w:r>
          </w:p>
        </w:tc>
        <w:tc>
          <w:tcPr>
            <w:tcW w:w="614" w:type="pct"/>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ascii="Times New Roman" w:hAnsi="Times New Roman"/>
                <w:sz w:val="21"/>
                <w:szCs w:val="21"/>
              </w:rPr>
            </w:pPr>
            <w:r>
              <w:rPr>
                <w:rFonts w:ascii="Times New Roman" w:hAnsi="Times New Roman"/>
                <w:sz w:val="21"/>
                <w:szCs w:val="21"/>
              </w:rPr>
              <w:t>项目环 评与</w:t>
            </w:r>
            <w:r>
              <w:rPr>
                <w:rFonts w:hint="eastAsia" w:ascii="Times New Roman" w:hAnsi="Times New Roman"/>
                <w:sz w:val="21"/>
                <w:szCs w:val="21"/>
                <w:lang w:eastAsia="zh-CN"/>
              </w:rPr>
              <w:t>“</w:t>
            </w:r>
            <w:r>
              <w:rPr>
                <w:rFonts w:ascii="Times New Roman" w:hAnsi="Times New Roman"/>
                <w:sz w:val="21"/>
                <w:szCs w:val="21"/>
              </w:rPr>
              <w:t>三 同时</w:t>
            </w:r>
            <w:r>
              <w:rPr>
                <w:rFonts w:hint="eastAsia" w:ascii="Times New Roman" w:hAnsi="Times New Roman"/>
                <w:sz w:val="21"/>
                <w:szCs w:val="21"/>
                <w:lang w:val="en-US" w:eastAsia="zh-CN"/>
              </w:rPr>
              <w:t>”</w:t>
            </w:r>
            <w:r>
              <w:rPr>
                <w:rFonts w:ascii="Times New Roman" w:hAnsi="Times New Roman"/>
                <w:sz w:val="21"/>
                <w:szCs w:val="21"/>
              </w:rPr>
              <w:t>执 行情况</w:t>
            </w:r>
          </w:p>
        </w:tc>
        <w:tc>
          <w:tcPr>
            <w:tcW w:w="1999"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ascii="Times New Roman" w:hAnsi="Times New Roman"/>
                <w:sz w:val="21"/>
                <w:szCs w:val="21"/>
              </w:rPr>
              <w:t>区内现状企业部分项目环保“三同时”环保验收执行率仍需提高。</w:t>
            </w:r>
          </w:p>
        </w:tc>
        <w:tc>
          <w:tcPr>
            <w:tcW w:w="2156" w:type="pct"/>
            <w:tcBorders>
              <w:right w:val="single" w:color="auto" w:sz="2" w:space="0"/>
            </w:tcBorders>
            <w:vAlign w:val="center"/>
          </w:tcPr>
          <w:p>
            <w:pPr>
              <w:pStyle w:val="16"/>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sz w:val="21"/>
                <w:szCs w:val="21"/>
              </w:rPr>
            </w:pPr>
            <w:r>
              <w:rPr>
                <w:rFonts w:hint="eastAsia" w:ascii="Times New Roman" w:hAnsi="Times New Roman"/>
                <w:sz w:val="21"/>
                <w:szCs w:val="21"/>
              </w:rPr>
              <w:t>要求开发区督促现有具备验收条件、尚未完成环保竣工验收工作的项目尽快完成环境保护竣工验收工作，进一步提高建设项目“三同时”验收制度执行率。</w:t>
            </w:r>
          </w:p>
        </w:tc>
      </w:tr>
    </w:tbl>
    <w:p>
      <w:pPr>
        <w:pStyle w:val="87"/>
      </w:pPr>
    </w:p>
    <w:p>
      <w:pPr>
        <w:pStyle w:val="8"/>
        <w:spacing w:before="65"/>
        <w:ind w:left="212"/>
        <w:rPr>
          <w:rFonts w:ascii="Times New Roman" w:hAnsi="Times New Roman" w:eastAsia="Times New Roman" w:cs="Times New Roman"/>
          <w:lang w:eastAsia="zh-CN"/>
        </w:rPr>
      </w:pPr>
      <w:bookmarkStart w:id="252" w:name="_Toc31113"/>
      <w:bookmarkStart w:id="253" w:name="_Toc18795"/>
      <w:r>
        <w:rPr>
          <w:rFonts w:ascii="Times New Roman" w:hAnsi="Times New Roman" w:eastAsia="Times New Roman" w:cs="Times New Roman"/>
          <w:lang w:eastAsia="zh-CN"/>
        </w:rPr>
        <w:t>7.6 跟踪评价总体结论</w:t>
      </w:r>
      <w:bookmarkEnd w:id="251"/>
      <w:bookmarkEnd w:id="252"/>
      <w:bookmarkEnd w:id="253"/>
    </w:p>
    <w:p>
      <w:pPr>
        <w:ind w:firstLine="480"/>
        <w:rPr>
          <w:rFonts w:cs="Times New Roman"/>
          <w:lang w:eastAsia="zh-CN"/>
        </w:rPr>
      </w:pPr>
      <w:r>
        <w:rPr>
          <w:rFonts w:cs="Times New Roman"/>
          <w:lang w:eastAsia="zh-CN"/>
        </w:rPr>
        <w:t>本次跟踪评价采用资料调研、实地勘查、政府走访、现状监测、数据分析等方式，对</w:t>
      </w:r>
      <w:r>
        <w:rPr>
          <w:rFonts w:hint="eastAsia" w:cs="Times New Roman"/>
          <w:lang w:eastAsia="zh-CN"/>
        </w:rPr>
        <w:t>国际新兴产业园区</w:t>
      </w:r>
      <w:r>
        <w:rPr>
          <w:rFonts w:cs="Times New Roman"/>
          <w:lang w:eastAsia="zh-CN"/>
        </w:rPr>
        <w:t>相关规划、环境目标与环境管理要求、规划实施及开发强度对比、区域生态环境演变趋势、环境影响对比评估及环保措施有效性、后续规划实施环境影响等方面内容进行了全面的分析与评价，形成了以下结论：</w:t>
      </w:r>
    </w:p>
    <w:p>
      <w:pPr>
        <w:ind w:firstLine="480"/>
        <w:rPr>
          <w:rFonts w:cs="Times New Roman"/>
          <w:lang w:eastAsia="zh-CN"/>
        </w:rPr>
      </w:pPr>
      <w:r>
        <w:rPr>
          <w:rFonts w:hint="eastAsia" w:cs="Times New Roman"/>
          <w:lang w:eastAsia="zh-CN"/>
        </w:rPr>
        <w:t>浑南国际新兴产业园区总体发展规划</w:t>
      </w:r>
      <w:r>
        <w:rPr>
          <w:rFonts w:cs="Times New Roman"/>
          <w:lang w:eastAsia="zh-CN"/>
        </w:rPr>
        <w:t>经多年发展，目前已形成以光电信息产业、先进制造产业为主的产业模式，但产业规模较规划差距较大。随着区域上位规划、环境目标、环境管理新要求不断提出或调整，</w:t>
      </w:r>
      <w:r>
        <w:rPr>
          <w:rFonts w:hint="eastAsia" w:cs="Times New Roman"/>
          <w:lang w:eastAsia="zh-CN"/>
        </w:rPr>
        <w:t>国际新兴产业园区</w:t>
      </w:r>
      <w:r>
        <w:rPr>
          <w:rFonts w:cs="Times New Roman"/>
          <w:lang w:eastAsia="zh-CN"/>
        </w:rPr>
        <w:t>现状发展产业空间布局、现有环境管理体系方面有待完善，并存在区域环境容量有限等环境制约问题。</w:t>
      </w:r>
    </w:p>
    <w:p>
      <w:pPr>
        <w:ind w:firstLine="480"/>
        <w:rPr>
          <w:rFonts w:cs="Times New Roman"/>
          <w:lang w:eastAsia="zh-CN"/>
        </w:rPr>
      </w:pPr>
      <w:r>
        <w:rPr>
          <w:rFonts w:cs="Times New Roman"/>
          <w:lang w:eastAsia="zh-CN"/>
        </w:rPr>
        <w:t>本次评价针对</w:t>
      </w:r>
      <w:r>
        <w:rPr>
          <w:rFonts w:hint="eastAsia" w:cs="Times New Roman"/>
          <w:lang w:eastAsia="zh-CN"/>
        </w:rPr>
        <w:t>国际新兴产业园区</w:t>
      </w:r>
      <w:r>
        <w:rPr>
          <w:rFonts w:cs="Times New Roman"/>
          <w:lang w:eastAsia="zh-CN"/>
        </w:rPr>
        <w:t>现存环境问题，提出了规划优化调整建议和环境影响减缓措施，并明确清单式环境管控要求。</w:t>
      </w:r>
      <w:r>
        <w:rPr>
          <w:rFonts w:hint="eastAsia" w:cs="Times New Roman"/>
          <w:lang w:eastAsia="zh-CN"/>
        </w:rPr>
        <w:t>国际新兴产业园区</w:t>
      </w:r>
      <w:r>
        <w:rPr>
          <w:rFonts w:cs="Times New Roman"/>
          <w:lang w:eastAsia="zh-CN"/>
        </w:rPr>
        <w:t>应结合沈阳市城市总体规划及规划对区位发展的要求，积极推进产业转型升级，着力发展绿色、循环和低碳经济，进一步提升环境管理能力。</w:t>
      </w:r>
    </w:p>
    <w:p>
      <w:pPr>
        <w:ind w:firstLine="480"/>
        <w:rPr>
          <w:rFonts w:cs="Times New Roman"/>
          <w:lang w:eastAsia="zh-CN"/>
        </w:rPr>
      </w:pPr>
    </w:p>
    <w:p>
      <w:pPr>
        <w:pStyle w:val="38"/>
        <w:spacing w:before="72" w:after="72"/>
        <w:ind w:left="0" w:leftChars="0" w:firstLine="0" w:firstLineChars="0"/>
      </w:pPr>
      <w:bookmarkStart w:id="254" w:name="_GoBack"/>
      <w:bookmarkEnd w:id="254"/>
    </w:p>
    <w:sectPr>
      <w:pgSz w:w="11906" w:h="16838"/>
      <w:pgMar w:top="1418" w:right="1418" w:bottom="1418" w:left="1418" w:header="1134" w:footer="1134" w:gutter="0"/>
      <w:pgBorders>
        <w:top w:val="none" w:sz="0" w:space="0"/>
        <w:left w:val="none" w:sz="0" w:space="0"/>
        <w:bottom w:val="none" w:sz="0" w:space="0"/>
        <w:right w:val="none" w:sz="0" w:space="0"/>
      </w:pgBorders>
      <w:cols w:space="425"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D0ACA36-C198-4F52-8D9C-3A29D0FB0BFE}"/>
  </w:font>
  <w:font w:name="Arial">
    <w:panose1 w:val="020B0604020202020204"/>
    <w:charset w:val="01"/>
    <w:family w:val="swiss"/>
    <w:pitch w:val="default"/>
    <w:sig w:usb0="E0002EFF" w:usb1="C000785B" w:usb2="00000009" w:usb3="00000000" w:csb0="400001FF" w:csb1="FFFF0000"/>
    <w:embedRegular r:id="rId2" w:fontKey="{CC5D7F1F-3729-4D0F-915D-4D8DBA8DD7FE}"/>
  </w:font>
  <w:font w:name="黑体">
    <w:panose1 w:val="02010609060101010101"/>
    <w:charset w:val="86"/>
    <w:family w:val="auto"/>
    <w:pitch w:val="default"/>
    <w:sig w:usb0="800002BF" w:usb1="38CF7CFA" w:usb2="00000016" w:usb3="00000000" w:csb0="00040001" w:csb1="00000000"/>
    <w:embedRegular r:id="rId3" w:fontKey="{6D08C3B7-E947-4582-AE71-41D81562686B}"/>
  </w:font>
  <w:font w:name="Courier New">
    <w:panose1 w:val="02070309020205020404"/>
    <w:charset w:val="01"/>
    <w:family w:val="modern"/>
    <w:pitch w:val="default"/>
    <w:sig w:usb0="E0002EFF" w:usb1="C0007843" w:usb2="00000009" w:usb3="00000000" w:csb0="400001FF" w:csb1="FFFF0000"/>
    <w:embedRegular r:id="rId4" w:fontKey="{9C454D6A-C6B8-42F5-9D9F-1A5C135D90C0}"/>
  </w:font>
  <w:font w:name="Symbol">
    <w:panose1 w:val="05050102010706020507"/>
    <w:charset w:val="02"/>
    <w:family w:val="roman"/>
    <w:pitch w:val="default"/>
    <w:sig w:usb0="00000000" w:usb1="00000000" w:usb2="00000000" w:usb3="00000000" w:csb0="80000000" w:csb1="00000000"/>
    <w:embedRegular r:id="rId5" w:fontKey="{7600F2FC-0C0D-452B-AD78-12EEA0A36418}"/>
  </w:font>
  <w:font w:name="Calibri">
    <w:panose1 w:val="020F0502020204030204"/>
    <w:charset w:val="00"/>
    <w:family w:val="swiss"/>
    <w:pitch w:val="default"/>
    <w:sig w:usb0="E4002EFF" w:usb1="C000247B" w:usb2="00000009" w:usb3="00000000" w:csb0="200001FF" w:csb1="00000000"/>
    <w:embedRegular r:id="rId6" w:fontKey="{AD483872-F0BA-421A-B14B-95CFF9320599}"/>
  </w:font>
  <w:font w:name="Calibri Light">
    <w:panose1 w:val="020F0302020204030204"/>
    <w:charset w:val="00"/>
    <w:family w:val="swiss"/>
    <w:pitch w:val="default"/>
    <w:sig w:usb0="E4002EFF" w:usb1="C000247B" w:usb2="00000009" w:usb3="00000000" w:csb0="200001FF" w:csb1="00000000"/>
    <w:embedRegular r:id="rId7" w:fontKey="{9F750AAB-633E-4F05-8C3C-F40AC23F366B}"/>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embedRegular r:id="rId8" w:fontKey="{B6C60A65-CECC-48E7-9E8B-FB3991DBC91B}"/>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embedRegular r:id="rId9" w:fontKey="{4551B1B4-624A-4740-8588-16FAA1A1AE77}"/>
  </w:font>
  <w:font w:name="+mn-cs">
    <w:altName w:val="Times New Roman"/>
    <w:panose1 w:val="00000000000000000000"/>
    <w:charset w:val="00"/>
    <w:family w:val="roman"/>
    <w:pitch w:val="default"/>
    <w:sig w:usb0="00000000" w:usb1="00000000" w:usb2="00000000" w:usb3="00000000" w:csb0="00000000" w:csb1="00000000"/>
    <w:embedRegular r:id="rId10" w:fontKey="{35D2BDD1-6D61-4EE2-BBB3-E99071DC95EB}"/>
  </w:font>
  <w:font w:name="Arial Unicode MS">
    <w:altName w:val="宋体"/>
    <w:panose1 w:val="020B0604020202020204"/>
    <w:charset w:val="86"/>
    <w:family w:val="swiss"/>
    <w:pitch w:val="default"/>
    <w:sig w:usb0="00000000" w:usb1="00000000" w:usb2="0000003F" w:usb3="00000000" w:csb0="603F01FF" w:csb1="FFFF0000"/>
  </w:font>
  <w:font w:name="汉鼎简书宋">
    <w:altName w:val="宋体"/>
    <w:panose1 w:val="00000000000000000000"/>
    <w:charset w:val="86"/>
    <w:family w:val="modern"/>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embedRegular r:id="rId11" w:fontKey="{46D262F9-8E88-43E5-AE11-324B02B4C974}"/>
  </w:font>
  <w:font w:name="Garamond">
    <w:panose1 w:val="02020404030301010803"/>
    <w:charset w:val="00"/>
    <w:family w:val="roman"/>
    <w:pitch w:val="default"/>
    <w:sig w:usb0="00000287" w:usb1="00000000" w:usb2="00000000" w:usb3="00000000" w:csb0="0000009F" w:csb1="DFD70000"/>
    <w:embedRegular r:id="rId12" w:fontKey="{DA039291-4A08-4A8F-9E41-9C8D3422CA33}"/>
  </w:font>
  <w:font w:name="Impact">
    <w:panose1 w:val="020B0806030902050204"/>
    <w:charset w:val="00"/>
    <w:family w:val="swiss"/>
    <w:pitch w:val="default"/>
    <w:sig w:usb0="00000287" w:usb1="00000000" w:usb2="00000000" w:usb3="00000000" w:csb0="2000009F" w:csb1="DFD70000"/>
    <w:embedRegular r:id="rId13" w:fontKey="{64D27E9A-9C65-4F15-B033-9D24DC8C405D}"/>
  </w:font>
  <w:font w:name="仿宋体">
    <w:altName w:val="仿宋"/>
    <w:panose1 w:val="00000000000000000000"/>
    <w:charset w:val="86"/>
    <w:family w:val="swiss"/>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Verdana">
    <w:panose1 w:val="020B0604030504040204"/>
    <w:charset w:val="00"/>
    <w:family w:val="swiss"/>
    <w:pitch w:val="default"/>
    <w:sig w:usb0="A00006FF" w:usb1="4000205B" w:usb2="00000010" w:usb3="00000000" w:csb0="2000019F" w:csb1="00000000"/>
    <w:embedRegular r:id="rId14" w:fontKey="{8127E778-183B-464A-8DFB-1A7DF401BEBA}"/>
  </w:font>
  <w:font w:name="Plotter">
    <w:altName w:val="Lucida Console"/>
    <w:panose1 w:val="00000000000000000000"/>
    <w:charset w:val="00"/>
    <w:family w:val="modern"/>
    <w:pitch w:val="default"/>
    <w:sig w:usb0="00000000" w:usb1="00000000" w:usb2="00000000" w:usb3="00000000" w:csb0="00000001" w:csb1="00000000"/>
  </w:font>
  <w:font w:name="Lucida Console">
    <w:panose1 w:val="020B0609040504020204"/>
    <w:charset w:val="00"/>
    <w:family w:val="auto"/>
    <w:pitch w:val="default"/>
    <w:sig w:usb0="8000028F" w:usb1="00001800" w:usb2="00000000" w:usb3="00000000" w:csb0="0000001F" w:csb1="D7D70000"/>
    <w:embedRegular r:id="rId15" w:fontKey="{FB77573E-9A34-4792-A501-EACDC328021F}"/>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大标宋简体">
    <w:altName w:val="宋体"/>
    <w:panose1 w:val="00000000000000000000"/>
    <w:charset w:val="86"/>
    <w:family w:val="auto"/>
    <w:pitch w:val="default"/>
    <w:sig w:usb0="00000000" w:usb1="00000000" w:usb2="00000010" w:usb3="00000000" w:csb0="00040000" w:csb1="00000000"/>
  </w:font>
  <w:font w:name="MS PGothic">
    <w:panose1 w:val="020B0600070205080204"/>
    <w:charset w:val="80"/>
    <w:family w:val="swiss"/>
    <w:pitch w:val="default"/>
    <w:sig w:usb0="E00002FF" w:usb1="6AC7FDFB" w:usb2="08000012" w:usb3="00000000" w:csb0="4002009F" w:csb1="DFD70000"/>
  </w:font>
  <w:font w:name="方正舒体">
    <w:altName w:val="宋体"/>
    <w:panose1 w:val="02010601030101010101"/>
    <w:charset w:val="86"/>
    <w:family w:val="auto"/>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embedRegular r:id="rId16" w:fontKey="{4D5C2EF1-8B2C-4233-9223-1D8364F6DB7E}"/>
  </w:font>
  <w:font w:name="Microsoft YaHei UI">
    <w:panose1 w:val="020B0503020204020204"/>
    <w:charset w:val="86"/>
    <w:family w:val="swiss"/>
    <w:pitch w:val="default"/>
    <w:sig w:usb0="80000287" w:usb1="2ACF3C50" w:usb2="00000016" w:usb3="00000000" w:csb0="0004001F" w:csb1="00000000"/>
  </w:font>
  <w:font w:name="新宋体">
    <w:panose1 w:val="02010609030101010101"/>
    <w:charset w:val="86"/>
    <w:family w:val="modern"/>
    <w:pitch w:val="default"/>
    <w:sig w:usb0="00000283" w:usb1="288F0000" w:usb2="00000006" w:usb3="00000000" w:csb0="00040001" w:csb1="00000000"/>
    <w:embedRegular r:id="rId17" w:fontKey="{5F7C12F0-FD54-42D9-95DC-0FD02F6DEF54}"/>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top w:val="single" w:color="auto" w:sz="4" w:space="1"/>
      </w:pBdr>
      <w:ind w:firstLine="0" w:firstLineChars="0"/>
      <w:rPr>
        <w:rFonts w:cs="Times New Roman"/>
        <w:lang w:eastAsia="zh-CN"/>
      </w:rP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0"/>
                            <w:ind w:firstLine="360"/>
                          </w:pPr>
                          <w:r>
                            <w:fldChar w:fldCharType="begin"/>
                          </w:r>
                          <w:r>
                            <w:instrText xml:space="preserve"> PAGE  \* MERGEFORMAT </w:instrText>
                          </w:r>
                          <w:r>
                            <w:fldChar w:fldCharType="separate"/>
                          </w:r>
                          <w:r>
                            <w:t>70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1nbycsAgAAVwQAAA4AAABkcnMvZTJvRG9jLnhtbK1UzY7TMBC+I/EO&#10;lu80bVes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n31dpwuXDwAlxo5Iomu2GiFdtf2zHam&#10;OIGYM91seMs3NZJvmQ/3zGEYUDCeS7jDUkqDJKa3KKmM+/qv8xiPHsFLSYPhyqnGW6JEftDoHQDD&#10;YLjB2A2GPqhbg2lFO1BLMnHBBTmYpTPqC97QKuaAi2mOTDkNg3kbugHHG+RitUpBmDbLwlY/WB6h&#10;o3jerg4BAiZdoyidEr1WmLfUmf5txIH+c5+inv4Hy0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WdvJywCAABXBAAADgAAAAAAAAABACAAAAAfAQAAZHJzL2Uyb0RvYy54bWxQSwUGAAAAAAYA&#10;BgBZAQAAvQUAAAAA&#10;">
              <v:fill on="f" focussize="0,0"/>
              <v:stroke on="f" weight="0.5pt"/>
              <v:imagedata o:title=""/>
              <o:lock v:ext="edit" aspectratio="f"/>
              <v:textbox inset="0mm,0mm,0mm,0mm" style="mso-fit-shape-to-text:t;">
                <w:txbxContent>
                  <w:p>
                    <w:pPr>
                      <w:pStyle w:val="40"/>
                      <w:ind w:firstLine="360"/>
                    </w:pPr>
                    <w:r>
                      <w:fldChar w:fldCharType="begin"/>
                    </w:r>
                    <w:r>
                      <w:instrText xml:space="preserve"> PAGE  \* MERGEFORMAT </w:instrText>
                    </w:r>
                    <w:r>
                      <w:fldChar w:fldCharType="separate"/>
                    </w:r>
                    <w:r>
                      <w:t>70</w:t>
                    </w:r>
                    <w:r>
                      <w:fldChar w:fldCharType="end"/>
                    </w:r>
                  </w:p>
                </w:txbxContent>
              </v:textbox>
            </v:shape>
          </w:pict>
        </mc:Fallback>
      </mc:AlternateContent>
    </w:r>
  </w:p>
  <w:p>
    <w:pPr>
      <w:spacing w:line="14" w:lineRule="auto"/>
      <w:ind w:firstLine="400"/>
      <w:rPr>
        <w:sz w:val="20"/>
        <w:szCs w:val="20"/>
        <w:lang w:eastAsia="zh-CN"/>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7" w:lineRule="exact"/>
      <w:ind w:firstLine="480"/>
      <w:rPr>
        <w:rFonts w:eastAsia="Times New Roman" w:cs="Times New Roman"/>
      </w:rP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0"/>
                            <w:ind w:firstLine="360"/>
                          </w:pPr>
                          <w:r>
                            <w:fldChar w:fldCharType="begin"/>
                          </w:r>
                          <w:r>
                            <w:instrText xml:space="preserve"> PAGE  \* MERGEFORMAT </w:instrText>
                          </w:r>
                          <w:r>
                            <w:fldChar w:fldCharType="separate"/>
                          </w:r>
                          <w:r>
                            <w:t>72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xmuc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WxmuctAgAAVwQAAA4AAAAAAAAAAQAgAAAAHwEAAGRycy9lMm9Eb2MueG1sUEsFBgAAAAAG&#10;AAYAWQEAAL4FAAAAAA==&#10;">
              <v:fill on="f" focussize="0,0"/>
              <v:stroke on="f" weight="0.5pt"/>
              <v:imagedata o:title=""/>
              <o:lock v:ext="edit" aspectratio="f"/>
              <v:textbox inset="0mm,0mm,0mm,0mm" style="mso-fit-shape-to-text:t;">
                <w:txbxContent>
                  <w:p>
                    <w:pPr>
                      <w:pStyle w:val="40"/>
                      <w:ind w:firstLine="360"/>
                    </w:pPr>
                    <w:r>
                      <w:fldChar w:fldCharType="begin"/>
                    </w:r>
                    <w:r>
                      <w:instrText xml:space="preserve"> PAGE  \* MERGEFORMAT </w:instrText>
                    </w:r>
                    <w:r>
                      <w:fldChar w:fldCharType="separate"/>
                    </w:r>
                    <w:r>
                      <w:t>72</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spacing w:line="14" w:lineRule="auto"/>
      <w:ind w:firstLine="480"/>
      <w:rPr>
        <w:sz w:val="20"/>
      </w:rPr>
    </w:pPr>
    <w:r>
      <mc:AlternateContent>
        <mc:Choice Requires="wps">
          <w:drawing>
            <wp:anchor distT="0" distB="0" distL="114300" distR="114300" simplePos="0" relativeHeight="251668480" behindDoc="1" locked="0" layoutInCell="1" allowOverlap="1">
              <wp:simplePos x="0" y="0"/>
              <wp:positionH relativeFrom="page">
                <wp:posOffset>3635375</wp:posOffset>
              </wp:positionH>
              <wp:positionV relativeFrom="page">
                <wp:posOffset>9923145</wp:posOffset>
              </wp:positionV>
              <wp:extent cx="274320" cy="152400"/>
              <wp:effectExtent l="0" t="0" r="0" b="0"/>
              <wp:wrapNone/>
              <wp:docPr id="830" name="文本框 32"/>
              <wp:cNvGraphicFramePr/>
              <a:graphic xmlns:a="http://schemas.openxmlformats.org/drawingml/2006/main">
                <a:graphicData uri="http://schemas.microsoft.com/office/word/2010/wordprocessingShape">
                  <wps:wsp>
                    <wps:cNvSpPr txBox="1"/>
                    <wps:spPr>
                      <a:xfrm>
                        <a:off x="0" y="0"/>
                        <a:ext cx="274320" cy="152400"/>
                      </a:xfrm>
                      <a:prstGeom prst="rect">
                        <a:avLst/>
                      </a:prstGeom>
                      <a:noFill/>
                      <a:ln>
                        <a:noFill/>
                      </a:ln>
                    </wps:spPr>
                    <wps:txbx>
                      <w:txbxContent>
                        <w:p>
                          <w:pPr>
                            <w:spacing w:before="12"/>
                            <w:ind w:left="20" w:firstLine="360"/>
                            <w:jc w:val="left"/>
                            <w:rPr>
                              <w:sz w:val="18"/>
                            </w:rPr>
                          </w:pPr>
                          <w:r>
                            <w:rPr>
                              <w:sz w:val="18"/>
                            </w:rPr>
                            <w:t>- 47 -</w:t>
                          </w:r>
                        </w:p>
                      </w:txbxContent>
                    </wps:txbx>
                    <wps:bodyPr lIns="0" tIns="0" rIns="0" bIns="0" upright="1"/>
                  </wps:wsp>
                </a:graphicData>
              </a:graphic>
            </wp:anchor>
          </w:drawing>
        </mc:Choice>
        <mc:Fallback>
          <w:pict>
            <v:shape id="文本框 32" o:spid="_x0000_s1026" o:spt="202" type="#_x0000_t202" style="position:absolute;left:0pt;margin-left:286.25pt;margin-top:781.35pt;height:12pt;width:21.6pt;mso-position-horizontal-relative:page;mso-position-vertical-relative:page;z-index:-251648000;mso-width-relative:page;mso-height-relative:page;" filled="f" stroked="f" coordsize="21600,21600" o:gfxdata="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ErsOX2gAAAA0BAAAPAAAAAAAAAAEAIAAAACIAAABkcnMvZG93bnJldi54bWxQ&#10;SwECFAAUAAAACACHTuJA75dEbrwBAAB0AwAADgAAAAAAAAABACAAAAApAQAAZHJzL2Uyb0RvYy54&#10;bWxQSwUGAAAAAAYABgBZAQAAVwUAAAAA&#10;">
              <v:fill on="f" focussize="0,0"/>
              <v:stroke on="f"/>
              <v:imagedata o:title=""/>
              <o:lock v:ext="edit" aspectratio="f"/>
              <v:textbox inset="0mm,0mm,0mm,0mm">
                <w:txbxContent>
                  <w:p>
                    <w:pPr>
                      <w:spacing w:before="12"/>
                      <w:ind w:left="20" w:firstLine="360"/>
                      <w:jc w:val="left"/>
                      <w:rPr>
                        <w:sz w:val="18"/>
                      </w:rPr>
                    </w:pPr>
                    <w:r>
                      <w:rPr>
                        <w:sz w:val="18"/>
                      </w:rPr>
                      <w:t>- 47 -</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top w:val="single" w:color="auto" w:sz="4" w:space="1"/>
      </w:pBdr>
      <w:ind w:firstLine="0" w:firstLineChars="0"/>
      <w:rPr>
        <w:rFonts w:cs="Times New Roman"/>
        <w:lang w:eastAsia="zh-CN"/>
      </w:rPr>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0"/>
                            <w:ind w:firstLine="360"/>
                          </w:pPr>
                          <w:r>
                            <w:fldChar w:fldCharType="begin"/>
                          </w:r>
                          <w:r>
                            <w:instrText xml:space="preserve"> PAGE  \* MERGEFORMAT </w:instrText>
                          </w:r>
                          <w:r>
                            <w:fldChar w:fldCharType="separate"/>
                          </w:r>
                          <w:r>
                            <w:t>82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aAL0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p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QaAL0tAgAAVwQAAA4AAAAAAAAAAQAgAAAAHwEAAGRycy9lMm9Eb2MueG1sUEsFBgAAAAAG&#10;AAYAWQEAAL4FAAAAAA==&#10;">
              <v:fill on="f" focussize="0,0"/>
              <v:stroke on="f" weight="0.5pt"/>
              <v:imagedata o:title=""/>
              <o:lock v:ext="edit" aspectratio="f"/>
              <v:textbox inset="0mm,0mm,0mm,0mm" style="mso-fit-shape-to-text:t;">
                <w:txbxContent>
                  <w:p>
                    <w:pPr>
                      <w:pStyle w:val="40"/>
                      <w:ind w:firstLine="360"/>
                    </w:pPr>
                    <w:r>
                      <w:fldChar w:fldCharType="begin"/>
                    </w:r>
                    <w:r>
                      <w:instrText xml:space="preserve"> PAGE  \* MERGEFORMAT </w:instrText>
                    </w:r>
                    <w:r>
                      <w:fldChar w:fldCharType="separate"/>
                    </w:r>
                    <w:r>
                      <w:t>82</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4943776"/>
    </w:sdtPr>
    <w:sdtContent>
      <w:p>
        <w:pPr>
          <w:pStyle w:val="40"/>
          <w:pBdr>
            <w:top w:val="single" w:color="auto" w:sz="4" w:space="1"/>
          </w:pBdr>
          <w:ind w:firstLine="360"/>
          <w:jc w:val="center"/>
          <w:rPr>
            <w:lang w:eastAsia="zh-CN"/>
          </w:rPr>
        </w:pPr>
        <w:r>
          <w:rPr>
            <w:rFonts w:hint="eastAsia"/>
            <w:szCs w:val="20"/>
            <w:lang w:eastAsia="zh-CN"/>
          </w:rPr>
          <w:t xml:space="preserve">辽宁省环境规划院有限公司                     </w:t>
        </w:r>
        <w:r>
          <w:rPr>
            <w:szCs w:val="20"/>
          </w:rPr>
          <w:fldChar w:fldCharType="begin"/>
        </w:r>
        <w:r>
          <w:rPr>
            <w:szCs w:val="20"/>
            <w:lang w:eastAsia="zh-CN"/>
          </w:rPr>
          <w:instrText xml:space="preserve"> PAGE </w:instrText>
        </w:r>
        <w:r>
          <w:rPr>
            <w:szCs w:val="20"/>
          </w:rPr>
          <w:fldChar w:fldCharType="separate"/>
        </w:r>
        <w:r>
          <w:rPr>
            <w:szCs w:val="20"/>
            <w:lang w:eastAsia="zh-CN"/>
          </w:rPr>
          <w:t>i</w:t>
        </w:r>
        <w:r>
          <w:rPr>
            <w:szCs w:val="20"/>
          </w:rPr>
          <w:fldChar w:fldCharType="end"/>
        </w:r>
        <w:r>
          <w:rPr>
            <w:rFonts w:hint="eastAsia"/>
            <w:szCs w:val="20"/>
            <w:lang w:eastAsia="zh-CN"/>
          </w:rPr>
          <w:t xml:space="preserve">           </w:t>
        </w:r>
        <w:r>
          <w:rPr>
            <w:szCs w:val="20"/>
            <w:lang w:eastAsia="zh-CN"/>
          </w:rPr>
          <w:t xml:space="preserve">   </w:t>
        </w:r>
        <w:r>
          <w:rPr>
            <w:rFonts w:hint="eastAsia"/>
            <w:szCs w:val="20"/>
            <w:lang w:eastAsia="zh-CN"/>
          </w:rPr>
          <w:t xml:space="preserve">       北京市西城区黄寺大街甲23号北广大厦1202室  </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top w:val="single" w:color="auto" w:sz="4" w:space="1"/>
      </w:pBdr>
      <w:ind w:firstLine="0" w:firstLineChars="0"/>
      <w:jc w:val="center"/>
      <w:rPr>
        <w:sz w:val="24"/>
        <w:szCs w:val="24"/>
      </w:rPr>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0"/>
                            <w:ind w:firstLine="360"/>
                            <w:rPr>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l4K5A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l4K5AtAgAAVwQAAA4AAAAAAAAAAQAgAAAAHwEAAGRycy9lMm9Eb2MueG1sUEsFBgAAAAAG&#10;AAYAWQEAAL4FAAAAAA==&#10;">
              <v:fill on="f" focussize="0,0"/>
              <v:stroke on="f" weight="0.5pt"/>
              <v:imagedata o:title=""/>
              <o:lock v:ext="edit" aspectratio="f"/>
              <v:textbox inset="0mm,0mm,0mm,0mm" style="mso-fit-shape-to-text:t;">
                <w:txbxContent>
                  <w:p>
                    <w:pPr>
                      <w:pStyle w:val="40"/>
                      <w:ind w:firstLine="360"/>
                      <w:rPr>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top w:val="single" w:color="auto" w:sz="4" w:space="1"/>
      </w:pBdr>
      <w:ind w:firstLine="0" w:firstLineChars="0"/>
      <w:rPr>
        <w:rFonts w:cs="Times New Roman"/>
        <w:lang w:eastAsia="zh-CN"/>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0"/>
                            <w:spacing w:line="240" w:lineRule="auto"/>
                            <w:ind w:firstLine="0" w:firstLineChars="0"/>
                            <w:jc w:val="cen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pPr>
                      <w:pStyle w:val="40"/>
                      <w:spacing w:line="240" w:lineRule="auto"/>
                      <w:ind w:firstLine="0" w:firstLineChars="0"/>
                      <w:jc w:val="center"/>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spacing w:line="14" w:lineRule="auto"/>
      <w:ind w:firstLine="400"/>
      <w:rPr>
        <w:sz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0"/>
                            <w:ind w:firstLine="360"/>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pPr>
                      <w:pStyle w:val="40"/>
                      <w:ind w:firstLine="360"/>
                    </w:pPr>
                    <w:r>
                      <w:fldChar w:fldCharType="begin"/>
                    </w:r>
                    <w:r>
                      <w:instrText xml:space="preserve"> PAGE  \* MERGEFORMAT </w:instrText>
                    </w:r>
                    <w:r>
                      <w:fldChar w:fldCharType="separate"/>
                    </w:r>
                    <w:r>
                      <w:t>28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spacing w:line="14" w:lineRule="auto"/>
      <w:ind w:firstLine="400"/>
      <w:rPr>
        <w:sz w:val="20"/>
      </w:rPr>
    </w:pPr>
    <w:r>
      <w:rPr>
        <w:sz w:val="20"/>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0"/>
                            <w:ind w:firstLine="360"/>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pPr>
                      <w:pStyle w:val="40"/>
                      <w:ind w:firstLine="360"/>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top w:val="single" w:color="auto" w:sz="4" w:space="1"/>
      </w:pBdr>
      <w:ind w:firstLine="0" w:firstLineChars="0"/>
      <w:rPr>
        <w:rFonts w:cs="Times New Roman"/>
        <w:lang w:eastAsia="zh-CN"/>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0"/>
                            <w:ind w:firstLine="360"/>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pPr>
                      <w:pStyle w:val="40"/>
                      <w:ind w:firstLine="360"/>
                    </w:pPr>
                    <w:r>
                      <w:fldChar w:fldCharType="begin"/>
                    </w:r>
                    <w:r>
                      <w:instrText xml:space="preserve"> PAGE  \* MERGEFORMAT </w:instrText>
                    </w:r>
                    <w:r>
                      <w:fldChar w:fldCharType="separate"/>
                    </w:r>
                    <w:r>
                      <w:t>62</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top w:val="single" w:color="auto" w:sz="4" w:space="1"/>
      </w:pBdr>
      <w:ind w:firstLine="0" w:firstLineChars="0"/>
      <w:rPr>
        <w:rFonts w:cs="Times New Roman"/>
        <w:lang w:eastAsia="zh-CN"/>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0"/>
                            <w:ind w:firstLine="360"/>
                          </w:pPr>
                          <w:r>
                            <w:fldChar w:fldCharType="begin"/>
                          </w:r>
                          <w:r>
                            <w:instrText xml:space="preserve"> PAGE  \* MERGEFORMAT </w:instrText>
                          </w:r>
                          <w:r>
                            <w:fldChar w:fldCharType="separate"/>
                          </w:r>
                          <w:r>
                            <w:t>68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UqPGc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pSo8ZywCAABXBAAADgAAAAAAAAABACAAAAAfAQAAZHJzL2Uyb0RvYy54bWxQSwUGAAAAAAYA&#10;BgBZAQAAvQUAAAAA&#10;">
              <v:fill on="f" focussize="0,0"/>
              <v:stroke on="f" weight="0.5pt"/>
              <v:imagedata o:title=""/>
              <o:lock v:ext="edit" aspectratio="f"/>
              <v:textbox inset="0mm,0mm,0mm,0mm" style="mso-fit-shape-to-text:t;">
                <w:txbxContent>
                  <w:p>
                    <w:pPr>
                      <w:pStyle w:val="40"/>
                      <w:ind w:firstLine="360"/>
                    </w:pPr>
                    <w:r>
                      <w:fldChar w:fldCharType="begin"/>
                    </w:r>
                    <w:r>
                      <w:instrText xml:space="preserve"> PAGE  \* MERGEFORMAT </w:instrText>
                    </w:r>
                    <w:r>
                      <w:fldChar w:fldCharType="separate"/>
                    </w:r>
                    <w:r>
                      <w:t>68</w:t>
                    </w:r>
                    <w:r>
                      <w:fldChar w:fldCharType="end"/>
                    </w:r>
                  </w:p>
                </w:txbxContent>
              </v:textbox>
            </v:shape>
          </w:pict>
        </mc:Fallback>
      </mc:AlternateContent>
    </w:r>
  </w:p>
  <w:p>
    <w:pPr>
      <w:pStyle w:val="40"/>
      <w:ind w:firstLine="360"/>
      <w:rPr>
        <w:lang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ordWrap w:val="0"/>
      <w:spacing w:line="200" w:lineRule="exact"/>
      <w:ind w:left="20" w:right="90" w:firstLine="360"/>
      <w:jc w:val="right"/>
      <w:rPr>
        <w:rFonts w:cs="宋体"/>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240" w:lineRule="auto"/>
      <w:ind w:firstLine="0" w:firstLineChars="0"/>
      <w:rPr>
        <w:lang w:eastAsia="zh-CN"/>
      </w:rPr>
    </w:pPr>
    <w:r>
      <w:rPr>
        <w:rFonts w:hint="eastAsia"/>
        <w:lang w:eastAsia="zh-CN"/>
      </w:rPr>
      <w:t>浑南国际新兴产业园区总体发展规划环境影响跟踪评价报告书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3C942D"/>
    <w:multiLevelType w:val="singleLevel"/>
    <w:tmpl w:val="983C942D"/>
    <w:lvl w:ilvl="0" w:tentative="0">
      <w:start w:val="1"/>
      <w:numFmt w:val="decimal"/>
      <w:lvlText w:val="%1."/>
      <w:lvlJc w:val="left"/>
      <w:pPr>
        <w:tabs>
          <w:tab w:val="left" w:pos="312"/>
        </w:tabs>
      </w:pPr>
    </w:lvl>
  </w:abstractNum>
  <w:abstractNum w:abstractNumId="1">
    <w:nsid w:val="BADB4CFC"/>
    <w:multiLevelType w:val="singleLevel"/>
    <w:tmpl w:val="BADB4CFC"/>
    <w:lvl w:ilvl="0" w:tentative="0">
      <w:start w:val="2"/>
      <w:numFmt w:val="decimal"/>
      <w:suff w:val="nothing"/>
      <w:lvlText w:val="（%1）"/>
      <w:lvlJc w:val="left"/>
    </w:lvl>
  </w:abstractNum>
  <w:abstractNum w:abstractNumId="2">
    <w:nsid w:val="E41BDDFB"/>
    <w:multiLevelType w:val="singleLevel"/>
    <w:tmpl w:val="E41BDDFB"/>
    <w:lvl w:ilvl="0" w:tentative="0">
      <w:start w:val="6"/>
      <w:numFmt w:val="decimal"/>
      <w:suff w:val="nothing"/>
      <w:lvlText w:val="%1）"/>
      <w:lvlJc w:val="left"/>
    </w:lvl>
  </w:abstractNum>
  <w:abstractNum w:abstractNumId="3">
    <w:nsid w:val="FFFFFF80"/>
    <w:multiLevelType w:val="singleLevel"/>
    <w:tmpl w:val="FFFFFF80"/>
    <w:lvl w:ilvl="0" w:tentative="0">
      <w:start w:val="1"/>
      <w:numFmt w:val="bullet"/>
      <w:pStyle w:val="34"/>
      <w:lvlText w:val=""/>
      <w:lvlJc w:val="left"/>
      <w:pPr>
        <w:tabs>
          <w:tab w:val="left" w:pos="2040"/>
        </w:tabs>
        <w:ind w:left="2040" w:leftChars="800" w:hanging="360" w:hangingChars="200"/>
      </w:pPr>
      <w:rPr>
        <w:rFonts w:hint="default" w:ascii="Wingdings" w:hAnsi="Wingdings"/>
      </w:rPr>
    </w:lvl>
  </w:abstractNum>
  <w:abstractNum w:abstractNumId="4">
    <w:nsid w:val="FFFFFF83"/>
    <w:multiLevelType w:val="singleLevel"/>
    <w:tmpl w:val="FFFFFF83"/>
    <w:lvl w:ilvl="0" w:tentative="0">
      <w:start w:val="1"/>
      <w:numFmt w:val="bullet"/>
      <w:pStyle w:val="30"/>
      <w:lvlText w:val=""/>
      <w:lvlJc w:val="left"/>
      <w:pPr>
        <w:tabs>
          <w:tab w:val="left" w:pos="780"/>
        </w:tabs>
        <w:ind w:left="780" w:leftChars="200" w:hanging="360" w:hangingChars="200"/>
      </w:pPr>
      <w:rPr>
        <w:rFonts w:hint="default" w:ascii="Wingdings" w:hAnsi="Wingdings"/>
      </w:rPr>
    </w:lvl>
  </w:abstractNum>
  <w:abstractNum w:abstractNumId="5">
    <w:nsid w:val="FFFFFF88"/>
    <w:multiLevelType w:val="singleLevel"/>
    <w:tmpl w:val="FFFFFF88"/>
    <w:lvl w:ilvl="0" w:tentative="0">
      <w:start w:val="1"/>
      <w:numFmt w:val="decimal"/>
      <w:pStyle w:val="19"/>
      <w:lvlText w:val="%1."/>
      <w:lvlJc w:val="left"/>
      <w:pPr>
        <w:tabs>
          <w:tab w:val="left" w:pos="360"/>
        </w:tabs>
        <w:ind w:left="360" w:hanging="360" w:hangingChars="200"/>
      </w:pPr>
    </w:lvl>
  </w:abstractNum>
  <w:abstractNum w:abstractNumId="6">
    <w:nsid w:val="FFFFFF89"/>
    <w:multiLevelType w:val="singleLevel"/>
    <w:tmpl w:val="FFFFFF89"/>
    <w:lvl w:ilvl="0" w:tentative="0">
      <w:start w:val="1"/>
      <w:numFmt w:val="bullet"/>
      <w:pStyle w:val="21"/>
      <w:lvlText w:val=""/>
      <w:lvlJc w:val="left"/>
      <w:pPr>
        <w:tabs>
          <w:tab w:val="left" w:pos="360"/>
        </w:tabs>
        <w:ind w:left="360" w:hanging="360" w:hangingChars="200"/>
      </w:pPr>
      <w:rPr>
        <w:rFonts w:hint="default" w:ascii="Wingdings" w:hAnsi="Wingdings"/>
      </w:rPr>
    </w:lvl>
  </w:abstractNum>
  <w:abstractNum w:abstractNumId="7">
    <w:nsid w:val="635E6B02"/>
    <w:multiLevelType w:val="multilevel"/>
    <w:tmpl w:val="635E6B02"/>
    <w:lvl w:ilvl="0" w:tentative="0">
      <w:start w:val="1"/>
      <w:numFmt w:val="bullet"/>
      <w:pStyle w:val="596"/>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8">
    <w:nsid w:val="659B4AD5"/>
    <w:multiLevelType w:val="multilevel"/>
    <w:tmpl w:val="659B4AD5"/>
    <w:lvl w:ilvl="0" w:tentative="0">
      <w:start w:val="1"/>
      <w:numFmt w:val="bullet"/>
      <w:lvlText w:val=""/>
      <w:lvlJc w:val="left"/>
      <w:pPr>
        <w:ind w:left="904" w:hanging="420"/>
      </w:pPr>
      <w:rPr>
        <w:rFonts w:hint="default" w:ascii="Wingdings" w:hAnsi="Wingdings"/>
      </w:rPr>
    </w:lvl>
    <w:lvl w:ilvl="1" w:tentative="0">
      <w:start w:val="1"/>
      <w:numFmt w:val="bullet"/>
      <w:lvlText w:val=""/>
      <w:lvlJc w:val="left"/>
      <w:pPr>
        <w:ind w:left="1324" w:hanging="420"/>
      </w:pPr>
      <w:rPr>
        <w:rFonts w:hint="default" w:ascii="Wingdings" w:hAnsi="Wingdings"/>
      </w:rPr>
    </w:lvl>
    <w:lvl w:ilvl="2" w:tentative="0">
      <w:start w:val="1"/>
      <w:numFmt w:val="bullet"/>
      <w:lvlText w:val=""/>
      <w:lvlJc w:val="left"/>
      <w:pPr>
        <w:ind w:left="1744" w:hanging="420"/>
      </w:pPr>
      <w:rPr>
        <w:rFonts w:hint="default" w:ascii="Wingdings" w:hAnsi="Wingdings"/>
      </w:rPr>
    </w:lvl>
    <w:lvl w:ilvl="3" w:tentative="0">
      <w:start w:val="1"/>
      <w:numFmt w:val="bullet"/>
      <w:lvlText w:val=""/>
      <w:lvlJc w:val="left"/>
      <w:pPr>
        <w:ind w:left="2164" w:hanging="420"/>
      </w:pPr>
      <w:rPr>
        <w:rFonts w:hint="default" w:ascii="Wingdings" w:hAnsi="Wingdings"/>
      </w:rPr>
    </w:lvl>
    <w:lvl w:ilvl="4" w:tentative="0">
      <w:start w:val="1"/>
      <w:numFmt w:val="bullet"/>
      <w:lvlText w:val=""/>
      <w:lvlJc w:val="left"/>
      <w:pPr>
        <w:ind w:left="2584" w:hanging="420"/>
      </w:pPr>
      <w:rPr>
        <w:rFonts w:hint="default" w:ascii="Wingdings" w:hAnsi="Wingdings"/>
      </w:rPr>
    </w:lvl>
    <w:lvl w:ilvl="5" w:tentative="0">
      <w:start w:val="1"/>
      <w:numFmt w:val="bullet"/>
      <w:lvlText w:val=""/>
      <w:lvlJc w:val="left"/>
      <w:pPr>
        <w:ind w:left="3004" w:hanging="420"/>
      </w:pPr>
      <w:rPr>
        <w:rFonts w:hint="default" w:ascii="Wingdings" w:hAnsi="Wingdings"/>
      </w:rPr>
    </w:lvl>
    <w:lvl w:ilvl="6" w:tentative="0">
      <w:start w:val="1"/>
      <w:numFmt w:val="bullet"/>
      <w:lvlText w:val=""/>
      <w:lvlJc w:val="left"/>
      <w:pPr>
        <w:ind w:left="3424" w:hanging="420"/>
      </w:pPr>
      <w:rPr>
        <w:rFonts w:hint="default" w:ascii="Wingdings" w:hAnsi="Wingdings"/>
      </w:rPr>
    </w:lvl>
    <w:lvl w:ilvl="7" w:tentative="0">
      <w:start w:val="1"/>
      <w:numFmt w:val="bullet"/>
      <w:lvlText w:val=""/>
      <w:lvlJc w:val="left"/>
      <w:pPr>
        <w:ind w:left="3844" w:hanging="420"/>
      </w:pPr>
      <w:rPr>
        <w:rFonts w:hint="default" w:ascii="Wingdings" w:hAnsi="Wingdings"/>
      </w:rPr>
    </w:lvl>
    <w:lvl w:ilvl="8" w:tentative="0">
      <w:start w:val="1"/>
      <w:numFmt w:val="bullet"/>
      <w:lvlText w:val=""/>
      <w:lvlJc w:val="left"/>
      <w:pPr>
        <w:ind w:left="4264" w:hanging="420"/>
      </w:pPr>
      <w:rPr>
        <w:rFonts w:hint="default" w:ascii="Wingdings" w:hAnsi="Wingdings"/>
      </w:rPr>
    </w:lvl>
  </w:abstractNum>
  <w:abstractNum w:abstractNumId="9">
    <w:nsid w:val="705740A6"/>
    <w:multiLevelType w:val="singleLevel"/>
    <w:tmpl w:val="705740A6"/>
    <w:lvl w:ilvl="0" w:tentative="0">
      <w:start w:val="1"/>
      <w:numFmt w:val="decimal"/>
      <w:suff w:val="nothing"/>
      <w:lvlText w:val="%1、"/>
      <w:lvlJc w:val="left"/>
    </w:lvl>
  </w:abstractNum>
  <w:abstractNum w:abstractNumId="10">
    <w:nsid w:val="73D0536E"/>
    <w:multiLevelType w:val="multilevel"/>
    <w:tmpl w:val="73D0536E"/>
    <w:lvl w:ilvl="0" w:tentative="0">
      <w:start w:val="1"/>
      <w:numFmt w:val="decimal"/>
      <w:suff w:val="space"/>
      <w:lvlText w:val="%1"/>
      <w:lvlJc w:val="left"/>
      <w:pPr>
        <w:ind w:left="425" w:hanging="425"/>
      </w:pPr>
      <w:rPr>
        <w:rFonts w:hint="eastAsia"/>
      </w:rPr>
    </w:lvl>
    <w:lvl w:ilvl="1" w:tentative="0">
      <w:start w:val="1"/>
      <w:numFmt w:val="decimal"/>
      <w:suff w:val="space"/>
      <w:lvlText w:val="%1.%2"/>
      <w:lvlJc w:val="left"/>
      <w:pPr>
        <w:ind w:left="992" w:hanging="567"/>
      </w:pPr>
      <w:rPr>
        <w:rFonts w:hint="eastAsia"/>
      </w:rPr>
    </w:lvl>
    <w:lvl w:ilvl="2" w:tentative="0">
      <w:start w:val="1"/>
      <w:numFmt w:val="decimal"/>
      <w:pStyle w:val="619"/>
      <w:suff w:val="space"/>
      <w:lvlText w:val="%1.%2.%3"/>
      <w:lvlJc w:val="left"/>
      <w:pPr>
        <w:ind w:left="709" w:firstLine="0"/>
      </w:pPr>
      <w:rPr>
        <w:rFonts w:hint="eastAsia"/>
      </w:rPr>
    </w:lvl>
    <w:lvl w:ilvl="3" w:tentative="0">
      <w:start w:val="1"/>
      <w:numFmt w:val="decimal"/>
      <w:suff w:val="space"/>
      <w:lvlText w:val="%1.%2.%3.%4"/>
      <w:lvlJc w:val="left"/>
      <w:pPr>
        <w:ind w:left="1984" w:hanging="708"/>
      </w:pPr>
      <w:rPr>
        <w:rFonts w:hint="eastAsia"/>
      </w:rPr>
    </w:lvl>
    <w:lvl w:ilvl="4" w:tentative="0">
      <w:start w:val="1"/>
      <w:numFmt w:val="decimal"/>
      <w:suff w:val="space"/>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1">
    <w:nsid w:val="7D86357E"/>
    <w:multiLevelType w:val="singleLevel"/>
    <w:tmpl w:val="7D86357E"/>
    <w:lvl w:ilvl="0" w:tentative="0">
      <w:start w:val="1"/>
      <w:numFmt w:val="decimal"/>
      <w:suff w:val="nothing"/>
      <w:lvlText w:val="%1）"/>
      <w:lvlJc w:val="left"/>
    </w:lvl>
  </w:abstractNum>
  <w:num w:numId="1">
    <w:abstractNumId w:val="5"/>
  </w:num>
  <w:num w:numId="2">
    <w:abstractNumId w:val="6"/>
  </w:num>
  <w:num w:numId="3">
    <w:abstractNumId w:val="4"/>
  </w:num>
  <w:num w:numId="4">
    <w:abstractNumId w:val="3"/>
  </w:num>
  <w:num w:numId="5">
    <w:abstractNumId w:val="7"/>
  </w:num>
  <w:num w:numId="6">
    <w:abstractNumId w:val="10"/>
  </w:num>
  <w:num w:numId="7">
    <w:abstractNumId w:val="1"/>
  </w:num>
  <w:num w:numId="8">
    <w:abstractNumId w:val="0"/>
  </w:num>
  <w:num w:numId="9">
    <w:abstractNumId w:val="9"/>
  </w:num>
  <w:num w:numId="10">
    <w:abstractNumId w:val="11"/>
  </w:num>
  <w:num w:numId="11">
    <w:abstractNumId w:val="8"/>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TrueType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2104"/>
    <w:rsid w:val="000039F9"/>
    <w:rsid w:val="0000474B"/>
    <w:rsid w:val="00004B73"/>
    <w:rsid w:val="00005D08"/>
    <w:rsid w:val="000062B8"/>
    <w:rsid w:val="000100D5"/>
    <w:rsid w:val="00010891"/>
    <w:rsid w:val="00010B00"/>
    <w:rsid w:val="000111EA"/>
    <w:rsid w:val="0001122D"/>
    <w:rsid w:val="000113B3"/>
    <w:rsid w:val="00011D29"/>
    <w:rsid w:val="00012D87"/>
    <w:rsid w:val="00015E49"/>
    <w:rsid w:val="00016733"/>
    <w:rsid w:val="00017A52"/>
    <w:rsid w:val="00023F0C"/>
    <w:rsid w:val="00024503"/>
    <w:rsid w:val="00024C6D"/>
    <w:rsid w:val="00024E9A"/>
    <w:rsid w:val="00025130"/>
    <w:rsid w:val="00025D47"/>
    <w:rsid w:val="00025F30"/>
    <w:rsid w:val="000306F6"/>
    <w:rsid w:val="000310E5"/>
    <w:rsid w:val="00031C0A"/>
    <w:rsid w:val="0003427A"/>
    <w:rsid w:val="00034777"/>
    <w:rsid w:val="00034C9C"/>
    <w:rsid w:val="00034F86"/>
    <w:rsid w:val="000357D2"/>
    <w:rsid w:val="000358C9"/>
    <w:rsid w:val="00035B27"/>
    <w:rsid w:val="00037B94"/>
    <w:rsid w:val="00040F17"/>
    <w:rsid w:val="0004140A"/>
    <w:rsid w:val="00042812"/>
    <w:rsid w:val="00042FCF"/>
    <w:rsid w:val="0004316D"/>
    <w:rsid w:val="00043772"/>
    <w:rsid w:val="000447E4"/>
    <w:rsid w:val="000449BC"/>
    <w:rsid w:val="000452CB"/>
    <w:rsid w:val="0004647B"/>
    <w:rsid w:val="00046724"/>
    <w:rsid w:val="00046748"/>
    <w:rsid w:val="000502C8"/>
    <w:rsid w:val="000507E0"/>
    <w:rsid w:val="00050CA8"/>
    <w:rsid w:val="0005110E"/>
    <w:rsid w:val="000516D3"/>
    <w:rsid w:val="00052099"/>
    <w:rsid w:val="00052558"/>
    <w:rsid w:val="00053E56"/>
    <w:rsid w:val="00053F7F"/>
    <w:rsid w:val="0005468A"/>
    <w:rsid w:val="00056863"/>
    <w:rsid w:val="00056898"/>
    <w:rsid w:val="00057AF1"/>
    <w:rsid w:val="00060449"/>
    <w:rsid w:val="00060BA7"/>
    <w:rsid w:val="00061004"/>
    <w:rsid w:val="000613BD"/>
    <w:rsid w:val="0006295F"/>
    <w:rsid w:val="00064F71"/>
    <w:rsid w:val="00065388"/>
    <w:rsid w:val="00065F88"/>
    <w:rsid w:val="0007029F"/>
    <w:rsid w:val="000708B2"/>
    <w:rsid w:val="000714A5"/>
    <w:rsid w:val="000741F1"/>
    <w:rsid w:val="00075B18"/>
    <w:rsid w:val="00075D94"/>
    <w:rsid w:val="000805F7"/>
    <w:rsid w:val="00080CF1"/>
    <w:rsid w:val="000819F8"/>
    <w:rsid w:val="00082F97"/>
    <w:rsid w:val="00084C42"/>
    <w:rsid w:val="00085D4B"/>
    <w:rsid w:val="0008631D"/>
    <w:rsid w:val="000863B6"/>
    <w:rsid w:val="00087983"/>
    <w:rsid w:val="000901D6"/>
    <w:rsid w:val="0009092E"/>
    <w:rsid w:val="00092F51"/>
    <w:rsid w:val="000939C6"/>
    <w:rsid w:val="00093D23"/>
    <w:rsid w:val="00093DFE"/>
    <w:rsid w:val="0009782A"/>
    <w:rsid w:val="000A047B"/>
    <w:rsid w:val="000A0F00"/>
    <w:rsid w:val="000A22CF"/>
    <w:rsid w:val="000A242B"/>
    <w:rsid w:val="000A3591"/>
    <w:rsid w:val="000A3DF1"/>
    <w:rsid w:val="000A5BC4"/>
    <w:rsid w:val="000A5D4E"/>
    <w:rsid w:val="000A6C3D"/>
    <w:rsid w:val="000A6CFC"/>
    <w:rsid w:val="000A6D0F"/>
    <w:rsid w:val="000A7E88"/>
    <w:rsid w:val="000B1396"/>
    <w:rsid w:val="000B1509"/>
    <w:rsid w:val="000B1DA7"/>
    <w:rsid w:val="000B243D"/>
    <w:rsid w:val="000B36E9"/>
    <w:rsid w:val="000B3782"/>
    <w:rsid w:val="000B52CD"/>
    <w:rsid w:val="000B5814"/>
    <w:rsid w:val="000B5E67"/>
    <w:rsid w:val="000B7D4A"/>
    <w:rsid w:val="000C0672"/>
    <w:rsid w:val="000C0CBF"/>
    <w:rsid w:val="000C1160"/>
    <w:rsid w:val="000C3709"/>
    <w:rsid w:val="000C4B13"/>
    <w:rsid w:val="000C5852"/>
    <w:rsid w:val="000C5C85"/>
    <w:rsid w:val="000C7EA9"/>
    <w:rsid w:val="000D04FA"/>
    <w:rsid w:val="000D09E9"/>
    <w:rsid w:val="000D0D44"/>
    <w:rsid w:val="000D1B82"/>
    <w:rsid w:val="000D2283"/>
    <w:rsid w:val="000D281C"/>
    <w:rsid w:val="000D29BE"/>
    <w:rsid w:val="000D2B4F"/>
    <w:rsid w:val="000D464E"/>
    <w:rsid w:val="000D4F3B"/>
    <w:rsid w:val="000D6BA2"/>
    <w:rsid w:val="000D7B70"/>
    <w:rsid w:val="000E2295"/>
    <w:rsid w:val="000E502E"/>
    <w:rsid w:val="000E573A"/>
    <w:rsid w:val="000E5CF1"/>
    <w:rsid w:val="000E5EEC"/>
    <w:rsid w:val="000E6548"/>
    <w:rsid w:val="000E657C"/>
    <w:rsid w:val="000E7860"/>
    <w:rsid w:val="000E7E4D"/>
    <w:rsid w:val="000F1CE0"/>
    <w:rsid w:val="000F2E0B"/>
    <w:rsid w:val="000F3197"/>
    <w:rsid w:val="000F5FAD"/>
    <w:rsid w:val="000F63DA"/>
    <w:rsid w:val="000F659D"/>
    <w:rsid w:val="000F6734"/>
    <w:rsid w:val="001004DE"/>
    <w:rsid w:val="00100544"/>
    <w:rsid w:val="00101527"/>
    <w:rsid w:val="0010164F"/>
    <w:rsid w:val="0010288D"/>
    <w:rsid w:val="00102A09"/>
    <w:rsid w:val="001038DD"/>
    <w:rsid w:val="00104619"/>
    <w:rsid w:val="001054D2"/>
    <w:rsid w:val="00105556"/>
    <w:rsid w:val="00106984"/>
    <w:rsid w:val="001076DD"/>
    <w:rsid w:val="001078A6"/>
    <w:rsid w:val="00110582"/>
    <w:rsid w:val="00110757"/>
    <w:rsid w:val="00111BCB"/>
    <w:rsid w:val="0011303F"/>
    <w:rsid w:val="00113647"/>
    <w:rsid w:val="001152F6"/>
    <w:rsid w:val="00115CF6"/>
    <w:rsid w:val="00116460"/>
    <w:rsid w:val="001217C3"/>
    <w:rsid w:val="0012203B"/>
    <w:rsid w:val="00123193"/>
    <w:rsid w:val="00123D7B"/>
    <w:rsid w:val="00124EF2"/>
    <w:rsid w:val="00126264"/>
    <w:rsid w:val="00127E68"/>
    <w:rsid w:val="00130029"/>
    <w:rsid w:val="00130C38"/>
    <w:rsid w:val="00130CF3"/>
    <w:rsid w:val="00130D79"/>
    <w:rsid w:val="0013110B"/>
    <w:rsid w:val="001313DA"/>
    <w:rsid w:val="001324AD"/>
    <w:rsid w:val="00134836"/>
    <w:rsid w:val="00134BFE"/>
    <w:rsid w:val="001359AA"/>
    <w:rsid w:val="00136238"/>
    <w:rsid w:val="001365C8"/>
    <w:rsid w:val="00140627"/>
    <w:rsid w:val="001410F9"/>
    <w:rsid w:val="001425E7"/>
    <w:rsid w:val="001426E4"/>
    <w:rsid w:val="00142F79"/>
    <w:rsid w:val="00143DD5"/>
    <w:rsid w:val="00144E8A"/>
    <w:rsid w:val="00144EE1"/>
    <w:rsid w:val="00145984"/>
    <w:rsid w:val="0014620B"/>
    <w:rsid w:val="001465BE"/>
    <w:rsid w:val="00147024"/>
    <w:rsid w:val="00147B89"/>
    <w:rsid w:val="00147BED"/>
    <w:rsid w:val="001509DF"/>
    <w:rsid w:val="001519D8"/>
    <w:rsid w:val="00152951"/>
    <w:rsid w:val="001557AB"/>
    <w:rsid w:val="00155891"/>
    <w:rsid w:val="00155CA4"/>
    <w:rsid w:val="001565BB"/>
    <w:rsid w:val="00162F1D"/>
    <w:rsid w:val="00163BEC"/>
    <w:rsid w:val="00163D8C"/>
    <w:rsid w:val="00164EDD"/>
    <w:rsid w:val="00165E71"/>
    <w:rsid w:val="00166C45"/>
    <w:rsid w:val="0017036F"/>
    <w:rsid w:val="001713FF"/>
    <w:rsid w:val="0017144B"/>
    <w:rsid w:val="0017265D"/>
    <w:rsid w:val="00172971"/>
    <w:rsid w:val="00172A27"/>
    <w:rsid w:val="00176D22"/>
    <w:rsid w:val="0017748B"/>
    <w:rsid w:val="0017761E"/>
    <w:rsid w:val="00181763"/>
    <w:rsid w:val="00181B64"/>
    <w:rsid w:val="00182609"/>
    <w:rsid w:val="00183553"/>
    <w:rsid w:val="00183AF8"/>
    <w:rsid w:val="001843FE"/>
    <w:rsid w:val="001845EC"/>
    <w:rsid w:val="0018472C"/>
    <w:rsid w:val="001854A1"/>
    <w:rsid w:val="00186137"/>
    <w:rsid w:val="00186AE7"/>
    <w:rsid w:val="0019025D"/>
    <w:rsid w:val="001911E6"/>
    <w:rsid w:val="001931EB"/>
    <w:rsid w:val="001944A0"/>
    <w:rsid w:val="001953CE"/>
    <w:rsid w:val="00196C78"/>
    <w:rsid w:val="00197F6E"/>
    <w:rsid w:val="001A38B6"/>
    <w:rsid w:val="001A38D3"/>
    <w:rsid w:val="001A5E3D"/>
    <w:rsid w:val="001A67C7"/>
    <w:rsid w:val="001A73C1"/>
    <w:rsid w:val="001A74F5"/>
    <w:rsid w:val="001A7A84"/>
    <w:rsid w:val="001B02A9"/>
    <w:rsid w:val="001B07D5"/>
    <w:rsid w:val="001B407A"/>
    <w:rsid w:val="001B46A5"/>
    <w:rsid w:val="001B5147"/>
    <w:rsid w:val="001B69F7"/>
    <w:rsid w:val="001B7BE5"/>
    <w:rsid w:val="001C1CE7"/>
    <w:rsid w:val="001C326B"/>
    <w:rsid w:val="001C3316"/>
    <w:rsid w:val="001C3FF3"/>
    <w:rsid w:val="001C4CB1"/>
    <w:rsid w:val="001C5534"/>
    <w:rsid w:val="001C7149"/>
    <w:rsid w:val="001C7A31"/>
    <w:rsid w:val="001D1C82"/>
    <w:rsid w:val="001D1E31"/>
    <w:rsid w:val="001D4BB1"/>
    <w:rsid w:val="001D636F"/>
    <w:rsid w:val="001D73A6"/>
    <w:rsid w:val="001D7EBF"/>
    <w:rsid w:val="001E0D37"/>
    <w:rsid w:val="001E19C7"/>
    <w:rsid w:val="001E2037"/>
    <w:rsid w:val="001E235D"/>
    <w:rsid w:val="001E2774"/>
    <w:rsid w:val="001E42FE"/>
    <w:rsid w:val="001E6C4E"/>
    <w:rsid w:val="001F1C04"/>
    <w:rsid w:val="001F2C23"/>
    <w:rsid w:val="001F628F"/>
    <w:rsid w:val="002014B7"/>
    <w:rsid w:val="00203276"/>
    <w:rsid w:val="002036C0"/>
    <w:rsid w:val="0020604E"/>
    <w:rsid w:val="002065D7"/>
    <w:rsid w:val="002077FB"/>
    <w:rsid w:val="00207B4D"/>
    <w:rsid w:val="002112E3"/>
    <w:rsid w:val="0021257A"/>
    <w:rsid w:val="00213F6E"/>
    <w:rsid w:val="00214204"/>
    <w:rsid w:val="00214D97"/>
    <w:rsid w:val="00216040"/>
    <w:rsid w:val="0021611B"/>
    <w:rsid w:val="002200E3"/>
    <w:rsid w:val="00220893"/>
    <w:rsid w:val="00220E2D"/>
    <w:rsid w:val="002216D5"/>
    <w:rsid w:val="002232FD"/>
    <w:rsid w:val="0022490F"/>
    <w:rsid w:val="00224AE1"/>
    <w:rsid w:val="002258FB"/>
    <w:rsid w:val="002259AA"/>
    <w:rsid w:val="00230252"/>
    <w:rsid w:val="00230CF7"/>
    <w:rsid w:val="002314DE"/>
    <w:rsid w:val="0023154F"/>
    <w:rsid w:val="00231F87"/>
    <w:rsid w:val="00232810"/>
    <w:rsid w:val="00232CAE"/>
    <w:rsid w:val="002336E5"/>
    <w:rsid w:val="00233CDA"/>
    <w:rsid w:val="0023666F"/>
    <w:rsid w:val="0023680F"/>
    <w:rsid w:val="002370BC"/>
    <w:rsid w:val="00240017"/>
    <w:rsid w:val="002403D8"/>
    <w:rsid w:val="0024043C"/>
    <w:rsid w:val="00241430"/>
    <w:rsid w:val="00242060"/>
    <w:rsid w:val="00242104"/>
    <w:rsid w:val="00243073"/>
    <w:rsid w:val="00243D86"/>
    <w:rsid w:val="0024610A"/>
    <w:rsid w:val="002468B6"/>
    <w:rsid w:val="00250B3F"/>
    <w:rsid w:val="0025173F"/>
    <w:rsid w:val="00253774"/>
    <w:rsid w:val="00254CAF"/>
    <w:rsid w:val="002561C9"/>
    <w:rsid w:val="00256545"/>
    <w:rsid w:val="0025750B"/>
    <w:rsid w:val="00257551"/>
    <w:rsid w:val="00257B18"/>
    <w:rsid w:val="00261719"/>
    <w:rsid w:val="0026219B"/>
    <w:rsid w:val="00262CC7"/>
    <w:rsid w:val="00264A29"/>
    <w:rsid w:val="00264B1E"/>
    <w:rsid w:val="00265E44"/>
    <w:rsid w:val="002662BA"/>
    <w:rsid w:val="002701C8"/>
    <w:rsid w:val="002701DB"/>
    <w:rsid w:val="002707AD"/>
    <w:rsid w:val="0027096F"/>
    <w:rsid w:val="00270FE6"/>
    <w:rsid w:val="002744CB"/>
    <w:rsid w:val="00274B07"/>
    <w:rsid w:val="00274C79"/>
    <w:rsid w:val="00276734"/>
    <w:rsid w:val="00276F85"/>
    <w:rsid w:val="002771F8"/>
    <w:rsid w:val="00280EB8"/>
    <w:rsid w:val="00283645"/>
    <w:rsid w:val="0028372A"/>
    <w:rsid w:val="002874D0"/>
    <w:rsid w:val="00291029"/>
    <w:rsid w:val="002917B2"/>
    <w:rsid w:val="002A12E0"/>
    <w:rsid w:val="002A304C"/>
    <w:rsid w:val="002A36C5"/>
    <w:rsid w:val="002A3D7F"/>
    <w:rsid w:val="002A402E"/>
    <w:rsid w:val="002A5927"/>
    <w:rsid w:val="002A5EA0"/>
    <w:rsid w:val="002A5FAF"/>
    <w:rsid w:val="002A672A"/>
    <w:rsid w:val="002B0C37"/>
    <w:rsid w:val="002B1E28"/>
    <w:rsid w:val="002B2F51"/>
    <w:rsid w:val="002B320F"/>
    <w:rsid w:val="002B4201"/>
    <w:rsid w:val="002B422F"/>
    <w:rsid w:val="002B43DF"/>
    <w:rsid w:val="002B525D"/>
    <w:rsid w:val="002B64A2"/>
    <w:rsid w:val="002B712A"/>
    <w:rsid w:val="002B7354"/>
    <w:rsid w:val="002C0BBB"/>
    <w:rsid w:val="002C1380"/>
    <w:rsid w:val="002C1E30"/>
    <w:rsid w:val="002C34CF"/>
    <w:rsid w:val="002C3C54"/>
    <w:rsid w:val="002C527A"/>
    <w:rsid w:val="002C60D0"/>
    <w:rsid w:val="002C6DE1"/>
    <w:rsid w:val="002C703B"/>
    <w:rsid w:val="002C738E"/>
    <w:rsid w:val="002C7548"/>
    <w:rsid w:val="002D05FC"/>
    <w:rsid w:val="002D1573"/>
    <w:rsid w:val="002D2FF3"/>
    <w:rsid w:val="002D4520"/>
    <w:rsid w:val="002D6603"/>
    <w:rsid w:val="002D6BEB"/>
    <w:rsid w:val="002D7685"/>
    <w:rsid w:val="002E0003"/>
    <w:rsid w:val="002E0547"/>
    <w:rsid w:val="002E0A20"/>
    <w:rsid w:val="002E102D"/>
    <w:rsid w:val="002E45D8"/>
    <w:rsid w:val="002E4ACD"/>
    <w:rsid w:val="002E567A"/>
    <w:rsid w:val="002E6921"/>
    <w:rsid w:val="002E6999"/>
    <w:rsid w:val="002E69F8"/>
    <w:rsid w:val="002F06D5"/>
    <w:rsid w:val="002F1E82"/>
    <w:rsid w:val="002F26C2"/>
    <w:rsid w:val="002F5B92"/>
    <w:rsid w:val="002F5E39"/>
    <w:rsid w:val="002F61B1"/>
    <w:rsid w:val="002F640C"/>
    <w:rsid w:val="002F6A6C"/>
    <w:rsid w:val="002F6E46"/>
    <w:rsid w:val="002F7283"/>
    <w:rsid w:val="002F7620"/>
    <w:rsid w:val="00301152"/>
    <w:rsid w:val="00302D63"/>
    <w:rsid w:val="003034B2"/>
    <w:rsid w:val="0030365B"/>
    <w:rsid w:val="0030475B"/>
    <w:rsid w:val="0030496B"/>
    <w:rsid w:val="00305733"/>
    <w:rsid w:val="00305F2D"/>
    <w:rsid w:val="00307DFF"/>
    <w:rsid w:val="0031021D"/>
    <w:rsid w:val="00311ED5"/>
    <w:rsid w:val="003125A7"/>
    <w:rsid w:val="003127C8"/>
    <w:rsid w:val="00314052"/>
    <w:rsid w:val="00316F91"/>
    <w:rsid w:val="003243DF"/>
    <w:rsid w:val="00326B3F"/>
    <w:rsid w:val="00327A63"/>
    <w:rsid w:val="00327EB4"/>
    <w:rsid w:val="00331F41"/>
    <w:rsid w:val="00333DFD"/>
    <w:rsid w:val="003340AD"/>
    <w:rsid w:val="003364B1"/>
    <w:rsid w:val="003372AF"/>
    <w:rsid w:val="0034029B"/>
    <w:rsid w:val="003413B5"/>
    <w:rsid w:val="003425C1"/>
    <w:rsid w:val="00343C24"/>
    <w:rsid w:val="00344AEC"/>
    <w:rsid w:val="00344C8C"/>
    <w:rsid w:val="0034500F"/>
    <w:rsid w:val="00350431"/>
    <w:rsid w:val="00351E06"/>
    <w:rsid w:val="003525A6"/>
    <w:rsid w:val="00353D11"/>
    <w:rsid w:val="00355A0B"/>
    <w:rsid w:val="00356B72"/>
    <w:rsid w:val="00360BFA"/>
    <w:rsid w:val="003615DF"/>
    <w:rsid w:val="00361AC9"/>
    <w:rsid w:val="00361D09"/>
    <w:rsid w:val="003633B8"/>
    <w:rsid w:val="00365FDD"/>
    <w:rsid w:val="00366C4F"/>
    <w:rsid w:val="00367198"/>
    <w:rsid w:val="0037284A"/>
    <w:rsid w:val="00373479"/>
    <w:rsid w:val="003741B3"/>
    <w:rsid w:val="00374385"/>
    <w:rsid w:val="003744A0"/>
    <w:rsid w:val="00374ECD"/>
    <w:rsid w:val="0037602F"/>
    <w:rsid w:val="0037707C"/>
    <w:rsid w:val="003777F3"/>
    <w:rsid w:val="00377E2E"/>
    <w:rsid w:val="00380315"/>
    <w:rsid w:val="00381832"/>
    <w:rsid w:val="003818EE"/>
    <w:rsid w:val="00381AAD"/>
    <w:rsid w:val="00381CE0"/>
    <w:rsid w:val="0038571F"/>
    <w:rsid w:val="00385D85"/>
    <w:rsid w:val="00386565"/>
    <w:rsid w:val="003921A9"/>
    <w:rsid w:val="003922C6"/>
    <w:rsid w:val="00392F98"/>
    <w:rsid w:val="00394ACD"/>
    <w:rsid w:val="00394F3A"/>
    <w:rsid w:val="00395922"/>
    <w:rsid w:val="0039641D"/>
    <w:rsid w:val="00397FB4"/>
    <w:rsid w:val="003A16F2"/>
    <w:rsid w:val="003A5963"/>
    <w:rsid w:val="003A5D2C"/>
    <w:rsid w:val="003A637F"/>
    <w:rsid w:val="003A6D1B"/>
    <w:rsid w:val="003B12F1"/>
    <w:rsid w:val="003B1F8D"/>
    <w:rsid w:val="003B3357"/>
    <w:rsid w:val="003B36A0"/>
    <w:rsid w:val="003B371B"/>
    <w:rsid w:val="003B391B"/>
    <w:rsid w:val="003B4F30"/>
    <w:rsid w:val="003B522E"/>
    <w:rsid w:val="003B5D5E"/>
    <w:rsid w:val="003B6723"/>
    <w:rsid w:val="003B6D6B"/>
    <w:rsid w:val="003C0918"/>
    <w:rsid w:val="003C1CF9"/>
    <w:rsid w:val="003C21C3"/>
    <w:rsid w:val="003C3DEC"/>
    <w:rsid w:val="003C48B7"/>
    <w:rsid w:val="003C4B2E"/>
    <w:rsid w:val="003C5267"/>
    <w:rsid w:val="003C6254"/>
    <w:rsid w:val="003C7B0F"/>
    <w:rsid w:val="003D0622"/>
    <w:rsid w:val="003D089A"/>
    <w:rsid w:val="003D43D4"/>
    <w:rsid w:val="003D455D"/>
    <w:rsid w:val="003D4972"/>
    <w:rsid w:val="003D4B15"/>
    <w:rsid w:val="003D5080"/>
    <w:rsid w:val="003D5153"/>
    <w:rsid w:val="003D539A"/>
    <w:rsid w:val="003D55BB"/>
    <w:rsid w:val="003D5F82"/>
    <w:rsid w:val="003D65C5"/>
    <w:rsid w:val="003D6685"/>
    <w:rsid w:val="003E0620"/>
    <w:rsid w:val="003E151C"/>
    <w:rsid w:val="003E19C9"/>
    <w:rsid w:val="003E2B51"/>
    <w:rsid w:val="003E3A43"/>
    <w:rsid w:val="003E3A4F"/>
    <w:rsid w:val="003E3BC1"/>
    <w:rsid w:val="003E5501"/>
    <w:rsid w:val="003F0FAF"/>
    <w:rsid w:val="003F1ED0"/>
    <w:rsid w:val="003F1FCC"/>
    <w:rsid w:val="003F4254"/>
    <w:rsid w:val="003F53D2"/>
    <w:rsid w:val="003F6D3F"/>
    <w:rsid w:val="003F7777"/>
    <w:rsid w:val="003F78AC"/>
    <w:rsid w:val="004017BC"/>
    <w:rsid w:val="00401A99"/>
    <w:rsid w:val="00403235"/>
    <w:rsid w:val="00403A12"/>
    <w:rsid w:val="00404820"/>
    <w:rsid w:val="004068BC"/>
    <w:rsid w:val="00406F65"/>
    <w:rsid w:val="004114E1"/>
    <w:rsid w:val="00411E1A"/>
    <w:rsid w:val="00414A42"/>
    <w:rsid w:val="004153BE"/>
    <w:rsid w:val="00415539"/>
    <w:rsid w:val="004155CF"/>
    <w:rsid w:val="00415D82"/>
    <w:rsid w:val="00417748"/>
    <w:rsid w:val="00417BD4"/>
    <w:rsid w:val="00420533"/>
    <w:rsid w:val="00420A27"/>
    <w:rsid w:val="0042116C"/>
    <w:rsid w:val="0042201B"/>
    <w:rsid w:val="0042216F"/>
    <w:rsid w:val="00423FE8"/>
    <w:rsid w:val="00424C79"/>
    <w:rsid w:val="00425661"/>
    <w:rsid w:val="0042699E"/>
    <w:rsid w:val="00426D3C"/>
    <w:rsid w:val="00427ACD"/>
    <w:rsid w:val="00430C65"/>
    <w:rsid w:val="00432BD8"/>
    <w:rsid w:val="00435518"/>
    <w:rsid w:val="004363AA"/>
    <w:rsid w:val="0043712A"/>
    <w:rsid w:val="004438E2"/>
    <w:rsid w:val="00444064"/>
    <w:rsid w:val="00444512"/>
    <w:rsid w:val="00444B7C"/>
    <w:rsid w:val="00445713"/>
    <w:rsid w:val="00445A8F"/>
    <w:rsid w:val="0045034B"/>
    <w:rsid w:val="0045144A"/>
    <w:rsid w:val="0045146E"/>
    <w:rsid w:val="004520AE"/>
    <w:rsid w:val="004539EC"/>
    <w:rsid w:val="004557E1"/>
    <w:rsid w:val="00460076"/>
    <w:rsid w:val="004604B0"/>
    <w:rsid w:val="004609CA"/>
    <w:rsid w:val="004635D0"/>
    <w:rsid w:val="00465159"/>
    <w:rsid w:val="0046523D"/>
    <w:rsid w:val="00465D0A"/>
    <w:rsid w:val="00467028"/>
    <w:rsid w:val="00471204"/>
    <w:rsid w:val="00471725"/>
    <w:rsid w:val="00471F62"/>
    <w:rsid w:val="00473BCA"/>
    <w:rsid w:val="00475339"/>
    <w:rsid w:val="004776F5"/>
    <w:rsid w:val="00477727"/>
    <w:rsid w:val="0047779D"/>
    <w:rsid w:val="0047799F"/>
    <w:rsid w:val="00477D00"/>
    <w:rsid w:val="00480564"/>
    <w:rsid w:val="00482748"/>
    <w:rsid w:val="00485510"/>
    <w:rsid w:val="00485A38"/>
    <w:rsid w:val="00485BA5"/>
    <w:rsid w:val="00485E8C"/>
    <w:rsid w:val="004904C2"/>
    <w:rsid w:val="0049159B"/>
    <w:rsid w:val="00492AC3"/>
    <w:rsid w:val="00492B63"/>
    <w:rsid w:val="00493BD8"/>
    <w:rsid w:val="004940C0"/>
    <w:rsid w:val="0049416A"/>
    <w:rsid w:val="0049635C"/>
    <w:rsid w:val="00496D17"/>
    <w:rsid w:val="004979E3"/>
    <w:rsid w:val="004A0990"/>
    <w:rsid w:val="004A2F95"/>
    <w:rsid w:val="004A4096"/>
    <w:rsid w:val="004A5D2C"/>
    <w:rsid w:val="004A60CC"/>
    <w:rsid w:val="004B381E"/>
    <w:rsid w:val="004B4E3F"/>
    <w:rsid w:val="004B5140"/>
    <w:rsid w:val="004B578A"/>
    <w:rsid w:val="004B604D"/>
    <w:rsid w:val="004C0598"/>
    <w:rsid w:val="004C14D1"/>
    <w:rsid w:val="004C166F"/>
    <w:rsid w:val="004C1F75"/>
    <w:rsid w:val="004C25FF"/>
    <w:rsid w:val="004C26CA"/>
    <w:rsid w:val="004C2DCD"/>
    <w:rsid w:val="004C49F9"/>
    <w:rsid w:val="004C4E8A"/>
    <w:rsid w:val="004C53A6"/>
    <w:rsid w:val="004C7473"/>
    <w:rsid w:val="004D1503"/>
    <w:rsid w:val="004D4460"/>
    <w:rsid w:val="004D7C96"/>
    <w:rsid w:val="004E0DA4"/>
    <w:rsid w:val="004E1973"/>
    <w:rsid w:val="004E1D23"/>
    <w:rsid w:val="004E1DD0"/>
    <w:rsid w:val="004E2E4E"/>
    <w:rsid w:val="004E54A7"/>
    <w:rsid w:val="004F230B"/>
    <w:rsid w:val="004F268F"/>
    <w:rsid w:val="004F2821"/>
    <w:rsid w:val="004F436F"/>
    <w:rsid w:val="004F48D1"/>
    <w:rsid w:val="004F4CF0"/>
    <w:rsid w:val="004F588A"/>
    <w:rsid w:val="0050142A"/>
    <w:rsid w:val="00502ADF"/>
    <w:rsid w:val="00503A4C"/>
    <w:rsid w:val="00504D2F"/>
    <w:rsid w:val="00505BB0"/>
    <w:rsid w:val="00505C28"/>
    <w:rsid w:val="005060DA"/>
    <w:rsid w:val="00506FC6"/>
    <w:rsid w:val="00510526"/>
    <w:rsid w:val="00511301"/>
    <w:rsid w:val="00512DF1"/>
    <w:rsid w:val="005132C5"/>
    <w:rsid w:val="005135B1"/>
    <w:rsid w:val="00514C29"/>
    <w:rsid w:val="005163D7"/>
    <w:rsid w:val="00517852"/>
    <w:rsid w:val="00517A5A"/>
    <w:rsid w:val="00520473"/>
    <w:rsid w:val="00520FAD"/>
    <w:rsid w:val="0052375D"/>
    <w:rsid w:val="0052389F"/>
    <w:rsid w:val="00523DAF"/>
    <w:rsid w:val="00525147"/>
    <w:rsid w:val="0052519F"/>
    <w:rsid w:val="00525566"/>
    <w:rsid w:val="00525D0F"/>
    <w:rsid w:val="00527564"/>
    <w:rsid w:val="00527B28"/>
    <w:rsid w:val="00527D1F"/>
    <w:rsid w:val="005300C5"/>
    <w:rsid w:val="00530671"/>
    <w:rsid w:val="00531115"/>
    <w:rsid w:val="00531F0D"/>
    <w:rsid w:val="00532DA1"/>
    <w:rsid w:val="005333CE"/>
    <w:rsid w:val="005336A7"/>
    <w:rsid w:val="005346F1"/>
    <w:rsid w:val="005353CB"/>
    <w:rsid w:val="00535F00"/>
    <w:rsid w:val="005368C9"/>
    <w:rsid w:val="00537BB8"/>
    <w:rsid w:val="0054320C"/>
    <w:rsid w:val="005446DB"/>
    <w:rsid w:val="00547AC3"/>
    <w:rsid w:val="005509A9"/>
    <w:rsid w:val="00551552"/>
    <w:rsid w:val="00551C8B"/>
    <w:rsid w:val="00551FDD"/>
    <w:rsid w:val="00552248"/>
    <w:rsid w:val="00553EB6"/>
    <w:rsid w:val="005541C8"/>
    <w:rsid w:val="00554E1C"/>
    <w:rsid w:val="00556698"/>
    <w:rsid w:val="00560A6E"/>
    <w:rsid w:val="0056124A"/>
    <w:rsid w:val="00561357"/>
    <w:rsid w:val="00561CD3"/>
    <w:rsid w:val="0056257D"/>
    <w:rsid w:val="005638E7"/>
    <w:rsid w:val="0056575C"/>
    <w:rsid w:val="00566132"/>
    <w:rsid w:val="0056627C"/>
    <w:rsid w:val="00567085"/>
    <w:rsid w:val="005671C5"/>
    <w:rsid w:val="00567C5B"/>
    <w:rsid w:val="00567D8A"/>
    <w:rsid w:val="00567DB4"/>
    <w:rsid w:val="005714D7"/>
    <w:rsid w:val="00571996"/>
    <w:rsid w:val="00572169"/>
    <w:rsid w:val="0057566A"/>
    <w:rsid w:val="00575A41"/>
    <w:rsid w:val="00580167"/>
    <w:rsid w:val="00580BF9"/>
    <w:rsid w:val="00581D66"/>
    <w:rsid w:val="00582A45"/>
    <w:rsid w:val="00582C86"/>
    <w:rsid w:val="005838A0"/>
    <w:rsid w:val="00583C2A"/>
    <w:rsid w:val="005843CC"/>
    <w:rsid w:val="00586551"/>
    <w:rsid w:val="00586B2B"/>
    <w:rsid w:val="00590573"/>
    <w:rsid w:val="00593050"/>
    <w:rsid w:val="0059364F"/>
    <w:rsid w:val="00597FAF"/>
    <w:rsid w:val="005A0C50"/>
    <w:rsid w:val="005A2A87"/>
    <w:rsid w:val="005A2F8B"/>
    <w:rsid w:val="005A3C99"/>
    <w:rsid w:val="005A6C32"/>
    <w:rsid w:val="005A73A2"/>
    <w:rsid w:val="005B0574"/>
    <w:rsid w:val="005B1E01"/>
    <w:rsid w:val="005B2985"/>
    <w:rsid w:val="005B2F41"/>
    <w:rsid w:val="005B482C"/>
    <w:rsid w:val="005B5364"/>
    <w:rsid w:val="005B53D2"/>
    <w:rsid w:val="005B5DC3"/>
    <w:rsid w:val="005B7590"/>
    <w:rsid w:val="005B7A60"/>
    <w:rsid w:val="005C240D"/>
    <w:rsid w:val="005C37E7"/>
    <w:rsid w:val="005D094F"/>
    <w:rsid w:val="005D172E"/>
    <w:rsid w:val="005D2254"/>
    <w:rsid w:val="005D5361"/>
    <w:rsid w:val="005D5BA4"/>
    <w:rsid w:val="005D75A2"/>
    <w:rsid w:val="005D787E"/>
    <w:rsid w:val="005E058A"/>
    <w:rsid w:val="005E2A8D"/>
    <w:rsid w:val="005E2B65"/>
    <w:rsid w:val="005E331E"/>
    <w:rsid w:val="005E39A0"/>
    <w:rsid w:val="005E3F0A"/>
    <w:rsid w:val="005E47F8"/>
    <w:rsid w:val="005E4CC2"/>
    <w:rsid w:val="005E621F"/>
    <w:rsid w:val="005E64CC"/>
    <w:rsid w:val="005E6F64"/>
    <w:rsid w:val="005E7989"/>
    <w:rsid w:val="005F138F"/>
    <w:rsid w:val="005F17A3"/>
    <w:rsid w:val="005F1EF6"/>
    <w:rsid w:val="005F22E7"/>
    <w:rsid w:val="005F24D6"/>
    <w:rsid w:val="005F39D4"/>
    <w:rsid w:val="005F42C3"/>
    <w:rsid w:val="005F5AAA"/>
    <w:rsid w:val="005F5ADD"/>
    <w:rsid w:val="005F5EE1"/>
    <w:rsid w:val="005F6361"/>
    <w:rsid w:val="005F7E42"/>
    <w:rsid w:val="006064A6"/>
    <w:rsid w:val="006066C3"/>
    <w:rsid w:val="0060739F"/>
    <w:rsid w:val="00607B61"/>
    <w:rsid w:val="0061165B"/>
    <w:rsid w:val="00611F1A"/>
    <w:rsid w:val="00613A9C"/>
    <w:rsid w:val="00614971"/>
    <w:rsid w:val="0061567E"/>
    <w:rsid w:val="00615D1E"/>
    <w:rsid w:val="00622EFB"/>
    <w:rsid w:val="0062344E"/>
    <w:rsid w:val="00623774"/>
    <w:rsid w:val="00624566"/>
    <w:rsid w:val="00624C5D"/>
    <w:rsid w:val="00625632"/>
    <w:rsid w:val="006279B5"/>
    <w:rsid w:val="00630DA8"/>
    <w:rsid w:val="0063169A"/>
    <w:rsid w:val="00632A42"/>
    <w:rsid w:val="00632B72"/>
    <w:rsid w:val="0063527B"/>
    <w:rsid w:val="006354B0"/>
    <w:rsid w:val="006367FF"/>
    <w:rsid w:val="00636DA7"/>
    <w:rsid w:val="0063783B"/>
    <w:rsid w:val="00637DC6"/>
    <w:rsid w:val="006406A0"/>
    <w:rsid w:val="00641561"/>
    <w:rsid w:val="00641F84"/>
    <w:rsid w:val="006425A9"/>
    <w:rsid w:val="00642A6B"/>
    <w:rsid w:val="006435A6"/>
    <w:rsid w:val="006441D8"/>
    <w:rsid w:val="00644EB3"/>
    <w:rsid w:val="00645FDC"/>
    <w:rsid w:val="006461A4"/>
    <w:rsid w:val="0064774D"/>
    <w:rsid w:val="00652BE9"/>
    <w:rsid w:val="00661F47"/>
    <w:rsid w:val="00661FA1"/>
    <w:rsid w:val="00662838"/>
    <w:rsid w:val="00662A91"/>
    <w:rsid w:val="00662AE7"/>
    <w:rsid w:val="00664B0C"/>
    <w:rsid w:val="006658C2"/>
    <w:rsid w:val="00666991"/>
    <w:rsid w:val="00666D17"/>
    <w:rsid w:val="00667003"/>
    <w:rsid w:val="006707E1"/>
    <w:rsid w:val="00671381"/>
    <w:rsid w:val="006723E6"/>
    <w:rsid w:val="00672A47"/>
    <w:rsid w:val="0067333E"/>
    <w:rsid w:val="006747FD"/>
    <w:rsid w:val="00674F47"/>
    <w:rsid w:val="00675D7F"/>
    <w:rsid w:val="00676A2C"/>
    <w:rsid w:val="00676DB6"/>
    <w:rsid w:val="00676F8F"/>
    <w:rsid w:val="006770BA"/>
    <w:rsid w:val="006778B1"/>
    <w:rsid w:val="00681365"/>
    <w:rsid w:val="00681B22"/>
    <w:rsid w:val="006840B9"/>
    <w:rsid w:val="00684675"/>
    <w:rsid w:val="00685726"/>
    <w:rsid w:val="006863E8"/>
    <w:rsid w:val="0068707A"/>
    <w:rsid w:val="0068730C"/>
    <w:rsid w:val="0068785D"/>
    <w:rsid w:val="0068795F"/>
    <w:rsid w:val="00691861"/>
    <w:rsid w:val="00697CC6"/>
    <w:rsid w:val="006A00D2"/>
    <w:rsid w:val="006A0458"/>
    <w:rsid w:val="006A0F5B"/>
    <w:rsid w:val="006A22EF"/>
    <w:rsid w:val="006A3995"/>
    <w:rsid w:val="006A4483"/>
    <w:rsid w:val="006A4B7B"/>
    <w:rsid w:val="006A5A0D"/>
    <w:rsid w:val="006A6620"/>
    <w:rsid w:val="006B0077"/>
    <w:rsid w:val="006B33D6"/>
    <w:rsid w:val="006B360D"/>
    <w:rsid w:val="006B36CF"/>
    <w:rsid w:val="006B3C45"/>
    <w:rsid w:val="006B3F1C"/>
    <w:rsid w:val="006B6372"/>
    <w:rsid w:val="006B683C"/>
    <w:rsid w:val="006B7832"/>
    <w:rsid w:val="006B7ED9"/>
    <w:rsid w:val="006C21F7"/>
    <w:rsid w:val="006C23C6"/>
    <w:rsid w:val="006C3D7C"/>
    <w:rsid w:val="006C407F"/>
    <w:rsid w:val="006C4599"/>
    <w:rsid w:val="006C7B07"/>
    <w:rsid w:val="006D1EFE"/>
    <w:rsid w:val="006D239B"/>
    <w:rsid w:val="006D3F78"/>
    <w:rsid w:val="006D6182"/>
    <w:rsid w:val="006D7E6B"/>
    <w:rsid w:val="006D7F14"/>
    <w:rsid w:val="006E1D3A"/>
    <w:rsid w:val="006E1E87"/>
    <w:rsid w:val="006E46D5"/>
    <w:rsid w:val="006E6353"/>
    <w:rsid w:val="006E6AD2"/>
    <w:rsid w:val="006F0A12"/>
    <w:rsid w:val="006F1574"/>
    <w:rsid w:val="006F2364"/>
    <w:rsid w:val="006F37CD"/>
    <w:rsid w:val="006F3CA3"/>
    <w:rsid w:val="006F4B5C"/>
    <w:rsid w:val="006F4E79"/>
    <w:rsid w:val="006F5C85"/>
    <w:rsid w:val="006F6408"/>
    <w:rsid w:val="006F6EE1"/>
    <w:rsid w:val="00704625"/>
    <w:rsid w:val="00704724"/>
    <w:rsid w:val="00705AE3"/>
    <w:rsid w:val="00706B7D"/>
    <w:rsid w:val="00706C9F"/>
    <w:rsid w:val="007103D3"/>
    <w:rsid w:val="00710C28"/>
    <w:rsid w:val="00710F46"/>
    <w:rsid w:val="0071315D"/>
    <w:rsid w:val="00713562"/>
    <w:rsid w:val="00713AD4"/>
    <w:rsid w:val="0071445B"/>
    <w:rsid w:val="00714C28"/>
    <w:rsid w:val="00714FA2"/>
    <w:rsid w:val="007150E1"/>
    <w:rsid w:val="007161D0"/>
    <w:rsid w:val="00721E64"/>
    <w:rsid w:val="0072214B"/>
    <w:rsid w:val="00722A05"/>
    <w:rsid w:val="00723D5A"/>
    <w:rsid w:val="00724992"/>
    <w:rsid w:val="00730C63"/>
    <w:rsid w:val="007312FA"/>
    <w:rsid w:val="00731D5C"/>
    <w:rsid w:val="007331FB"/>
    <w:rsid w:val="00735144"/>
    <w:rsid w:val="0073543E"/>
    <w:rsid w:val="00735821"/>
    <w:rsid w:val="0073690E"/>
    <w:rsid w:val="00736C78"/>
    <w:rsid w:val="00737089"/>
    <w:rsid w:val="007400E5"/>
    <w:rsid w:val="00740B00"/>
    <w:rsid w:val="00741CF6"/>
    <w:rsid w:val="00742DF3"/>
    <w:rsid w:val="0074352A"/>
    <w:rsid w:val="00745D8A"/>
    <w:rsid w:val="00746D35"/>
    <w:rsid w:val="00750637"/>
    <w:rsid w:val="00750775"/>
    <w:rsid w:val="007518AC"/>
    <w:rsid w:val="007528D1"/>
    <w:rsid w:val="00754357"/>
    <w:rsid w:val="00755748"/>
    <w:rsid w:val="00756AB2"/>
    <w:rsid w:val="00762427"/>
    <w:rsid w:val="00763EC5"/>
    <w:rsid w:val="00764001"/>
    <w:rsid w:val="0076607D"/>
    <w:rsid w:val="0076729D"/>
    <w:rsid w:val="0076767F"/>
    <w:rsid w:val="0076781F"/>
    <w:rsid w:val="00767C5F"/>
    <w:rsid w:val="007700D2"/>
    <w:rsid w:val="007709A2"/>
    <w:rsid w:val="0077132C"/>
    <w:rsid w:val="00771DC3"/>
    <w:rsid w:val="00773231"/>
    <w:rsid w:val="0077362E"/>
    <w:rsid w:val="007736F8"/>
    <w:rsid w:val="00773764"/>
    <w:rsid w:val="007737EF"/>
    <w:rsid w:val="00773E11"/>
    <w:rsid w:val="00775158"/>
    <w:rsid w:val="007767D6"/>
    <w:rsid w:val="0078038C"/>
    <w:rsid w:val="007808D8"/>
    <w:rsid w:val="0078168F"/>
    <w:rsid w:val="00781D91"/>
    <w:rsid w:val="0078429B"/>
    <w:rsid w:val="00785DFD"/>
    <w:rsid w:val="0078600F"/>
    <w:rsid w:val="00786134"/>
    <w:rsid w:val="00786632"/>
    <w:rsid w:val="0078786E"/>
    <w:rsid w:val="00787A62"/>
    <w:rsid w:val="00787F2C"/>
    <w:rsid w:val="0079206B"/>
    <w:rsid w:val="00792172"/>
    <w:rsid w:val="00792221"/>
    <w:rsid w:val="00792AE5"/>
    <w:rsid w:val="00792CD8"/>
    <w:rsid w:val="00793076"/>
    <w:rsid w:val="007948D7"/>
    <w:rsid w:val="007953D9"/>
    <w:rsid w:val="007965E3"/>
    <w:rsid w:val="00797805"/>
    <w:rsid w:val="007A03D5"/>
    <w:rsid w:val="007A072A"/>
    <w:rsid w:val="007A0C1E"/>
    <w:rsid w:val="007A2574"/>
    <w:rsid w:val="007A668F"/>
    <w:rsid w:val="007A6B26"/>
    <w:rsid w:val="007A6D4B"/>
    <w:rsid w:val="007A71C2"/>
    <w:rsid w:val="007B1894"/>
    <w:rsid w:val="007B2225"/>
    <w:rsid w:val="007B3A3E"/>
    <w:rsid w:val="007B4B2D"/>
    <w:rsid w:val="007B4BB9"/>
    <w:rsid w:val="007B57F4"/>
    <w:rsid w:val="007B5A23"/>
    <w:rsid w:val="007B5D7F"/>
    <w:rsid w:val="007B6160"/>
    <w:rsid w:val="007B7C33"/>
    <w:rsid w:val="007B7F19"/>
    <w:rsid w:val="007C0385"/>
    <w:rsid w:val="007C0520"/>
    <w:rsid w:val="007C0689"/>
    <w:rsid w:val="007C0B6D"/>
    <w:rsid w:val="007C241B"/>
    <w:rsid w:val="007C24E9"/>
    <w:rsid w:val="007C591F"/>
    <w:rsid w:val="007C7116"/>
    <w:rsid w:val="007D1AD5"/>
    <w:rsid w:val="007D43BD"/>
    <w:rsid w:val="007D4DA3"/>
    <w:rsid w:val="007D587A"/>
    <w:rsid w:val="007D7A94"/>
    <w:rsid w:val="007E0830"/>
    <w:rsid w:val="007E155B"/>
    <w:rsid w:val="007E1795"/>
    <w:rsid w:val="007E2C2B"/>
    <w:rsid w:val="007E308B"/>
    <w:rsid w:val="007E42FC"/>
    <w:rsid w:val="007E44B1"/>
    <w:rsid w:val="007E48CE"/>
    <w:rsid w:val="007E5383"/>
    <w:rsid w:val="007E54AC"/>
    <w:rsid w:val="007E5C77"/>
    <w:rsid w:val="007E65D8"/>
    <w:rsid w:val="007E7318"/>
    <w:rsid w:val="007F1E78"/>
    <w:rsid w:val="007F2295"/>
    <w:rsid w:val="007F2384"/>
    <w:rsid w:val="007F2BE1"/>
    <w:rsid w:val="007F2F38"/>
    <w:rsid w:val="007F2F4A"/>
    <w:rsid w:val="007F3368"/>
    <w:rsid w:val="007F33AC"/>
    <w:rsid w:val="007F3489"/>
    <w:rsid w:val="007F3592"/>
    <w:rsid w:val="007F469E"/>
    <w:rsid w:val="007F5357"/>
    <w:rsid w:val="007F57FA"/>
    <w:rsid w:val="007F714D"/>
    <w:rsid w:val="007F74BA"/>
    <w:rsid w:val="007F763A"/>
    <w:rsid w:val="008001DF"/>
    <w:rsid w:val="00801A54"/>
    <w:rsid w:val="0080207D"/>
    <w:rsid w:val="008022C0"/>
    <w:rsid w:val="00804433"/>
    <w:rsid w:val="00806175"/>
    <w:rsid w:val="008068E5"/>
    <w:rsid w:val="00807159"/>
    <w:rsid w:val="008113D9"/>
    <w:rsid w:val="00811845"/>
    <w:rsid w:val="00811FED"/>
    <w:rsid w:val="00813181"/>
    <w:rsid w:val="0081447E"/>
    <w:rsid w:val="008146D3"/>
    <w:rsid w:val="00814F86"/>
    <w:rsid w:val="00815B4F"/>
    <w:rsid w:val="00815FF9"/>
    <w:rsid w:val="00816937"/>
    <w:rsid w:val="00816C57"/>
    <w:rsid w:val="00816FB7"/>
    <w:rsid w:val="0082146B"/>
    <w:rsid w:val="00822FA9"/>
    <w:rsid w:val="008231BD"/>
    <w:rsid w:val="00824582"/>
    <w:rsid w:val="00824A6C"/>
    <w:rsid w:val="00825E66"/>
    <w:rsid w:val="00826762"/>
    <w:rsid w:val="008271CE"/>
    <w:rsid w:val="00830230"/>
    <w:rsid w:val="008308AF"/>
    <w:rsid w:val="00830D75"/>
    <w:rsid w:val="00831D6D"/>
    <w:rsid w:val="008323CB"/>
    <w:rsid w:val="008328C0"/>
    <w:rsid w:val="00833C02"/>
    <w:rsid w:val="00834F85"/>
    <w:rsid w:val="00835B7A"/>
    <w:rsid w:val="00835FF2"/>
    <w:rsid w:val="00837128"/>
    <w:rsid w:val="00845A24"/>
    <w:rsid w:val="0085021A"/>
    <w:rsid w:val="00850F78"/>
    <w:rsid w:val="00851356"/>
    <w:rsid w:val="00851D8D"/>
    <w:rsid w:val="00852804"/>
    <w:rsid w:val="00852F78"/>
    <w:rsid w:val="00853057"/>
    <w:rsid w:val="008544DC"/>
    <w:rsid w:val="008562E3"/>
    <w:rsid w:val="008568F8"/>
    <w:rsid w:val="00856DB8"/>
    <w:rsid w:val="00860583"/>
    <w:rsid w:val="00860DC3"/>
    <w:rsid w:val="008614F4"/>
    <w:rsid w:val="00861949"/>
    <w:rsid w:val="00861F5D"/>
    <w:rsid w:val="008629F1"/>
    <w:rsid w:val="008630F5"/>
    <w:rsid w:val="00863951"/>
    <w:rsid w:val="00864D88"/>
    <w:rsid w:val="00865B6B"/>
    <w:rsid w:val="008669E6"/>
    <w:rsid w:val="008678D6"/>
    <w:rsid w:val="0087170E"/>
    <w:rsid w:val="00871F47"/>
    <w:rsid w:val="00872A6B"/>
    <w:rsid w:val="00872DF4"/>
    <w:rsid w:val="00876B71"/>
    <w:rsid w:val="0087754E"/>
    <w:rsid w:val="008809CF"/>
    <w:rsid w:val="00882353"/>
    <w:rsid w:val="008836D3"/>
    <w:rsid w:val="00884CEC"/>
    <w:rsid w:val="00885E81"/>
    <w:rsid w:val="008877C7"/>
    <w:rsid w:val="0089044D"/>
    <w:rsid w:val="00891096"/>
    <w:rsid w:val="00891CA5"/>
    <w:rsid w:val="008921F4"/>
    <w:rsid w:val="00892D1D"/>
    <w:rsid w:val="008931BA"/>
    <w:rsid w:val="00896594"/>
    <w:rsid w:val="008968D3"/>
    <w:rsid w:val="00897952"/>
    <w:rsid w:val="008A0AEE"/>
    <w:rsid w:val="008A0B32"/>
    <w:rsid w:val="008A0DC9"/>
    <w:rsid w:val="008A21E5"/>
    <w:rsid w:val="008A39D4"/>
    <w:rsid w:val="008A3F76"/>
    <w:rsid w:val="008A4D5F"/>
    <w:rsid w:val="008A5946"/>
    <w:rsid w:val="008A64AC"/>
    <w:rsid w:val="008B0786"/>
    <w:rsid w:val="008B1B2D"/>
    <w:rsid w:val="008B2FFA"/>
    <w:rsid w:val="008B4338"/>
    <w:rsid w:val="008B54B1"/>
    <w:rsid w:val="008B5818"/>
    <w:rsid w:val="008B6983"/>
    <w:rsid w:val="008C13E2"/>
    <w:rsid w:val="008C17B0"/>
    <w:rsid w:val="008C2FEB"/>
    <w:rsid w:val="008C30E0"/>
    <w:rsid w:val="008C389C"/>
    <w:rsid w:val="008C4138"/>
    <w:rsid w:val="008C5667"/>
    <w:rsid w:val="008C7824"/>
    <w:rsid w:val="008D335B"/>
    <w:rsid w:val="008D4A7A"/>
    <w:rsid w:val="008D5F1D"/>
    <w:rsid w:val="008D664F"/>
    <w:rsid w:val="008D6D9D"/>
    <w:rsid w:val="008E4636"/>
    <w:rsid w:val="008E4A18"/>
    <w:rsid w:val="008E71A0"/>
    <w:rsid w:val="008E7C71"/>
    <w:rsid w:val="008F0746"/>
    <w:rsid w:val="008F10AF"/>
    <w:rsid w:val="008F13D1"/>
    <w:rsid w:val="008F1CC8"/>
    <w:rsid w:val="008F3366"/>
    <w:rsid w:val="008F4F98"/>
    <w:rsid w:val="008F4FB1"/>
    <w:rsid w:val="008F5756"/>
    <w:rsid w:val="008F690B"/>
    <w:rsid w:val="009006EB"/>
    <w:rsid w:val="00900CB2"/>
    <w:rsid w:val="0090129B"/>
    <w:rsid w:val="0090156F"/>
    <w:rsid w:val="009019AC"/>
    <w:rsid w:val="009044B5"/>
    <w:rsid w:val="009066D7"/>
    <w:rsid w:val="00907920"/>
    <w:rsid w:val="00910576"/>
    <w:rsid w:val="00911355"/>
    <w:rsid w:val="00912519"/>
    <w:rsid w:val="009133ED"/>
    <w:rsid w:val="00913B18"/>
    <w:rsid w:val="009154FF"/>
    <w:rsid w:val="00916BF0"/>
    <w:rsid w:val="00916F37"/>
    <w:rsid w:val="00916F69"/>
    <w:rsid w:val="009208A3"/>
    <w:rsid w:val="00921096"/>
    <w:rsid w:val="00921F2C"/>
    <w:rsid w:val="00923B26"/>
    <w:rsid w:val="009259DF"/>
    <w:rsid w:val="00926A9B"/>
    <w:rsid w:val="00926DD5"/>
    <w:rsid w:val="00927C5A"/>
    <w:rsid w:val="00931AFF"/>
    <w:rsid w:val="00933C59"/>
    <w:rsid w:val="009406F0"/>
    <w:rsid w:val="0094083A"/>
    <w:rsid w:val="00940CA2"/>
    <w:rsid w:val="00940F3D"/>
    <w:rsid w:val="009424A1"/>
    <w:rsid w:val="00942B60"/>
    <w:rsid w:val="0094367F"/>
    <w:rsid w:val="009437B6"/>
    <w:rsid w:val="009454A5"/>
    <w:rsid w:val="0094681D"/>
    <w:rsid w:val="00946F6C"/>
    <w:rsid w:val="00947CF1"/>
    <w:rsid w:val="00950999"/>
    <w:rsid w:val="00951B91"/>
    <w:rsid w:val="0095313B"/>
    <w:rsid w:val="00953ABF"/>
    <w:rsid w:val="00954B72"/>
    <w:rsid w:val="0095527B"/>
    <w:rsid w:val="00955861"/>
    <w:rsid w:val="00956A09"/>
    <w:rsid w:val="00960AEF"/>
    <w:rsid w:val="0096123B"/>
    <w:rsid w:val="00961C37"/>
    <w:rsid w:val="00961C6A"/>
    <w:rsid w:val="00963246"/>
    <w:rsid w:val="009636F0"/>
    <w:rsid w:val="009645F6"/>
    <w:rsid w:val="0096526A"/>
    <w:rsid w:val="009656C5"/>
    <w:rsid w:val="0096619A"/>
    <w:rsid w:val="009667B2"/>
    <w:rsid w:val="00966BFE"/>
    <w:rsid w:val="00967B4F"/>
    <w:rsid w:val="00967FCC"/>
    <w:rsid w:val="00970A50"/>
    <w:rsid w:val="009732AC"/>
    <w:rsid w:val="00973CA1"/>
    <w:rsid w:val="00974558"/>
    <w:rsid w:val="00974B42"/>
    <w:rsid w:val="0097511B"/>
    <w:rsid w:val="00977211"/>
    <w:rsid w:val="00980D94"/>
    <w:rsid w:val="00980FB4"/>
    <w:rsid w:val="009817C7"/>
    <w:rsid w:val="00985289"/>
    <w:rsid w:val="00985B52"/>
    <w:rsid w:val="00986885"/>
    <w:rsid w:val="00991428"/>
    <w:rsid w:val="00993009"/>
    <w:rsid w:val="00994DB5"/>
    <w:rsid w:val="009A0B45"/>
    <w:rsid w:val="009A0ED0"/>
    <w:rsid w:val="009A2D34"/>
    <w:rsid w:val="009A36A7"/>
    <w:rsid w:val="009A413C"/>
    <w:rsid w:val="009A47D2"/>
    <w:rsid w:val="009A65D1"/>
    <w:rsid w:val="009A784A"/>
    <w:rsid w:val="009A7DD0"/>
    <w:rsid w:val="009B025E"/>
    <w:rsid w:val="009B0B51"/>
    <w:rsid w:val="009B0E4F"/>
    <w:rsid w:val="009B1075"/>
    <w:rsid w:val="009B1191"/>
    <w:rsid w:val="009B17DC"/>
    <w:rsid w:val="009B1C01"/>
    <w:rsid w:val="009B3D0A"/>
    <w:rsid w:val="009B3E5E"/>
    <w:rsid w:val="009B53F2"/>
    <w:rsid w:val="009B6935"/>
    <w:rsid w:val="009B6C9B"/>
    <w:rsid w:val="009C0482"/>
    <w:rsid w:val="009C2491"/>
    <w:rsid w:val="009C2BD8"/>
    <w:rsid w:val="009C2FE2"/>
    <w:rsid w:val="009C4A7B"/>
    <w:rsid w:val="009C672A"/>
    <w:rsid w:val="009C6DA3"/>
    <w:rsid w:val="009D21CA"/>
    <w:rsid w:val="009D33CF"/>
    <w:rsid w:val="009D3B94"/>
    <w:rsid w:val="009D5D91"/>
    <w:rsid w:val="009D7DAA"/>
    <w:rsid w:val="009E080E"/>
    <w:rsid w:val="009E193C"/>
    <w:rsid w:val="009E1C2A"/>
    <w:rsid w:val="009E2461"/>
    <w:rsid w:val="009E530D"/>
    <w:rsid w:val="009E62E2"/>
    <w:rsid w:val="009E642F"/>
    <w:rsid w:val="009E64D5"/>
    <w:rsid w:val="009E791A"/>
    <w:rsid w:val="009F1170"/>
    <w:rsid w:val="009F11C3"/>
    <w:rsid w:val="009F16FA"/>
    <w:rsid w:val="009F2306"/>
    <w:rsid w:val="009F2902"/>
    <w:rsid w:val="009F3006"/>
    <w:rsid w:val="009F33E1"/>
    <w:rsid w:val="009F38A8"/>
    <w:rsid w:val="009F3BF3"/>
    <w:rsid w:val="009F577F"/>
    <w:rsid w:val="009F5D95"/>
    <w:rsid w:val="009F65CD"/>
    <w:rsid w:val="009F70AC"/>
    <w:rsid w:val="00A01CCA"/>
    <w:rsid w:val="00A01E8C"/>
    <w:rsid w:val="00A02058"/>
    <w:rsid w:val="00A03DF0"/>
    <w:rsid w:val="00A04351"/>
    <w:rsid w:val="00A05D3F"/>
    <w:rsid w:val="00A0612E"/>
    <w:rsid w:val="00A0617C"/>
    <w:rsid w:val="00A071C2"/>
    <w:rsid w:val="00A10B12"/>
    <w:rsid w:val="00A11AC0"/>
    <w:rsid w:val="00A127B1"/>
    <w:rsid w:val="00A13030"/>
    <w:rsid w:val="00A14497"/>
    <w:rsid w:val="00A147D0"/>
    <w:rsid w:val="00A20976"/>
    <w:rsid w:val="00A2364C"/>
    <w:rsid w:val="00A2430A"/>
    <w:rsid w:val="00A24726"/>
    <w:rsid w:val="00A263E1"/>
    <w:rsid w:val="00A26547"/>
    <w:rsid w:val="00A26CFD"/>
    <w:rsid w:val="00A31B76"/>
    <w:rsid w:val="00A323DA"/>
    <w:rsid w:val="00A33FF6"/>
    <w:rsid w:val="00A35227"/>
    <w:rsid w:val="00A35F81"/>
    <w:rsid w:val="00A36A89"/>
    <w:rsid w:val="00A378D7"/>
    <w:rsid w:val="00A415C3"/>
    <w:rsid w:val="00A43F87"/>
    <w:rsid w:val="00A4521D"/>
    <w:rsid w:val="00A46702"/>
    <w:rsid w:val="00A4765B"/>
    <w:rsid w:val="00A5132E"/>
    <w:rsid w:val="00A520A4"/>
    <w:rsid w:val="00A52662"/>
    <w:rsid w:val="00A52679"/>
    <w:rsid w:val="00A52744"/>
    <w:rsid w:val="00A52F6E"/>
    <w:rsid w:val="00A54CFF"/>
    <w:rsid w:val="00A56A76"/>
    <w:rsid w:val="00A60389"/>
    <w:rsid w:val="00A626EE"/>
    <w:rsid w:val="00A62B3F"/>
    <w:rsid w:val="00A654C6"/>
    <w:rsid w:val="00A70541"/>
    <w:rsid w:val="00A70864"/>
    <w:rsid w:val="00A708D5"/>
    <w:rsid w:val="00A709B5"/>
    <w:rsid w:val="00A72DB9"/>
    <w:rsid w:val="00A73120"/>
    <w:rsid w:val="00A73FAD"/>
    <w:rsid w:val="00A7598A"/>
    <w:rsid w:val="00A7705E"/>
    <w:rsid w:val="00A771FA"/>
    <w:rsid w:val="00A84ABD"/>
    <w:rsid w:val="00A8667F"/>
    <w:rsid w:val="00A8697A"/>
    <w:rsid w:val="00A9058D"/>
    <w:rsid w:val="00A913A1"/>
    <w:rsid w:val="00A9145F"/>
    <w:rsid w:val="00A9368D"/>
    <w:rsid w:val="00A93D6C"/>
    <w:rsid w:val="00A941EE"/>
    <w:rsid w:val="00A949F8"/>
    <w:rsid w:val="00A951C0"/>
    <w:rsid w:val="00A9595C"/>
    <w:rsid w:val="00AA0060"/>
    <w:rsid w:val="00AA1293"/>
    <w:rsid w:val="00AA1481"/>
    <w:rsid w:val="00AA22C0"/>
    <w:rsid w:val="00AA24FB"/>
    <w:rsid w:val="00AA27E4"/>
    <w:rsid w:val="00AA2D47"/>
    <w:rsid w:val="00AA3F26"/>
    <w:rsid w:val="00AA40A6"/>
    <w:rsid w:val="00AB01BA"/>
    <w:rsid w:val="00AB2ED8"/>
    <w:rsid w:val="00AB3D50"/>
    <w:rsid w:val="00AB4021"/>
    <w:rsid w:val="00AB425A"/>
    <w:rsid w:val="00AB427B"/>
    <w:rsid w:val="00AB4366"/>
    <w:rsid w:val="00AB5BC3"/>
    <w:rsid w:val="00AB6D16"/>
    <w:rsid w:val="00AB7034"/>
    <w:rsid w:val="00AC0FCC"/>
    <w:rsid w:val="00AC16DE"/>
    <w:rsid w:val="00AC2CB4"/>
    <w:rsid w:val="00AC2EB1"/>
    <w:rsid w:val="00AC37C1"/>
    <w:rsid w:val="00AC3814"/>
    <w:rsid w:val="00AC3F25"/>
    <w:rsid w:val="00AC4B84"/>
    <w:rsid w:val="00AC726C"/>
    <w:rsid w:val="00AC7585"/>
    <w:rsid w:val="00AC7586"/>
    <w:rsid w:val="00AC780C"/>
    <w:rsid w:val="00AD578D"/>
    <w:rsid w:val="00AD5EA2"/>
    <w:rsid w:val="00AD6382"/>
    <w:rsid w:val="00AD67C8"/>
    <w:rsid w:val="00AD7FE9"/>
    <w:rsid w:val="00AE04ED"/>
    <w:rsid w:val="00AE0988"/>
    <w:rsid w:val="00AE0E99"/>
    <w:rsid w:val="00AE0F37"/>
    <w:rsid w:val="00AE226B"/>
    <w:rsid w:val="00AE4EE6"/>
    <w:rsid w:val="00AE5A03"/>
    <w:rsid w:val="00AE6A99"/>
    <w:rsid w:val="00AE748D"/>
    <w:rsid w:val="00AF183C"/>
    <w:rsid w:val="00AF2F27"/>
    <w:rsid w:val="00AF3D20"/>
    <w:rsid w:val="00AF44D4"/>
    <w:rsid w:val="00AF49CD"/>
    <w:rsid w:val="00AF4BF0"/>
    <w:rsid w:val="00AF4FA9"/>
    <w:rsid w:val="00AF550D"/>
    <w:rsid w:val="00AF5A4D"/>
    <w:rsid w:val="00AF5D5B"/>
    <w:rsid w:val="00AF6CBB"/>
    <w:rsid w:val="00AF6CBE"/>
    <w:rsid w:val="00B00517"/>
    <w:rsid w:val="00B00BE6"/>
    <w:rsid w:val="00B0179E"/>
    <w:rsid w:val="00B0394D"/>
    <w:rsid w:val="00B03AEB"/>
    <w:rsid w:val="00B049E1"/>
    <w:rsid w:val="00B04DA9"/>
    <w:rsid w:val="00B05092"/>
    <w:rsid w:val="00B07181"/>
    <w:rsid w:val="00B0767C"/>
    <w:rsid w:val="00B10041"/>
    <w:rsid w:val="00B12661"/>
    <w:rsid w:val="00B13FC7"/>
    <w:rsid w:val="00B1534B"/>
    <w:rsid w:val="00B1566F"/>
    <w:rsid w:val="00B15C73"/>
    <w:rsid w:val="00B17EFF"/>
    <w:rsid w:val="00B20AB6"/>
    <w:rsid w:val="00B219F4"/>
    <w:rsid w:val="00B237C1"/>
    <w:rsid w:val="00B23848"/>
    <w:rsid w:val="00B24973"/>
    <w:rsid w:val="00B2502C"/>
    <w:rsid w:val="00B2531A"/>
    <w:rsid w:val="00B25D9D"/>
    <w:rsid w:val="00B25F9E"/>
    <w:rsid w:val="00B26316"/>
    <w:rsid w:val="00B26660"/>
    <w:rsid w:val="00B27AB2"/>
    <w:rsid w:val="00B27C84"/>
    <w:rsid w:val="00B31415"/>
    <w:rsid w:val="00B31477"/>
    <w:rsid w:val="00B318E4"/>
    <w:rsid w:val="00B32465"/>
    <w:rsid w:val="00B3252A"/>
    <w:rsid w:val="00B325D5"/>
    <w:rsid w:val="00B327FE"/>
    <w:rsid w:val="00B32F81"/>
    <w:rsid w:val="00B33437"/>
    <w:rsid w:val="00B35120"/>
    <w:rsid w:val="00B353B0"/>
    <w:rsid w:val="00B361B4"/>
    <w:rsid w:val="00B36ADA"/>
    <w:rsid w:val="00B40273"/>
    <w:rsid w:val="00B403F7"/>
    <w:rsid w:val="00B409F2"/>
    <w:rsid w:val="00B40FCC"/>
    <w:rsid w:val="00B43B84"/>
    <w:rsid w:val="00B45DC5"/>
    <w:rsid w:val="00B4671F"/>
    <w:rsid w:val="00B47125"/>
    <w:rsid w:val="00B50B51"/>
    <w:rsid w:val="00B50C7E"/>
    <w:rsid w:val="00B51724"/>
    <w:rsid w:val="00B526D8"/>
    <w:rsid w:val="00B52B7C"/>
    <w:rsid w:val="00B54EB9"/>
    <w:rsid w:val="00B55E3E"/>
    <w:rsid w:val="00B576BA"/>
    <w:rsid w:val="00B61770"/>
    <w:rsid w:val="00B62716"/>
    <w:rsid w:val="00B656C1"/>
    <w:rsid w:val="00B65AAE"/>
    <w:rsid w:val="00B66C07"/>
    <w:rsid w:val="00B7025D"/>
    <w:rsid w:val="00B70B9A"/>
    <w:rsid w:val="00B71A32"/>
    <w:rsid w:val="00B72BDC"/>
    <w:rsid w:val="00B74049"/>
    <w:rsid w:val="00B74FF6"/>
    <w:rsid w:val="00B75E0B"/>
    <w:rsid w:val="00B75F63"/>
    <w:rsid w:val="00B77666"/>
    <w:rsid w:val="00B80228"/>
    <w:rsid w:val="00B82010"/>
    <w:rsid w:val="00B84162"/>
    <w:rsid w:val="00B8442A"/>
    <w:rsid w:val="00B84598"/>
    <w:rsid w:val="00B84CF7"/>
    <w:rsid w:val="00B84EEC"/>
    <w:rsid w:val="00B85B24"/>
    <w:rsid w:val="00B86CC6"/>
    <w:rsid w:val="00B86EF3"/>
    <w:rsid w:val="00B87170"/>
    <w:rsid w:val="00B90CF7"/>
    <w:rsid w:val="00B916FC"/>
    <w:rsid w:val="00B919DF"/>
    <w:rsid w:val="00B96C8B"/>
    <w:rsid w:val="00B97000"/>
    <w:rsid w:val="00BA1FCA"/>
    <w:rsid w:val="00BA2F6B"/>
    <w:rsid w:val="00BA50BC"/>
    <w:rsid w:val="00BA73A3"/>
    <w:rsid w:val="00BB00F3"/>
    <w:rsid w:val="00BB026B"/>
    <w:rsid w:val="00BB0A84"/>
    <w:rsid w:val="00BB12DE"/>
    <w:rsid w:val="00BB2368"/>
    <w:rsid w:val="00BB3EFB"/>
    <w:rsid w:val="00BB4594"/>
    <w:rsid w:val="00BB7456"/>
    <w:rsid w:val="00BC10C2"/>
    <w:rsid w:val="00BC24E4"/>
    <w:rsid w:val="00BC378C"/>
    <w:rsid w:val="00BC3AB5"/>
    <w:rsid w:val="00BC48FE"/>
    <w:rsid w:val="00BC7814"/>
    <w:rsid w:val="00BD0627"/>
    <w:rsid w:val="00BD086A"/>
    <w:rsid w:val="00BD08F8"/>
    <w:rsid w:val="00BD0C90"/>
    <w:rsid w:val="00BD11E7"/>
    <w:rsid w:val="00BD3F74"/>
    <w:rsid w:val="00BD4531"/>
    <w:rsid w:val="00BD4A34"/>
    <w:rsid w:val="00BD79AB"/>
    <w:rsid w:val="00BE0658"/>
    <w:rsid w:val="00BE1EFB"/>
    <w:rsid w:val="00BE4AB6"/>
    <w:rsid w:val="00BE576D"/>
    <w:rsid w:val="00BE6330"/>
    <w:rsid w:val="00BE6B1A"/>
    <w:rsid w:val="00BE7D6D"/>
    <w:rsid w:val="00BF3113"/>
    <w:rsid w:val="00BF3236"/>
    <w:rsid w:val="00BF47E3"/>
    <w:rsid w:val="00BF507E"/>
    <w:rsid w:val="00C0039C"/>
    <w:rsid w:val="00C00A3F"/>
    <w:rsid w:val="00C00ADC"/>
    <w:rsid w:val="00C01CC7"/>
    <w:rsid w:val="00C03881"/>
    <w:rsid w:val="00C039F0"/>
    <w:rsid w:val="00C05F7A"/>
    <w:rsid w:val="00C061DB"/>
    <w:rsid w:val="00C062F1"/>
    <w:rsid w:val="00C07D8F"/>
    <w:rsid w:val="00C11BFD"/>
    <w:rsid w:val="00C11DC6"/>
    <w:rsid w:val="00C12191"/>
    <w:rsid w:val="00C12284"/>
    <w:rsid w:val="00C12A21"/>
    <w:rsid w:val="00C12F40"/>
    <w:rsid w:val="00C144C5"/>
    <w:rsid w:val="00C152D8"/>
    <w:rsid w:val="00C16946"/>
    <w:rsid w:val="00C16C23"/>
    <w:rsid w:val="00C17E4D"/>
    <w:rsid w:val="00C226E5"/>
    <w:rsid w:val="00C22E8A"/>
    <w:rsid w:val="00C24726"/>
    <w:rsid w:val="00C2532F"/>
    <w:rsid w:val="00C25808"/>
    <w:rsid w:val="00C303EB"/>
    <w:rsid w:val="00C32025"/>
    <w:rsid w:val="00C3251C"/>
    <w:rsid w:val="00C3270D"/>
    <w:rsid w:val="00C35C12"/>
    <w:rsid w:val="00C36E04"/>
    <w:rsid w:val="00C3766A"/>
    <w:rsid w:val="00C376D5"/>
    <w:rsid w:val="00C37EBF"/>
    <w:rsid w:val="00C41427"/>
    <w:rsid w:val="00C41984"/>
    <w:rsid w:val="00C42C3A"/>
    <w:rsid w:val="00C42F12"/>
    <w:rsid w:val="00C44F28"/>
    <w:rsid w:val="00C45328"/>
    <w:rsid w:val="00C46B3F"/>
    <w:rsid w:val="00C5048B"/>
    <w:rsid w:val="00C51B96"/>
    <w:rsid w:val="00C53A4A"/>
    <w:rsid w:val="00C55414"/>
    <w:rsid w:val="00C55B8C"/>
    <w:rsid w:val="00C56BF8"/>
    <w:rsid w:val="00C6018A"/>
    <w:rsid w:val="00C602E8"/>
    <w:rsid w:val="00C6035A"/>
    <w:rsid w:val="00C614B8"/>
    <w:rsid w:val="00C61CE6"/>
    <w:rsid w:val="00C641CD"/>
    <w:rsid w:val="00C6504C"/>
    <w:rsid w:val="00C6738E"/>
    <w:rsid w:val="00C675AC"/>
    <w:rsid w:val="00C708C6"/>
    <w:rsid w:val="00C70EEA"/>
    <w:rsid w:val="00C7101B"/>
    <w:rsid w:val="00C71428"/>
    <w:rsid w:val="00C7167D"/>
    <w:rsid w:val="00C721CE"/>
    <w:rsid w:val="00C73384"/>
    <w:rsid w:val="00C7362E"/>
    <w:rsid w:val="00C738BE"/>
    <w:rsid w:val="00C73B5B"/>
    <w:rsid w:val="00C779CD"/>
    <w:rsid w:val="00C805B0"/>
    <w:rsid w:val="00C80DD9"/>
    <w:rsid w:val="00C843ED"/>
    <w:rsid w:val="00C87173"/>
    <w:rsid w:val="00C877FF"/>
    <w:rsid w:val="00C87A66"/>
    <w:rsid w:val="00C9183B"/>
    <w:rsid w:val="00C92101"/>
    <w:rsid w:val="00C94366"/>
    <w:rsid w:val="00C947D3"/>
    <w:rsid w:val="00C948F8"/>
    <w:rsid w:val="00C96560"/>
    <w:rsid w:val="00C978A8"/>
    <w:rsid w:val="00CA1B56"/>
    <w:rsid w:val="00CA3D67"/>
    <w:rsid w:val="00CA42E6"/>
    <w:rsid w:val="00CA5F3B"/>
    <w:rsid w:val="00CA6195"/>
    <w:rsid w:val="00CA7037"/>
    <w:rsid w:val="00CA71CE"/>
    <w:rsid w:val="00CA7989"/>
    <w:rsid w:val="00CA7CD8"/>
    <w:rsid w:val="00CB1677"/>
    <w:rsid w:val="00CB2253"/>
    <w:rsid w:val="00CB2D5B"/>
    <w:rsid w:val="00CB31C1"/>
    <w:rsid w:val="00CB3B0C"/>
    <w:rsid w:val="00CB3F35"/>
    <w:rsid w:val="00CB443F"/>
    <w:rsid w:val="00CB4B31"/>
    <w:rsid w:val="00CB5D76"/>
    <w:rsid w:val="00CB5E0A"/>
    <w:rsid w:val="00CB695A"/>
    <w:rsid w:val="00CB6DC6"/>
    <w:rsid w:val="00CB7405"/>
    <w:rsid w:val="00CC23AD"/>
    <w:rsid w:val="00CC25B9"/>
    <w:rsid w:val="00CC3957"/>
    <w:rsid w:val="00CC582C"/>
    <w:rsid w:val="00CC7500"/>
    <w:rsid w:val="00CD0981"/>
    <w:rsid w:val="00CD1CE5"/>
    <w:rsid w:val="00CD1E00"/>
    <w:rsid w:val="00CD29E7"/>
    <w:rsid w:val="00CD32C5"/>
    <w:rsid w:val="00CD385C"/>
    <w:rsid w:val="00CD3FAD"/>
    <w:rsid w:val="00CD49F6"/>
    <w:rsid w:val="00CD5AA0"/>
    <w:rsid w:val="00CE07AB"/>
    <w:rsid w:val="00CE0D05"/>
    <w:rsid w:val="00CE32B1"/>
    <w:rsid w:val="00CE42E5"/>
    <w:rsid w:val="00CE4B94"/>
    <w:rsid w:val="00CE5155"/>
    <w:rsid w:val="00CE7715"/>
    <w:rsid w:val="00CF32F7"/>
    <w:rsid w:val="00CF5327"/>
    <w:rsid w:val="00CF592C"/>
    <w:rsid w:val="00CF6F62"/>
    <w:rsid w:val="00CF725E"/>
    <w:rsid w:val="00CF7464"/>
    <w:rsid w:val="00D030F9"/>
    <w:rsid w:val="00D03871"/>
    <w:rsid w:val="00D03BF8"/>
    <w:rsid w:val="00D05ACC"/>
    <w:rsid w:val="00D06125"/>
    <w:rsid w:val="00D0622F"/>
    <w:rsid w:val="00D06D55"/>
    <w:rsid w:val="00D10589"/>
    <w:rsid w:val="00D12CDF"/>
    <w:rsid w:val="00D1366A"/>
    <w:rsid w:val="00D13C6B"/>
    <w:rsid w:val="00D13DEE"/>
    <w:rsid w:val="00D14DC8"/>
    <w:rsid w:val="00D164C8"/>
    <w:rsid w:val="00D1689D"/>
    <w:rsid w:val="00D16FE9"/>
    <w:rsid w:val="00D20550"/>
    <w:rsid w:val="00D251D8"/>
    <w:rsid w:val="00D25E00"/>
    <w:rsid w:val="00D262E0"/>
    <w:rsid w:val="00D269B7"/>
    <w:rsid w:val="00D27830"/>
    <w:rsid w:val="00D30490"/>
    <w:rsid w:val="00D32D79"/>
    <w:rsid w:val="00D35398"/>
    <w:rsid w:val="00D35725"/>
    <w:rsid w:val="00D35CC6"/>
    <w:rsid w:val="00D362D4"/>
    <w:rsid w:val="00D4110E"/>
    <w:rsid w:val="00D41D59"/>
    <w:rsid w:val="00D4246E"/>
    <w:rsid w:val="00D435F8"/>
    <w:rsid w:val="00D436C3"/>
    <w:rsid w:val="00D441FE"/>
    <w:rsid w:val="00D44CC1"/>
    <w:rsid w:val="00D44DD5"/>
    <w:rsid w:val="00D45ED2"/>
    <w:rsid w:val="00D478DD"/>
    <w:rsid w:val="00D50270"/>
    <w:rsid w:val="00D5059D"/>
    <w:rsid w:val="00D5123F"/>
    <w:rsid w:val="00D522DD"/>
    <w:rsid w:val="00D57AC0"/>
    <w:rsid w:val="00D608C9"/>
    <w:rsid w:val="00D60DEA"/>
    <w:rsid w:val="00D61669"/>
    <w:rsid w:val="00D616DA"/>
    <w:rsid w:val="00D66992"/>
    <w:rsid w:val="00D66BD5"/>
    <w:rsid w:val="00D675E8"/>
    <w:rsid w:val="00D67C52"/>
    <w:rsid w:val="00D7032B"/>
    <w:rsid w:val="00D70C1E"/>
    <w:rsid w:val="00D70D22"/>
    <w:rsid w:val="00D734A5"/>
    <w:rsid w:val="00D75871"/>
    <w:rsid w:val="00D75B3C"/>
    <w:rsid w:val="00D75F1E"/>
    <w:rsid w:val="00D763E6"/>
    <w:rsid w:val="00D76C08"/>
    <w:rsid w:val="00D76C54"/>
    <w:rsid w:val="00D77583"/>
    <w:rsid w:val="00D77869"/>
    <w:rsid w:val="00D8121F"/>
    <w:rsid w:val="00D814BC"/>
    <w:rsid w:val="00D8248D"/>
    <w:rsid w:val="00D82492"/>
    <w:rsid w:val="00D84002"/>
    <w:rsid w:val="00D845B7"/>
    <w:rsid w:val="00D84CF4"/>
    <w:rsid w:val="00D87DBD"/>
    <w:rsid w:val="00D905DD"/>
    <w:rsid w:val="00D9072E"/>
    <w:rsid w:val="00D90F5F"/>
    <w:rsid w:val="00D91356"/>
    <w:rsid w:val="00D921DF"/>
    <w:rsid w:val="00D924D3"/>
    <w:rsid w:val="00D92BC7"/>
    <w:rsid w:val="00D930D7"/>
    <w:rsid w:val="00D94AEC"/>
    <w:rsid w:val="00D95217"/>
    <w:rsid w:val="00D957C0"/>
    <w:rsid w:val="00D96FB4"/>
    <w:rsid w:val="00D97035"/>
    <w:rsid w:val="00D976BE"/>
    <w:rsid w:val="00D9792C"/>
    <w:rsid w:val="00DA016C"/>
    <w:rsid w:val="00DA115E"/>
    <w:rsid w:val="00DA4814"/>
    <w:rsid w:val="00DA5E36"/>
    <w:rsid w:val="00DA70CC"/>
    <w:rsid w:val="00DB03CC"/>
    <w:rsid w:val="00DB1201"/>
    <w:rsid w:val="00DB20A2"/>
    <w:rsid w:val="00DB4524"/>
    <w:rsid w:val="00DB4770"/>
    <w:rsid w:val="00DB5693"/>
    <w:rsid w:val="00DB77A0"/>
    <w:rsid w:val="00DC0BFD"/>
    <w:rsid w:val="00DC1883"/>
    <w:rsid w:val="00DC22A0"/>
    <w:rsid w:val="00DC29AD"/>
    <w:rsid w:val="00DC642F"/>
    <w:rsid w:val="00DC6DE4"/>
    <w:rsid w:val="00DC7B91"/>
    <w:rsid w:val="00DD0007"/>
    <w:rsid w:val="00DD0197"/>
    <w:rsid w:val="00DD0506"/>
    <w:rsid w:val="00DD09DD"/>
    <w:rsid w:val="00DD0EE2"/>
    <w:rsid w:val="00DD235B"/>
    <w:rsid w:val="00DD29C7"/>
    <w:rsid w:val="00DD63C8"/>
    <w:rsid w:val="00DD65FB"/>
    <w:rsid w:val="00DE08FA"/>
    <w:rsid w:val="00DE4A35"/>
    <w:rsid w:val="00DE58E8"/>
    <w:rsid w:val="00DE64DB"/>
    <w:rsid w:val="00DE6960"/>
    <w:rsid w:val="00DF0D14"/>
    <w:rsid w:val="00DF11D8"/>
    <w:rsid w:val="00DF1A59"/>
    <w:rsid w:val="00DF2870"/>
    <w:rsid w:val="00DF2F85"/>
    <w:rsid w:val="00DF3D75"/>
    <w:rsid w:val="00DF6010"/>
    <w:rsid w:val="00DF78B9"/>
    <w:rsid w:val="00DF79AD"/>
    <w:rsid w:val="00E00320"/>
    <w:rsid w:val="00E0115D"/>
    <w:rsid w:val="00E01FF9"/>
    <w:rsid w:val="00E020F6"/>
    <w:rsid w:val="00E0279C"/>
    <w:rsid w:val="00E027E2"/>
    <w:rsid w:val="00E02ED8"/>
    <w:rsid w:val="00E03694"/>
    <w:rsid w:val="00E03A7E"/>
    <w:rsid w:val="00E04832"/>
    <w:rsid w:val="00E10103"/>
    <w:rsid w:val="00E1140F"/>
    <w:rsid w:val="00E1282D"/>
    <w:rsid w:val="00E13924"/>
    <w:rsid w:val="00E13F8D"/>
    <w:rsid w:val="00E14432"/>
    <w:rsid w:val="00E14984"/>
    <w:rsid w:val="00E15097"/>
    <w:rsid w:val="00E2024E"/>
    <w:rsid w:val="00E20752"/>
    <w:rsid w:val="00E2097B"/>
    <w:rsid w:val="00E21C39"/>
    <w:rsid w:val="00E220DF"/>
    <w:rsid w:val="00E2360E"/>
    <w:rsid w:val="00E237D6"/>
    <w:rsid w:val="00E2383C"/>
    <w:rsid w:val="00E24746"/>
    <w:rsid w:val="00E24B11"/>
    <w:rsid w:val="00E24DA3"/>
    <w:rsid w:val="00E30349"/>
    <w:rsid w:val="00E30524"/>
    <w:rsid w:val="00E30607"/>
    <w:rsid w:val="00E30DAE"/>
    <w:rsid w:val="00E35DD3"/>
    <w:rsid w:val="00E35EB5"/>
    <w:rsid w:val="00E36B41"/>
    <w:rsid w:val="00E40778"/>
    <w:rsid w:val="00E41FDB"/>
    <w:rsid w:val="00E435E9"/>
    <w:rsid w:val="00E443CB"/>
    <w:rsid w:val="00E46C26"/>
    <w:rsid w:val="00E475CB"/>
    <w:rsid w:val="00E47BB1"/>
    <w:rsid w:val="00E5157D"/>
    <w:rsid w:val="00E52027"/>
    <w:rsid w:val="00E5281C"/>
    <w:rsid w:val="00E538C0"/>
    <w:rsid w:val="00E5395D"/>
    <w:rsid w:val="00E56AE7"/>
    <w:rsid w:val="00E5706B"/>
    <w:rsid w:val="00E57323"/>
    <w:rsid w:val="00E57BC6"/>
    <w:rsid w:val="00E60175"/>
    <w:rsid w:val="00E60433"/>
    <w:rsid w:val="00E61848"/>
    <w:rsid w:val="00E639A8"/>
    <w:rsid w:val="00E64D8D"/>
    <w:rsid w:val="00E64EF5"/>
    <w:rsid w:val="00E64F4E"/>
    <w:rsid w:val="00E70F25"/>
    <w:rsid w:val="00E71989"/>
    <w:rsid w:val="00E71FFA"/>
    <w:rsid w:val="00E755CF"/>
    <w:rsid w:val="00E75727"/>
    <w:rsid w:val="00E76DF8"/>
    <w:rsid w:val="00E7734D"/>
    <w:rsid w:val="00E77468"/>
    <w:rsid w:val="00E77828"/>
    <w:rsid w:val="00E8251D"/>
    <w:rsid w:val="00E84AFA"/>
    <w:rsid w:val="00E85F2D"/>
    <w:rsid w:val="00E879DB"/>
    <w:rsid w:val="00E90495"/>
    <w:rsid w:val="00E9193B"/>
    <w:rsid w:val="00E92313"/>
    <w:rsid w:val="00E9354A"/>
    <w:rsid w:val="00E9377A"/>
    <w:rsid w:val="00E93D39"/>
    <w:rsid w:val="00E944F0"/>
    <w:rsid w:val="00E947E7"/>
    <w:rsid w:val="00E95C8C"/>
    <w:rsid w:val="00E95EAA"/>
    <w:rsid w:val="00E96386"/>
    <w:rsid w:val="00E96957"/>
    <w:rsid w:val="00E9707B"/>
    <w:rsid w:val="00E97301"/>
    <w:rsid w:val="00E97975"/>
    <w:rsid w:val="00E97C5B"/>
    <w:rsid w:val="00EA1FE9"/>
    <w:rsid w:val="00EA20B2"/>
    <w:rsid w:val="00EA293D"/>
    <w:rsid w:val="00EA32CC"/>
    <w:rsid w:val="00EA58E7"/>
    <w:rsid w:val="00EA6A00"/>
    <w:rsid w:val="00EB0623"/>
    <w:rsid w:val="00EB06C1"/>
    <w:rsid w:val="00EB094B"/>
    <w:rsid w:val="00EB12B5"/>
    <w:rsid w:val="00EB1490"/>
    <w:rsid w:val="00EB1F40"/>
    <w:rsid w:val="00EB2A5B"/>
    <w:rsid w:val="00EB4ABF"/>
    <w:rsid w:val="00EB54E2"/>
    <w:rsid w:val="00EB626D"/>
    <w:rsid w:val="00EB7A39"/>
    <w:rsid w:val="00EB7E6E"/>
    <w:rsid w:val="00EC0D0B"/>
    <w:rsid w:val="00EC1406"/>
    <w:rsid w:val="00EC2AFE"/>
    <w:rsid w:val="00EC2E2F"/>
    <w:rsid w:val="00EC3244"/>
    <w:rsid w:val="00EC3D07"/>
    <w:rsid w:val="00EC3E49"/>
    <w:rsid w:val="00EC430E"/>
    <w:rsid w:val="00EC4938"/>
    <w:rsid w:val="00EC4D78"/>
    <w:rsid w:val="00EC5771"/>
    <w:rsid w:val="00EC588A"/>
    <w:rsid w:val="00ED1CFD"/>
    <w:rsid w:val="00ED4A47"/>
    <w:rsid w:val="00ED4D84"/>
    <w:rsid w:val="00ED5AF1"/>
    <w:rsid w:val="00ED6520"/>
    <w:rsid w:val="00ED7994"/>
    <w:rsid w:val="00EE11DF"/>
    <w:rsid w:val="00EE232D"/>
    <w:rsid w:val="00EE4923"/>
    <w:rsid w:val="00EE5314"/>
    <w:rsid w:val="00EE7A95"/>
    <w:rsid w:val="00EF0B74"/>
    <w:rsid w:val="00EF0CE1"/>
    <w:rsid w:val="00EF11A2"/>
    <w:rsid w:val="00EF74F8"/>
    <w:rsid w:val="00F00565"/>
    <w:rsid w:val="00F01778"/>
    <w:rsid w:val="00F0356F"/>
    <w:rsid w:val="00F04B7E"/>
    <w:rsid w:val="00F056A7"/>
    <w:rsid w:val="00F058A0"/>
    <w:rsid w:val="00F06358"/>
    <w:rsid w:val="00F0650C"/>
    <w:rsid w:val="00F06CA5"/>
    <w:rsid w:val="00F115ED"/>
    <w:rsid w:val="00F11FF2"/>
    <w:rsid w:val="00F12160"/>
    <w:rsid w:val="00F141DE"/>
    <w:rsid w:val="00F1536A"/>
    <w:rsid w:val="00F1591F"/>
    <w:rsid w:val="00F16514"/>
    <w:rsid w:val="00F168FD"/>
    <w:rsid w:val="00F16A0B"/>
    <w:rsid w:val="00F170BB"/>
    <w:rsid w:val="00F17C2A"/>
    <w:rsid w:val="00F20B27"/>
    <w:rsid w:val="00F21DE4"/>
    <w:rsid w:val="00F22207"/>
    <w:rsid w:val="00F22DFC"/>
    <w:rsid w:val="00F231BF"/>
    <w:rsid w:val="00F23BB5"/>
    <w:rsid w:val="00F23C0E"/>
    <w:rsid w:val="00F23D41"/>
    <w:rsid w:val="00F25837"/>
    <w:rsid w:val="00F276E9"/>
    <w:rsid w:val="00F30342"/>
    <w:rsid w:val="00F30DAC"/>
    <w:rsid w:val="00F31DED"/>
    <w:rsid w:val="00F34600"/>
    <w:rsid w:val="00F367D8"/>
    <w:rsid w:val="00F403F9"/>
    <w:rsid w:val="00F41053"/>
    <w:rsid w:val="00F41B63"/>
    <w:rsid w:val="00F459FF"/>
    <w:rsid w:val="00F46D1D"/>
    <w:rsid w:val="00F46DA3"/>
    <w:rsid w:val="00F46E25"/>
    <w:rsid w:val="00F50FFC"/>
    <w:rsid w:val="00F54AEF"/>
    <w:rsid w:val="00F561A9"/>
    <w:rsid w:val="00F6041D"/>
    <w:rsid w:val="00F60CE9"/>
    <w:rsid w:val="00F61587"/>
    <w:rsid w:val="00F616F9"/>
    <w:rsid w:val="00F6323D"/>
    <w:rsid w:val="00F64AC9"/>
    <w:rsid w:val="00F65497"/>
    <w:rsid w:val="00F65740"/>
    <w:rsid w:val="00F65C3B"/>
    <w:rsid w:val="00F6737F"/>
    <w:rsid w:val="00F704F5"/>
    <w:rsid w:val="00F70A23"/>
    <w:rsid w:val="00F716B6"/>
    <w:rsid w:val="00F719B8"/>
    <w:rsid w:val="00F73E06"/>
    <w:rsid w:val="00F74370"/>
    <w:rsid w:val="00F751A2"/>
    <w:rsid w:val="00F77019"/>
    <w:rsid w:val="00F80C8A"/>
    <w:rsid w:val="00F816DF"/>
    <w:rsid w:val="00F8319B"/>
    <w:rsid w:val="00F85810"/>
    <w:rsid w:val="00F8607A"/>
    <w:rsid w:val="00F8619B"/>
    <w:rsid w:val="00F865DC"/>
    <w:rsid w:val="00F86ED1"/>
    <w:rsid w:val="00F874D8"/>
    <w:rsid w:val="00F87A6E"/>
    <w:rsid w:val="00F902C2"/>
    <w:rsid w:val="00F90AAA"/>
    <w:rsid w:val="00F910A9"/>
    <w:rsid w:val="00F923F1"/>
    <w:rsid w:val="00F928BD"/>
    <w:rsid w:val="00F92DF0"/>
    <w:rsid w:val="00F93AEC"/>
    <w:rsid w:val="00F94723"/>
    <w:rsid w:val="00F9586A"/>
    <w:rsid w:val="00F95C1D"/>
    <w:rsid w:val="00F96214"/>
    <w:rsid w:val="00F964D1"/>
    <w:rsid w:val="00F97C33"/>
    <w:rsid w:val="00FA0706"/>
    <w:rsid w:val="00FA083A"/>
    <w:rsid w:val="00FA0F66"/>
    <w:rsid w:val="00FA131A"/>
    <w:rsid w:val="00FA31D4"/>
    <w:rsid w:val="00FA32A9"/>
    <w:rsid w:val="00FA33CA"/>
    <w:rsid w:val="00FA393B"/>
    <w:rsid w:val="00FA40E7"/>
    <w:rsid w:val="00FA4833"/>
    <w:rsid w:val="00FA5059"/>
    <w:rsid w:val="00FA5CCA"/>
    <w:rsid w:val="00FA74B5"/>
    <w:rsid w:val="00FB01F1"/>
    <w:rsid w:val="00FB02EA"/>
    <w:rsid w:val="00FB1832"/>
    <w:rsid w:val="00FB21F5"/>
    <w:rsid w:val="00FB4126"/>
    <w:rsid w:val="00FB5FE5"/>
    <w:rsid w:val="00FB6352"/>
    <w:rsid w:val="00FB6BAD"/>
    <w:rsid w:val="00FB6D2F"/>
    <w:rsid w:val="00FC23B5"/>
    <w:rsid w:val="00FC2E3F"/>
    <w:rsid w:val="00FC30A3"/>
    <w:rsid w:val="00FC3D85"/>
    <w:rsid w:val="00FC492E"/>
    <w:rsid w:val="00FC4DF1"/>
    <w:rsid w:val="00FC58F2"/>
    <w:rsid w:val="00FC66FD"/>
    <w:rsid w:val="00FC7739"/>
    <w:rsid w:val="00FC7961"/>
    <w:rsid w:val="00FC7D83"/>
    <w:rsid w:val="00FD0DDA"/>
    <w:rsid w:val="00FD15A5"/>
    <w:rsid w:val="00FD4883"/>
    <w:rsid w:val="00FD580B"/>
    <w:rsid w:val="00FD5814"/>
    <w:rsid w:val="00FD6642"/>
    <w:rsid w:val="00FD7228"/>
    <w:rsid w:val="00FE0D9A"/>
    <w:rsid w:val="00FE14FC"/>
    <w:rsid w:val="00FE1CF8"/>
    <w:rsid w:val="00FE2C00"/>
    <w:rsid w:val="00FE3115"/>
    <w:rsid w:val="00FE3D76"/>
    <w:rsid w:val="00FE4C2E"/>
    <w:rsid w:val="00FE59BD"/>
    <w:rsid w:val="00FE6726"/>
    <w:rsid w:val="00FE7DD7"/>
    <w:rsid w:val="00FF0081"/>
    <w:rsid w:val="00FF0296"/>
    <w:rsid w:val="00FF2B2A"/>
    <w:rsid w:val="00FF77F3"/>
    <w:rsid w:val="010D47CD"/>
    <w:rsid w:val="01176527"/>
    <w:rsid w:val="015049BA"/>
    <w:rsid w:val="01570B7E"/>
    <w:rsid w:val="01730833"/>
    <w:rsid w:val="017A50A6"/>
    <w:rsid w:val="01854631"/>
    <w:rsid w:val="01A76A8A"/>
    <w:rsid w:val="01B016F6"/>
    <w:rsid w:val="01C25C5B"/>
    <w:rsid w:val="0203368E"/>
    <w:rsid w:val="02063E03"/>
    <w:rsid w:val="02384A72"/>
    <w:rsid w:val="02773DF0"/>
    <w:rsid w:val="02B66B85"/>
    <w:rsid w:val="02C17347"/>
    <w:rsid w:val="02FA772A"/>
    <w:rsid w:val="032951DD"/>
    <w:rsid w:val="038149E9"/>
    <w:rsid w:val="03883AC6"/>
    <w:rsid w:val="03A6443C"/>
    <w:rsid w:val="03A64FCE"/>
    <w:rsid w:val="03B56B74"/>
    <w:rsid w:val="03C346D7"/>
    <w:rsid w:val="03E77E65"/>
    <w:rsid w:val="04005E69"/>
    <w:rsid w:val="041E7677"/>
    <w:rsid w:val="042C1C86"/>
    <w:rsid w:val="04421317"/>
    <w:rsid w:val="044B1A33"/>
    <w:rsid w:val="04B90A0F"/>
    <w:rsid w:val="04BC7816"/>
    <w:rsid w:val="04BE1761"/>
    <w:rsid w:val="04E4336B"/>
    <w:rsid w:val="052701C0"/>
    <w:rsid w:val="0529638C"/>
    <w:rsid w:val="053D2037"/>
    <w:rsid w:val="0594319C"/>
    <w:rsid w:val="05A32496"/>
    <w:rsid w:val="0600504D"/>
    <w:rsid w:val="065F2F8C"/>
    <w:rsid w:val="06880ADF"/>
    <w:rsid w:val="069E5FDC"/>
    <w:rsid w:val="06B26037"/>
    <w:rsid w:val="06DB5B5A"/>
    <w:rsid w:val="06FD25DE"/>
    <w:rsid w:val="06FD7E7F"/>
    <w:rsid w:val="06FF4778"/>
    <w:rsid w:val="07116436"/>
    <w:rsid w:val="071B2FB1"/>
    <w:rsid w:val="073F284C"/>
    <w:rsid w:val="076D7519"/>
    <w:rsid w:val="07B30B08"/>
    <w:rsid w:val="07C46666"/>
    <w:rsid w:val="07C921D1"/>
    <w:rsid w:val="07D712FA"/>
    <w:rsid w:val="07ED5036"/>
    <w:rsid w:val="08663094"/>
    <w:rsid w:val="088E107C"/>
    <w:rsid w:val="08C52CD3"/>
    <w:rsid w:val="08D500ED"/>
    <w:rsid w:val="08F901C8"/>
    <w:rsid w:val="08FC12CA"/>
    <w:rsid w:val="091B6E26"/>
    <w:rsid w:val="093417D9"/>
    <w:rsid w:val="09485D8D"/>
    <w:rsid w:val="096A4608"/>
    <w:rsid w:val="0A0E22B4"/>
    <w:rsid w:val="0A2C312C"/>
    <w:rsid w:val="0A567544"/>
    <w:rsid w:val="0A7B520A"/>
    <w:rsid w:val="0AAD0132"/>
    <w:rsid w:val="0AB37DCE"/>
    <w:rsid w:val="0ABD2E0B"/>
    <w:rsid w:val="0AC64000"/>
    <w:rsid w:val="0AC81B02"/>
    <w:rsid w:val="0AE50897"/>
    <w:rsid w:val="0AE80B87"/>
    <w:rsid w:val="0AEB6375"/>
    <w:rsid w:val="0B205119"/>
    <w:rsid w:val="0B45448E"/>
    <w:rsid w:val="0B5478E4"/>
    <w:rsid w:val="0BE24DE1"/>
    <w:rsid w:val="0BED49A6"/>
    <w:rsid w:val="0BF66E07"/>
    <w:rsid w:val="0C210993"/>
    <w:rsid w:val="0C2251C9"/>
    <w:rsid w:val="0C2D7E39"/>
    <w:rsid w:val="0C3E1B25"/>
    <w:rsid w:val="0C6A77D5"/>
    <w:rsid w:val="0C753D13"/>
    <w:rsid w:val="0C867C5B"/>
    <w:rsid w:val="0C8C4861"/>
    <w:rsid w:val="0CB33E16"/>
    <w:rsid w:val="0CC65707"/>
    <w:rsid w:val="0CEA7F6D"/>
    <w:rsid w:val="0D0620BC"/>
    <w:rsid w:val="0D665D91"/>
    <w:rsid w:val="0D842A67"/>
    <w:rsid w:val="0E0D1220"/>
    <w:rsid w:val="0E212EF6"/>
    <w:rsid w:val="0E4D0DF7"/>
    <w:rsid w:val="0E667C41"/>
    <w:rsid w:val="0E6B0D82"/>
    <w:rsid w:val="0E895D7B"/>
    <w:rsid w:val="0EBB3C1B"/>
    <w:rsid w:val="0ECE6B41"/>
    <w:rsid w:val="0ECF41D2"/>
    <w:rsid w:val="0EDF70D0"/>
    <w:rsid w:val="0F1B58B7"/>
    <w:rsid w:val="0F4430CA"/>
    <w:rsid w:val="0F6243E9"/>
    <w:rsid w:val="0F840F03"/>
    <w:rsid w:val="0FA33DC6"/>
    <w:rsid w:val="0FD26581"/>
    <w:rsid w:val="0FD758E8"/>
    <w:rsid w:val="10334F0A"/>
    <w:rsid w:val="1045715E"/>
    <w:rsid w:val="105052E3"/>
    <w:rsid w:val="106466B3"/>
    <w:rsid w:val="10880F82"/>
    <w:rsid w:val="10921DCA"/>
    <w:rsid w:val="10CE5F32"/>
    <w:rsid w:val="10D76E61"/>
    <w:rsid w:val="11A2671C"/>
    <w:rsid w:val="11CD0731"/>
    <w:rsid w:val="11D1147C"/>
    <w:rsid w:val="120761D5"/>
    <w:rsid w:val="121B3F0B"/>
    <w:rsid w:val="123949F6"/>
    <w:rsid w:val="13235F8F"/>
    <w:rsid w:val="132C0495"/>
    <w:rsid w:val="133554AF"/>
    <w:rsid w:val="13771891"/>
    <w:rsid w:val="139A4F7E"/>
    <w:rsid w:val="13C22E5F"/>
    <w:rsid w:val="13F7495B"/>
    <w:rsid w:val="1415378E"/>
    <w:rsid w:val="14154D75"/>
    <w:rsid w:val="14642F8A"/>
    <w:rsid w:val="147E5752"/>
    <w:rsid w:val="148A76C3"/>
    <w:rsid w:val="14C11523"/>
    <w:rsid w:val="14D409D6"/>
    <w:rsid w:val="1501475A"/>
    <w:rsid w:val="152E2B40"/>
    <w:rsid w:val="15832FAF"/>
    <w:rsid w:val="15AE5ABB"/>
    <w:rsid w:val="15B31EBF"/>
    <w:rsid w:val="15D07A69"/>
    <w:rsid w:val="15F417E5"/>
    <w:rsid w:val="160708B0"/>
    <w:rsid w:val="16315199"/>
    <w:rsid w:val="1660322F"/>
    <w:rsid w:val="166C5345"/>
    <w:rsid w:val="166D3AB5"/>
    <w:rsid w:val="16707F01"/>
    <w:rsid w:val="16F26210"/>
    <w:rsid w:val="16F72119"/>
    <w:rsid w:val="17024DB1"/>
    <w:rsid w:val="170D0BFC"/>
    <w:rsid w:val="170D4EAF"/>
    <w:rsid w:val="17191EFE"/>
    <w:rsid w:val="173B40E5"/>
    <w:rsid w:val="174B2FD4"/>
    <w:rsid w:val="17687F2B"/>
    <w:rsid w:val="179C3C93"/>
    <w:rsid w:val="17CA3771"/>
    <w:rsid w:val="180E3521"/>
    <w:rsid w:val="18116DE4"/>
    <w:rsid w:val="18151757"/>
    <w:rsid w:val="18383E90"/>
    <w:rsid w:val="18556A16"/>
    <w:rsid w:val="18675ADC"/>
    <w:rsid w:val="187D47DF"/>
    <w:rsid w:val="188C51F4"/>
    <w:rsid w:val="189739A3"/>
    <w:rsid w:val="18A3571D"/>
    <w:rsid w:val="19254A88"/>
    <w:rsid w:val="197C0304"/>
    <w:rsid w:val="19F56494"/>
    <w:rsid w:val="19FC2140"/>
    <w:rsid w:val="1A4169D7"/>
    <w:rsid w:val="1A47633F"/>
    <w:rsid w:val="1A5C2E12"/>
    <w:rsid w:val="1A677F11"/>
    <w:rsid w:val="1B136547"/>
    <w:rsid w:val="1B2242A8"/>
    <w:rsid w:val="1B45749F"/>
    <w:rsid w:val="1B99313D"/>
    <w:rsid w:val="1B9B58EF"/>
    <w:rsid w:val="1BE532AF"/>
    <w:rsid w:val="1C2572F8"/>
    <w:rsid w:val="1C514FC0"/>
    <w:rsid w:val="1C7B49D5"/>
    <w:rsid w:val="1CB57205"/>
    <w:rsid w:val="1CC968CF"/>
    <w:rsid w:val="1CEE180D"/>
    <w:rsid w:val="1CF46821"/>
    <w:rsid w:val="1D063746"/>
    <w:rsid w:val="1D0B6C2B"/>
    <w:rsid w:val="1D7B03AF"/>
    <w:rsid w:val="1DD12481"/>
    <w:rsid w:val="1DEA6029"/>
    <w:rsid w:val="1DF7128B"/>
    <w:rsid w:val="1E037271"/>
    <w:rsid w:val="1E3A7C96"/>
    <w:rsid w:val="1E726B45"/>
    <w:rsid w:val="1E8125F9"/>
    <w:rsid w:val="1EA96887"/>
    <w:rsid w:val="1EC25D1C"/>
    <w:rsid w:val="1EE564CD"/>
    <w:rsid w:val="20137263"/>
    <w:rsid w:val="20321F67"/>
    <w:rsid w:val="207227D1"/>
    <w:rsid w:val="214076C3"/>
    <w:rsid w:val="216626B0"/>
    <w:rsid w:val="2185140D"/>
    <w:rsid w:val="2197370D"/>
    <w:rsid w:val="21F80CB4"/>
    <w:rsid w:val="220B1921"/>
    <w:rsid w:val="225A0D1C"/>
    <w:rsid w:val="229D179B"/>
    <w:rsid w:val="22A2408F"/>
    <w:rsid w:val="22A56D33"/>
    <w:rsid w:val="22A9196C"/>
    <w:rsid w:val="22C71155"/>
    <w:rsid w:val="22D0264C"/>
    <w:rsid w:val="22E26C18"/>
    <w:rsid w:val="22EE7573"/>
    <w:rsid w:val="233101F8"/>
    <w:rsid w:val="23592C76"/>
    <w:rsid w:val="23783B8C"/>
    <w:rsid w:val="239227B0"/>
    <w:rsid w:val="23D47408"/>
    <w:rsid w:val="24087F04"/>
    <w:rsid w:val="24111A60"/>
    <w:rsid w:val="242E08E8"/>
    <w:rsid w:val="24335506"/>
    <w:rsid w:val="245205FF"/>
    <w:rsid w:val="24820592"/>
    <w:rsid w:val="24A5572A"/>
    <w:rsid w:val="24AB27C6"/>
    <w:rsid w:val="24DF5B04"/>
    <w:rsid w:val="24F11E56"/>
    <w:rsid w:val="24F24446"/>
    <w:rsid w:val="25236542"/>
    <w:rsid w:val="252D7196"/>
    <w:rsid w:val="253B74AF"/>
    <w:rsid w:val="255C33DB"/>
    <w:rsid w:val="25916D46"/>
    <w:rsid w:val="259955DE"/>
    <w:rsid w:val="25C77C5F"/>
    <w:rsid w:val="25DD25D7"/>
    <w:rsid w:val="25E90AFE"/>
    <w:rsid w:val="26377A31"/>
    <w:rsid w:val="2653387C"/>
    <w:rsid w:val="26565895"/>
    <w:rsid w:val="267907DC"/>
    <w:rsid w:val="26853716"/>
    <w:rsid w:val="268A4A58"/>
    <w:rsid w:val="26BA3F1D"/>
    <w:rsid w:val="27090B1B"/>
    <w:rsid w:val="270E55D7"/>
    <w:rsid w:val="271170B8"/>
    <w:rsid w:val="273465F0"/>
    <w:rsid w:val="27D91BF4"/>
    <w:rsid w:val="27F8450E"/>
    <w:rsid w:val="2805456F"/>
    <w:rsid w:val="280764A8"/>
    <w:rsid w:val="280B1558"/>
    <w:rsid w:val="280E3AEA"/>
    <w:rsid w:val="28115C80"/>
    <w:rsid w:val="28120332"/>
    <w:rsid w:val="285E15CC"/>
    <w:rsid w:val="28904D5E"/>
    <w:rsid w:val="28B36ED8"/>
    <w:rsid w:val="28C33748"/>
    <w:rsid w:val="28E674D5"/>
    <w:rsid w:val="28EC28C9"/>
    <w:rsid w:val="29342448"/>
    <w:rsid w:val="2A1519E1"/>
    <w:rsid w:val="2A6939FE"/>
    <w:rsid w:val="2A77289E"/>
    <w:rsid w:val="2AA7503E"/>
    <w:rsid w:val="2AAB402B"/>
    <w:rsid w:val="2AE85657"/>
    <w:rsid w:val="2B436272"/>
    <w:rsid w:val="2B523E55"/>
    <w:rsid w:val="2B524F29"/>
    <w:rsid w:val="2B5C5211"/>
    <w:rsid w:val="2C2B24A4"/>
    <w:rsid w:val="2C7C66B1"/>
    <w:rsid w:val="2CFB552B"/>
    <w:rsid w:val="2D4B27A9"/>
    <w:rsid w:val="2D4E1BA3"/>
    <w:rsid w:val="2D84545C"/>
    <w:rsid w:val="2DD948D2"/>
    <w:rsid w:val="2DE173B0"/>
    <w:rsid w:val="2DE26262"/>
    <w:rsid w:val="2E4D43B4"/>
    <w:rsid w:val="2E7563EF"/>
    <w:rsid w:val="2E807D96"/>
    <w:rsid w:val="2EB01AFE"/>
    <w:rsid w:val="2EE15FB2"/>
    <w:rsid w:val="2EFD4EF9"/>
    <w:rsid w:val="2F1970DF"/>
    <w:rsid w:val="2F9757F8"/>
    <w:rsid w:val="2F9A3A14"/>
    <w:rsid w:val="2FA51402"/>
    <w:rsid w:val="2FFF4207"/>
    <w:rsid w:val="304F223B"/>
    <w:rsid w:val="3051100B"/>
    <w:rsid w:val="306A151E"/>
    <w:rsid w:val="30794DBE"/>
    <w:rsid w:val="30B637FF"/>
    <w:rsid w:val="30DE4C0F"/>
    <w:rsid w:val="3114222E"/>
    <w:rsid w:val="31197722"/>
    <w:rsid w:val="3125786E"/>
    <w:rsid w:val="314F7205"/>
    <w:rsid w:val="317B196A"/>
    <w:rsid w:val="31A805B9"/>
    <w:rsid w:val="31AA4796"/>
    <w:rsid w:val="31B04C8C"/>
    <w:rsid w:val="31B14045"/>
    <w:rsid w:val="31C3652F"/>
    <w:rsid w:val="31DC4918"/>
    <w:rsid w:val="31E91081"/>
    <w:rsid w:val="32036D75"/>
    <w:rsid w:val="32115AD3"/>
    <w:rsid w:val="321C241F"/>
    <w:rsid w:val="32E11CA8"/>
    <w:rsid w:val="32FA43EB"/>
    <w:rsid w:val="32FA4ED3"/>
    <w:rsid w:val="331A313E"/>
    <w:rsid w:val="33405CA8"/>
    <w:rsid w:val="337C47C4"/>
    <w:rsid w:val="33FC7734"/>
    <w:rsid w:val="340113AF"/>
    <w:rsid w:val="343E1C39"/>
    <w:rsid w:val="346366E2"/>
    <w:rsid w:val="34D21D74"/>
    <w:rsid w:val="34E341AF"/>
    <w:rsid w:val="351144A5"/>
    <w:rsid w:val="3517242C"/>
    <w:rsid w:val="35235762"/>
    <w:rsid w:val="35372E80"/>
    <w:rsid w:val="35792471"/>
    <w:rsid w:val="35DB5C12"/>
    <w:rsid w:val="35EF4115"/>
    <w:rsid w:val="360548F3"/>
    <w:rsid w:val="36110444"/>
    <w:rsid w:val="3618547E"/>
    <w:rsid w:val="367B6AD8"/>
    <w:rsid w:val="36843B87"/>
    <w:rsid w:val="37223E0D"/>
    <w:rsid w:val="374F1762"/>
    <w:rsid w:val="377C684C"/>
    <w:rsid w:val="37801888"/>
    <w:rsid w:val="380D0E6C"/>
    <w:rsid w:val="383615CC"/>
    <w:rsid w:val="383710A0"/>
    <w:rsid w:val="383A4F0A"/>
    <w:rsid w:val="38644EF1"/>
    <w:rsid w:val="3893583B"/>
    <w:rsid w:val="38BA48CB"/>
    <w:rsid w:val="392576F6"/>
    <w:rsid w:val="39285F52"/>
    <w:rsid w:val="39364FCF"/>
    <w:rsid w:val="395B5803"/>
    <w:rsid w:val="39B42563"/>
    <w:rsid w:val="39E22291"/>
    <w:rsid w:val="39F228AA"/>
    <w:rsid w:val="3A174F90"/>
    <w:rsid w:val="3A266592"/>
    <w:rsid w:val="3A274E26"/>
    <w:rsid w:val="3A3A3AE1"/>
    <w:rsid w:val="3A6B515A"/>
    <w:rsid w:val="3A6C62AC"/>
    <w:rsid w:val="3A810C00"/>
    <w:rsid w:val="3AE62E11"/>
    <w:rsid w:val="3B1E7BAC"/>
    <w:rsid w:val="3B206786"/>
    <w:rsid w:val="3B2D6846"/>
    <w:rsid w:val="3B4D322E"/>
    <w:rsid w:val="3B4F3373"/>
    <w:rsid w:val="3B533936"/>
    <w:rsid w:val="3B561849"/>
    <w:rsid w:val="3B614E27"/>
    <w:rsid w:val="3B9E5BC5"/>
    <w:rsid w:val="3BA46904"/>
    <w:rsid w:val="3BAA3942"/>
    <w:rsid w:val="3BC94379"/>
    <w:rsid w:val="3BFA7034"/>
    <w:rsid w:val="3C03237F"/>
    <w:rsid w:val="3C2542E6"/>
    <w:rsid w:val="3C542554"/>
    <w:rsid w:val="3C5E156D"/>
    <w:rsid w:val="3CF40992"/>
    <w:rsid w:val="3D215939"/>
    <w:rsid w:val="3D34107F"/>
    <w:rsid w:val="3D435524"/>
    <w:rsid w:val="3D4962A1"/>
    <w:rsid w:val="3D551439"/>
    <w:rsid w:val="3D75229E"/>
    <w:rsid w:val="3DAA0D45"/>
    <w:rsid w:val="3DAB6269"/>
    <w:rsid w:val="3E014DBC"/>
    <w:rsid w:val="3E3C1264"/>
    <w:rsid w:val="3E3D5BD4"/>
    <w:rsid w:val="3E544526"/>
    <w:rsid w:val="3E6E7310"/>
    <w:rsid w:val="3E7524FF"/>
    <w:rsid w:val="3EFC50B1"/>
    <w:rsid w:val="3F031DB3"/>
    <w:rsid w:val="3F110F58"/>
    <w:rsid w:val="3F6D1C5E"/>
    <w:rsid w:val="3F8945B6"/>
    <w:rsid w:val="3FC13FDE"/>
    <w:rsid w:val="40170108"/>
    <w:rsid w:val="405025B3"/>
    <w:rsid w:val="405F585F"/>
    <w:rsid w:val="40610565"/>
    <w:rsid w:val="40882799"/>
    <w:rsid w:val="40C15264"/>
    <w:rsid w:val="40F35A5D"/>
    <w:rsid w:val="4123514F"/>
    <w:rsid w:val="412A607B"/>
    <w:rsid w:val="4148239D"/>
    <w:rsid w:val="415A5D58"/>
    <w:rsid w:val="41622C96"/>
    <w:rsid w:val="4173060F"/>
    <w:rsid w:val="418962F3"/>
    <w:rsid w:val="419E00AC"/>
    <w:rsid w:val="41A47BB7"/>
    <w:rsid w:val="41AC2D82"/>
    <w:rsid w:val="41B96AAC"/>
    <w:rsid w:val="41BE472D"/>
    <w:rsid w:val="41F56C7D"/>
    <w:rsid w:val="42995152"/>
    <w:rsid w:val="42C63ADC"/>
    <w:rsid w:val="42EF2D34"/>
    <w:rsid w:val="42F42E27"/>
    <w:rsid w:val="432717FE"/>
    <w:rsid w:val="4327758C"/>
    <w:rsid w:val="43581C25"/>
    <w:rsid w:val="43764B92"/>
    <w:rsid w:val="43773665"/>
    <w:rsid w:val="43A91822"/>
    <w:rsid w:val="43CB3A8F"/>
    <w:rsid w:val="43CF00BF"/>
    <w:rsid w:val="43F973CF"/>
    <w:rsid w:val="445F2A41"/>
    <w:rsid w:val="446518E7"/>
    <w:rsid w:val="446F6860"/>
    <w:rsid w:val="4481358C"/>
    <w:rsid w:val="448E4479"/>
    <w:rsid w:val="451E4D58"/>
    <w:rsid w:val="452C2F7E"/>
    <w:rsid w:val="4533759A"/>
    <w:rsid w:val="45485BCD"/>
    <w:rsid w:val="456C37D0"/>
    <w:rsid w:val="4590792B"/>
    <w:rsid w:val="45AA6A3F"/>
    <w:rsid w:val="45B77CDB"/>
    <w:rsid w:val="45F40CE4"/>
    <w:rsid w:val="461C409C"/>
    <w:rsid w:val="463E1147"/>
    <w:rsid w:val="46493183"/>
    <w:rsid w:val="46506306"/>
    <w:rsid w:val="46AB5CB1"/>
    <w:rsid w:val="46C42AEE"/>
    <w:rsid w:val="475408F0"/>
    <w:rsid w:val="476711C0"/>
    <w:rsid w:val="476D795C"/>
    <w:rsid w:val="47872928"/>
    <w:rsid w:val="47CC7B00"/>
    <w:rsid w:val="47F42712"/>
    <w:rsid w:val="48470019"/>
    <w:rsid w:val="48B34DFA"/>
    <w:rsid w:val="48D60B1B"/>
    <w:rsid w:val="48E35C74"/>
    <w:rsid w:val="48F171A1"/>
    <w:rsid w:val="494B0BDD"/>
    <w:rsid w:val="496E4130"/>
    <w:rsid w:val="49D77EAC"/>
    <w:rsid w:val="49EF62B5"/>
    <w:rsid w:val="49F54081"/>
    <w:rsid w:val="4A100F4D"/>
    <w:rsid w:val="4A162499"/>
    <w:rsid w:val="4A506EBA"/>
    <w:rsid w:val="4A533D76"/>
    <w:rsid w:val="4A5A5FA9"/>
    <w:rsid w:val="4A7C7F6F"/>
    <w:rsid w:val="4ABA2E24"/>
    <w:rsid w:val="4B01275C"/>
    <w:rsid w:val="4B0D1A39"/>
    <w:rsid w:val="4B1470E6"/>
    <w:rsid w:val="4B210133"/>
    <w:rsid w:val="4B3D72CC"/>
    <w:rsid w:val="4B4F6E38"/>
    <w:rsid w:val="4B7A2C21"/>
    <w:rsid w:val="4B7A7250"/>
    <w:rsid w:val="4B861D9C"/>
    <w:rsid w:val="4B9959AC"/>
    <w:rsid w:val="4BD668AB"/>
    <w:rsid w:val="4BE65C2D"/>
    <w:rsid w:val="4BFE7CE7"/>
    <w:rsid w:val="4CB01C33"/>
    <w:rsid w:val="4CBB6283"/>
    <w:rsid w:val="4CD308A2"/>
    <w:rsid w:val="4CEB7900"/>
    <w:rsid w:val="4CFF5C58"/>
    <w:rsid w:val="4D0819A6"/>
    <w:rsid w:val="4D257EC9"/>
    <w:rsid w:val="4D3B345D"/>
    <w:rsid w:val="4D531BE0"/>
    <w:rsid w:val="4D68592C"/>
    <w:rsid w:val="4DAB0271"/>
    <w:rsid w:val="4DDA4ACA"/>
    <w:rsid w:val="4DE36A1E"/>
    <w:rsid w:val="4DE57784"/>
    <w:rsid w:val="4E166C61"/>
    <w:rsid w:val="4E3C6B2F"/>
    <w:rsid w:val="4E4C3FD3"/>
    <w:rsid w:val="4E940F4F"/>
    <w:rsid w:val="4EBA3B65"/>
    <w:rsid w:val="4EEC57A9"/>
    <w:rsid w:val="4F06142A"/>
    <w:rsid w:val="4F293388"/>
    <w:rsid w:val="4F5D5271"/>
    <w:rsid w:val="4FD53AA3"/>
    <w:rsid w:val="4FEA385A"/>
    <w:rsid w:val="500A0143"/>
    <w:rsid w:val="50427A1A"/>
    <w:rsid w:val="50685FD3"/>
    <w:rsid w:val="506C46AD"/>
    <w:rsid w:val="509C6B22"/>
    <w:rsid w:val="50CE24EE"/>
    <w:rsid w:val="50DB745E"/>
    <w:rsid w:val="51012CA1"/>
    <w:rsid w:val="511B7174"/>
    <w:rsid w:val="51711F32"/>
    <w:rsid w:val="5175585E"/>
    <w:rsid w:val="51AE625A"/>
    <w:rsid w:val="51DD5724"/>
    <w:rsid w:val="51F52932"/>
    <w:rsid w:val="52284F24"/>
    <w:rsid w:val="526621C2"/>
    <w:rsid w:val="52B03E16"/>
    <w:rsid w:val="52B373B8"/>
    <w:rsid w:val="52B75C17"/>
    <w:rsid w:val="52CF2E6F"/>
    <w:rsid w:val="53362F7B"/>
    <w:rsid w:val="538714BB"/>
    <w:rsid w:val="538C59FD"/>
    <w:rsid w:val="53BA15F8"/>
    <w:rsid w:val="53C65561"/>
    <w:rsid w:val="53C91324"/>
    <w:rsid w:val="542D14A2"/>
    <w:rsid w:val="542E1C6B"/>
    <w:rsid w:val="54382148"/>
    <w:rsid w:val="548B115B"/>
    <w:rsid w:val="549F0856"/>
    <w:rsid w:val="54B67413"/>
    <w:rsid w:val="54B96048"/>
    <w:rsid w:val="54FA45FD"/>
    <w:rsid w:val="55094565"/>
    <w:rsid w:val="5516695A"/>
    <w:rsid w:val="55475E02"/>
    <w:rsid w:val="55614319"/>
    <w:rsid w:val="55634A14"/>
    <w:rsid w:val="558E1155"/>
    <w:rsid w:val="559222FB"/>
    <w:rsid w:val="559B5E1F"/>
    <w:rsid w:val="55A05215"/>
    <w:rsid w:val="55B228EB"/>
    <w:rsid w:val="55CA6006"/>
    <w:rsid w:val="561F3D51"/>
    <w:rsid w:val="566669C4"/>
    <w:rsid w:val="56797EDD"/>
    <w:rsid w:val="569C5A70"/>
    <w:rsid w:val="56DE346D"/>
    <w:rsid w:val="56ED2192"/>
    <w:rsid w:val="57264526"/>
    <w:rsid w:val="574F7BD4"/>
    <w:rsid w:val="575F7571"/>
    <w:rsid w:val="57BA2CE5"/>
    <w:rsid w:val="57C651C7"/>
    <w:rsid w:val="57C770AC"/>
    <w:rsid w:val="57CA69CE"/>
    <w:rsid w:val="580C27E0"/>
    <w:rsid w:val="582B54F9"/>
    <w:rsid w:val="582B72D7"/>
    <w:rsid w:val="58302C65"/>
    <w:rsid w:val="589F5EAF"/>
    <w:rsid w:val="58A65E8B"/>
    <w:rsid w:val="58D333E1"/>
    <w:rsid w:val="58D47A96"/>
    <w:rsid w:val="5912718C"/>
    <w:rsid w:val="59450EED"/>
    <w:rsid w:val="59907874"/>
    <w:rsid w:val="59AD19BD"/>
    <w:rsid w:val="59B844EC"/>
    <w:rsid w:val="59CD6608"/>
    <w:rsid w:val="5A186885"/>
    <w:rsid w:val="5A193768"/>
    <w:rsid w:val="5A405236"/>
    <w:rsid w:val="5A59050C"/>
    <w:rsid w:val="5A5A1856"/>
    <w:rsid w:val="5A675243"/>
    <w:rsid w:val="5A755401"/>
    <w:rsid w:val="5A770D36"/>
    <w:rsid w:val="5A856CE2"/>
    <w:rsid w:val="5AA06A9A"/>
    <w:rsid w:val="5AD21525"/>
    <w:rsid w:val="5BF10491"/>
    <w:rsid w:val="5C0F7E69"/>
    <w:rsid w:val="5C1F2AE5"/>
    <w:rsid w:val="5C6A4922"/>
    <w:rsid w:val="5C8575F5"/>
    <w:rsid w:val="5C9F059F"/>
    <w:rsid w:val="5CAD47E4"/>
    <w:rsid w:val="5CBB4EC8"/>
    <w:rsid w:val="5CD365F3"/>
    <w:rsid w:val="5CDB1A41"/>
    <w:rsid w:val="5D0A0A24"/>
    <w:rsid w:val="5D60220B"/>
    <w:rsid w:val="5D8E5A45"/>
    <w:rsid w:val="5D983C0A"/>
    <w:rsid w:val="5DAD286D"/>
    <w:rsid w:val="5DD87150"/>
    <w:rsid w:val="5E3959D9"/>
    <w:rsid w:val="5E546AA9"/>
    <w:rsid w:val="5E8553E4"/>
    <w:rsid w:val="5E9440C7"/>
    <w:rsid w:val="5E9B0F6E"/>
    <w:rsid w:val="5EC13988"/>
    <w:rsid w:val="5EC71216"/>
    <w:rsid w:val="5EEA6367"/>
    <w:rsid w:val="5F254ABD"/>
    <w:rsid w:val="5F4E0E3C"/>
    <w:rsid w:val="5F5D7E2F"/>
    <w:rsid w:val="5F825D55"/>
    <w:rsid w:val="5F95562B"/>
    <w:rsid w:val="5F9825CA"/>
    <w:rsid w:val="5FA70172"/>
    <w:rsid w:val="5FEE3688"/>
    <w:rsid w:val="600020FE"/>
    <w:rsid w:val="603138AC"/>
    <w:rsid w:val="60415ED1"/>
    <w:rsid w:val="6047696D"/>
    <w:rsid w:val="604A7635"/>
    <w:rsid w:val="605024B2"/>
    <w:rsid w:val="60963AB4"/>
    <w:rsid w:val="6110717D"/>
    <w:rsid w:val="612C3EA2"/>
    <w:rsid w:val="6195654B"/>
    <w:rsid w:val="619F0158"/>
    <w:rsid w:val="61C27296"/>
    <w:rsid w:val="61CC732B"/>
    <w:rsid w:val="622D6E0E"/>
    <w:rsid w:val="62592474"/>
    <w:rsid w:val="62B97945"/>
    <w:rsid w:val="62CD7459"/>
    <w:rsid w:val="62D74B93"/>
    <w:rsid w:val="62F03863"/>
    <w:rsid w:val="63094DFF"/>
    <w:rsid w:val="632664A5"/>
    <w:rsid w:val="633C7A39"/>
    <w:rsid w:val="63841CD9"/>
    <w:rsid w:val="638B0819"/>
    <w:rsid w:val="63CB2BF0"/>
    <w:rsid w:val="64103082"/>
    <w:rsid w:val="643B07F7"/>
    <w:rsid w:val="644F29AA"/>
    <w:rsid w:val="645F596E"/>
    <w:rsid w:val="646841EA"/>
    <w:rsid w:val="646A12EB"/>
    <w:rsid w:val="6481424B"/>
    <w:rsid w:val="649819C4"/>
    <w:rsid w:val="64B807E3"/>
    <w:rsid w:val="64C6626B"/>
    <w:rsid w:val="65342D14"/>
    <w:rsid w:val="653A2F13"/>
    <w:rsid w:val="65424296"/>
    <w:rsid w:val="65445940"/>
    <w:rsid w:val="65FC319C"/>
    <w:rsid w:val="661B32D0"/>
    <w:rsid w:val="663D391F"/>
    <w:rsid w:val="66466EAC"/>
    <w:rsid w:val="666268F1"/>
    <w:rsid w:val="66664CE1"/>
    <w:rsid w:val="666B7D5E"/>
    <w:rsid w:val="66A82400"/>
    <w:rsid w:val="66C139A7"/>
    <w:rsid w:val="66D54125"/>
    <w:rsid w:val="66F63EF1"/>
    <w:rsid w:val="66FA5A53"/>
    <w:rsid w:val="67AB1157"/>
    <w:rsid w:val="68427D51"/>
    <w:rsid w:val="684D52D4"/>
    <w:rsid w:val="688C1740"/>
    <w:rsid w:val="68C50583"/>
    <w:rsid w:val="691F4347"/>
    <w:rsid w:val="694B095C"/>
    <w:rsid w:val="6987317B"/>
    <w:rsid w:val="69D854A6"/>
    <w:rsid w:val="6AD32842"/>
    <w:rsid w:val="6B0C3C48"/>
    <w:rsid w:val="6B440C22"/>
    <w:rsid w:val="6B695720"/>
    <w:rsid w:val="6B7761EE"/>
    <w:rsid w:val="6B856FDF"/>
    <w:rsid w:val="6BD562FD"/>
    <w:rsid w:val="6BF34216"/>
    <w:rsid w:val="6C486BE3"/>
    <w:rsid w:val="6C676B1B"/>
    <w:rsid w:val="6C83174A"/>
    <w:rsid w:val="6CB77A58"/>
    <w:rsid w:val="6CF101B5"/>
    <w:rsid w:val="6D2F07D7"/>
    <w:rsid w:val="6D8562D1"/>
    <w:rsid w:val="6D884C5E"/>
    <w:rsid w:val="6D9D024F"/>
    <w:rsid w:val="6DA5155C"/>
    <w:rsid w:val="6DB3462A"/>
    <w:rsid w:val="6DC80753"/>
    <w:rsid w:val="6DCB5CFC"/>
    <w:rsid w:val="6E4750BF"/>
    <w:rsid w:val="6E600F83"/>
    <w:rsid w:val="6E8B190A"/>
    <w:rsid w:val="6E8F607B"/>
    <w:rsid w:val="6EBA3833"/>
    <w:rsid w:val="6ED82B21"/>
    <w:rsid w:val="6EDA4FF9"/>
    <w:rsid w:val="6F594FCE"/>
    <w:rsid w:val="6F5E4F12"/>
    <w:rsid w:val="70381C4E"/>
    <w:rsid w:val="70B13340"/>
    <w:rsid w:val="70C64741"/>
    <w:rsid w:val="70D03540"/>
    <w:rsid w:val="70DD2EC4"/>
    <w:rsid w:val="70DD533A"/>
    <w:rsid w:val="70E5103B"/>
    <w:rsid w:val="70F638C2"/>
    <w:rsid w:val="71086CC6"/>
    <w:rsid w:val="71404D40"/>
    <w:rsid w:val="717E004B"/>
    <w:rsid w:val="71A827A1"/>
    <w:rsid w:val="71BA3329"/>
    <w:rsid w:val="71BF5222"/>
    <w:rsid w:val="71DC2F30"/>
    <w:rsid w:val="71F11B0A"/>
    <w:rsid w:val="71F4747D"/>
    <w:rsid w:val="727F4837"/>
    <w:rsid w:val="729B1CDD"/>
    <w:rsid w:val="72B56DCF"/>
    <w:rsid w:val="72C10D11"/>
    <w:rsid w:val="72E72135"/>
    <w:rsid w:val="73017D5A"/>
    <w:rsid w:val="7302785A"/>
    <w:rsid w:val="730807FA"/>
    <w:rsid w:val="732A53FD"/>
    <w:rsid w:val="732C246E"/>
    <w:rsid w:val="737563E4"/>
    <w:rsid w:val="7389692D"/>
    <w:rsid w:val="73A56B11"/>
    <w:rsid w:val="73BC17BD"/>
    <w:rsid w:val="740573BF"/>
    <w:rsid w:val="7458105E"/>
    <w:rsid w:val="745C4EDC"/>
    <w:rsid w:val="74632DB2"/>
    <w:rsid w:val="746B5EEE"/>
    <w:rsid w:val="7487144F"/>
    <w:rsid w:val="74D071AB"/>
    <w:rsid w:val="74E2416F"/>
    <w:rsid w:val="74F15ED1"/>
    <w:rsid w:val="752818C2"/>
    <w:rsid w:val="754E442A"/>
    <w:rsid w:val="75881567"/>
    <w:rsid w:val="75A3685B"/>
    <w:rsid w:val="75DB2391"/>
    <w:rsid w:val="760E260F"/>
    <w:rsid w:val="761C00E5"/>
    <w:rsid w:val="76391B32"/>
    <w:rsid w:val="769B7902"/>
    <w:rsid w:val="76A45AA4"/>
    <w:rsid w:val="76B34761"/>
    <w:rsid w:val="76BF1703"/>
    <w:rsid w:val="76EB55AE"/>
    <w:rsid w:val="77294430"/>
    <w:rsid w:val="77323E0D"/>
    <w:rsid w:val="7733051E"/>
    <w:rsid w:val="774F6BF2"/>
    <w:rsid w:val="777C2DA9"/>
    <w:rsid w:val="77D722BA"/>
    <w:rsid w:val="7820168A"/>
    <w:rsid w:val="782F431C"/>
    <w:rsid w:val="78B310DB"/>
    <w:rsid w:val="78C23693"/>
    <w:rsid w:val="793257A4"/>
    <w:rsid w:val="793E557D"/>
    <w:rsid w:val="796805EC"/>
    <w:rsid w:val="797A6857"/>
    <w:rsid w:val="7988750B"/>
    <w:rsid w:val="798F2BC5"/>
    <w:rsid w:val="7991458E"/>
    <w:rsid w:val="7ABF027A"/>
    <w:rsid w:val="7AE30547"/>
    <w:rsid w:val="7BF33B97"/>
    <w:rsid w:val="7C124224"/>
    <w:rsid w:val="7C315DA5"/>
    <w:rsid w:val="7C770543"/>
    <w:rsid w:val="7C8362DE"/>
    <w:rsid w:val="7D0A41BC"/>
    <w:rsid w:val="7D596ACC"/>
    <w:rsid w:val="7D6E5D73"/>
    <w:rsid w:val="7D7512F7"/>
    <w:rsid w:val="7D807983"/>
    <w:rsid w:val="7DAB6037"/>
    <w:rsid w:val="7E0319E9"/>
    <w:rsid w:val="7E40680B"/>
    <w:rsid w:val="7E6A6537"/>
    <w:rsid w:val="7E7E7DF1"/>
    <w:rsid w:val="7E9A51DE"/>
    <w:rsid w:val="7EB376CB"/>
    <w:rsid w:val="7F0E0B1E"/>
    <w:rsid w:val="7F4F0126"/>
    <w:rsid w:val="7F74021D"/>
    <w:rsid w:val="7F7E6E94"/>
    <w:rsid w:val="7FEE4C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qFormat="1" w:uiPriority="0" w:name="index 1"/>
    <w:lsdException w:uiPriority="99" w:name="index 2"/>
    <w:lsdException w:qFormat="1" w:uiPriority="0" w:semiHidden="0"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nhideWhenUsed="0" w:uiPriority="0" w:semiHidden="0" w:name="toc 2"/>
    <w:lsdException w:qFormat="1" w:unhideWhenUsed="0" w:uiPriority="0"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nhideWhenUsed="0" w:uiPriority="0" w:semiHidden="0" w:name="Normal Indent"/>
    <w:lsdException w:uiPriority="99" w:name="footnote text"/>
    <w:lsdException w:qFormat="1" w:uiPriority="0" w:semiHidden="0" w:name="annotation text"/>
    <w:lsdException w:qFormat="1" w:uiPriority="0" w:semiHidden="0" w:name="header"/>
    <w:lsdException w:qFormat="1" w:uiPriority="99" w:semiHidden="0" w:name="footer"/>
    <w:lsdException w:qFormat="1" w:uiPriority="0" w:name="index heading"/>
    <w:lsdException w:qFormat="1" w:uiPriority="0" w:semiHidden="0" w:name="caption"/>
    <w:lsdException w:qFormat="1" w:uiPriority="0" w:name="table of figures"/>
    <w:lsdException w:uiPriority="99" w:name="envelope address"/>
    <w:lsdException w:uiPriority="99" w:name="envelope return"/>
    <w:lsdException w:uiPriority="99" w:name="footnote reference"/>
    <w:lsdException w:qFormat="1" w:uiPriority="0" w:name="annotation reference"/>
    <w:lsdException w:qFormat="1" w:uiPriority="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qFormat="1" w:uiPriority="0" w:semiHidden="0" w:name="List Bullet"/>
    <w:lsdException w:qFormat="1" w:uiPriority="0" w:semiHidden="0" w:name="List Number"/>
    <w:lsdException w:qFormat="1" w:uiPriority="0" w:semiHidden="0" w:name="List 2"/>
    <w:lsdException w:qFormat="1" w:uiPriority="0" w:semiHidden="0" w:name="List 3"/>
    <w:lsdException w:qFormat="1" w:uiPriority="0" w:name="List 4"/>
    <w:lsdException w:qFormat="1" w:uiPriority="0" w:name="List 5"/>
    <w:lsdException w:qFormat="1" w:uiPriority="0" w:name="List Bullet 2"/>
    <w:lsdException w:uiPriority="99" w:name="List Bullet 3"/>
    <w:lsdException w:uiPriority="99" w:name="List Bullet 4"/>
    <w:lsdException w:qFormat="1" w:uiPriority="0"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qFormat="1" w:uiPriority="0" w:name="Signature"/>
    <w:lsdException w:qFormat="1" w:uiPriority="1" w:semiHidden="0" w:name="Default Paragraph Font"/>
    <w:lsdException w:qFormat="1" w:uiPriority="0" w:semiHidden="0" w:name="Body Text"/>
    <w:lsdException w:qFormat="1" w:uiPriority="0" w:semiHidden="0" w:name="Body Text Indent"/>
    <w:lsdException w:qFormat="1" w:uiPriority="0" w:name="List Continue"/>
    <w:lsdException w:qFormat="1" w:uiPriority="0" w:name="List Continue 2"/>
    <w:lsdException w:qFormat="1" w:uiPriority="0"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0" w:name="Date"/>
    <w:lsdException w:qFormat="1" w:uiPriority="0" w:name="Body Text First Indent"/>
    <w:lsdException w:qFormat="1" w:uiPriority="0" w:name="Body Text First Indent 2"/>
    <w:lsdException w:qFormat="1" w:unhideWhenUsed="0" w:uiPriority="0" w:semiHidden="0" w:name="Note Heading"/>
    <w:lsdException w:qFormat="1" w:uiPriority="0" w:name="Body Text 2"/>
    <w:lsdException w:qFormat="1" w:uiPriority="0" w:name="Body Text 3"/>
    <w:lsdException w:qFormat="1" w:unhideWhenUsed="0" w:uiPriority="0" w:semiHidden="0" w:name="Body Text Indent 2"/>
    <w:lsdException w:qFormat="1" w:unhideWhenUsed="0" w:uiPriority="0" w:semiHidden="0" w:name="Body Text Indent 3"/>
    <w:lsdException w:qFormat="1" w:uiPriority="0" w:name="Block Text"/>
    <w:lsdException w:qFormat="1" w:uiPriority="0" w:semiHidden="0" w:name="Hyperlink"/>
    <w:lsdException w:qFormat="1" w:uiPriority="0" w:name="FollowedHyperlink"/>
    <w:lsdException w:qFormat="1" w:unhideWhenUsed="0" w:uiPriority="0" w:semiHidden="0" w:name="Strong"/>
    <w:lsdException w:qFormat="1" w:unhideWhenUsed="0" w:uiPriority="0" w:semiHidden="0" w:name="Emphasis"/>
    <w:lsdException w:qFormat="1" w:uiPriority="0" w:semiHidden="0" w:name="Document Map"/>
    <w:lsdException w:qFormat="1" w:unhideWhenUsed="0" w:uiPriority="0" w:semiHidden="0" w:name="Plain Text"/>
    <w:lsdException w:uiPriority="99" w:name="E-mail Signature"/>
    <w:lsdException w:qFormat="1" w:uiPriority="0" w:name="Normal (Web)"/>
    <w:lsdException w:qFormat="1" w:uiPriority="0" w:name="HTML Acronym"/>
    <w:lsdException w:uiPriority="99" w:name="HTML Address"/>
    <w:lsdException w:qFormat="1" w:uiPriority="0" w:name="HTML Cite"/>
    <w:lsdException w:qFormat="1" w:uiPriority="0" w:name="HTML Code"/>
    <w:lsdException w:qFormat="1" w:uiPriority="0" w:name="HTML Definition"/>
    <w:lsdException w:uiPriority="99" w:name="HTML Keyboard"/>
    <w:lsdException w:qFormat="1" w:uiPriority="0" w:name="HTML Preformatted"/>
    <w:lsdException w:uiPriority="99" w:name="HTML Sample"/>
    <w:lsdException w:qFormat="1" w:uiPriority="0" w:name="HTML Typewriter"/>
    <w:lsdException w:qFormat="1" w:uiPriority="0" w:name="HTML Variable"/>
    <w:lsdException w:qFormat="1" w:uiPriority="99" w:name="Normal Table"/>
    <w:lsdException w:qFormat="1" w:uiPriority="0" w:name="annotation subject"/>
    <w:lsdException w:qFormat="1" w:uiPriority="0" w:name="Table Simple 1"/>
    <w:lsdException w:uiPriority="99" w:name="Table Simple 2"/>
    <w:lsdException w:uiPriority="99" w:name="Table Simple 3"/>
    <w:lsdException w:qFormat="1" w:uiPriority="0"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iPriority="0" w:name="Table Grid 1"/>
    <w:lsdException w:uiPriority="99" w:name="Table Grid 2"/>
    <w:lsdException w:uiPriority="99" w:name="Table Grid 3"/>
    <w:lsdException w:uiPriority="99" w:name="Table Grid 4"/>
    <w:lsdException w:uiPriority="99" w:name="Table Grid 5"/>
    <w:lsdException w:qFormat="1" w:uiPriority="0" w:name="Table Grid 6"/>
    <w:lsdException w:qFormat="1" w:uiPriority="0" w:name="Table Grid 7"/>
    <w:lsdException w:uiPriority="99" w:name="Table Grid 8"/>
    <w:lsdException w:uiPriority="99" w:name="Table List 1"/>
    <w:lsdException w:uiPriority="99" w:name="Table List 2"/>
    <w:lsdException w:qFormat="1" w:uiPriority="0"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qFormat="1" w:uiPriority="0"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spacing w:line="360" w:lineRule="auto"/>
      <w:ind w:firstLine="200" w:firstLineChars="200"/>
      <w:jc w:val="both"/>
    </w:pPr>
    <w:rPr>
      <w:rFonts w:ascii="Times New Roman" w:hAnsi="Times New Roman" w:eastAsia="宋体" w:cstheme="minorBidi"/>
      <w:sz w:val="24"/>
      <w:szCs w:val="24"/>
      <w:lang w:val="en-US" w:eastAsia="en-US" w:bidi="ar-SA"/>
    </w:rPr>
  </w:style>
  <w:style w:type="paragraph" w:styleId="7">
    <w:name w:val="heading 1"/>
    <w:basedOn w:val="1"/>
    <w:next w:val="1"/>
    <w:link w:val="89"/>
    <w:qFormat/>
    <w:uiPriority w:val="0"/>
    <w:pPr>
      <w:keepNext/>
      <w:keepLines/>
      <w:spacing w:before="100" w:after="100"/>
      <w:ind w:firstLine="0" w:firstLineChars="0"/>
      <w:outlineLvl w:val="0"/>
    </w:pPr>
    <w:rPr>
      <w:rFonts w:ascii="宋体" w:hAnsi="宋体"/>
      <w:b/>
      <w:bCs/>
      <w:kern w:val="44"/>
      <w:sz w:val="32"/>
      <w:szCs w:val="32"/>
    </w:rPr>
  </w:style>
  <w:style w:type="paragraph" w:styleId="8">
    <w:name w:val="heading 2"/>
    <w:basedOn w:val="1"/>
    <w:next w:val="1"/>
    <w:link w:val="90"/>
    <w:unhideWhenUsed/>
    <w:qFormat/>
    <w:uiPriority w:val="0"/>
    <w:pPr>
      <w:keepNext/>
      <w:keepLines/>
      <w:spacing w:before="100" w:after="100"/>
      <w:ind w:firstLine="0" w:firstLineChars="0"/>
      <w:outlineLvl w:val="1"/>
    </w:pPr>
    <w:rPr>
      <w:rFonts w:ascii="宋体" w:hAnsi="宋体" w:cstheme="majorBidi"/>
      <w:b/>
      <w:bCs/>
      <w:sz w:val="28"/>
      <w:szCs w:val="28"/>
    </w:rPr>
  </w:style>
  <w:style w:type="paragraph" w:styleId="9">
    <w:name w:val="heading 3"/>
    <w:basedOn w:val="1"/>
    <w:next w:val="1"/>
    <w:link w:val="91"/>
    <w:unhideWhenUsed/>
    <w:qFormat/>
    <w:uiPriority w:val="0"/>
    <w:pPr>
      <w:keepNext/>
      <w:keepLines/>
      <w:adjustRightInd w:val="0"/>
      <w:spacing w:before="60" w:after="60"/>
      <w:ind w:firstLine="0" w:firstLineChars="0"/>
      <w:outlineLvl w:val="2"/>
    </w:pPr>
    <w:rPr>
      <w:rFonts w:ascii="宋体" w:hAnsi="宋体" w:cs="Times New Roman"/>
      <w:b/>
      <w:color w:val="000000"/>
      <w:sz w:val="28"/>
      <w:szCs w:val="28"/>
      <w:lang w:eastAsia="zh-CN"/>
    </w:rPr>
  </w:style>
  <w:style w:type="paragraph" w:styleId="10">
    <w:name w:val="heading 4"/>
    <w:basedOn w:val="1"/>
    <w:next w:val="1"/>
    <w:link w:val="92"/>
    <w:unhideWhenUsed/>
    <w:qFormat/>
    <w:uiPriority w:val="0"/>
    <w:pPr>
      <w:keepNext/>
      <w:keepLines/>
      <w:ind w:firstLine="0" w:firstLineChars="0"/>
      <w:outlineLvl w:val="3"/>
    </w:pPr>
    <w:rPr>
      <w:rFonts w:cstheme="majorBidi"/>
      <w:szCs w:val="28"/>
    </w:rPr>
  </w:style>
  <w:style w:type="paragraph" w:styleId="11">
    <w:name w:val="heading 5"/>
    <w:basedOn w:val="1"/>
    <w:next w:val="6"/>
    <w:link w:val="93"/>
    <w:unhideWhenUsed/>
    <w:qFormat/>
    <w:uiPriority w:val="0"/>
    <w:pPr>
      <w:keepNext/>
      <w:keepLines/>
      <w:spacing w:before="280" w:after="290" w:line="376" w:lineRule="auto"/>
      <w:outlineLvl w:val="4"/>
    </w:pPr>
    <w:rPr>
      <w:b/>
      <w:bCs/>
      <w:sz w:val="28"/>
      <w:szCs w:val="28"/>
    </w:rPr>
  </w:style>
  <w:style w:type="paragraph" w:styleId="12">
    <w:name w:val="heading 6"/>
    <w:basedOn w:val="1"/>
    <w:next w:val="1"/>
    <w:link w:val="94"/>
    <w:semiHidden/>
    <w:unhideWhenUsed/>
    <w:qFormat/>
    <w:uiPriority w:val="0"/>
    <w:pPr>
      <w:keepNext/>
      <w:keepLines/>
      <w:spacing w:before="240" w:after="64" w:line="316" w:lineRule="auto"/>
      <w:outlineLvl w:val="5"/>
    </w:pPr>
    <w:rPr>
      <w:rFonts w:ascii="Arial" w:hAnsi="Arial" w:eastAsia="黑体" w:cs="Times New Roman"/>
      <w:b/>
      <w:bCs/>
      <w:kern w:val="24"/>
      <w:szCs w:val="20"/>
      <w:lang w:eastAsia="zh-CN"/>
    </w:rPr>
  </w:style>
  <w:style w:type="paragraph" w:styleId="13">
    <w:name w:val="heading 7"/>
    <w:basedOn w:val="1"/>
    <w:next w:val="1"/>
    <w:link w:val="190"/>
    <w:semiHidden/>
    <w:unhideWhenUsed/>
    <w:qFormat/>
    <w:uiPriority w:val="0"/>
    <w:pPr>
      <w:keepNext/>
      <w:keepLines/>
      <w:spacing w:before="240" w:after="64" w:line="316" w:lineRule="auto"/>
      <w:outlineLvl w:val="6"/>
    </w:pPr>
    <w:rPr>
      <w:rFonts w:ascii="宋体" w:hAnsi="宋体" w:cs="Times New Roman"/>
      <w:b/>
      <w:bCs/>
      <w:kern w:val="24"/>
      <w:szCs w:val="20"/>
      <w:lang w:eastAsia="zh-CN"/>
    </w:rPr>
  </w:style>
  <w:style w:type="paragraph" w:styleId="14">
    <w:name w:val="heading 8"/>
    <w:basedOn w:val="1"/>
    <w:next w:val="1"/>
    <w:link w:val="191"/>
    <w:semiHidden/>
    <w:unhideWhenUsed/>
    <w:qFormat/>
    <w:uiPriority w:val="0"/>
    <w:pPr>
      <w:keepNext/>
      <w:keepLines/>
      <w:spacing w:before="240" w:after="64" w:line="316" w:lineRule="auto"/>
      <w:outlineLvl w:val="7"/>
    </w:pPr>
    <w:rPr>
      <w:rFonts w:ascii="Arial" w:hAnsi="Arial" w:eastAsia="黑体" w:cs="Times New Roman"/>
      <w:kern w:val="24"/>
      <w:szCs w:val="20"/>
      <w:lang w:eastAsia="zh-CN"/>
    </w:rPr>
  </w:style>
  <w:style w:type="paragraph" w:styleId="15">
    <w:name w:val="heading 9"/>
    <w:basedOn w:val="1"/>
    <w:next w:val="1"/>
    <w:link w:val="95"/>
    <w:semiHidden/>
    <w:unhideWhenUsed/>
    <w:qFormat/>
    <w:uiPriority w:val="0"/>
    <w:pPr>
      <w:keepNext/>
      <w:keepLines/>
      <w:spacing w:before="240" w:after="64" w:line="320" w:lineRule="auto"/>
      <w:outlineLvl w:val="8"/>
    </w:pPr>
    <w:rPr>
      <w:rFonts w:asciiTheme="majorHAnsi" w:hAnsiTheme="majorHAnsi" w:eastAsiaTheme="majorEastAsia" w:cstheme="majorBidi"/>
      <w:sz w:val="21"/>
      <w:szCs w:val="21"/>
    </w:rPr>
  </w:style>
  <w:style w:type="character" w:default="1" w:styleId="73">
    <w:name w:val="Default Paragraph Font"/>
    <w:unhideWhenUsed/>
    <w:qFormat/>
    <w:uiPriority w:val="1"/>
  </w:style>
  <w:style w:type="table" w:default="1" w:styleId="64">
    <w:name w:val="Normal Table"/>
    <w:semiHidden/>
    <w:unhideWhenUsed/>
    <w:qFormat/>
    <w:uiPriority w:val="99"/>
    <w:tblPr>
      <w:tblCellMar>
        <w:top w:w="0" w:type="dxa"/>
        <w:left w:w="108" w:type="dxa"/>
        <w:bottom w:w="0" w:type="dxa"/>
        <w:right w:w="108" w:type="dxa"/>
      </w:tblCellMar>
    </w:tblPr>
  </w:style>
  <w:style w:type="paragraph" w:customStyle="1" w:styleId="2">
    <w:name w:val="0正文"/>
    <w:basedOn w:val="3"/>
    <w:next w:val="4"/>
    <w:qFormat/>
    <w:uiPriority w:val="0"/>
    <w:pPr>
      <w:ind w:firstLine="720"/>
    </w:pPr>
    <w:rPr>
      <w:rFonts w:cs="Times New Roman"/>
      <w:szCs w:val="22"/>
      <w:lang w:eastAsia="zh-CN"/>
    </w:rPr>
  </w:style>
  <w:style w:type="paragraph" w:styleId="3">
    <w:name w:val="Body Text Indent"/>
    <w:basedOn w:val="1"/>
    <w:next w:val="4"/>
    <w:link w:val="100"/>
    <w:unhideWhenUsed/>
    <w:qFormat/>
    <w:uiPriority w:val="0"/>
    <w:pPr>
      <w:spacing w:after="120"/>
      <w:ind w:left="420" w:leftChars="200"/>
    </w:pPr>
  </w:style>
  <w:style w:type="paragraph" w:styleId="4">
    <w:name w:val="header"/>
    <w:basedOn w:val="1"/>
    <w:next w:val="5"/>
    <w:link w:val="105"/>
    <w:unhideWhenUsed/>
    <w:qFormat/>
    <w:uiPriority w:val="0"/>
    <w:pPr>
      <w:pBdr>
        <w:bottom w:val="single" w:color="auto" w:sz="6" w:space="1"/>
      </w:pBdr>
      <w:tabs>
        <w:tab w:val="center" w:pos="4153"/>
        <w:tab w:val="right" w:pos="8306"/>
      </w:tabs>
      <w:snapToGrid w:val="0"/>
      <w:jc w:val="center"/>
    </w:pPr>
    <w:rPr>
      <w:sz w:val="18"/>
      <w:szCs w:val="18"/>
    </w:rPr>
  </w:style>
  <w:style w:type="paragraph" w:customStyle="1" w:styleId="5">
    <w:name w:val="样式5"/>
    <w:basedOn w:val="6"/>
    <w:link w:val="480"/>
    <w:qFormat/>
    <w:uiPriority w:val="0"/>
    <w:pPr>
      <w:snapToGrid w:val="0"/>
      <w:ind w:firstLine="510"/>
    </w:pPr>
    <w:rPr>
      <w:b/>
      <w:szCs w:val="21"/>
    </w:rPr>
  </w:style>
  <w:style w:type="paragraph" w:styleId="6">
    <w:name w:val="Normal Indent"/>
    <w:basedOn w:val="1"/>
    <w:next w:val="1"/>
    <w:qFormat/>
    <w:uiPriority w:val="0"/>
    <w:pPr>
      <w:ind w:firstLine="420"/>
    </w:pPr>
    <w:rPr>
      <w:rFonts w:cs="Times New Roman"/>
      <w:kern w:val="2"/>
      <w:sz w:val="21"/>
      <w:szCs w:val="20"/>
      <w:lang w:eastAsia="zh-CN"/>
    </w:rPr>
  </w:style>
  <w:style w:type="paragraph" w:styleId="16">
    <w:name w:val="List 3"/>
    <w:basedOn w:val="1"/>
    <w:unhideWhenUsed/>
    <w:qFormat/>
    <w:uiPriority w:val="0"/>
    <w:pPr>
      <w:ind w:firstLine="0" w:firstLineChars="0"/>
      <w:jc w:val="center"/>
    </w:pPr>
    <w:rPr>
      <w:rFonts w:ascii="宋体" w:hAnsi="宋体" w:cs="Times New Roman"/>
      <w:sz w:val="18"/>
      <w:szCs w:val="21"/>
      <w:lang w:eastAsia="zh-CN"/>
    </w:rPr>
  </w:style>
  <w:style w:type="paragraph" w:styleId="17">
    <w:name w:val="toc 7"/>
    <w:basedOn w:val="1"/>
    <w:next w:val="1"/>
    <w:unhideWhenUsed/>
    <w:qFormat/>
    <w:uiPriority w:val="0"/>
    <w:pPr>
      <w:ind w:left="2520" w:leftChars="1200"/>
    </w:pPr>
    <w:rPr>
      <w:kern w:val="2"/>
      <w:sz w:val="21"/>
      <w:lang w:eastAsia="zh-CN"/>
    </w:rPr>
  </w:style>
  <w:style w:type="paragraph" w:styleId="18">
    <w:name w:val="Note Heading"/>
    <w:basedOn w:val="1"/>
    <w:next w:val="1"/>
    <w:link w:val="96"/>
    <w:qFormat/>
    <w:uiPriority w:val="0"/>
    <w:pPr>
      <w:jc w:val="center"/>
    </w:pPr>
    <w:rPr>
      <w:rFonts w:cs="Times New Roman"/>
      <w:kern w:val="2"/>
      <w:sz w:val="21"/>
      <w:szCs w:val="20"/>
      <w:lang w:eastAsia="zh-CN"/>
    </w:rPr>
  </w:style>
  <w:style w:type="paragraph" w:styleId="19">
    <w:name w:val="List Number"/>
    <w:basedOn w:val="1"/>
    <w:unhideWhenUsed/>
    <w:qFormat/>
    <w:uiPriority w:val="0"/>
    <w:pPr>
      <w:numPr>
        <w:ilvl w:val="0"/>
        <w:numId w:val="1"/>
      </w:numPr>
      <w:tabs>
        <w:tab w:val="clear" w:pos="360"/>
      </w:tabs>
      <w:spacing w:beforeLines="50" w:afterLines="50" w:line="500" w:lineRule="exact"/>
      <w:ind w:left="0" w:firstLine="0" w:firstLineChars="0"/>
      <w:jc w:val="center"/>
    </w:pPr>
    <w:rPr>
      <w:rFonts w:ascii="楷体_GB2312" w:hAnsi="宋体" w:eastAsia="楷体_GB2312" w:cs="Times New Roman"/>
      <w:sz w:val="28"/>
      <w:szCs w:val="20"/>
      <w:lang w:eastAsia="zh-CN"/>
    </w:rPr>
  </w:style>
  <w:style w:type="paragraph" w:styleId="20">
    <w:name w:val="caption"/>
    <w:basedOn w:val="1"/>
    <w:next w:val="1"/>
    <w:link w:val="97"/>
    <w:unhideWhenUsed/>
    <w:qFormat/>
    <w:uiPriority w:val="0"/>
    <w:pPr>
      <w:ind w:firstLine="0" w:firstLineChars="0"/>
    </w:pPr>
    <w:rPr>
      <w:rFonts w:eastAsia="黑体" w:asciiTheme="majorHAnsi" w:hAnsiTheme="majorHAnsi" w:cstheme="majorBidi"/>
      <w:sz w:val="20"/>
      <w:szCs w:val="20"/>
    </w:rPr>
  </w:style>
  <w:style w:type="paragraph" w:styleId="21">
    <w:name w:val="List Bullet"/>
    <w:basedOn w:val="1"/>
    <w:unhideWhenUsed/>
    <w:qFormat/>
    <w:uiPriority w:val="0"/>
    <w:pPr>
      <w:numPr>
        <w:ilvl w:val="0"/>
        <w:numId w:val="2"/>
      </w:numPr>
      <w:tabs>
        <w:tab w:val="left" w:pos="420"/>
        <w:tab w:val="clear" w:pos="360"/>
      </w:tabs>
      <w:spacing w:line="490" w:lineRule="exact"/>
      <w:ind w:left="420" w:hanging="420" w:firstLineChars="0"/>
    </w:pPr>
    <w:rPr>
      <w:rFonts w:ascii="宋体" w:hAnsi="宋体" w:eastAsia="仿宋_GB2312" w:cs="Times New Roman"/>
      <w:sz w:val="28"/>
      <w:szCs w:val="20"/>
      <w:lang w:eastAsia="zh-CN"/>
    </w:rPr>
  </w:style>
  <w:style w:type="paragraph" w:styleId="22">
    <w:name w:val="Document Map"/>
    <w:basedOn w:val="1"/>
    <w:link w:val="202"/>
    <w:unhideWhenUsed/>
    <w:qFormat/>
    <w:uiPriority w:val="0"/>
    <w:pPr>
      <w:shd w:val="clear" w:color="auto" w:fill="000080"/>
    </w:pPr>
    <w:rPr>
      <w:rFonts w:cs="Times New Roman"/>
      <w:kern w:val="2"/>
      <w:lang w:eastAsia="zh-CN"/>
    </w:rPr>
  </w:style>
  <w:style w:type="paragraph" w:styleId="23">
    <w:name w:val="annotation text"/>
    <w:basedOn w:val="1"/>
    <w:link w:val="98"/>
    <w:unhideWhenUsed/>
    <w:qFormat/>
    <w:uiPriority w:val="0"/>
  </w:style>
  <w:style w:type="paragraph" w:styleId="24">
    <w:name w:val="Body Text 3"/>
    <w:basedOn w:val="1"/>
    <w:link w:val="201"/>
    <w:semiHidden/>
    <w:unhideWhenUsed/>
    <w:qFormat/>
    <w:uiPriority w:val="0"/>
    <w:rPr>
      <w:rFonts w:ascii="黑体" w:hAnsi="宋体" w:eastAsia="黑体" w:cs="Times New Roman"/>
      <w:b/>
      <w:bCs/>
      <w:kern w:val="2"/>
      <w:sz w:val="30"/>
      <w:lang w:eastAsia="zh-CN"/>
    </w:rPr>
  </w:style>
  <w:style w:type="paragraph" w:styleId="25">
    <w:name w:val="Body Text"/>
    <w:basedOn w:val="1"/>
    <w:next w:val="26"/>
    <w:link w:val="99"/>
    <w:unhideWhenUsed/>
    <w:qFormat/>
    <w:uiPriority w:val="0"/>
    <w:pPr>
      <w:spacing w:after="120"/>
    </w:pPr>
  </w:style>
  <w:style w:type="paragraph" w:customStyle="1" w:styleId="26">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paragraph" w:styleId="27">
    <w:name w:val="List 2"/>
    <w:basedOn w:val="1"/>
    <w:unhideWhenUsed/>
    <w:qFormat/>
    <w:uiPriority w:val="0"/>
    <w:pPr>
      <w:ind w:left="100" w:leftChars="200" w:hanging="200" w:hangingChars="200"/>
    </w:pPr>
    <w:rPr>
      <w:rFonts w:ascii="宋体" w:hAnsi="宋体" w:cs="Times New Roman"/>
      <w:sz w:val="28"/>
      <w:szCs w:val="20"/>
      <w:lang w:eastAsia="zh-CN"/>
    </w:rPr>
  </w:style>
  <w:style w:type="paragraph" w:styleId="28">
    <w:name w:val="List Continue"/>
    <w:basedOn w:val="1"/>
    <w:semiHidden/>
    <w:unhideWhenUsed/>
    <w:qFormat/>
    <w:uiPriority w:val="0"/>
    <w:pPr>
      <w:spacing w:after="120"/>
      <w:ind w:left="420" w:leftChars="200" w:firstLine="425"/>
    </w:pPr>
    <w:rPr>
      <w:rFonts w:ascii="宋体" w:hAnsi="宋体" w:cs="Times New Roman"/>
      <w:sz w:val="28"/>
      <w:szCs w:val="20"/>
      <w:lang w:eastAsia="zh-CN"/>
    </w:rPr>
  </w:style>
  <w:style w:type="paragraph" w:styleId="29">
    <w:name w:val="Block Text"/>
    <w:basedOn w:val="1"/>
    <w:semiHidden/>
    <w:unhideWhenUsed/>
    <w:qFormat/>
    <w:uiPriority w:val="0"/>
    <w:pPr>
      <w:spacing w:after="120"/>
      <w:ind w:left="1440" w:leftChars="700" w:right="1440" w:rightChars="700"/>
    </w:pPr>
    <w:rPr>
      <w:rFonts w:ascii="宋体" w:hAnsi="宋体" w:cs="Times New Roman"/>
      <w:sz w:val="21"/>
      <w:szCs w:val="20"/>
      <w:lang w:eastAsia="zh-CN"/>
    </w:rPr>
  </w:style>
  <w:style w:type="paragraph" w:styleId="30">
    <w:name w:val="List Bullet 2"/>
    <w:basedOn w:val="1"/>
    <w:semiHidden/>
    <w:unhideWhenUsed/>
    <w:qFormat/>
    <w:uiPriority w:val="0"/>
    <w:pPr>
      <w:numPr>
        <w:ilvl w:val="0"/>
        <w:numId w:val="3"/>
      </w:numPr>
      <w:tabs>
        <w:tab w:val="left" w:pos="600"/>
        <w:tab w:val="center" w:pos="6360"/>
        <w:tab w:val="clear" w:pos="780"/>
      </w:tabs>
      <w:adjustRightInd w:val="0"/>
      <w:ind w:left="600" w:leftChars="0" w:firstLine="0" w:firstLineChars="0"/>
      <w:jc w:val="center"/>
    </w:pPr>
    <w:rPr>
      <w:rFonts w:ascii="宋体" w:hAnsi="宋体" w:cs="Times New Roman"/>
      <w:b/>
      <w:sz w:val="20"/>
      <w:szCs w:val="20"/>
      <w:lang w:eastAsia="zh-CN"/>
    </w:rPr>
  </w:style>
  <w:style w:type="paragraph" w:styleId="31">
    <w:name w:val="toc 5"/>
    <w:basedOn w:val="1"/>
    <w:next w:val="1"/>
    <w:unhideWhenUsed/>
    <w:qFormat/>
    <w:uiPriority w:val="0"/>
    <w:pPr>
      <w:ind w:left="1680" w:leftChars="800"/>
    </w:pPr>
    <w:rPr>
      <w:kern w:val="2"/>
      <w:sz w:val="21"/>
      <w:lang w:eastAsia="zh-CN"/>
    </w:rPr>
  </w:style>
  <w:style w:type="paragraph" w:styleId="32">
    <w:name w:val="toc 3"/>
    <w:basedOn w:val="1"/>
    <w:next w:val="1"/>
    <w:qFormat/>
    <w:uiPriority w:val="0"/>
    <w:pPr>
      <w:ind w:left="960"/>
    </w:pPr>
    <w:rPr>
      <w:rFonts w:eastAsia="Times New Roman"/>
      <w:sz w:val="21"/>
      <w:szCs w:val="21"/>
    </w:rPr>
  </w:style>
  <w:style w:type="paragraph" w:styleId="33">
    <w:name w:val="Plain Text"/>
    <w:basedOn w:val="1"/>
    <w:link w:val="101"/>
    <w:qFormat/>
    <w:uiPriority w:val="0"/>
    <w:rPr>
      <w:rFonts w:cs="Times New Roman"/>
      <w:spacing w:val="8"/>
      <w:kern w:val="2"/>
      <w:szCs w:val="20"/>
      <w:lang w:eastAsia="zh-CN"/>
    </w:rPr>
  </w:style>
  <w:style w:type="paragraph" w:styleId="34">
    <w:name w:val="List Bullet 5"/>
    <w:basedOn w:val="1"/>
    <w:semiHidden/>
    <w:unhideWhenUsed/>
    <w:qFormat/>
    <w:uiPriority w:val="0"/>
    <w:pPr>
      <w:numPr>
        <w:ilvl w:val="0"/>
        <w:numId w:val="4"/>
      </w:numPr>
      <w:ind w:left="0" w:leftChars="0" w:firstLine="0" w:firstLineChars="0"/>
    </w:pPr>
    <w:rPr>
      <w:rFonts w:ascii="宋体" w:hAnsi="宋体" w:cs="Times New Roman"/>
      <w:szCs w:val="20"/>
      <w:lang w:eastAsia="zh-CN"/>
    </w:rPr>
  </w:style>
  <w:style w:type="paragraph" w:styleId="35">
    <w:name w:val="toc 8"/>
    <w:basedOn w:val="1"/>
    <w:next w:val="1"/>
    <w:unhideWhenUsed/>
    <w:qFormat/>
    <w:uiPriority w:val="0"/>
    <w:pPr>
      <w:ind w:left="2940" w:leftChars="1400"/>
    </w:pPr>
    <w:rPr>
      <w:kern w:val="2"/>
      <w:sz w:val="21"/>
      <w:lang w:eastAsia="zh-CN"/>
    </w:rPr>
  </w:style>
  <w:style w:type="paragraph" w:styleId="36">
    <w:name w:val="index 3"/>
    <w:basedOn w:val="1"/>
    <w:next w:val="1"/>
    <w:unhideWhenUsed/>
    <w:qFormat/>
    <w:uiPriority w:val="0"/>
    <w:pPr>
      <w:ind w:left="400" w:leftChars="400"/>
    </w:pPr>
    <w:rPr>
      <w:rFonts w:ascii="宋体" w:hAnsi="宋体" w:cs="Times New Roman"/>
      <w:sz w:val="21"/>
      <w:szCs w:val="20"/>
      <w:lang w:eastAsia="zh-CN"/>
    </w:rPr>
  </w:style>
  <w:style w:type="paragraph" w:styleId="37">
    <w:name w:val="Date"/>
    <w:basedOn w:val="1"/>
    <w:next w:val="1"/>
    <w:link w:val="197"/>
    <w:semiHidden/>
    <w:unhideWhenUsed/>
    <w:qFormat/>
    <w:uiPriority w:val="0"/>
    <w:pPr>
      <w:overflowPunct w:val="0"/>
      <w:adjustRightInd w:val="0"/>
      <w:ind w:firstLine="567"/>
    </w:pPr>
    <w:rPr>
      <w:rFonts w:ascii="宋体" w:cs="Times New Roman"/>
      <w:kern w:val="28"/>
      <w:szCs w:val="20"/>
      <w:lang w:eastAsia="zh-CN"/>
    </w:rPr>
  </w:style>
  <w:style w:type="paragraph" w:styleId="38">
    <w:name w:val="Body Text Indent 2"/>
    <w:basedOn w:val="1"/>
    <w:next w:val="1"/>
    <w:link w:val="102"/>
    <w:qFormat/>
    <w:uiPriority w:val="0"/>
    <w:pPr>
      <w:adjustRightInd w:val="0"/>
      <w:snapToGrid w:val="0"/>
      <w:spacing w:before="93" w:beforeLines="30" w:after="93" w:afterLines="30"/>
      <w:ind w:firstLine="482"/>
    </w:pPr>
    <w:rPr>
      <w:rFonts w:cs="Times New Roman"/>
      <w:kern w:val="2"/>
      <w:lang w:eastAsia="zh-CN"/>
    </w:rPr>
  </w:style>
  <w:style w:type="paragraph" w:styleId="39">
    <w:name w:val="Balloon Text"/>
    <w:basedOn w:val="1"/>
    <w:link w:val="103"/>
    <w:unhideWhenUsed/>
    <w:qFormat/>
    <w:uiPriority w:val="0"/>
    <w:rPr>
      <w:sz w:val="18"/>
      <w:szCs w:val="18"/>
    </w:rPr>
  </w:style>
  <w:style w:type="paragraph" w:styleId="40">
    <w:name w:val="footer"/>
    <w:basedOn w:val="1"/>
    <w:next w:val="1"/>
    <w:link w:val="104"/>
    <w:unhideWhenUsed/>
    <w:qFormat/>
    <w:uiPriority w:val="99"/>
    <w:pPr>
      <w:tabs>
        <w:tab w:val="center" w:pos="4153"/>
        <w:tab w:val="right" w:pos="8306"/>
      </w:tabs>
      <w:snapToGrid w:val="0"/>
    </w:pPr>
    <w:rPr>
      <w:sz w:val="18"/>
      <w:szCs w:val="18"/>
    </w:rPr>
  </w:style>
  <w:style w:type="paragraph" w:styleId="41">
    <w:name w:val="Signature"/>
    <w:basedOn w:val="1"/>
    <w:link w:val="195"/>
    <w:semiHidden/>
    <w:unhideWhenUsed/>
    <w:qFormat/>
    <w:uiPriority w:val="0"/>
    <w:pPr>
      <w:ind w:left="100" w:leftChars="2100" w:firstLine="425"/>
    </w:pPr>
    <w:rPr>
      <w:rFonts w:ascii="宋体" w:hAnsi="宋体" w:cs="Times New Roman"/>
      <w:sz w:val="28"/>
      <w:szCs w:val="20"/>
      <w:lang w:eastAsia="zh-CN"/>
    </w:rPr>
  </w:style>
  <w:style w:type="paragraph" w:styleId="42">
    <w:name w:val="toc 1"/>
    <w:basedOn w:val="1"/>
    <w:next w:val="1"/>
    <w:qFormat/>
    <w:uiPriority w:val="0"/>
    <w:pPr>
      <w:ind w:left="120"/>
    </w:pPr>
    <w:rPr>
      <w:rFonts w:ascii="宋体" w:hAnsi="宋体"/>
      <w:sz w:val="21"/>
      <w:szCs w:val="21"/>
    </w:rPr>
  </w:style>
  <w:style w:type="paragraph" w:styleId="43">
    <w:name w:val="toc 4"/>
    <w:basedOn w:val="1"/>
    <w:next w:val="1"/>
    <w:unhideWhenUsed/>
    <w:qFormat/>
    <w:uiPriority w:val="0"/>
    <w:pPr>
      <w:ind w:left="1260" w:leftChars="600"/>
    </w:pPr>
    <w:rPr>
      <w:kern w:val="2"/>
      <w:sz w:val="21"/>
      <w:lang w:eastAsia="zh-CN"/>
    </w:rPr>
  </w:style>
  <w:style w:type="paragraph" w:styleId="44">
    <w:name w:val="index heading"/>
    <w:basedOn w:val="1"/>
    <w:next w:val="45"/>
    <w:semiHidden/>
    <w:unhideWhenUsed/>
    <w:qFormat/>
    <w:uiPriority w:val="0"/>
    <w:rPr>
      <w:rFonts w:ascii="宋体" w:hAnsi="宋体" w:cs="Times New Roman"/>
      <w:sz w:val="21"/>
      <w:szCs w:val="20"/>
      <w:lang w:eastAsia="zh-CN"/>
    </w:rPr>
  </w:style>
  <w:style w:type="paragraph" w:styleId="45">
    <w:name w:val="index 1"/>
    <w:basedOn w:val="1"/>
    <w:next w:val="1"/>
    <w:semiHidden/>
    <w:unhideWhenUsed/>
    <w:qFormat/>
    <w:uiPriority w:val="0"/>
    <w:rPr>
      <w:rFonts w:ascii="宋体" w:hAnsi="宋体" w:cs="Times New Roman"/>
      <w:szCs w:val="20"/>
      <w:lang w:eastAsia="zh-CN"/>
    </w:rPr>
  </w:style>
  <w:style w:type="paragraph" w:styleId="46">
    <w:name w:val="Subtitle"/>
    <w:basedOn w:val="1"/>
    <w:link w:val="196"/>
    <w:qFormat/>
    <w:uiPriority w:val="0"/>
    <w:pPr>
      <w:adjustRightInd w:val="0"/>
      <w:snapToGrid w:val="0"/>
      <w:spacing w:before="120" w:after="120" w:line="240" w:lineRule="atLeast"/>
      <w:jc w:val="center"/>
      <w:outlineLvl w:val="1"/>
    </w:pPr>
    <w:rPr>
      <w:rFonts w:ascii="宋体" w:hAnsi="宋体" w:eastAsia="黑体" w:cs="Arial"/>
      <w:bCs/>
      <w:kern w:val="28"/>
      <w:szCs w:val="32"/>
      <w:lang w:eastAsia="zh-CN"/>
    </w:rPr>
  </w:style>
  <w:style w:type="paragraph" w:styleId="47">
    <w:name w:val="List"/>
    <w:basedOn w:val="1"/>
    <w:link w:val="106"/>
    <w:qFormat/>
    <w:uiPriority w:val="0"/>
    <w:pPr>
      <w:adjustRightInd w:val="0"/>
      <w:spacing w:before="60" w:after="60"/>
      <w:ind w:firstLine="567"/>
      <w:textAlignment w:val="baseline"/>
    </w:pPr>
    <w:rPr>
      <w:rFonts w:cs="Times New Roman"/>
      <w:sz w:val="28"/>
      <w:szCs w:val="20"/>
      <w:lang w:eastAsia="zh-CN"/>
    </w:rPr>
  </w:style>
  <w:style w:type="paragraph" w:styleId="48">
    <w:name w:val="toc 6"/>
    <w:basedOn w:val="1"/>
    <w:next w:val="1"/>
    <w:unhideWhenUsed/>
    <w:qFormat/>
    <w:uiPriority w:val="0"/>
    <w:pPr>
      <w:ind w:left="2100" w:leftChars="1000"/>
    </w:pPr>
    <w:rPr>
      <w:kern w:val="2"/>
      <w:sz w:val="21"/>
      <w:lang w:eastAsia="zh-CN"/>
    </w:rPr>
  </w:style>
  <w:style w:type="paragraph" w:styleId="49">
    <w:name w:val="List 5"/>
    <w:basedOn w:val="1"/>
    <w:semiHidden/>
    <w:unhideWhenUsed/>
    <w:qFormat/>
    <w:uiPriority w:val="0"/>
    <w:pPr>
      <w:ind w:left="2100" w:hanging="420"/>
    </w:pPr>
    <w:rPr>
      <w:rFonts w:ascii="宋体" w:hAnsi="宋体" w:cs="Times New Roman"/>
      <w:sz w:val="21"/>
      <w:szCs w:val="20"/>
      <w:lang w:eastAsia="zh-CN"/>
    </w:rPr>
  </w:style>
  <w:style w:type="paragraph" w:styleId="50">
    <w:name w:val="Body Text Indent 3"/>
    <w:basedOn w:val="1"/>
    <w:link w:val="107"/>
    <w:qFormat/>
    <w:uiPriority w:val="0"/>
    <w:pPr>
      <w:spacing w:after="120"/>
      <w:ind w:left="420" w:leftChars="200"/>
    </w:pPr>
    <w:rPr>
      <w:rFonts w:cs="Times New Roman"/>
      <w:kern w:val="2"/>
      <w:sz w:val="16"/>
      <w:szCs w:val="16"/>
      <w:lang w:eastAsia="zh-CN"/>
    </w:rPr>
  </w:style>
  <w:style w:type="paragraph" w:styleId="51">
    <w:name w:val="table of figures"/>
    <w:basedOn w:val="1"/>
    <w:next w:val="1"/>
    <w:semiHidden/>
    <w:unhideWhenUsed/>
    <w:qFormat/>
    <w:uiPriority w:val="0"/>
    <w:pPr>
      <w:ind w:left="840" w:leftChars="200" w:hanging="420" w:hangingChars="200"/>
    </w:pPr>
    <w:rPr>
      <w:rFonts w:ascii="宋体" w:hAnsi="宋体" w:cs="Times New Roman"/>
      <w:sz w:val="21"/>
      <w:szCs w:val="20"/>
      <w:lang w:eastAsia="zh-CN"/>
    </w:rPr>
  </w:style>
  <w:style w:type="paragraph" w:styleId="52">
    <w:name w:val="toc 2"/>
    <w:basedOn w:val="1"/>
    <w:next w:val="1"/>
    <w:qFormat/>
    <w:uiPriority w:val="0"/>
    <w:pPr>
      <w:ind w:left="540"/>
    </w:pPr>
    <w:rPr>
      <w:rFonts w:ascii="宋体" w:hAnsi="宋体"/>
      <w:sz w:val="21"/>
      <w:szCs w:val="21"/>
    </w:rPr>
  </w:style>
  <w:style w:type="paragraph" w:styleId="53">
    <w:name w:val="toc 9"/>
    <w:basedOn w:val="1"/>
    <w:next w:val="1"/>
    <w:unhideWhenUsed/>
    <w:qFormat/>
    <w:uiPriority w:val="0"/>
    <w:pPr>
      <w:ind w:left="3360" w:leftChars="1600"/>
    </w:pPr>
    <w:rPr>
      <w:kern w:val="2"/>
      <w:sz w:val="21"/>
      <w:lang w:eastAsia="zh-CN"/>
    </w:rPr>
  </w:style>
  <w:style w:type="paragraph" w:styleId="54">
    <w:name w:val="Body Text 2"/>
    <w:basedOn w:val="1"/>
    <w:link w:val="200"/>
    <w:semiHidden/>
    <w:unhideWhenUsed/>
    <w:qFormat/>
    <w:uiPriority w:val="0"/>
    <w:rPr>
      <w:rFonts w:cs="Times New Roman"/>
      <w:b/>
      <w:kern w:val="2"/>
      <w:lang w:eastAsia="zh-CN"/>
    </w:rPr>
  </w:style>
  <w:style w:type="paragraph" w:styleId="55">
    <w:name w:val="List 4"/>
    <w:basedOn w:val="1"/>
    <w:semiHidden/>
    <w:unhideWhenUsed/>
    <w:qFormat/>
    <w:uiPriority w:val="0"/>
    <w:pPr>
      <w:ind w:left="100" w:leftChars="600" w:hanging="200" w:hangingChars="200"/>
    </w:pPr>
    <w:rPr>
      <w:rFonts w:ascii="宋体" w:hAnsi="宋体" w:cs="Times New Roman"/>
      <w:sz w:val="28"/>
      <w:szCs w:val="20"/>
      <w:lang w:eastAsia="zh-CN"/>
    </w:rPr>
  </w:style>
  <w:style w:type="paragraph" w:styleId="56">
    <w:name w:val="List Continue 2"/>
    <w:basedOn w:val="1"/>
    <w:semiHidden/>
    <w:unhideWhenUsed/>
    <w:qFormat/>
    <w:uiPriority w:val="0"/>
    <w:pPr>
      <w:spacing w:after="120"/>
      <w:ind w:left="840" w:leftChars="400" w:firstLine="425"/>
    </w:pPr>
    <w:rPr>
      <w:rFonts w:ascii="宋体" w:hAnsi="宋体" w:cs="Times New Roman"/>
      <w:sz w:val="28"/>
      <w:szCs w:val="20"/>
      <w:lang w:eastAsia="zh-CN"/>
    </w:rPr>
  </w:style>
  <w:style w:type="paragraph" w:styleId="57">
    <w:name w:val="HTML Preformatted"/>
    <w:basedOn w:val="1"/>
    <w:link w:val="192"/>
    <w:semiHidden/>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cs="宋体"/>
      <w:szCs w:val="20"/>
      <w:lang w:eastAsia="zh-CN"/>
    </w:rPr>
  </w:style>
  <w:style w:type="paragraph" w:styleId="58">
    <w:name w:val="Normal (Web)"/>
    <w:basedOn w:val="1"/>
    <w:semiHidden/>
    <w:unhideWhenUsed/>
    <w:qFormat/>
    <w:uiPriority w:val="0"/>
    <w:pPr>
      <w:widowControl/>
      <w:spacing w:before="100" w:beforeAutospacing="1" w:after="100" w:afterAutospacing="1"/>
    </w:pPr>
    <w:rPr>
      <w:rFonts w:ascii="宋体" w:hAnsi="宋体" w:cs="宋体"/>
      <w:lang w:eastAsia="zh-CN"/>
    </w:rPr>
  </w:style>
  <w:style w:type="paragraph" w:styleId="59">
    <w:name w:val="List Continue 3"/>
    <w:basedOn w:val="1"/>
    <w:semiHidden/>
    <w:unhideWhenUsed/>
    <w:qFormat/>
    <w:uiPriority w:val="0"/>
    <w:pPr>
      <w:spacing w:after="120"/>
      <w:ind w:left="1260" w:leftChars="600" w:firstLine="425"/>
    </w:pPr>
    <w:rPr>
      <w:rFonts w:ascii="宋体" w:hAnsi="宋体" w:cs="Times New Roman"/>
      <w:sz w:val="28"/>
      <w:szCs w:val="20"/>
      <w:lang w:eastAsia="zh-CN"/>
    </w:rPr>
  </w:style>
  <w:style w:type="paragraph" w:styleId="60">
    <w:name w:val="Title"/>
    <w:basedOn w:val="1"/>
    <w:link w:val="194"/>
    <w:qFormat/>
    <w:uiPriority w:val="0"/>
    <w:pPr>
      <w:spacing w:before="240" w:after="60"/>
      <w:jc w:val="center"/>
      <w:outlineLvl w:val="0"/>
    </w:pPr>
    <w:rPr>
      <w:rFonts w:ascii="Arial" w:hAnsi="Arial" w:cs="Arial"/>
      <w:b/>
      <w:bCs/>
      <w:sz w:val="32"/>
      <w:szCs w:val="32"/>
      <w:lang w:eastAsia="zh-CN"/>
    </w:rPr>
  </w:style>
  <w:style w:type="paragraph" w:styleId="61">
    <w:name w:val="annotation subject"/>
    <w:basedOn w:val="23"/>
    <w:next w:val="23"/>
    <w:link w:val="108"/>
    <w:semiHidden/>
    <w:unhideWhenUsed/>
    <w:qFormat/>
    <w:uiPriority w:val="0"/>
    <w:rPr>
      <w:b/>
      <w:bCs/>
    </w:rPr>
  </w:style>
  <w:style w:type="paragraph" w:styleId="62">
    <w:name w:val="Body Text First Indent"/>
    <w:basedOn w:val="25"/>
    <w:link w:val="198"/>
    <w:semiHidden/>
    <w:unhideWhenUsed/>
    <w:qFormat/>
    <w:uiPriority w:val="0"/>
    <w:pPr>
      <w:ind w:firstLine="420" w:firstLineChars="100"/>
    </w:pPr>
    <w:rPr>
      <w:rFonts w:ascii="宋体" w:hAnsi="宋体" w:cs="Times New Roman"/>
      <w:szCs w:val="20"/>
      <w:lang w:eastAsia="zh-CN"/>
    </w:rPr>
  </w:style>
  <w:style w:type="paragraph" w:styleId="63">
    <w:name w:val="Body Text First Indent 2"/>
    <w:basedOn w:val="3"/>
    <w:link w:val="199"/>
    <w:semiHidden/>
    <w:unhideWhenUsed/>
    <w:qFormat/>
    <w:uiPriority w:val="0"/>
    <w:pPr>
      <w:ind w:firstLine="420"/>
    </w:pPr>
    <w:rPr>
      <w:rFonts w:cs="Times New Roman"/>
      <w:kern w:val="2"/>
      <w:lang w:eastAsia="zh-CN"/>
    </w:rPr>
  </w:style>
  <w:style w:type="table" w:styleId="65">
    <w:name w:val="Table Grid"/>
    <w:basedOn w:val="6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6">
    <w:name w:val="Table Theme"/>
    <w:basedOn w:val="64"/>
    <w:semiHidden/>
    <w:unhideWhenUse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7">
    <w:name w:val="Table Classic 1"/>
    <w:basedOn w:val="64"/>
    <w:semiHidden/>
    <w:unhideWhenUsed/>
    <w:qFormat/>
    <w:uiPriority w:val="0"/>
    <w:pPr>
      <w:widowControl w:val="0"/>
      <w:jc w:val="both"/>
    </w:pPr>
    <w:tblPr>
      <w:tblBorders>
        <w:top w:val="single" w:color="000000" w:sz="12" w:space="0"/>
        <w:bottom w:val="single" w:color="000000" w:sz="12" w:space="0"/>
      </w:tblBorders>
    </w:tbl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68">
    <w:name w:val="Table Simple 1"/>
    <w:basedOn w:val="64"/>
    <w:semiHidden/>
    <w:unhideWhenUsed/>
    <w:qFormat/>
    <w:uiPriority w:val="0"/>
    <w:pPr>
      <w:widowControl w:val="0"/>
      <w:jc w:val="both"/>
    </w:pPr>
    <w:tblPr>
      <w:tblBorders>
        <w:top w:val="single" w:color="008000" w:sz="12" w:space="0"/>
        <w:bottom w:val="single" w:color="008000" w:sz="12" w:space="0"/>
      </w:tblBorders>
    </w:tbl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69">
    <w:name w:val="Table List 3"/>
    <w:basedOn w:val="64"/>
    <w:semiHidden/>
    <w:unhideWhenUsed/>
    <w:qFormat/>
    <w:uiPriority w:val="0"/>
    <w:pPr>
      <w:widowControl w:val="0"/>
      <w:jc w:val="both"/>
    </w:pPr>
    <w:tblPr>
      <w:tblBorders>
        <w:top w:val="single" w:color="000000" w:sz="12" w:space="0"/>
        <w:bottom w:val="single" w:color="000000" w:sz="12" w:space="0"/>
        <w:insideH w:val="single" w:color="000000" w:sz="6" w:space="0"/>
      </w:tblBorders>
    </w:tblPr>
    <w:tblStylePr w:type="firstRow">
      <w:rPr>
        <w:b/>
        <w:bCs/>
        <w:color w:val="000080"/>
      </w:rPr>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70">
    <w:name w:val="Table Grid 1"/>
    <w:basedOn w:val="64"/>
    <w:semiHidden/>
    <w:unhideWhenUsed/>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71">
    <w:name w:val="Table Grid 6"/>
    <w:basedOn w:val="64"/>
    <w:semiHidden/>
    <w:unhideWhenUsed/>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blStylePr w:type="firstRow">
      <w:rPr>
        <w:b/>
        <w:b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72">
    <w:name w:val="Table Grid 7"/>
    <w:basedOn w:val="64"/>
    <w:semiHidden/>
    <w:unhideWhenUsed/>
    <w:qFormat/>
    <w:uiPriority w:val="0"/>
    <w:pPr>
      <w:widowControl w:val="0"/>
      <w:spacing w:line="360"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b w:val="0"/>
        <w:bCs w:val="0"/>
      </w:rPr>
      <w:tblPr/>
      <w:tcPr>
        <w:tcBorders>
          <w:top w:val="nil"/>
          <w:left w:val="nil"/>
          <w:bottom w:val="single" w:color="000000" w:sz="12" w:space="0"/>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74">
    <w:name w:val="Strong"/>
    <w:basedOn w:val="73"/>
    <w:qFormat/>
    <w:uiPriority w:val="0"/>
    <w:rPr>
      <w:b/>
    </w:rPr>
  </w:style>
  <w:style w:type="character" w:styleId="75">
    <w:name w:val="page number"/>
    <w:basedOn w:val="73"/>
    <w:qFormat/>
    <w:uiPriority w:val="0"/>
  </w:style>
  <w:style w:type="character" w:styleId="76">
    <w:name w:val="FollowedHyperlink"/>
    <w:basedOn w:val="73"/>
    <w:semiHidden/>
    <w:unhideWhenUsed/>
    <w:qFormat/>
    <w:uiPriority w:val="0"/>
    <w:rPr>
      <w:color w:val="800080"/>
      <w:u w:val="single"/>
    </w:rPr>
  </w:style>
  <w:style w:type="character" w:styleId="77">
    <w:name w:val="Emphasis"/>
    <w:basedOn w:val="73"/>
    <w:qFormat/>
    <w:uiPriority w:val="0"/>
    <w:rPr>
      <w:i/>
      <w:iCs/>
    </w:rPr>
  </w:style>
  <w:style w:type="character" w:styleId="78">
    <w:name w:val="line number"/>
    <w:basedOn w:val="73"/>
    <w:semiHidden/>
    <w:unhideWhenUsed/>
    <w:qFormat/>
    <w:uiPriority w:val="0"/>
    <w:rPr>
      <w:b/>
      <w:sz w:val="24"/>
    </w:rPr>
  </w:style>
  <w:style w:type="character" w:styleId="79">
    <w:name w:val="HTML Definition"/>
    <w:basedOn w:val="73"/>
    <w:semiHidden/>
    <w:unhideWhenUsed/>
    <w:qFormat/>
    <w:uiPriority w:val="0"/>
    <w:rPr>
      <w:sz w:val="24"/>
    </w:rPr>
  </w:style>
  <w:style w:type="character" w:styleId="80">
    <w:name w:val="HTML Typewriter"/>
    <w:semiHidden/>
    <w:unhideWhenUsed/>
    <w:qFormat/>
    <w:uiPriority w:val="0"/>
    <w:rPr>
      <w:rFonts w:hint="eastAsia" w:ascii="宋体" w:hAnsi="宋体" w:eastAsia="宋体" w:cs="宋体"/>
      <w:b/>
      <w:sz w:val="24"/>
      <w:szCs w:val="24"/>
    </w:rPr>
  </w:style>
  <w:style w:type="character" w:styleId="81">
    <w:name w:val="HTML Acronym"/>
    <w:basedOn w:val="73"/>
    <w:semiHidden/>
    <w:unhideWhenUsed/>
    <w:qFormat/>
    <w:uiPriority w:val="0"/>
    <w:rPr>
      <w:b/>
      <w:sz w:val="24"/>
    </w:rPr>
  </w:style>
  <w:style w:type="character" w:styleId="82">
    <w:name w:val="HTML Variable"/>
    <w:basedOn w:val="73"/>
    <w:semiHidden/>
    <w:unhideWhenUsed/>
    <w:qFormat/>
    <w:uiPriority w:val="0"/>
    <w:rPr>
      <w:sz w:val="24"/>
    </w:rPr>
  </w:style>
  <w:style w:type="character" w:styleId="83">
    <w:name w:val="Hyperlink"/>
    <w:basedOn w:val="73"/>
    <w:unhideWhenUsed/>
    <w:qFormat/>
    <w:uiPriority w:val="0"/>
    <w:rPr>
      <w:color w:val="000000"/>
      <w:u w:val="none"/>
    </w:rPr>
  </w:style>
  <w:style w:type="character" w:styleId="84">
    <w:name w:val="HTML Code"/>
    <w:basedOn w:val="73"/>
    <w:semiHidden/>
    <w:unhideWhenUsed/>
    <w:qFormat/>
    <w:uiPriority w:val="0"/>
    <w:rPr>
      <w:rFonts w:hint="default" w:ascii="Courier New" w:hAnsi="Courier New" w:eastAsia="Times New Roman" w:cs="Times New Roman"/>
      <w:sz w:val="20"/>
      <w:szCs w:val="20"/>
    </w:rPr>
  </w:style>
  <w:style w:type="character" w:styleId="85">
    <w:name w:val="annotation reference"/>
    <w:basedOn w:val="73"/>
    <w:semiHidden/>
    <w:unhideWhenUsed/>
    <w:qFormat/>
    <w:uiPriority w:val="0"/>
    <w:rPr>
      <w:sz w:val="21"/>
      <w:szCs w:val="21"/>
    </w:rPr>
  </w:style>
  <w:style w:type="character" w:styleId="86">
    <w:name w:val="HTML Cite"/>
    <w:basedOn w:val="73"/>
    <w:semiHidden/>
    <w:unhideWhenUsed/>
    <w:qFormat/>
    <w:uiPriority w:val="0"/>
    <w:rPr>
      <w:sz w:val="24"/>
    </w:rPr>
  </w:style>
  <w:style w:type="paragraph" w:customStyle="1" w:styleId="87">
    <w:name w:val="_Style 4"/>
    <w:next w:val="1"/>
    <w:qFormat/>
    <w:uiPriority w:val="0"/>
    <w:pPr>
      <w:widowControl w:val="0"/>
      <w:jc w:val="both"/>
    </w:pPr>
    <w:rPr>
      <w:rFonts w:ascii="Times New Roman" w:hAnsi="Times New Roman" w:eastAsia="仿宋_GB2312" w:cs="Times New Roman"/>
      <w:kern w:val="2"/>
      <w:sz w:val="24"/>
      <w:szCs w:val="22"/>
      <w:lang w:val="en-US" w:eastAsia="zh-CN" w:bidi="ar-SA"/>
    </w:rPr>
  </w:style>
  <w:style w:type="paragraph" w:customStyle="1" w:styleId="88">
    <w:name w:val="样式1"/>
    <w:basedOn w:val="1"/>
    <w:next w:val="1"/>
    <w:qFormat/>
    <w:uiPriority w:val="0"/>
    <w:pPr>
      <w:ind w:firstLine="480"/>
    </w:pPr>
    <w:rPr>
      <w:rFonts w:ascii="宋体" w:hAnsi="宋体" w:eastAsia="黑体" w:cs="Times New Roman"/>
      <w:szCs w:val="20"/>
      <w:lang w:eastAsia="zh-CN"/>
    </w:rPr>
  </w:style>
  <w:style w:type="character" w:customStyle="1" w:styleId="89">
    <w:name w:val="标题 1 字符"/>
    <w:basedOn w:val="73"/>
    <w:link w:val="7"/>
    <w:qFormat/>
    <w:uiPriority w:val="0"/>
    <w:rPr>
      <w:rFonts w:ascii="宋体" w:hAnsi="宋体" w:eastAsia="宋体"/>
      <w:b/>
      <w:bCs/>
      <w:kern w:val="44"/>
      <w:sz w:val="32"/>
      <w:szCs w:val="32"/>
      <w:lang w:eastAsia="en-US"/>
    </w:rPr>
  </w:style>
  <w:style w:type="character" w:customStyle="1" w:styleId="90">
    <w:name w:val="标题 2 字符"/>
    <w:basedOn w:val="73"/>
    <w:link w:val="8"/>
    <w:qFormat/>
    <w:uiPriority w:val="0"/>
    <w:rPr>
      <w:rFonts w:ascii="宋体" w:hAnsi="宋体" w:eastAsia="宋体" w:cstheme="majorBidi"/>
      <w:b/>
      <w:bCs/>
      <w:kern w:val="0"/>
      <w:sz w:val="28"/>
      <w:szCs w:val="28"/>
      <w:lang w:eastAsia="en-US"/>
    </w:rPr>
  </w:style>
  <w:style w:type="character" w:customStyle="1" w:styleId="91">
    <w:name w:val="标题 3 字符"/>
    <w:basedOn w:val="73"/>
    <w:link w:val="9"/>
    <w:qFormat/>
    <w:uiPriority w:val="0"/>
    <w:rPr>
      <w:rFonts w:ascii="宋体" w:hAnsi="宋体" w:eastAsia="宋体" w:cs="Times New Roman"/>
      <w:b/>
      <w:color w:val="000000"/>
      <w:spacing w:val="0"/>
      <w:kern w:val="0"/>
      <w:sz w:val="28"/>
      <w:szCs w:val="28"/>
    </w:rPr>
  </w:style>
  <w:style w:type="character" w:customStyle="1" w:styleId="92">
    <w:name w:val="标题 4 字符"/>
    <w:basedOn w:val="73"/>
    <w:link w:val="10"/>
    <w:qFormat/>
    <w:uiPriority w:val="0"/>
    <w:rPr>
      <w:rFonts w:ascii="宋体" w:hAnsi="宋体" w:eastAsia="宋体" w:cstheme="majorBidi"/>
      <w:kern w:val="0"/>
      <w:sz w:val="24"/>
      <w:szCs w:val="28"/>
      <w:lang w:eastAsia="en-US"/>
    </w:rPr>
  </w:style>
  <w:style w:type="character" w:customStyle="1" w:styleId="93">
    <w:name w:val="标题 5 字符"/>
    <w:basedOn w:val="73"/>
    <w:link w:val="11"/>
    <w:qFormat/>
    <w:uiPriority w:val="0"/>
    <w:rPr>
      <w:b/>
      <w:bCs/>
      <w:kern w:val="0"/>
      <w:sz w:val="28"/>
      <w:szCs w:val="28"/>
      <w:lang w:eastAsia="en-US"/>
    </w:rPr>
  </w:style>
  <w:style w:type="character" w:customStyle="1" w:styleId="94">
    <w:name w:val="标题 6 字符"/>
    <w:basedOn w:val="73"/>
    <w:link w:val="12"/>
    <w:semiHidden/>
    <w:qFormat/>
    <w:uiPriority w:val="0"/>
    <w:rPr>
      <w:rFonts w:ascii="Arial" w:hAnsi="Arial" w:eastAsia="黑体"/>
      <w:b/>
      <w:bCs/>
      <w:kern w:val="24"/>
      <w:sz w:val="24"/>
    </w:rPr>
  </w:style>
  <w:style w:type="character" w:customStyle="1" w:styleId="95">
    <w:name w:val="标题 9 字符"/>
    <w:basedOn w:val="73"/>
    <w:link w:val="15"/>
    <w:semiHidden/>
    <w:qFormat/>
    <w:uiPriority w:val="0"/>
    <w:rPr>
      <w:rFonts w:asciiTheme="majorHAnsi" w:hAnsiTheme="majorHAnsi" w:eastAsiaTheme="majorEastAsia" w:cstheme="majorBidi"/>
      <w:kern w:val="0"/>
      <w:szCs w:val="21"/>
      <w:lang w:eastAsia="en-US"/>
    </w:rPr>
  </w:style>
  <w:style w:type="character" w:customStyle="1" w:styleId="96">
    <w:name w:val="注释标题 字符"/>
    <w:basedOn w:val="73"/>
    <w:link w:val="18"/>
    <w:qFormat/>
    <w:uiPriority w:val="0"/>
    <w:rPr>
      <w:rFonts w:ascii="Times New Roman" w:hAnsi="Times New Roman" w:eastAsia="宋体" w:cs="Times New Roman"/>
      <w:szCs w:val="20"/>
    </w:rPr>
  </w:style>
  <w:style w:type="character" w:customStyle="1" w:styleId="97">
    <w:name w:val="题注 字符"/>
    <w:link w:val="20"/>
    <w:qFormat/>
    <w:locked/>
    <w:uiPriority w:val="0"/>
    <w:rPr>
      <w:rFonts w:eastAsia="黑体" w:asciiTheme="majorHAnsi" w:hAnsiTheme="majorHAnsi" w:cstheme="majorBidi"/>
      <w:lang w:eastAsia="en-US"/>
    </w:rPr>
  </w:style>
  <w:style w:type="character" w:customStyle="1" w:styleId="98">
    <w:name w:val="批注文字 字符"/>
    <w:basedOn w:val="73"/>
    <w:link w:val="23"/>
    <w:semiHidden/>
    <w:qFormat/>
    <w:uiPriority w:val="0"/>
    <w:rPr>
      <w:kern w:val="0"/>
      <w:sz w:val="22"/>
      <w:lang w:eastAsia="en-US"/>
    </w:rPr>
  </w:style>
  <w:style w:type="character" w:customStyle="1" w:styleId="99">
    <w:name w:val="正文文本 字符"/>
    <w:basedOn w:val="73"/>
    <w:link w:val="25"/>
    <w:qFormat/>
    <w:uiPriority w:val="0"/>
    <w:rPr>
      <w:kern w:val="0"/>
      <w:sz w:val="22"/>
      <w:lang w:eastAsia="en-US"/>
    </w:rPr>
  </w:style>
  <w:style w:type="character" w:customStyle="1" w:styleId="100">
    <w:name w:val="正文文本缩进 字符"/>
    <w:basedOn w:val="73"/>
    <w:link w:val="3"/>
    <w:qFormat/>
    <w:uiPriority w:val="0"/>
    <w:rPr>
      <w:kern w:val="0"/>
      <w:sz w:val="22"/>
      <w:lang w:eastAsia="en-US"/>
    </w:rPr>
  </w:style>
  <w:style w:type="character" w:customStyle="1" w:styleId="101">
    <w:name w:val="纯文本 字符"/>
    <w:basedOn w:val="73"/>
    <w:link w:val="33"/>
    <w:qFormat/>
    <w:locked/>
    <w:uiPriority w:val="0"/>
    <w:rPr>
      <w:rFonts w:ascii="Times New Roman" w:hAnsi="Times New Roman" w:eastAsia="宋体" w:cs="Times New Roman"/>
      <w:spacing w:val="8"/>
      <w:sz w:val="24"/>
      <w:szCs w:val="20"/>
    </w:rPr>
  </w:style>
  <w:style w:type="character" w:customStyle="1" w:styleId="102">
    <w:name w:val="正文文本缩进 2 字符"/>
    <w:basedOn w:val="73"/>
    <w:link w:val="38"/>
    <w:qFormat/>
    <w:uiPriority w:val="0"/>
    <w:rPr>
      <w:rFonts w:ascii="Times New Roman" w:hAnsi="Times New Roman" w:eastAsia="宋体" w:cs="Times New Roman"/>
      <w:sz w:val="24"/>
      <w:szCs w:val="24"/>
    </w:rPr>
  </w:style>
  <w:style w:type="character" w:customStyle="1" w:styleId="103">
    <w:name w:val="批注框文本 字符"/>
    <w:basedOn w:val="73"/>
    <w:link w:val="39"/>
    <w:qFormat/>
    <w:uiPriority w:val="0"/>
    <w:rPr>
      <w:kern w:val="0"/>
      <w:sz w:val="18"/>
      <w:szCs w:val="18"/>
      <w:lang w:eastAsia="en-US"/>
    </w:rPr>
  </w:style>
  <w:style w:type="character" w:customStyle="1" w:styleId="104">
    <w:name w:val="页脚 字符"/>
    <w:basedOn w:val="73"/>
    <w:link w:val="40"/>
    <w:qFormat/>
    <w:uiPriority w:val="99"/>
    <w:rPr>
      <w:sz w:val="18"/>
      <w:szCs w:val="18"/>
    </w:rPr>
  </w:style>
  <w:style w:type="character" w:customStyle="1" w:styleId="105">
    <w:name w:val="页眉 字符"/>
    <w:basedOn w:val="73"/>
    <w:link w:val="4"/>
    <w:qFormat/>
    <w:uiPriority w:val="0"/>
    <w:rPr>
      <w:sz w:val="18"/>
      <w:szCs w:val="18"/>
    </w:rPr>
  </w:style>
  <w:style w:type="character" w:customStyle="1" w:styleId="106">
    <w:name w:val="列表 字符"/>
    <w:link w:val="47"/>
    <w:qFormat/>
    <w:locked/>
    <w:uiPriority w:val="0"/>
    <w:rPr>
      <w:sz w:val="28"/>
    </w:rPr>
  </w:style>
  <w:style w:type="character" w:customStyle="1" w:styleId="107">
    <w:name w:val="正文文本缩进 3 字符"/>
    <w:basedOn w:val="73"/>
    <w:link w:val="50"/>
    <w:qFormat/>
    <w:uiPriority w:val="0"/>
    <w:rPr>
      <w:rFonts w:ascii="Times New Roman" w:hAnsi="Times New Roman" w:eastAsia="宋体" w:cs="Times New Roman"/>
      <w:sz w:val="16"/>
      <w:szCs w:val="16"/>
    </w:rPr>
  </w:style>
  <w:style w:type="character" w:customStyle="1" w:styleId="108">
    <w:name w:val="批注主题 字符"/>
    <w:basedOn w:val="98"/>
    <w:link w:val="61"/>
    <w:semiHidden/>
    <w:qFormat/>
    <w:uiPriority w:val="0"/>
    <w:rPr>
      <w:b/>
      <w:bCs/>
      <w:kern w:val="0"/>
      <w:sz w:val="22"/>
      <w:lang w:eastAsia="en-US"/>
    </w:rPr>
  </w:style>
  <w:style w:type="paragraph" w:customStyle="1" w:styleId="109">
    <w:name w:val="默认段落字体 Para Char Char Char Char"/>
    <w:basedOn w:val="1"/>
    <w:qFormat/>
    <w:uiPriority w:val="0"/>
    <w:rPr>
      <w:rFonts w:cs="Times New Roman"/>
      <w:kern w:val="2"/>
      <w:sz w:val="21"/>
      <w:lang w:eastAsia="zh-CN"/>
    </w:rPr>
  </w:style>
  <w:style w:type="paragraph" w:customStyle="1" w:styleId="110">
    <w:name w:val="徐三级标题"/>
    <w:basedOn w:val="9"/>
    <w:next w:val="1"/>
    <w:qFormat/>
    <w:uiPriority w:val="0"/>
    <w:pPr>
      <w:tabs>
        <w:tab w:val="left" w:pos="840"/>
        <w:tab w:val="left" w:pos="1050"/>
        <w:tab w:val="left" w:pos="1260"/>
      </w:tabs>
      <w:spacing w:line="500" w:lineRule="exact"/>
      <w:textAlignment w:val="baseline"/>
    </w:pPr>
    <w:rPr>
      <w:bCs/>
      <w:sz w:val="24"/>
      <w:szCs w:val="24"/>
    </w:rPr>
  </w:style>
  <w:style w:type="paragraph" w:customStyle="1" w:styleId="111">
    <w:name w:val="徐二级标题"/>
    <w:basedOn w:val="8"/>
    <w:next w:val="1"/>
    <w:qFormat/>
    <w:uiPriority w:val="0"/>
    <w:pPr>
      <w:tabs>
        <w:tab w:val="left" w:pos="840"/>
        <w:tab w:val="left" w:pos="1050"/>
      </w:tabs>
      <w:adjustRightInd w:val="0"/>
      <w:spacing w:before="120" w:after="120"/>
      <w:textAlignment w:val="baseline"/>
    </w:pPr>
    <w:rPr>
      <w:rFonts w:ascii="Times New Roman" w:hAnsi="Times New Roman" w:eastAsia="黑体" w:cs="Times New Roman"/>
      <w:b w:val="0"/>
      <w:bCs w:val="0"/>
      <w:lang w:eastAsia="zh-CN"/>
    </w:rPr>
  </w:style>
  <w:style w:type="character" w:customStyle="1" w:styleId="112">
    <w:name w:val="图表标题 Char"/>
    <w:link w:val="113"/>
    <w:qFormat/>
    <w:uiPriority w:val="0"/>
    <w:rPr>
      <w:rFonts w:ascii="黑体" w:hAnsi="Times New Roman" w:eastAsia="黑体" w:cs="Times New Roman"/>
      <w:sz w:val="24"/>
      <w:szCs w:val="24"/>
    </w:rPr>
  </w:style>
  <w:style w:type="paragraph" w:customStyle="1" w:styleId="113">
    <w:name w:val="图表标题"/>
    <w:basedOn w:val="1"/>
    <w:link w:val="112"/>
    <w:qFormat/>
    <w:uiPriority w:val="0"/>
    <w:pPr>
      <w:spacing w:line="500" w:lineRule="exact"/>
      <w:jc w:val="center"/>
    </w:pPr>
    <w:rPr>
      <w:rFonts w:ascii="黑体" w:eastAsia="黑体" w:cs="Times New Roman"/>
      <w:kern w:val="2"/>
      <w:lang w:eastAsia="zh-CN"/>
    </w:rPr>
  </w:style>
  <w:style w:type="character" w:customStyle="1" w:styleId="114">
    <w:name w:val="表格内容 Char"/>
    <w:basedOn w:val="73"/>
    <w:link w:val="115"/>
    <w:qFormat/>
    <w:uiPriority w:val="0"/>
    <w:rPr>
      <w:rFonts w:ascii="宋体" w:hAnsi="Times New Roman" w:eastAsia="宋体" w:cs="Times New Roman"/>
      <w:szCs w:val="21"/>
    </w:rPr>
  </w:style>
  <w:style w:type="paragraph" w:customStyle="1" w:styleId="115">
    <w:name w:val="表格内容"/>
    <w:basedOn w:val="1"/>
    <w:link w:val="114"/>
    <w:qFormat/>
    <w:uiPriority w:val="0"/>
    <w:pPr>
      <w:spacing w:line="320" w:lineRule="exact"/>
      <w:jc w:val="center"/>
    </w:pPr>
    <w:rPr>
      <w:rFonts w:ascii="宋体" w:cs="Times New Roman"/>
      <w:kern w:val="2"/>
      <w:sz w:val="21"/>
      <w:szCs w:val="21"/>
      <w:lang w:eastAsia="zh-CN"/>
    </w:rPr>
  </w:style>
  <w:style w:type="character" w:customStyle="1" w:styleId="116">
    <w:name w:val="环评正文 Char"/>
    <w:basedOn w:val="73"/>
    <w:link w:val="117"/>
    <w:qFormat/>
    <w:uiPriority w:val="0"/>
    <w:rPr>
      <w:rFonts w:ascii="宋体" w:hAnsi="Times New Roman" w:eastAsia="宋体" w:cs="宋体"/>
      <w:sz w:val="24"/>
      <w:szCs w:val="24"/>
    </w:rPr>
  </w:style>
  <w:style w:type="paragraph" w:customStyle="1" w:styleId="117">
    <w:name w:val="环评正文"/>
    <w:basedOn w:val="1"/>
    <w:link w:val="116"/>
    <w:qFormat/>
    <w:uiPriority w:val="0"/>
    <w:pPr>
      <w:spacing w:line="500" w:lineRule="exact"/>
      <w:ind w:firstLine="480"/>
    </w:pPr>
    <w:rPr>
      <w:rFonts w:ascii="宋体" w:cs="宋体"/>
      <w:kern w:val="2"/>
      <w:lang w:eastAsia="zh-CN"/>
    </w:rPr>
  </w:style>
  <w:style w:type="table" w:customStyle="1" w:styleId="118">
    <w:name w:val="Table Normal"/>
    <w:semiHidden/>
    <w:unhideWhenUsed/>
    <w:qFormat/>
    <w:uiPriority w:val="2"/>
    <w:pPr>
      <w:widowControl w:val="0"/>
    </w:pPr>
    <w:rPr>
      <w:sz w:val="22"/>
      <w:lang w:eastAsia="en-US"/>
    </w:rPr>
    <w:tblPr>
      <w:tblCellMar>
        <w:top w:w="0" w:type="dxa"/>
        <w:left w:w="0" w:type="dxa"/>
        <w:bottom w:w="0" w:type="dxa"/>
        <w:right w:w="0" w:type="dxa"/>
      </w:tblCellMar>
    </w:tblPr>
  </w:style>
  <w:style w:type="paragraph" w:customStyle="1" w:styleId="119">
    <w:name w:val="Table Paragraph"/>
    <w:basedOn w:val="1"/>
    <w:qFormat/>
    <w:uiPriority w:val="0"/>
  </w:style>
  <w:style w:type="paragraph" w:customStyle="1" w:styleId="120">
    <w:name w:val="表内容"/>
    <w:basedOn w:val="1"/>
    <w:qFormat/>
    <w:uiPriority w:val="0"/>
    <w:pPr>
      <w:widowControl/>
      <w:jc w:val="center"/>
    </w:pPr>
    <w:rPr>
      <w:rFonts w:cs="Times New Roman"/>
      <w:color w:val="000000"/>
      <w:kern w:val="2"/>
      <w:sz w:val="18"/>
      <w:szCs w:val="18"/>
      <w:lang w:eastAsia="zh-CN"/>
    </w:rPr>
  </w:style>
  <w:style w:type="paragraph" w:customStyle="1" w:styleId="121">
    <w:name w:val="居中表内文"/>
    <w:basedOn w:val="1"/>
    <w:link w:val="122"/>
    <w:qFormat/>
    <w:uiPriority w:val="0"/>
    <w:pPr>
      <w:jc w:val="center"/>
    </w:pPr>
    <w:rPr>
      <w:rFonts w:ascii="宋体" w:hAnsi="宋体" w:cs="Times New Roman"/>
      <w:kern w:val="2"/>
      <w:sz w:val="18"/>
      <w:szCs w:val="18"/>
      <w:lang w:eastAsia="zh-CN"/>
    </w:rPr>
  </w:style>
  <w:style w:type="character" w:customStyle="1" w:styleId="122">
    <w:name w:val="居中表内文 Char"/>
    <w:basedOn w:val="73"/>
    <w:link w:val="121"/>
    <w:qFormat/>
    <w:uiPriority w:val="0"/>
    <w:rPr>
      <w:rFonts w:ascii="宋体" w:hAnsi="宋体" w:eastAsia="宋体" w:cs="Times New Roman"/>
      <w:sz w:val="18"/>
      <w:szCs w:val="18"/>
    </w:rPr>
  </w:style>
  <w:style w:type="character" w:customStyle="1" w:styleId="123">
    <w:name w:val="纯文本 Char"/>
    <w:basedOn w:val="73"/>
    <w:semiHidden/>
    <w:qFormat/>
    <w:uiPriority w:val="99"/>
    <w:rPr>
      <w:rFonts w:ascii="宋体" w:hAnsi="Courier New" w:eastAsia="宋体" w:cs="Courier New"/>
      <w:kern w:val="0"/>
      <w:szCs w:val="21"/>
      <w:lang w:eastAsia="en-US"/>
    </w:rPr>
  </w:style>
  <w:style w:type="paragraph" w:styleId="124">
    <w:name w:val="List Paragraph"/>
    <w:basedOn w:val="1"/>
    <w:qFormat/>
    <w:uiPriority w:val="1"/>
    <w:pPr>
      <w:ind w:firstLine="420"/>
    </w:pPr>
  </w:style>
  <w:style w:type="character" w:styleId="125">
    <w:name w:val="Placeholder Text"/>
    <w:basedOn w:val="73"/>
    <w:semiHidden/>
    <w:qFormat/>
    <w:uiPriority w:val="99"/>
    <w:rPr>
      <w:color w:val="808080"/>
    </w:rPr>
  </w:style>
  <w:style w:type="paragraph" w:customStyle="1" w:styleId="126">
    <w:name w:val="正文-TUEIAD"/>
    <w:basedOn w:val="1"/>
    <w:link w:val="127"/>
    <w:qFormat/>
    <w:uiPriority w:val="0"/>
    <w:pPr>
      <w:spacing w:before="100" w:beforeAutospacing="1" w:after="100" w:afterAutospacing="1"/>
    </w:pPr>
    <w:rPr>
      <w:rFonts w:cs="Times New Roman"/>
      <w:sz w:val="28"/>
      <w:szCs w:val="20"/>
      <w:lang w:eastAsia="zh-CN"/>
    </w:rPr>
  </w:style>
  <w:style w:type="character" w:customStyle="1" w:styleId="127">
    <w:name w:val="正文-TUEIAD Char"/>
    <w:link w:val="126"/>
    <w:qFormat/>
    <w:uiPriority w:val="0"/>
    <w:rPr>
      <w:rFonts w:ascii="Times New Roman" w:hAnsi="Times New Roman" w:eastAsia="宋体" w:cs="Times New Roman"/>
      <w:kern w:val="0"/>
      <w:sz w:val="28"/>
      <w:szCs w:val="20"/>
    </w:rPr>
  </w:style>
  <w:style w:type="paragraph" w:customStyle="1" w:styleId="128">
    <w:name w:val="题注-表-TUEIAD"/>
    <w:basedOn w:val="20"/>
    <w:link w:val="129"/>
    <w:qFormat/>
    <w:uiPriority w:val="0"/>
    <w:pPr>
      <w:keepNext/>
      <w:spacing w:before="100" w:beforeAutospacing="1"/>
      <w:ind w:firstLine="200" w:firstLineChars="200"/>
      <w:jc w:val="center"/>
    </w:pPr>
    <w:rPr>
      <w:rFonts w:ascii="Cambria" w:hAnsi="Cambria" w:cs="Times New Roman"/>
      <w:lang w:eastAsia="zh-CN"/>
    </w:rPr>
  </w:style>
  <w:style w:type="character" w:customStyle="1" w:styleId="129">
    <w:name w:val="题注-表-TUEIAD Char"/>
    <w:link w:val="128"/>
    <w:qFormat/>
    <w:uiPriority w:val="0"/>
    <w:rPr>
      <w:rFonts w:ascii="Cambria" w:hAnsi="Cambria" w:eastAsia="黑体" w:cs="Times New Roman"/>
      <w:kern w:val="0"/>
      <w:sz w:val="20"/>
      <w:szCs w:val="20"/>
    </w:rPr>
  </w:style>
  <w:style w:type="paragraph" w:customStyle="1" w:styleId="130">
    <w:name w:val="表"/>
    <w:basedOn w:val="1"/>
    <w:link w:val="131"/>
    <w:qFormat/>
    <w:uiPriority w:val="0"/>
    <w:pPr>
      <w:widowControl/>
      <w:jc w:val="center"/>
    </w:pPr>
    <w:rPr>
      <w:rFonts w:ascii="+mn-cs" w:hAnsi="+mn-cs" w:eastAsia="Calibri Light" w:cs="Times New Roman"/>
      <w:color w:val="000000"/>
      <w:sz w:val="20"/>
      <w:szCs w:val="21"/>
      <w:lang w:eastAsia="zh-CN"/>
    </w:rPr>
  </w:style>
  <w:style w:type="character" w:customStyle="1" w:styleId="131">
    <w:name w:val="表 Char"/>
    <w:link w:val="130"/>
    <w:qFormat/>
    <w:uiPriority w:val="0"/>
    <w:rPr>
      <w:rFonts w:ascii="+mn-cs" w:hAnsi="+mn-cs" w:eastAsia="Calibri Light" w:cs="Times New Roman"/>
      <w:color w:val="000000"/>
      <w:kern w:val="0"/>
      <w:sz w:val="20"/>
      <w:szCs w:val="21"/>
    </w:rPr>
  </w:style>
  <w:style w:type="table" w:customStyle="1" w:styleId="132">
    <w:name w:val="浅色底纹3"/>
    <w:basedOn w:val="64"/>
    <w:qFormat/>
    <w:uiPriority w:val="60"/>
    <w:rPr>
      <w:color w:val="000000" w:themeColor="text1" w:themeShade="BF"/>
    </w:rPr>
    <w:tblPr>
      <w:tblBorders>
        <w:top w:val="single" w:color="000000" w:themeColor="text1" w:sz="8" w:space="0"/>
        <w:bottom w:val="single" w:color="000000" w:themeColor="text1" w:sz="8" w:space="0"/>
      </w:tblBorders>
    </w:tblPr>
    <w:tblStylePr w:type="fir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BFBFBF" w:themeFill="text1" w:themeFillTint="3F"/>
      </w:tcPr>
    </w:tblStylePr>
    <w:tblStylePr w:type="band1Horz">
      <w:tcPr>
        <w:tcBorders>
          <w:left w:val="nil"/>
          <w:right w:val="nil"/>
          <w:insideH w:val="nil"/>
          <w:insideV w:val="nil"/>
        </w:tcBorders>
        <w:shd w:val="clear" w:color="auto" w:fill="BFBFBF" w:themeFill="text1" w:themeFillTint="3F"/>
      </w:tcPr>
    </w:tblStylePr>
  </w:style>
  <w:style w:type="paragraph" w:customStyle="1" w:styleId="133">
    <w:name w:val="font0"/>
    <w:basedOn w:val="1"/>
    <w:qFormat/>
    <w:uiPriority w:val="0"/>
    <w:pPr>
      <w:widowControl/>
      <w:spacing w:before="100" w:beforeAutospacing="1" w:after="100" w:afterAutospacing="1"/>
    </w:pPr>
    <w:rPr>
      <w:rFonts w:ascii="宋体" w:hAnsi="宋体" w:cs="宋体"/>
      <w:lang w:eastAsia="zh-CN"/>
    </w:rPr>
  </w:style>
  <w:style w:type="paragraph" w:customStyle="1" w:styleId="134">
    <w:name w:val="font5"/>
    <w:basedOn w:val="1"/>
    <w:qFormat/>
    <w:uiPriority w:val="0"/>
    <w:pPr>
      <w:widowControl/>
      <w:spacing w:before="100" w:beforeAutospacing="1" w:after="100" w:afterAutospacing="1"/>
    </w:pPr>
    <w:rPr>
      <w:rFonts w:ascii="宋体" w:hAnsi="宋体" w:cs="宋体"/>
      <w:sz w:val="18"/>
      <w:szCs w:val="18"/>
      <w:lang w:eastAsia="zh-CN"/>
    </w:rPr>
  </w:style>
  <w:style w:type="paragraph" w:customStyle="1" w:styleId="135">
    <w:name w:val="font6"/>
    <w:basedOn w:val="1"/>
    <w:qFormat/>
    <w:uiPriority w:val="0"/>
    <w:pPr>
      <w:widowControl/>
      <w:spacing w:before="100" w:beforeAutospacing="1" w:after="100" w:afterAutospacing="1"/>
    </w:pPr>
    <w:rPr>
      <w:rFonts w:ascii="宋体" w:hAnsi="宋体" w:cs="宋体"/>
      <w:lang w:eastAsia="zh-CN"/>
    </w:rPr>
  </w:style>
  <w:style w:type="paragraph" w:customStyle="1" w:styleId="136">
    <w:name w:val="font7"/>
    <w:basedOn w:val="1"/>
    <w:qFormat/>
    <w:uiPriority w:val="0"/>
    <w:pPr>
      <w:widowControl/>
      <w:spacing w:before="100" w:beforeAutospacing="1" w:after="100" w:afterAutospacing="1"/>
    </w:pPr>
    <w:rPr>
      <w:rFonts w:ascii="Calibri" w:hAnsi="Calibri" w:cs="Calibri"/>
      <w:sz w:val="21"/>
      <w:szCs w:val="21"/>
      <w:lang w:eastAsia="zh-CN"/>
    </w:rPr>
  </w:style>
  <w:style w:type="paragraph" w:customStyle="1" w:styleId="137">
    <w:name w:val="font8"/>
    <w:basedOn w:val="1"/>
    <w:qFormat/>
    <w:uiPriority w:val="0"/>
    <w:pPr>
      <w:widowControl/>
      <w:spacing w:before="100" w:beforeAutospacing="1" w:after="100" w:afterAutospacing="1"/>
    </w:pPr>
    <w:rPr>
      <w:rFonts w:ascii="宋体" w:hAnsi="宋体" w:cs="宋体"/>
      <w:sz w:val="21"/>
      <w:szCs w:val="21"/>
      <w:lang w:eastAsia="zh-CN"/>
    </w:rPr>
  </w:style>
  <w:style w:type="paragraph" w:customStyle="1" w:styleId="138">
    <w:name w:val="xl68"/>
    <w:basedOn w:val="1"/>
    <w:qFormat/>
    <w:uiPriority w:val="0"/>
    <w:pPr>
      <w:widowControl/>
      <w:spacing w:before="100" w:beforeAutospacing="1" w:after="100" w:afterAutospacing="1"/>
      <w:jc w:val="center"/>
    </w:pPr>
    <w:rPr>
      <w:rFonts w:ascii="宋体" w:hAnsi="宋体" w:cs="宋体"/>
      <w:lang w:eastAsia="zh-CN"/>
    </w:rPr>
  </w:style>
  <w:style w:type="paragraph" w:customStyle="1" w:styleId="139">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color w:val="000000"/>
      <w:lang w:eastAsia="zh-CN"/>
    </w:rPr>
  </w:style>
  <w:style w:type="paragraph" w:customStyle="1" w:styleId="140">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lang w:eastAsia="zh-CN"/>
    </w:rPr>
  </w:style>
  <w:style w:type="paragraph" w:customStyle="1" w:styleId="141">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lang w:eastAsia="zh-CN"/>
    </w:rPr>
  </w:style>
  <w:style w:type="paragraph" w:customStyle="1" w:styleId="142">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bottom"/>
    </w:pPr>
    <w:rPr>
      <w:rFonts w:ascii="宋体" w:hAnsi="宋体" w:cs="宋体"/>
      <w:lang w:eastAsia="zh-CN"/>
    </w:rPr>
  </w:style>
  <w:style w:type="paragraph" w:customStyle="1" w:styleId="143">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lang w:eastAsia="zh-CN"/>
    </w:rPr>
  </w:style>
  <w:style w:type="paragraph" w:customStyle="1" w:styleId="144">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color w:val="000000"/>
      <w:lang w:eastAsia="zh-CN"/>
    </w:rPr>
  </w:style>
  <w:style w:type="paragraph" w:customStyle="1" w:styleId="145">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color w:val="000000"/>
      <w:lang w:eastAsia="zh-CN"/>
    </w:rPr>
  </w:style>
  <w:style w:type="paragraph" w:customStyle="1" w:styleId="146">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color w:val="000000"/>
      <w:lang w:eastAsia="zh-CN"/>
    </w:rPr>
  </w:style>
  <w:style w:type="paragraph" w:customStyle="1" w:styleId="147">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lang w:eastAsia="zh-CN"/>
    </w:rPr>
  </w:style>
  <w:style w:type="paragraph" w:customStyle="1" w:styleId="148">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lang w:eastAsia="zh-CN"/>
    </w:rPr>
  </w:style>
  <w:style w:type="paragraph" w:customStyle="1" w:styleId="149">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lang w:eastAsia="zh-CN"/>
    </w:rPr>
  </w:style>
  <w:style w:type="paragraph" w:customStyle="1" w:styleId="150">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lang w:eastAsia="zh-CN"/>
    </w:rPr>
  </w:style>
  <w:style w:type="paragraph" w:customStyle="1" w:styleId="151">
    <w:name w:val="xl81"/>
    <w:basedOn w:val="1"/>
    <w:qFormat/>
    <w:uiPriority w:val="0"/>
    <w:pPr>
      <w:widowControl/>
      <w:spacing w:before="100" w:beforeAutospacing="1" w:after="100" w:afterAutospacing="1"/>
    </w:pPr>
    <w:rPr>
      <w:rFonts w:ascii="宋体" w:hAnsi="宋体" w:cs="宋体"/>
      <w:lang w:eastAsia="zh-CN"/>
    </w:rPr>
  </w:style>
  <w:style w:type="paragraph" w:customStyle="1" w:styleId="152">
    <w:name w:val="xl82"/>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pPr>
    <w:rPr>
      <w:rFonts w:ascii="宋体" w:hAnsi="宋体" w:cs="宋体"/>
      <w:lang w:eastAsia="zh-CN"/>
    </w:rPr>
  </w:style>
  <w:style w:type="paragraph" w:customStyle="1" w:styleId="153">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lang w:eastAsia="zh-CN"/>
    </w:rPr>
  </w:style>
  <w:style w:type="paragraph" w:customStyle="1" w:styleId="154">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lang w:eastAsia="zh-CN"/>
    </w:rPr>
  </w:style>
  <w:style w:type="paragraph" w:customStyle="1" w:styleId="155">
    <w:name w:val="xl85"/>
    <w:basedOn w:val="1"/>
    <w:qFormat/>
    <w:uiPriority w:val="0"/>
    <w:pPr>
      <w:widowControl/>
      <w:spacing w:before="100" w:beforeAutospacing="1" w:after="100" w:afterAutospacing="1"/>
    </w:pPr>
    <w:rPr>
      <w:rFonts w:ascii="Calibri" w:hAnsi="Calibri" w:cs="Calibri"/>
      <w:sz w:val="21"/>
      <w:szCs w:val="21"/>
      <w:lang w:eastAsia="zh-CN"/>
    </w:rPr>
  </w:style>
  <w:style w:type="paragraph" w:customStyle="1" w:styleId="156">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b/>
      <w:bCs/>
      <w:lang w:eastAsia="zh-CN"/>
    </w:rPr>
  </w:style>
  <w:style w:type="character" w:customStyle="1" w:styleId="157">
    <w:name w:val="3标题(治) Char"/>
    <w:link w:val="158"/>
    <w:qFormat/>
    <w:uiPriority w:val="0"/>
    <w:rPr>
      <w:rFonts w:eastAsia="黑体"/>
      <w:b/>
      <w:sz w:val="28"/>
      <w:szCs w:val="28"/>
    </w:rPr>
  </w:style>
  <w:style w:type="paragraph" w:customStyle="1" w:styleId="158">
    <w:name w:val="3标题(治)"/>
    <w:basedOn w:val="9"/>
    <w:link w:val="157"/>
    <w:qFormat/>
    <w:uiPriority w:val="0"/>
    <w:pPr>
      <w:tabs>
        <w:tab w:val="left" w:pos="710"/>
        <w:tab w:val="left" w:pos="1275"/>
        <w:tab w:val="left" w:pos="1535"/>
      </w:tabs>
      <w:kinsoku w:val="0"/>
      <w:overflowPunct w:val="0"/>
      <w:spacing w:before="0" w:after="0" w:line="415" w:lineRule="auto"/>
      <w:ind w:left="400"/>
      <w:textAlignment w:val="baseline"/>
    </w:pPr>
    <w:rPr>
      <w:rFonts w:eastAsia="黑体" w:asciiTheme="minorHAnsi" w:hAnsiTheme="minorHAnsi" w:cstheme="minorBidi"/>
      <w:color w:val="auto"/>
      <w:kern w:val="2"/>
    </w:rPr>
  </w:style>
  <w:style w:type="character" w:customStyle="1" w:styleId="159">
    <w:name w:val="页脚 Char1"/>
    <w:qFormat/>
    <w:uiPriority w:val="0"/>
    <w:rPr>
      <w:rFonts w:ascii="Calibri" w:hAnsi="Calibri"/>
      <w:sz w:val="18"/>
      <w:szCs w:val="18"/>
    </w:rPr>
  </w:style>
  <w:style w:type="paragraph" w:customStyle="1" w:styleId="160">
    <w:name w:val="报告书正文"/>
    <w:basedOn w:val="1"/>
    <w:link w:val="161"/>
    <w:qFormat/>
    <w:uiPriority w:val="0"/>
    <w:pPr>
      <w:tabs>
        <w:tab w:val="left" w:pos="1890"/>
      </w:tabs>
      <w:adjustRightInd w:val="0"/>
      <w:spacing w:before="30" w:beforeLines="30" w:after="30" w:afterLines="30"/>
    </w:pPr>
    <w:rPr>
      <w:rFonts w:cs="Times New Roman"/>
      <w:kern w:val="2"/>
      <w:lang w:eastAsia="zh-CN"/>
    </w:rPr>
  </w:style>
  <w:style w:type="character" w:customStyle="1" w:styleId="161">
    <w:name w:val="报告书正文 Char1"/>
    <w:link w:val="160"/>
    <w:qFormat/>
    <w:uiPriority w:val="0"/>
    <w:rPr>
      <w:rFonts w:ascii="Times New Roman" w:hAnsi="Times New Roman" w:eastAsia="宋体" w:cs="Times New Roman"/>
      <w:sz w:val="24"/>
      <w:szCs w:val="24"/>
    </w:rPr>
  </w:style>
  <w:style w:type="paragraph" w:customStyle="1" w:styleId="162">
    <w:name w:val="表格文字"/>
    <w:basedOn w:val="1"/>
    <w:qFormat/>
    <w:uiPriority w:val="0"/>
    <w:pPr>
      <w:spacing w:line="360" w:lineRule="exact"/>
      <w:jc w:val="center"/>
    </w:pPr>
    <w:rPr>
      <w:rFonts w:cs="Times New Roman"/>
      <w:kern w:val="10"/>
      <w:sz w:val="21"/>
      <w:lang w:eastAsia="zh-CN"/>
    </w:rPr>
  </w:style>
  <w:style w:type="character" w:customStyle="1" w:styleId="163">
    <w:name w:val="样式 报告正文 + 首行缩进:  2 字符 Char"/>
    <w:link w:val="164"/>
    <w:qFormat/>
    <w:uiPriority w:val="0"/>
    <w:rPr>
      <w:rFonts w:eastAsia="宋体" w:cs="宋体"/>
      <w:sz w:val="24"/>
    </w:rPr>
  </w:style>
  <w:style w:type="paragraph" w:customStyle="1" w:styleId="164">
    <w:name w:val="样式 报告正文 + 首行缩进:  2 字符"/>
    <w:basedOn w:val="1"/>
    <w:link w:val="163"/>
    <w:qFormat/>
    <w:uiPriority w:val="0"/>
    <w:pPr>
      <w:autoSpaceDE w:val="0"/>
      <w:autoSpaceDN w:val="0"/>
    </w:pPr>
    <w:rPr>
      <w:rFonts w:cs="宋体"/>
      <w:kern w:val="2"/>
      <w:lang w:eastAsia="zh-CN"/>
    </w:rPr>
  </w:style>
  <w:style w:type="character" w:customStyle="1" w:styleId="165">
    <w:name w:val="无间隔 字符"/>
    <w:link w:val="166"/>
    <w:qFormat/>
    <w:uiPriority w:val="0"/>
    <w:rPr>
      <w:sz w:val="24"/>
      <w:szCs w:val="32"/>
    </w:rPr>
  </w:style>
  <w:style w:type="paragraph" w:styleId="166">
    <w:name w:val="No Spacing"/>
    <w:basedOn w:val="1"/>
    <w:link w:val="165"/>
    <w:qFormat/>
    <w:uiPriority w:val="0"/>
    <w:pPr>
      <w:widowControl/>
      <w:snapToGrid w:val="0"/>
    </w:pPr>
    <w:rPr>
      <w:kern w:val="2"/>
      <w:szCs w:val="32"/>
      <w:lang w:eastAsia="zh-CN"/>
    </w:rPr>
  </w:style>
  <w:style w:type="character" w:customStyle="1" w:styleId="167">
    <w:name w:val="标题4 Char"/>
    <w:link w:val="168"/>
    <w:qFormat/>
    <w:uiPriority w:val="0"/>
    <w:rPr>
      <w:rFonts w:cs="宋体"/>
      <w:b/>
      <w:sz w:val="24"/>
      <w:szCs w:val="24"/>
    </w:rPr>
  </w:style>
  <w:style w:type="paragraph" w:customStyle="1" w:styleId="168">
    <w:name w:val="标题4"/>
    <w:basedOn w:val="10"/>
    <w:next w:val="1"/>
    <w:link w:val="167"/>
    <w:qFormat/>
    <w:uiPriority w:val="0"/>
    <w:pPr>
      <w:tabs>
        <w:tab w:val="left" w:pos="567"/>
      </w:tabs>
      <w:spacing w:before="100" w:beforeLines="100" w:after="100" w:afterLines="100"/>
      <w:ind w:hanging="200" w:hangingChars="200"/>
    </w:pPr>
    <w:rPr>
      <w:rFonts w:cs="宋体" w:asciiTheme="minorHAnsi" w:hAnsiTheme="minorHAnsi" w:eastAsiaTheme="minorEastAsia"/>
      <w:kern w:val="2"/>
      <w:szCs w:val="24"/>
      <w:lang w:eastAsia="zh-CN"/>
    </w:rPr>
  </w:style>
  <w:style w:type="character" w:customStyle="1" w:styleId="169">
    <w:name w:val="1正文 Char"/>
    <w:link w:val="170"/>
    <w:qFormat/>
    <w:uiPriority w:val="0"/>
    <w:rPr>
      <w:sz w:val="24"/>
      <w:szCs w:val="24"/>
    </w:rPr>
  </w:style>
  <w:style w:type="paragraph" w:customStyle="1" w:styleId="170">
    <w:name w:val="1正文"/>
    <w:basedOn w:val="1"/>
    <w:link w:val="169"/>
    <w:qFormat/>
    <w:uiPriority w:val="0"/>
    <w:pPr>
      <w:ind w:firstLine="480"/>
    </w:pPr>
    <w:rPr>
      <w:kern w:val="2"/>
      <w:lang w:eastAsia="zh-CN"/>
    </w:rPr>
  </w:style>
  <w:style w:type="paragraph" w:customStyle="1" w:styleId="171">
    <w:name w:val="TOC 标题1"/>
    <w:basedOn w:val="7"/>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E75B6" w:themeColor="accent1" w:themeShade="BF"/>
      <w:kern w:val="0"/>
      <w:lang w:eastAsia="zh-CN"/>
    </w:rPr>
  </w:style>
  <w:style w:type="paragraph" w:customStyle="1" w:styleId="172">
    <w:name w:val="封面单位名称EPAJW120926"/>
    <w:basedOn w:val="1"/>
    <w:qFormat/>
    <w:uiPriority w:val="0"/>
    <w:pPr>
      <w:spacing w:before="30" w:beforeLines="30" w:after="30" w:afterLines="30"/>
      <w:jc w:val="center"/>
    </w:pPr>
    <w:rPr>
      <w:rFonts w:eastAsia="仿宋_GB2312" w:cs="宋体"/>
      <w:spacing w:val="40"/>
      <w:kern w:val="2"/>
      <w:sz w:val="32"/>
      <w:szCs w:val="20"/>
      <w:lang w:eastAsia="zh-CN"/>
    </w:rPr>
  </w:style>
  <w:style w:type="paragraph" w:customStyle="1" w:styleId="173">
    <w:name w:val="封面单位名称英语"/>
    <w:basedOn w:val="1"/>
    <w:qFormat/>
    <w:uiPriority w:val="0"/>
    <w:pPr>
      <w:spacing w:before="156" w:after="156"/>
      <w:jc w:val="center"/>
    </w:pPr>
    <w:rPr>
      <w:rFonts w:cs="宋体"/>
      <w:b/>
      <w:bCs/>
      <w:kern w:val="2"/>
      <w:szCs w:val="20"/>
      <w:lang w:eastAsia="zh-CN"/>
    </w:rPr>
  </w:style>
  <w:style w:type="paragraph" w:customStyle="1" w:styleId="174">
    <w:name w:val="中文报告书样式"/>
    <w:basedOn w:val="1"/>
    <w:qFormat/>
    <w:uiPriority w:val="0"/>
    <w:pPr>
      <w:adjustRightInd w:val="0"/>
      <w:spacing w:line="480" w:lineRule="atLeast"/>
      <w:ind w:firstLine="482"/>
      <w:textAlignment w:val="baseline"/>
    </w:pPr>
    <w:rPr>
      <w:rFonts w:cs="Times New Roman"/>
      <w:kern w:val="24"/>
      <w:szCs w:val="20"/>
      <w:lang w:eastAsia="zh-CN"/>
    </w:rPr>
  </w:style>
  <w:style w:type="paragraph" w:customStyle="1" w:styleId="175">
    <w:name w:val="Char Char Char Char Char Char Char Char Char Char Char Char Char Char Char Char Char Char Char"/>
    <w:basedOn w:val="1"/>
    <w:qFormat/>
    <w:uiPriority w:val="0"/>
    <w:rPr>
      <w:rFonts w:cs="Times New Roman"/>
      <w:kern w:val="2"/>
      <w:lang w:eastAsia="zh-CN"/>
    </w:rPr>
  </w:style>
  <w:style w:type="paragraph" w:customStyle="1" w:styleId="176">
    <w:name w:val="金皇标题3"/>
    <w:basedOn w:val="9"/>
    <w:link w:val="177"/>
    <w:qFormat/>
    <w:uiPriority w:val="0"/>
    <w:pPr>
      <w:tabs>
        <w:tab w:val="left" w:pos="710"/>
        <w:tab w:val="left" w:pos="1275"/>
        <w:tab w:val="left" w:pos="1535"/>
      </w:tabs>
      <w:kinsoku w:val="0"/>
      <w:overflowPunct w:val="0"/>
      <w:spacing w:before="0" w:after="0" w:line="415" w:lineRule="auto"/>
      <w:ind w:left="400"/>
    </w:pPr>
    <w:rPr>
      <w:bCs/>
      <w:color w:val="auto"/>
      <w:spacing w:val="-1"/>
      <w:w w:val="95"/>
      <w:kern w:val="2"/>
      <w:szCs w:val="22"/>
    </w:rPr>
  </w:style>
  <w:style w:type="character" w:customStyle="1" w:styleId="177">
    <w:name w:val="金皇标题3 字符"/>
    <w:link w:val="176"/>
    <w:qFormat/>
    <w:uiPriority w:val="0"/>
    <w:rPr>
      <w:rFonts w:ascii="Times New Roman" w:hAnsi="Times New Roman" w:cs="Times New Roman"/>
      <w:b/>
      <w:bCs/>
      <w:spacing w:val="-1"/>
      <w:w w:val="95"/>
      <w:sz w:val="28"/>
    </w:rPr>
  </w:style>
  <w:style w:type="character" w:customStyle="1" w:styleId="178">
    <w:name w:val="表标题 Char Char"/>
    <w:link w:val="179"/>
    <w:qFormat/>
    <w:uiPriority w:val="0"/>
    <w:rPr>
      <w:rFonts w:ascii="Arial" w:hAnsi="Arial" w:eastAsia="黑体" w:cs="Arial"/>
    </w:rPr>
  </w:style>
  <w:style w:type="paragraph" w:customStyle="1" w:styleId="179">
    <w:name w:val="表标题"/>
    <w:basedOn w:val="1"/>
    <w:link w:val="178"/>
    <w:qFormat/>
    <w:uiPriority w:val="0"/>
    <w:pPr>
      <w:tabs>
        <w:tab w:val="center" w:pos="630"/>
      </w:tabs>
      <w:spacing w:beforeLines="50"/>
      <w:jc w:val="center"/>
    </w:pPr>
    <w:rPr>
      <w:rFonts w:ascii="Arial" w:hAnsi="Arial" w:eastAsia="黑体" w:cs="Arial"/>
      <w:kern w:val="2"/>
      <w:sz w:val="21"/>
      <w:lang w:eastAsia="zh-CN"/>
    </w:rPr>
  </w:style>
  <w:style w:type="paragraph" w:customStyle="1" w:styleId="180">
    <w:name w:val="axj标题3"/>
    <w:basedOn w:val="9"/>
    <w:qFormat/>
    <w:uiPriority w:val="0"/>
    <w:pPr>
      <w:spacing w:before="0" w:beforeLines="50" w:after="0" w:afterLines="50"/>
    </w:pPr>
    <w:rPr>
      <w:bCs/>
      <w:color w:val="auto"/>
      <w:kern w:val="2"/>
    </w:rPr>
  </w:style>
  <w:style w:type="character" w:customStyle="1" w:styleId="181">
    <w:name w:val="NormalCharacter"/>
    <w:semiHidden/>
    <w:qFormat/>
    <w:uiPriority w:val="99"/>
  </w:style>
  <w:style w:type="paragraph" w:customStyle="1" w:styleId="182">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183">
    <w:name w:val="Char Char Char Char Char Char Char Char Char Char Char Char Char Char Char Char Char Char Char1"/>
    <w:basedOn w:val="1"/>
    <w:qFormat/>
    <w:uiPriority w:val="0"/>
    <w:rPr>
      <w:rFonts w:cs="Times New Roman"/>
      <w:kern w:val="2"/>
      <w:lang w:eastAsia="zh-CN"/>
    </w:rPr>
  </w:style>
  <w:style w:type="paragraph" w:customStyle="1" w:styleId="184">
    <w:name w:val="Char1"/>
    <w:basedOn w:val="1"/>
    <w:qFormat/>
    <w:uiPriority w:val="0"/>
    <w:rPr>
      <w:rFonts w:cs="Times New Roman"/>
      <w:kern w:val="2"/>
      <w:sz w:val="21"/>
      <w:lang w:eastAsia="zh-CN"/>
    </w:rPr>
  </w:style>
  <w:style w:type="paragraph" w:customStyle="1" w:styleId="185">
    <w:name w:val="表头"/>
    <w:basedOn w:val="1"/>
    <w:link w:val="186"/>
    <w:qFormat/>
    <w:uiPriority w:val="0"/>
    <w:pPr>
      <w:overflowPunct w:val="0"/>
      <w:adjustRightInd w:val="0"/>
      <w:spacing w:before="80" w:after="80"/>
      <w:ind w:left="-57" w:right="-57"/>
      <w:jc w:val="center"/>
      <w:textAlignment w:val="baseline"/>
    </w:pPr>
    <w:rPr>
      <w:rFonts w:eastAsia="黑体"/>
      <w:kern w:val="24"/>
      <w:sz w:val="21"/>
      <w:szCs w:val="21"/>
    </w:rPr>
  </w:style>
  <w:style w:type="character" w:customStyle="1" w:styleId="186">
    <w:name w:val="表头 Char Char"/>
    <w:link w:val="185"/>
    <w:qFormat/>
    <w:locked/>
    <w:uiPriority w:val="0"/>
    <w:rPr>
      <w:rFonts w:eastAsia="黑体" w:asciiTheme="minorHAnsi" w:hAnsiTheme="minorHAnsi" w:cstheme="minorBidi"/>
      <w:kern w:val="24"/>
      <w:sz w:val="21"/>
      <w:szCs w:val="21"/>
      <w:lang w:eastAsia="en-US"/>
    </w:rPr>
  </w:style>
  <w:style w:type="paragraph" w:customStyle="1" w:styleId="187">
    <w:name w:val="列出段落1"/>
    <w:basedOn w:val="1"/>
    <w:qFormat/>
    <w:uiPriority w:val="34"/>
    <w:pPr>
      <w:ind w:firstLine="420"/>
    </w:pPr>
    <w:rPr>
      <w:rFonts w:ascii="Calibri" w:hAnsi="Calibri"/>
      <w:sz w:val="21"/>
    </w:rPr>
  </w:style>
  <w:style w:type="paragraph" w:customStyle="1" w:styleId="188">
    <w:name w:val="Char"/>
    <w:basedOn w:val="1"/>
    <w:qFormat/>
    <w:uiPriority w:val="0"/>
    <w:rPr>
      <w:rFonts w:ascii="宋体" w:hAnsi="宋体" w:cs="宋体"/>
    </w:rPr>
  </w:style>
  <w:style w:type="paragraph" w:customStyle="1" w:styleId="189">
    <w:name w:val="表格内容格式"/>
    <w:basedOn w:val="1"/>
    <w:qFormat/>
    <w:uiPriority w:val="0"/>
    <w:pPr>
      <w:adjustRightInd w:val="0"/>
      <w:jc w:val="center"/>
      <w:textAlignment w:val="baseline"/>
    </w:pPr>
    <w:rPr>
      <w:snapToGrid w:val="0"/>
      <w:color w:val="000000"/>
      <w:sz w:val="21"/>
      <w:szCs w:val="21"/>
    </w:rPr>
  </w:style>
  <w:style w:type="character" w:customStyle="1" w:styleId="190">
    <w:name w:val="标题 7 字符"/>
    <w:basedOn w:val="73"/>
    <w:link w:val="13"/>
    <w:semiHidden/>
    <w:qFormat/>
    <w:uiPriority w:val="0"/>
    <w:rPr>
      <w:rFonts w:ascii="宋体" w:hAnsi="宋体"/>
      <w:b/>
      <w:bCs/>
      <w:kern w:val="24"/>
      <w:sz w:val="24"/>
    </w:rPr>
  </w:style>
  <w:style w:type="character" w:customStyle="1" w:styleId="191">
    <w:name w:val="标题 8 字符"/>
    <w:basedOn w:val="73"/>
    <w:link w:val="14"/>
    <w:semiHidden/>
    <w:qFormat/>
    <w:uiPriority w:val="0"/>
    <w:rPr>
      <w:rFonts w:ascii="Arial" w:hAnsi="Arial" w:eastAsia="黑体"/>
      <w:kern w:val="24"/>
      <w:sz w:val="24"/>
    </w:rPr>
  </w:style>
  <w:style w:type="character" w:customStyle="1" w:styleId="192">
    <w:name w:val="HTML 预设格式 字符"/>
    <w:basedOn w:val="73"/>
    <w:link w:val="57"/>
    <w:semiHidden/>
    <w:qFormat/>
    <w:uiPriority w:val="0"/>
    <w:rPr>
      <w:rFonts w:ascii="宋体" w:hAnsi="宋体" w:cs="宋体"/>
      <w:sz w:val="24"/>
    </w:rPr>
  </w:style>
  <w:style w:type="paragraph" w:customStyle="1" w:styleId="193">
    <w:name w:val="msonormal"/>
    <w:basedOn w:val="1"/>
    <w:qFormat/>
    <w:uiPriority w:val="0"/>
    <w:pPr>
      <w:widowControl/>
      <w:spacing w:before="100" w:beforeAutospacing="1" w:after="100" w:afterAutospacing="1"/>
    </w:pPr>
    <w:rPr>
      <w:rFonts w:ascii="宋体" w:hAnsi="宋体" w:cs="Times New Roman"/>
      <w:sz w:val="18"/>
      <w:szCs w:val="18"/>
      <w:lang w:eastAsia="zh-CN"/>
    </w:rPr>
  </w:style>
  <w:style w:type="character" w:customStyle="1" w:styleId="194">
    <w:name w:val="标题 字符"/>
    <w:basedOn w:val="73"/>
    <w:link w:val="60"/>
    <w:qFormat/>
    <w:uiPriority w:val="0"/>
    <w:rPr>
      <w:rFonts w:ascii="Arial" w:hAnsi="Arial" w:cs="Arial"/>
      <w:b/>
      <w:bCs/>
      <w:sz w:val="32"/>
      <w:szCs w:val="32"/>
    </w:rPr>
  </w:style>
  <w:style w:type="character" w:customStyle="1" w:styleId="195">
    <w:name w:val="签名 字符"/>
    <w:basedOn w:val="73"/>
    <w:link w:val="41"/>
    <w:semiHidden/>
    <w:qFormat/>
    <w:uiPriority w:val="0"/>
    <w:rPr>
      <w:rFonts w:ascii="宋体" w:hAnsi="宋体"/>
      <w:sz w:val="28"/>
    </w:rPr>
  </w:style>
  <w:style w:type="character" w:customStyle="1" w:styleId="196">
    <w:name w:val="副标题 字符"/>
    <w:basedOn w:val="73"/>
    <w:link w:val="46"/>
    <w:qFormat/>
    <w:uiPriority w:val="0"/>
    <w:rPr>
      <w:rFonts w:ascii="宋体" w:hAnsi="宋体" w:eastAsia="黑体" w:cs="Arial"/>
      <w:bCs/>
      <w:kern w:val="28"/>
      <w:sz w:val="24"/>
      <w:szCs w:val="32"/>
    </w:rPr>
  </w:style>
  <w:style w:type="character" w:customStyle="1" w:styleId="197">
    <w:name w:val="日期 字符"/>
    <w:basedOn w:val="73"/>
    <w:link w:val="37"/>
    <w:semiHidden/>
    <w:qFormat/>
    <w:uiPriority w:val="0"/>
    <w:rPr>
      <w:rFonts w:ascii="宋体"/>
      <w:kern w:val="28"/>
      <w:sz w:val="24"/>
    </w:rPr>
  </w:style>
  <w:style w:type="character" w:customStyle="1" w:styleId="198">
    <w:name w:val="正文文本首行缩进 字符"/>
    <w:basedOn w:val="99"/>
    <w:link w:val="62"/>
    <w:semiHidden/>
    <w:qFormat/>
    <w:uiPriority w:val="0"/>
    <w:rPr>
      <w:rFonts w:ascii="宋体" w:hAnsi="宋体"/>
      <w:kern w:val="0"/>
      <w:sz w:val="24"/>
      <w:lang w:eastAsia="en-US"/>
    </w:rPr>
  </w:style>
  <w:style w:type="character" w:customStyle="1" w:styleId="199">
    <w:name w:val="正文文本首行缩进 2 字符"/>
    <w:basedOn w:val="100"/>
    <w:link w:val="63"/>
    <w:semiHidden/>
    <w:qFormat/>
    <w:uiPriority w:val="0"/>
    <w:rPr>
      <w:kern w:val="2"/>
      <w:sz w:val="24"/>
      <w:szCs w:val="24"/>
      <w:lang w:eastAsia="en-US"/>
    </w:rPr>
  </w:style>
  <w:style w:type="character" w:customStyle="1" w:styleId="200">
    <w:name w:val="正文文本 2 字符"/>
    <w:basedOn w:val="73"/>
    <w:link w:val="54"/>
    <w:semiHidden/>
    <w:qFormat/>
    <w:uiPriority w:val="0"/>
    <w:rPr>
      <w:b/>
      <w:kern w:val="2"/>
      <w:sz w:val="24"/>
      <w:szCs w:val="24"/>
    </w:rPr>
  </w:style>
  <w:style w:type="character" w:customStyle="1" w:styleId="201">
    <w:name w:val="正文文本 3 字符"/>
    <w:basedOn w:val="73"/>
    <w:link w:val="24"/>
    <w:semiHidden/>
    <w:qFormat/>
    <w:uiPriority w:val="0"/>
    <w:rPr>
      <w:rFonts w:ascii="黑体" w:hAnsi="宋体" w:eastAsia="黑体"/>
      <w:b/>
      <w:bCs/>
      <w:kern w:val="2"/>
      <w:sz w:val="30"/>
      <w:szCs w:val="24"/>
    </w:rPr>
  </w:style>
  <w:style w:type="character" w:customStyle="1" w:styleId="202">
    <w:name w:val="文档结构图 字符"/>
    <w:basedOn w:val="73"/>
    <w:link w:val="22"/>
    <w:semiHidden/>
    <w:qFormat/>
    <w:uiPriority w:val="0"/>
    <w:rPr>
      <w:kern w:val="2"/>
      <w:sz w:val="24"/>
      <w:szCs w:val="24"/>
      <w:shd w:val="clear" w:color="auto" w:fill="000080"/>
    </w:rPr>
  </w:style>
  <w:style w:type="paragraph" w:customStyle="1" w:styleId="203">
    <w:name w:val="Char1 Char Char"/>
    <w:basedOn w:val="1"/>
    <w:qFormat/>
    <w:uiPriority w:val="0"/>
    <w:rPr>
      <w:rFonts w:ascii="宋体" w:hAnsi="宋体" w:cs="Times New Roman"/>
      <w:sz w:val="28"/>
      <w:szCs w:val="28"/>
      <w:lang w:eastAsia="zh-CN"/>
    </w:rPr>
  </w:style>
  <w:style w:type="paragraph" w:customStyle="1" w:styleId="204">
    <w:name w:val="缩进"/>
    <w:basedOn w:val="1"/>
    <w:qFormat/>
    <w:uiPriority w:val="0"/>
    <w:pPr>
      <w:autoSpaceDE w:val="0"/>
      <w:autoSpaceDN w:val="0"/>
      <w:adjustRightInd w:val="0"/>
      <w:spacing w:line="400" w:lineRule="atLeast"/>
      <w:ind w:firstLine="425"/>
    </w:pPr>
    <w:rPr>
      <w:rFonts w:ascii="宋体" w:hAnsi="宋体" w:cs="Times New Roman"/>
      <w:szCs w:val="20"/>
      <w:lang w:eastAsia="zh-CN"/>
    </w:rPr>
  </w:style>
  <w:style w:type="paragraph" w:customStyle="1" w:styleId="205">
    <w:name w:val="正文cy"/>
    <w:basedOn w:val="1"/>
    <w:qFormat/>
    <w:uiPriority w:val="0"/>
    <w:pPr>
      <w:ind w:firstLine="480"/>
    </w:pPr>
    <w:rPr>
      <w:rFonts w:ascii="宋体" w:hAnsi="宋体" w:cs="宋体"/>
      <w:szCs w:val="20"/>
      <w:lang w:eastAsia="zh-CN"/>
    </w:rPr>
  </w:style>
  <w:style w:type="paragraph" w:customStyle="1" w:styleId="206">
    <w:name w:val="默认段落字体 Para Char"/>
    <w:basedOn w:val="1"/>
    <w:qFormat/>
    <w:uiPriority w:val="0"/>
    <w:rPr>
      <w:rFonts w:ascii="宋体" w:hAnsi="宋体" w:cs="宋体"/>
      <w:szCs w:val="20"/>
      <w:lang w:eastAsia="zh-CN"/>
    </w:rPr>
  </w:style>
  <w:style w:type="paragraph" w:customStyle="1" w:styleId="207">
    <w:name w:val="正文样式3"/>
    <w:basedOn w:val="1"/>
    <w:qFormat/>
    <w:uiPriority w:val="0"/>
    <w:pPr>
      <w:keepLines/>
      <w:adjustRightInd w:val="0"/>
      <w:spacing w:line="20" w:lineRule="atLeast"/>
      <w:jc w:val="center"/>
    </w:pPr>
    <w:rPr>
      <w:rFonts w:ascii="宋体" w:hAnsi="宋体" w:cs="Times New Roman"/>
      <w:szCs w:val="20"/>
      <w:lang w:eastAsia="zh-CN"/>
    </w:rPr>
  </w:style>
  <w:style w:type="paragraph" w:customStyle="1" w:styleId="208">
    <w:name w:val="xl7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Times New Roman"/>
      <w:szCs w:val="20"/>
      <w:lang w:eastAsia="zh-CN"/>
    </w:rPr>
  </w:style>
  <w:style w:type="paragraph" w:customStyle="1" w:styleId="209">
    <w:name w:val="xl758"/>
    <w:basedOn w:val="1"/>
    <w:qFormat/>
    <w:uiPriority w:val="0"/>
    <w:pPr>
      <w:widowControl/>
      <w:spacing w:before="100" w:beforeAutospacing="1" w:after="100" w:afterAutospacing="1"/>
    </w:pPr>
    <w:rPr>
      <w:rFonts w:ascii="Arial Unicode MS" w:hAnsi="Arial Unicode MS" w:eastAsia="Arial Unicode MS" w:cs="Times New Roman"/>
      <w:szCs w:val="20"/>
      <w:lang w:eastAsia="zh-CN"/>
    </w:rPr>
  </w:style>
  <w:style w:type="paragraph" w:customStyle="1" w:styleId="210">
    <w:name w:val="xl35"/>
    <w:basedOn w:val="1"/>
    <w:qFormat/>
    <w:uiPriority w:val="0"/>
    <w:pPr>
      <w:widowControl/>
      <w:pBdr>
        <w:left w:val="single" w:color="auto" w:sz="4" w:space="0"/>
        <w:bottom w:val="single" w:color="auto" w:sz="4" w:space="0"/>
      </w:pBdr>
      <w:spacing w:before="100" w:beforeAutospacing="1" w:after="100" w:afterAutospacing="1"/>
    </w:pPr>
    <w:rPr>
      <w:rFonts w:ascii="Courier New" w:hAnsi="Courier New" w:eastAsia="Arial Unicode MS" w:cs="Courier New"/>
      <w:szCs w:val="20"/>
      <w:lang w:eastAsia="zh-CN"/>
    </w:rPr>
  </w:style>
  <w:style w:type="paragraph" w:customStyle="1" w:styleId="211">
    <w:name w:val="尾注"/>
    <w:basedOn w:val="1"/>
    <w:qFormat/>
    <w:uiPriority w:val="0"/>
    <w:pPr>
      <w:adjustRightInd w:val="0"/>
      <w:spacing w:line="312" w:lineRule="atLeast"/>
    </w:pPr>
    <w:rPr>
      <w:rFonts w:ascii="宋体" w:hAnsi="宋体" w:cs="Times New Roman"/>
      <w:sz w:val="28"/>
      <w:szCs w:val="20"/>
      <w:lang w:eastAsia="zh-CN"/>
    </w:rPr>
  </w:style>
  <w:style w:type="character" w:customStyle="1" w:styleId="212">
    <w:name w:val="正文小四首缩1.3行距 Char Char"/>
    <w:link w:val="213"/>
    <w:qFormat/>
    <w:locked/>
    <w:uiPriority w:val="0"/>
    <w:rPr>
      <w:kern w:val="2"/>
      <w:sz w:val="24"/>
      <w:szCs w:val="24"/>
    </w:rPr>
  </w:style>
  <w:style w:type="paragraph" w:customStyle="1" w:styleId="213">
    <w:name w:val="正文小四首缩1.3行距"/>
    <w:basedOn w:val="1"/>
    <w:link w:val="212"/>
    <w:qFormat/>
    <w:uiPriority w:val="0"/>
    <w:pPr>
      <w:spacing w:line="312" w:lineRule="auto"/>
      <w:ind w:firstLine="420"/>
    </w:pPr>
    <w:rPr>
      <w:rFonts w:cs="Times New Roman"/>
      <w:kern w:val="2"/>
      <w:lang w:eastAsia="zh-CN"/>
    </w:rPr>
  </w:style>
  <w:style w:type="character" w:customStyle="1" w:styleId="214">
    <w:name w:val="正文：段落格式 Char"/>
    <w:link w:val="215"/>
    <w:qFormat/>
    <w:locked/>
    <w:uiPriority w:val="0"/>
    <w:rPr>
      <w:rFonts w:ascii="宋体" w:hAnsi="宋体"/>
      <w:color w:val="000000"/>
      <w:kern w:val="15"/>
      <w:sz w:val="24"/>
      <w:szCs w:val="24"/>
    </w:rPr>
  </w:style>
  <w:style w:type="paragraph" w:customStyle="1" w:styleId="215">
    <w:name w:val="正文：段落格式"/>
    <w:basedOn w:val="1"/>
    <w:link w:val="214"/>
    <w:qFormat/>
    <w:uiPriority w:val="0"/>
    <w:pPr>
      <w:tabs>
        <w:tab w:val="left" w:pos="1320"/>
      </w:tabs>
      <w:adjustRightInd w:val="0"/>
      <w:snapToGrid w:val="0"/>
      <w:spacing w:line="440" w:lineRule="atLeast"/>
      <w:ind w:left="1320" w:hanging="420"/>
    </w:pPr>
    <w:rPr>
      <w:rFonts w:ascii="宋体" w:hAnsi="宋体" w:cs="Times New Roman"/>
      <w:color w:val="000000"/>
      <w:kern w:val="15"/>
      <w:lang w:eastAsia="zh-CN"/>
    </w:rPr>
  </w:style>
  <w:style w:type="paragraph" w:customStyle="1" w:styleId="216">
    <w:name w:val="无间隔1"/>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217">
    <w:name w:val="正文（首行缩进） Char1"/>
    <w:link w:val="218"/>
    <w:qFormat/>
    <w:locked/>
    <w:uiPriority w:val="0"/>
    <w:rPr>
      <w:bCs/>
      <w:sz w:val="24"/>
      <w:szCs w:val="24"/>
    </w:rPr>
  </w:style>
  <w:style w:type="paragraph" w:customStyle="1" w:styleId="218">
    <w:name w:val="正文（首行缩进）"/>
    <w:basedOn w:val="1"/>
    <w:link w:val="217"/>
    <w:qFormat/>
    <w:uiPriority w:val="0"/>
    <w:pPr>
      <w:widowControl/>
      <w:overflowPunct w:val="0"/>
      <w:topLinePunct/>
      <w:autoSpaceDE w:val="0"/>
      <w:autoSpaceDN w:val="0"/>
      <w:adjustRightInd w:val="0"/>
      <w:snapToGrid w:val="0"/>
    </w:pPr>
    <w:rPr>
      <w:rFonts w:cs="Times New Roman"/>
      <w:bCs/>
      <w:lang w:eastAsia="zh-CN"/>
    </w:rPr>
  </w:style>
  <w:style w:type="paragraph" w:customStyle="1" w:styleId="219">
    <w:name w:val="纯文本1"/>
    <w:basedOn w:val="1"/>
    <w:qFormat/>
    <w:uiPriority w:val="0"/>
    <w:rPr>
      <w:rFonts w:ascii="宋体" w:hAnsi="Courier New" w:cs="宋体"/>
      <w:sz w:val="20"/>
      <w:szCs w:val="20"/>
      <w:lang w:eastAsia="zh-CN"/>
    </w:rPr>
  </w:style>
  <w:style w:type="paragraph" w:customStyle="1" w:styleId="220">
    <w:name w:val="Char Char Char Char"/>
    <w:basedOn w:val="1"/>
    <w:next w:val="1"/>
    <w:qFormat/>
    <w:uiPriority w:val="0"/>
    <w:rPr>
      <w:rFonts w:ascii="宋体" w:hAnsi="宋体" w:eastAsia="汉鼎简书宋" w:cs="宋体"/>
      <w:szCs w:val="20"/>
      <w:lang w:eastAsia="zh-CN"/>
    </w:rPr>
  </w:style>
  <w:style w:type="paragraph" w:customStyle="1" w:styleId="221">
    <w:name w:val="样式 标题 5 + 小四 非加粗"/>
    <w:basedOn w:val="11"/>
    <w:qFormat/>
    <w:uiPriority w:val="0"/>
    <w:pPr>
      <w:tabs>
        <w:tab w:val="left" w:pos="1260"/>
      </w:tabs>
      <w:spacing w:before="0" w:after="0" w:line="360" w:lineRule="auto"/>
      <w:ind w:left="540" w:hanging="360"/>
    </w:pPr>
    <w:rPr>
      <w:rFonts w:ascii="Times" w:hAnsi="Times" w:cs="Times New Roman"/>
      <w:b w:val="0"/>
      <w:i/>
      <w:kern w:val="24"/>
      <w:sz w:val="24"/>
      <w:lang w:eastAsia="zh-CN"/>
    </w:rPr>
  </w:style>
  <w:style w:type="paragraph" w:customStyle="1" w:styleId="222">
    <w:name w:val="表内5号两端对齐"/>
    <w:qFormat/>
    <w:uiPriority w:val="0"/>
    <w:pPr>
      <w:adjustRightInd w:val="0"/>
      <w:snapToGrid w:val="0"/>
      <w:jc w:val="both"/>
    </w:pPr>
    <w:rPr>
      <w:rFonts w:ascii="Times New Roman" w:hAnsi="Times New Roman" w:eastAsia="宋体" w:cs="Times New Roman"/>
      <w:sz w:val="21"/>
      <w:lang w:val="en-US" w:eastAsia="zh-CN" w:bidi="ar-SA"/>
    </w:rPr>
  </w:style>
  <w:style w:type="paragraph" w:customStyle="1" w:styleId="223">
    <w:name w:val="表头名称"/>
    <w:basedOn w:val="6"/>
    <w:qFormat/>
    <w:uiPriority w:val="0"/>
    <w:pPr>
      <w:autoSpaceDE w:val="0"/>
      <w:autoSpaceDN w:val="0"/>
      <w:adjustRightInd w:val="0"/>
      <w:ind w:firstLine="0"/>
      <w:jc w:val="center"/>
    </w:pPr>
    <w:rPr>
      <w:rFonts w:ascii="宋体" w:hAnsi="宋体" w:eastAsia="黑体"/>
      <w:kern w:val="0"/>
      <w:szCs w:val="21"/>
    </w:rPr>
  </w:style>
  <w:style w:type="paragraph" w:customStyle="1" w:styleId="224">
    <w:name w:val="刘3"/>
    <w:basedOn w:val="9"/>
    <w:qFormat/>
    <w:uiPriority w:val="0"/>
    <w:pPr>
      <w:tabs>
        <w:tab w:val="left" w:pos="1418"/>
      </w:tabs>
      <w:adjustRightInd/>
      <w:spacing w:before="0" w:beforeLines="50" w:after="0" w:afterLines="50" w:line="240" w:lineRule="auto"/>
      <w:ind w:left="1418" w:hanging="567"/>
    </w:pPr>
    <w:rPr>
      <w:rFonts w:ascii="黑体"/>
      <w:bCs/>
      <w:color w:val="auto"/>
      <w:kern w:val="2"/>
    </w:rPr>
  </w:style>
  <w:style w:type="character" w:customStyle="1" w:styleId="225">
    <w:name w:val="样式 标题 2节标题 1.11.1标题2SeBSH-2h2l22nd levelTitre22Header ... Char"/>
    <w:link w:val="226"/>
    <w:qFormat/>
    <w:locked/>
    <w:uiPriority w:val="0"/>
    <w:rPr>
      <w:rFonts w:ascii="宋体" w:hAnsi="宋体" w:eastAsia="黑体"/>
      <w:b/>
      <w:bCs/>
      <w:kern w:val="2"/>
      <w:sz w:val="24"/>
      <w:szCs w:val="32"/>
    </w:rPr>
  </w:style>
  <w:style w:type="paragraph" w:customStyle="1" w:styleId="226">
    <w:name w:val="样式 标题 2节标题 1.11.1标题2SeBSH-2h2l22nd levelTitre22Header ..."/>
    <w:basedOn w:val="8"/>
    <w:link w:val="225"/>
    <w:qFormat/>
    <w:uiPriority w:val="0"/>
    <w:pPr>
      <w:spacing w:line="412" w:lineRule="auto"/>
    </w:pPr>
    <w:rPr>
      <w:rFonts w:eastAsia="黑体" w:cs="Times New Roman"/>
      <w:kern w:val="2"/>
      <w:sz w:val="24"/>
      <w:lang w:eastAsia="zh-CN"/>
    </w:rPr>
  </w:style>
  <w:style w:type="paragraph" w:customStyle="1" w:styleId="227">
    <w:name w:val="正文(首行缩进2字）"/>
    <w:basedOn w:val="1"/>
    <w:qFormat/>
    <w:uiPriority w:val="0"/>
    <w:pPr>
      <w:spacing w:line="480" w:lineRule="exact"/>
    </w:pPr>
    <w:rPr>
      <w:rFonts w:ascii="Arial" w:hAnsi="Arial" w:cs="Arial"/>
      <w:szCs w:val="20"/>
      <w:lang w:eastAsia="zh-CN"/>
    </w:rPr>
  </w:style>
  <w:style w:type="paragraph" w:customStyle="1" w:styleId="228">
    <w:name w:val="Char Char Char1 Char Char Char Char Char Char Char Char Char Char Char Char1 Char Char Char Char Char Char Char Char Char Char"/>
    <w:basedOn w:val="1"/>
    <w:qFormat/>
    <w:uiPriority w:val="0"/>
    <w:rPr>
      <w:rFonts w:ascii="宋体" w:hAnsi="宋体" w:cs="Times New Roman"/>
      <w:sz w:val="21"/>
      <w:szCs w:val="20"/>
      <w:lang w:eastAsia="zh-CN"/>
    </w:rPr>
  </w:style>
  <w:style w:type="character" w:customStyle="1" w:styleId="229">
    <w:name w:val="表号 Char1"/>
    <w:link w:val="230"/>
    <w:qFormat/>
    <w:locked/>
    <w:uiPriority w:val="0"/>
    <w:rPr>
      <w:rFonts w:ascii="宋体" w:hAnsi="宋体"/>
      <w:sz w:val="24"/>
      <w:szCs w:val="24"/>
    </w:rPr>
  </w:style>
  <w:style w:type="paragraph" w:customStyle="1" w:styleId="230">
    <w:name w:val="表号"/>
    <w:link w:val="229"/>
    <w:qFormat/>
    <w:uiPriority w:val="0"/>
    <w:pPr>
      <w:adjustRightInd w:val="0"/>
      <w:snapToGrid w:val="0"/>
      <w:spacing w:line="240" w:lineRule="atLeast"/>
      <w:jc w:val="both"/>
      <w:outlineLvl w:val="4"/>
    </w:pPr>
    <w:rPr>
      <w:rFonts w:ascii="宋体" w:hAnsi="宋体" w:eastAsia="宋体" w:cs="Times New Roman"/>
      <w:sz w:val="24"/>
      <w:szCs w:val="24"/>
      <w:lang w:val="en-US" w:eastAsia="zh-CN" w:bidi="ar-SA"/>
    </w:rPr>
  </w:style>
  <w:style w:type="paragraph" w:customStyle="1" w:styleId="231">
    <w:name w:val="Char1 Char Char Char Char Char Char"/>
    <w:basedOn w:val="1"/>
    <w:qFormat/>
    <w:uiPriority w:val="0"/>
    <w:rPr>
      <w:rFonts w:ascii="宋体" w:hAnsi="宋体" w:cs="Times New Roman"/>
      <w:sz w:val="21"/>
      <w:szCs w:val="20"/>
      <w:lang w:eastAsia="zh-CN"/>
    </w:rPr>
  </w:style>
  <w:style w:type="paragraph" w:customStyle="1" w:styleId="232">
    <w:name w:val="xl28"/>
    <w:basedOn w:val="1"/>
    <w:qFormat/>
    <w:uiPriority w:val="0"/>
    <w:pPr>
      <w:widowControl/>
      <w:pBdr>
        <w:left w:val="single" w:color="auto" w:sz="4" w:space="0"/>
        <w:bottom w:val="single" w:color="auto" w:sz="4" w:space="0"/>
        <w:right w:val="single" w:color="auto" w:sz="4" w:space="0"/>
      </w:pBdr>
      <w:spacing w:before="100" w:beforeAutospacing="1" w:after="100" w:afterAutospacing="1"/>
    </w:pPr>
    <w:rPr>
      <w:rFonts w:ascii="Courier New" w:hAnsi="Courier New" w:eastAsia="Arial Unicode MS" w:cs="Courier New"/>
      <w:szCs w:val="20"/>
      <w:lang w:eastAsia="zh-CN"/>
    </w:rPr>
  </w:style>
  <w:style w:type="paragraph" w:customStyle="1" w:styleId="233">
    <w:name w:val="样式3"/>
    <w:basedOn w:val="8"/>
    <w:qFormat/>
    <w:uiPriority w:val="0"/>
    <w:pPr>
      <w:keepNext w:val="0"/>
      <w:keepLines w:val="0"/>
      <w:spacing w:before="0" w:after="0"/>
      <w:outlineLvl w:val="9"/>
    </w:pPr>
    <w:rPr>
      <w:rFonts w:cs="Times New Roman"/>
      <w:b w:val="0"/>
      <w:bCs w:val="0"/>
      <w:kern w:val="2"/>
      <w:sz w:val="24"/>
      <w:szCs w:val="24"/>
      <w:lang w:eastAsia="zh-CN"/>
    </w:rPr>
  </w:style>
  <w:style w:type="paragraph" w:customStyle="1" w:styleId="234">
    <w:name w:val="xl25"/>
    <w:basedOn w:val="1"/>
    <w:qFormat/>
    <w:uiPriority w:val="0"/>
    <w:pPr>
      <w:widowControl/>
      <w:pBdr>
        <w:bottom w:val="single" w:color="auto" w:sz="4" w:space="0"/>
        <w:right w:val="single" w:color="auto" w:sz="4" w:space="0"/>
      </w:pBdr>
      <w:spacing w:before="100" w:beforeAutospacing="1" w:after="100" w:afterAutospacing="1"/>
      <w:jc w:val="center"/>
    </w:pPr>
    <w:rPr>
      <w:rFonts w:ascii="Arial" w:hAnsi="Arial" w:eastAsia="Arial Unicode MS" w:cs="Arial"/>
      <w:color w:val="000000"/>
      <w:sz w:val="21"/>
      <w:szCs w:val="21"/>
      <w:lang w:eastAsia="zh-CN"/>
    </w:rPr>
  </w:style>
  <w:style w:type="paragraph" w:customStyle="1" w:styleId="235">
    <w:name w:val="表内5"/>
    <w:basedOn w:val="1"/>
    <w:qFormat/>
    <w:uiPriority w:val="0"/>
    <w:pPr>
      <w:tabs>
        <w:tab w:val="left" w:pos="4680"/>
      </w:tabs>
      <w:adjustRightInd w:val="0"/>
      <w:snapToGrid w:val="0"/>
      <w:jc w:val="center"/>
    </w:pPr>
    <w:rPr>
      <w:rFonts w:ascii="宋体" w:hAnsi="宋体" w:cs="Times New Roman"/>
      <w:color w:val="000000"/>
      <w:sz w:val="21"/>
      <w:szCs w:val="21"/>
      <w:lang w:eastAsia="zh-CN"/>
    </w:rPr>
  </w:style>
  <w:style w:type="paragraph" w:customStyle="1" w:styleId="236">
    <w:name w:val="样式 标题 3标题 32标题 311Re11Head 3 WSA11h311标题 3 Char Char1Re2..."/>
    <w:basedOn w:val="9"/>
    <w:qFormat/>
    <w:uiPriority w:val="0"/>
    <w:pPr>
      <w:adjustRightInd/>
      <w:spacing w:before="80" w:after="0"/>
    </w:pPr>
    <w:rPr>
      <w:rFonts w:cs="宋体"/>
      <w:b w:val="0"/>
      <w:bCs/>
      <w:kern w:val="2"/>
      <w:szCs w:val="20"/>
    </w:rPr>
  </w:style>
  <w:style w:type="character" w:customStyle="1" w:styleId="237">
    <w:name w:val="表头5H Char"/>
    <w:link w:val="238"/>
    <w:qFormat/>
    <w:locked/>
    <w:uiPriority w:val="0"/>
    <w:rPr>
      <w:rFonts w:ascii="黑体" w:hAnsi="黑体" w:eastAsia="黑体"/>
      <w:kern w:val="2"/>
      <w:sz w:val="24"/>
      <w:szCs w:val="24"/>
    </w:rPr>
  </w:style>
  <w:style w:type="paragraph" w:customStyle="1" w:styleId="238">
    <w:name w:val="表头5H"/>
    <w:basedOn w:val="1"/>
    <w:link w:val="237"/>
    <w:qFormat/>
    <w:uiPriority w:val="0"/>
    <w:pPr>
      <w:spacing w:line="312" w:lineRule="auto"/>
      <w:jc w:val="center"/>
    </w:pPr>
    <w:rPr>
      <w:rFonts w:ascii="黑体" w:hAnsi="黑体" w:eastAsia="黑体" w:cs="Times New Roman"/>
      <w:kern w:val="2"/>
      <w:lang w:eastAsia="zh-CN"/>
    </w:rPr>
  </w:style>
  <w:style w:type="paragraph" w:customStyle="1" w:styleId="239">
    <w:name w:val="YT3"/>
    <w:basedOn w:val="1"/>
    <w:qFormat/>
    <w:uiPriority w:val="0"/>
    <w:pPr>
      <w:tabs>
        <w:tab w:val="left" w:pos="3015"/>
      </w:tabs>
    </w:pPr>
    <w:rPr>
      <w:rFonts w:ascii="宋体" w:hAnsi="宋体" w:cs="Times New Roman"/>
      <w:sz w:val="28"/>
      <w:szCs w:val="20"/>
      <w:lang w:eastAsia="zh-CN"/>
    </w:rPr>
  </w:style>
  <w:style w:type="paragraph" w:customStyle="1" w:styleId="240">
    <w:name w:val="Char Char Char Char Char Char"/>
    <w:basedOn w:val="1"/>
    <w:qFormat/>
    <w:uiPriority w:val="0"/>
    <w:rPr>
      <w:rFonts w:ascii="宋体" w:hAnsi="宋体" w:cs="Times New Roman"/>
      <w:sz w:val="21"/>
      <w:szCs w:val="20"/>
      <w:lang w:eastAsia="zh-CN"/>
    </w:rPr>
  </w:style>
  <w:style w:type="paragraph" w:customStyle="1" w:styleId="241">
    <w:name w:val="表格字体"/>
    <w:basedOn w:val="6"/>
    <w:qFormat/>
    <w:uiPriority w:val="0"/>
    <w:pPr>
      <w:ind w:firstLine="0"/>
      <w:jc w:val="center"/>
    </w:pPr>
    <w:rPr>
      <w:rFonts w:ascii="宋体" w:hAnsi="宋体"/>
      <w:kern w:val="0"/>
      <w:sz w:val="24"/>
    </w:rPr>
  </w:style>
  <w:style w:type="paragraph" w:customStyle="1" w:styleId="242">
    <w:name w:val="表字"/>
    <w:basedOn w:val="1"/>
    <w:qFormat/>
    <w:uiPriority w:val="0"/>
    <w:pPr>
      <w:jc w:val="center"/>
    </w:pPr>
    <w:rPr>
      <w:rFonts w:ascii="宋体" w:hAnsi="宋体" w:cs="Times New Roman"/>
      <w:sz w:val="21"/>
      <w:szCs w:val="21"/>
      <w:lang w:eastAsia="zh-CN"/>
    </w:rPr>
  </w:style>
  <w:style w:type="paragraph" w:customStyle="1" w:styleId="243">
    <w:name w:val="xl43"/>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szCs w:val="20"/>
      <w:lang w:eastAsia="zh-CN"/>
    </w:rPr>
  </w:style>
  <w:style w:type="paragraph" w:customStyle="1" w:styleId="244">
    <w:name w:val="reader-word-layer reader-word-s6-3"/>
    <w:basedOn w:val="1"/>
    <w:qFormat/>
    <w:uiPriority w:val="0"/>
    <w:pPr>
      <w:widowControl/>
      <w:spacing w:before="100" w:beforeAutospacing="1" w:after="100" w:afterAutospacing="1"/>
    </w:pPr>
    <w:rPr>
      <w:rFonts w:ascii="宋体" w:hAnsi="宋体" w:cs="宋体"/>
      <w:szCs w:val="20"/>
      <w:lang w:eastAsia="zh-CN"/>
    </w:rPr>
  </w:style>
  <w:style w:type="paragraph" w:customStyle="1" w:styleId="245">
    <w:name w:val="xl75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仿宋_GB2312" w:hAnsi="Arial Unicode MS" w:eastAsia="仿宋_GB2312" w:cs="Times New Roman"/>
      <w:szCs w:val="20"/>
      <w:lang w:eastAsia="zh-CN"/>
    </w:rPr>
  </w:style>
  <w:style w:type="paragraph" w:customStyle="1" w:styleId="246">
    <w:name w:val="正文222"/>
    <w:basedOn w:val="1"/>
    <w:qFormat/>
    <w:uiPriority w:val="0"/>
    <w:pPr>
      <w:ind w:firstLine="480"/>
    </w:pPr>
    <w:rPr>
      <w:rFonts w:ascii="宋体" w:hAnsi="宋体" w:cs="Times New Roman"/>
      <w:szCs w:val="20"/>
      <w:lang w:eastAsia="zh-CN"/>
    </w:rPr>
  </w:style>
  <w:style w:type="paragraph" w:customStyle="1" w:styleId="247">
    <w:name w:val="二级无标题条"/>
    <w:basedOn w:val="1"/>
    <w:qFormat/>
    <w:uiPriority w:val="0"/>
    <w:rPr>
      <w:rFonts w:ascii="宋体" w:hAnsi="宋体" w:cs="Times New Roman"/>
      <w:sz w:val="21"/>
      <w:szCs w:val="20"/>
      <w:lang w:eastAsia="zh-CN"/>
    </w:rPr>
  </w:style>
  <w:style w:type="character" w:customStyle="1" w:styleId="248">
    <w:name w:val="报告正文 Char"/>
    <w:link w:val="249"/>
    <w:qFormat/>
    <w:locked/>
    <w:uiPriority w:val="0"/>
    <w:rPr>
      <w:b/>
      <w:kern w:val="2"/>
      <w:sz w:val="24"/>
      <w:szCs w:val="21"/>
    </w:rPr>
  </w:style>
  <w:style w:type="paragraph" w:customStyle="1" w:styleId="249">
    <w:name w:val="报告正文"/>
    <w:basedOn w:val="1"/>
    <w:link w:val="248"/>
    <w:qFormat/>
    <w:uiPriority w:val="0"/>
    <w:pPr>
      <w:ind w:firstLine="482"/>
    </w:pPr>
    <w:rPr>
      <w:rFonts w:cs="Times New Roman"/>
      <w:b/>
      <w:kern w:val="2"/>
      <w:szCs w:val="21"/>
      <w:lang w:eastAsia="zh-CN"/>
    </w:rPr>
  </w:style>
  <w:style w:type="paragraph" w:customStyle="1" w:styleId="250">
    <w:name w:val="Char Char Char Char Char Char Char Char Char Char Char Char Char Char Char Char Char Char Char Char Char Char Char Char Char Char Char2 Char Char Char Char Char Char Char Char Char Char Char Char Char"/>
    <w:basedOn w:val="1"/>
    <w:qFormat/>
    <w:uiPriority w:val="0"/>
    <w:rPr>
      <w:rFonts w:ascii="宋体" w:hAnsi="宋体" w:cs="宋体"/>
      <w:szCs w:val="20"/>
      <w:lang w:eastAsia="zh-CN"/>
    </w:rPr>
  </w:style>
  <w:style w:type="paragraph" w:customStyle="1" w:styleId="251">
    <w:name w:val="xl42"/>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szCs w:val="20"/>
      <w:lang w:eastAsia="zh-CN"/>
    </w:rPr>
  </w:style>
  <w:style w:type="paragraph" w:customStyle="1" w:styleId="252">
    <w:name w:val="条目编号"/>
    <w:basedOn w:val="1"/>
    <w:qFormat/>
    <w:uiPriority w:val="0"/>
    <w:pPr>
      <w:tabs>
        <w:tab w:val="left" w:pos="4680"/>
      </w:tabs>
      <w:spacing w:after="50"/>
      <w:jc w:val="center"/>
    </w:pPr>
    <w:rPr>
      <w:rFonts w:ascii="宋体" w:hAnsi="宋体" w:cs="Times New Roman"/>
      <w:sz w:val="21"/>
      <w:szCs w:val="20"/>
      <w:lang w:eastAsia="zh-CN"/>
    </w:rPr>
  </w:style>
  <w:style w:type="paragraph" w:customStyle="1" w:styleId="253">
    <w:name w:val="正文王"/>
    <w:basedOn w:val="1"/>
    <w:qFormat/>
    <w:uiPriority w:val="0"/>
    <w:pPr>
      <w:tabs>
        <w:tab w:val="left" w:pos="7080"/>
      </w:tabs>
      <w:adjustRightInd w:val="0"/>
      <w:snapToGrid w:val="0"/>
      <w:spacing w:line="440" w:lineRule="exact"/>
      <w:ind w:firstLine="472"/>
    </w:pPr>
    <w:rPr>
      <w:rFonts w:ascii="宋体" w:hAnsi="宋体" w:cs="Times New Roman"/>
      <w:spacing w:val="-2"/>
      <w:szCs w:val="20"/>
      <w:lang w:eastAsia="zh-CN"/>
    </w:rPr>
  </w:style>
  <w:style w:type="paragraph" w:customStyle="1" w:styleId="254">
    <w:name w:val="小4黑居中行1"/>
    <w:qFormat/>
    <w:uiPriority w:val="0"/>
    <w:pPr>
      <w:spacing w:line="360" w:lineRule="auto"/>
      <w:jc w:val="center"/>
    </w:pPr>
    <w:rPr>
      <w:rFonts w:ascii="仿宋_GB2312" w:hAnsi="Times New Roman" w:eastAsia="仿宋_GB2312" w:cs="Times New Roman"/>
      <w:w w:val="80"/>
      <w:kern w:val="2"/>
      <w:sz w:val="24"/>
      <w:szCs w:val="21"/>
      <w:lang w:val="en-US" w:eastAsia="zh-CN" w:bidi="ar-SA"/>
    </w:rPr>
  </w:style>
  <w:style w:type="paragraph" w:customStyle="1" w:styleId="255">
    <w:name w:val="Normal1"/>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256">
    <w:name w:val="xl7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Courier New" w:hAnsi="Courier New" w:eastAsia="Arial Unicode MS" w:cs="Times New Roman"/>
      <w:szCs w:val="20"/>
      <w:lang w:eastAsia="zh-CN"/>
    </w:rPr>
  </w:style>
  <w:style w:type="paragraph" w:customStyle="1" w:styleId="257">
    <w:name w:val="表格正文"/>
    <w:basedOn w:val="1"/>
    <w:qFormat/>
    <w:uiPriority w:val="0"/>
    <w:pPr>
      <w:adjustRightInd w:val="0"/>
      <w:spacing w:line="360" w:lineRule="exact"/>
      <w:jc w:val="center"/>
    </w:pPr>
    <w:rPr>
      <w:rFonts w:ascii="宋体" w:hAnsi="宋体" w:eastAsia="仿宋_GB2312" w:cs="Times New Roman"/>
      <w:sz w:val="28"/>
      <w:szCs w:val="20"/>
      <w:lang w:eastAsia="zh-CN"/>
    </w:rPr>
  </w:style>
  <w:style w:type="paragraph" w:customStyle="1" w:styleId="258">
    <w:name w:val="xl31"/>
    <w:basedOn w:val="1"/>
    <w:qFormat/>
    <w:uiPriority w:val="0"/>
    <w:pPr>
      <w:widowControl/>
      <w:pBdr>
        <w:bottom w:val="single" w:color="auto" w:sz="4" w:space="0"/>
        <w:right w:val="single" w:color="auto" w:sz="4" w:space="0"/>
      </w:pBdr>
      <w:spacing w:before="100" w:beforeAutospacing="1" w:after="100" w:afterAutospacing="1"/>
    </w:pPr>
    <w:rPr>
      <w:rFonts w:ascii="宋体" w:hAnsi="宋体" w:cs="Times New Roman"/>
      <w:sz w:val="21"/>
      <w:szCs w:val="21"/>
      <w:lang w:eastAsia="zh-CN"/>
    </w:rPr>
  </w:style>
  <w:style w:type="paragraph" w:customStyle="1" w:styleId="259">
    <w:name w:val="样式3wf"/>
    <w:basedOn w:val="1"/>
    <w:qFormat/>
    <w:uiPriority w:val="0"/>
    <w:pPr>
      <w:autoSpaceDE w:val="0"/>
      <w:autoSpaceDN w:val="0"/>
      <w:adjustRightInd w:val="0"/>
      <w:snapToGrid w:val="0"/>
    </w:pPr>
    <w:rPr>
      <w:rFonts w:ascii="宋体" w:hAnsi="宋体" w:cs="Times New Roman"/>
      <w:szCs w:val="20"/>
      <w:lang w:eastAsia="zh-CN"/>
    </w:rPr>
  </w:style>
  <w:style w:type="paragraph" w:customStyle="1" w:styleId="260">
    <w:name w:val="1"/>
    <w:basedOn w:val="1"/>
    <w:next w:val="6"/>
    <w:qFormat/>
    <w:uiPriority w:val="0"/>
    <w:pPr>
      <w:spacing w:line="520" w:lineRule="exact"/>
    </w:pPr>
    <w:rPr>
      <w:rFonts w:ascii="宋体" w:hAnsi="宋体" w:cs="Times New Roman"/>
      <w:sz w:val="28"/>
      <w:szCs w:val="20"/>
      <w:lang w:eastAsia="zh-CN"/>
    </w:rPr>
  </w:style>
  <w:style w:type="paragraph" w:customStyle="1" w:styleId="261">
    <w:name w:val="文章正文"/>
    <w:basedOn w:val="1"/>
    <w:qFormat/>
    <w:uiPriority w:val="0"/>
    <w:rPr>
      <w:rFonts w:ascii="宋体" w:hAnsi="宋体" w:eastAsia="仿宋_GB2312" w:cs="Times New Roman"/>
      <w:lang w:eastAsia="zh-CN"/>
    </w:rPr>
  </w:style>
  <w:style w:type="paragraph" w:customStyle="1" w:styleId="262">
    <w:name w:val="a3"/>
    <w:basedOn w:val="1"/>
    <w:qFormat/>
    <w:uiPriority w:val="0"/>
    <w:pPr>
      <w:widowControl/>
      <w:spacing w:before="100" w:beforeAutospacing="1" w:after="100" w:afterAutospacing="1"/>
    </w:pPr>
    <w:rPr>
      <w:rFonts w:ascii="宋体" w:hAnsi="宋体" w:cs="Times New Roman"/>
      <w:color w:val="000000"/>
      <w:szCs w:val="20"/>
      <w:lang w:eastAsia="zh-CN"/>
    </w:rPr>
  </w:style>
  <w:style w:type="paragraph" w:customStyle="1" w:styleId="263">
    <w:name w:val="我的样式（正文）"/>
    <w:basedOn w:val="1"/>
    <w:qFormat/>
    <w:uiPriority w:val="0"/>
    <w:pPr>
      <w:spacing w:line="440" w:lineRule="exact"/>
    </w:pPr>
    <w:rPr>
      <w:rFonts w:ascii="宋体" w:hAnsi="宋体" w:cs="Times New Roman"/>
      <w:sz w:val="28"/>
      <w:szCs w:val="20"/>
      <w:lang w:eastAsia="zh-CN"/>
    </w:rPr>
  </w:style>
  <w:style w:type="paragraph" w:customStyle="1" w:styleId="264">
    <w:name w:val="xl7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Arial Unicode MS" w:eastAsia="仿宋_GB2312" w:cs="Times New Roman"/>
      <w:szCs w:val="20"/>
      <w:lang w:eastAsia="zh-CN"/>
    </w:rPr>
  </w:style>
  <w:style w:type="paragraph" w:customStyle="1" w:styleId="265">
    <w:name w:val="xl50"/>
    <w:basedOn w:val="1"/>
    <w:qFormat/>
    <w:uiPriority w:val="0"/>
    <w:pPr>
      <w:widowControl/>
      <w:spacing w:before="100" w:beforeAutospacing="1" w:after="100" w:afterAutospacing="1"/>
      <w:jc w:val="center"/>
    </w:pPr>
    <w:rPr>
      <w:rFonts w:ascii="宋体" w:hAnsi="宋体" w:cs="Times New Roman"/>
      <w:szCs w:val="20"/>
      <w:lang w:eastAsia="zh-CN"/>
    </w:rPr>
  </w:style>
  <w:style w:type="paragraph" w:customStyle="1" w:styleId="266">
    <w:name w:val="样式0"/>
    <w:basedOn w:val="1"/>
    <w:qFormat/>
    <w:uiPriority w:val="0"/>
    <w:pPr>
      <w:ind w:firstLine="557" w:firstLineChars="198"/>
    </w:pPr>
    <w:rPr>
      <w:rFonts w:ascii="Garamond" w:hAnsi="Garamond" w:cs="Times New Roman"/>
      <w:b/>
      <w:bCs/>
      <w:sz w:val="28"/>
      <w:szCs w:val="20"/>
      <w:lang w:eastAsia="zh-CN"/>
    </w:rPr>
  </w:style>
  <w:style w:type="character" w:customStyle="1" w:styleId="267">
    <w:name w:val="表格 Char Char"/>
    <w:link w:val="268"/>
    <w:qFormat/>
    <w:locked/>
    <w:uiPriority w:val="0"/>
    <w:rPr>
      <w:b/>
      <w:kern w:val="2"/>
      <w:sz w:val="21"/>
      <w:szCs w:val="24"/>
    </w:rPr>
  </w:style>
  <w:style w:type="paragraph" w:customStyle="1" w:styleId="268">
    <w:name w:val="表格"/>
    <w:basedOn w:val="1"/>
    <w:link w:val="267"/>
    <w:qFormat/>
    <w:uiPriority w:val="0"/>
    <w:pPr>
      <w:spacing w:line="0" w:lineRule="atLeast"/>
      <w:jc w:val="center"/>
    </w:pPr>
    <w:rPr>
      <w:rFonts w:cs="Times New Roman"/>
      <w:b/>
      <w:kern w:val="2"/>
      <w:sz w:val="21"/>
      <w:lang w:eastAsia="zh-CN"/>
    </w:rPr>
  </w:style>
  <w:style w:type="paragraph" w:customStyle="1" w:styleId="269">
    <w:name w:val="表中字"/>
    <w:qFormat/>
    <w:uiPriority w:val="0"/>
    <w:pPr>
      <w:widowControl w:val="0"/>
      <w:jc w:val="center"/>
    </w:pPr>
    <w:rPr>
      <w:rFonts w:ascii="宋体" w:hAnsi="Times New Roman" w:eastAsia="宋体" w:cs="Times New Roman"/>
      <w:kern w:val="2"/>
      <w:sz w:val="21"/>
      <w:szCs w:val="24"/>
      <w:lang w:val="en-US" w:eastAsia="zh-TW" w:bidi="ar-SA"/>
    </w:rPr>
  </w:style>
  <w:style w:type="paragraph" w:customStyle="1" w:styleId="270">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Courier New" w:hAnsi="Courier New" w:eastAsia="Arial Unicode MS" w:cs="Courier New"/>
      <w:szCs w:val="20"/>
      <w:lang w:eastAsia="zh-CN"/>
    </w:rPr>
  </w:style>
  <w:style w:type="paragraph" w:customStyle="1" w:styleId="271">
    <w:name w:val="xl40"/>
    <w:basedOn w:val="1"/>
    <w:qFormat/>
    <w:uiPriority w:val="0"/>
    <w:pPr>
      <w:widowControl/>
      <w:pBdr>
        <w:left w:val="single" w:color="auto" w:sz="4" w:space="0"/>
        <w:right w:val="single" w:color="auto" w:sz="4" w:space="0"/>
      </w:pBdr>
      <w:adjustRightInd w:val="0"/>
      <w:snapToGrid w:val="0"/>
      <w:spacing w:before="100" w:beforeAutospacing="1" w:after="100" w:afterAutospacing="1"/>
      <w:jc w:val="center"/>
    </w:pPr>
    <w:rPr>
      <w:rFonts w:ascii="宋体" w:hAnsi="宋体" w:cs="Times New Roman"/>
      <w:szCs w:val="20"/>
      <w:lang w:eastAsia="zh-CN"/>
    </w:rPr>
  </w:style>
  <w:style w:type="character" w:customStyle="1" w:styleId="272">
    <w:name w:val="我的正文 Char"/>
    <w:link w:val="273"/>
    <w:qFormat/>
    <w:locked/>
    <w:uiPriority w:val="0"/>
    <w:rPr>
      <w:rFonts w:ascii="宋体" w:hAnsi="宋体" w:cs="宋体"/>
      <w:b/>
      <w:kern w:val="2"/>
      <w:sz w:val="24"/>
    </w:rPr>
  </w:style>
  <w:style w:type="paragraph" w:customStyle="1" w:styleId="273">
    <w:name w:val="我的正文"/>
    <w:basedOn w:val="1"/>
    <w:link w:val="272"/>
    <w:qFormat/>
    <w:uiPriority w:val="0"/>
    <w:pPr>
      <w:ind w:firstLine="480"/>
    </w:pPr>
    <w:rPr>
      <w:rFonts w:ascii="宋体" w:hAnsi="宋体" w:cs="宋体"/>
      <w:b/>
      <w:kern w:val="2"/>
      <w:szCs w:val="20"/>
      <w:lang w:eastAsia="zh-CN"/>
    </w:rPr>
  </w:style>
  <w:style w:type="character" w:customStyle="1" w:styleId="274">
    <w:name w:val="L-4 Char"/>
    <w:link w:val="275"/>
    <w:qFormat/>
    <w:locked/>
    <w:uiPriority w:val="0"/>
    <w:rPr>
      <w:rFonts w:ascii="Arial" w:hAnsi="Arial" w:eastAsia="黑体" w:cs="Arial"/>
      <w:b/>
      <w:kern w:val="2"/>
      <w:sz w:val="28"/>
    </w:rPr>
  </w:style>
  <w:style w:type="paragraph" w:customStyle="1" w:styleId="275">
    <w:name w:val="L-4"/>
    <w:basedOn w:val="10"/>
    <w:link w:val="274"/>
    <w:qFormat/>
    <w:uiPriority w:val="0"/>
    <w:pPr>
      <w:spacing w:beforeLines="50" w:afterLines="50" w:line="374" w:lineRule="auto"/>
    </w:pPr>
    <w:rPr>
      <w:rFonts w:ascii="Arial" w:hAnsi="Arial" w:eastAsia="黑体" w:cs="Arial"/>
      <w:kern w:val="2"/>
      <w:szCs w:val="20"/>
      <w:lang w:eastAsia="zh-CN"/>
    </w:rPr>
  </w:style>
  <w:style w:type="paragraph" w:customStyle="1" w:styleId="276">
    <w:name w:val="一级条标题"/>
    <w:basedOn w:val="7"/>
    <w:next w:val="1"/>
    <w:qFormat/>
    <w:uiPriority w:val="0"/>
    <w:pPr>
      <w:keepNext w:val="0"/>
      <w:keepLines w:val="0"/>
      <w:widowControl/>
      <w:spacing w:before="0" w:after="0" w:line="240" w:lineRule="auto"/>
      <w:outlineLvl w:val="2"/>
    </w:pPr>
    <w:rPr>
      <w:rFonts w:ascii="黑体" w:hAnsi="Times New Roman" w:eastAsia="黑体" w:cs="Times New Roman"/>
      <w:b w:val="0"/>
      <w:bCs w:val="0"/>
      <w:kern w:val="0"/>
      <w:sz w:val="21"/>
      <w:szCs w:val="20"/>
      <w:lang w:eastAsia="zh-CN"/>
    </w:rPr>
  </w:style>
  <w:style w:type="paragraph" w:customStyle="1" w:styleId="277">
    <w:name w:val="Char2"/>
    <w:basedOn w:val="1"/>
    <w:qFormat/>
    <w:uiPriority w:val="0"/>
    <w:rPr>
      <w:rFonts w:ascii="宋体" w:hAnsi="宋体" w:cs="Times New Roman"/>
      <w:sz w:val="21"/>
      <w:szCs w:val="20"/>
      <w:lang w:eastAsia="zh-CN"/>
    </w:rPr>
  </w:style>
  <w:style w:type="paragraph" w:customStyle="1" w:styleId="278">
    <w:name w:val="标语"/>
    <w:basedOn w:val="1"/>
    <w:qFormat/>
    <w:uiPriority w:val="0"/>
    <w:pPr>
      <w:framePr w:w="2734" w:h="817" w:hSpace="187" w:vSpace="187" w:wrap="around" w:vAnchor="page" w:hAnchor="page" w:x="987" w:y="14257" w:anchorLock="1"/>
      <w:widowControl/>
    </w:pPr>
    <w:rPr>
      <w:rFonts w:ascii="Impact" w:hAnsi="Impact" w:eastAsia="黑体" w:cs="Times New Roman"/>
      <w:caps/>
      <w:color w:val="FFFFFF"/>
      <w:spacing w:val="20"/>
      <w:position w:val="12"/>
      <w:sz w:val="84"/>
      <w:szCs w:val="20"/>
      <w:lang w:eastAsia="zh-CN"/>
    </w:rPr>
  </w:style>
  <w:style w:type="paragraph" w:customStyle="1" w:styleId="279">
    <w:name w:val="正文文本 31"/>
    <w:basedOn w:val="1"/>
    <w:qFormat/>
    <w:uiPriority w:val="0"/>
    <w:pPr>
      <w:adjustRightInd w:val="0"/>
      <w:spacing w:line="360" w:lineRule="atLeast"/>
      <w:jc w:val="center"/>
    </w:pPr>
    <w:rPr>
      <w:rFonts w:ascii="仿宋体" w:hAnsi="宋体" w:eastAsia="仿宋体" w:cs="Times New Roman"/>
      <w:szCs w:val="20"/>
      <w:lang w:eastAsia="zh-CN"/>
    </w:rPr>
  </w:style>
  <w:style w:type="paragraph" w:customStyle="1" w:styleId="280">
    <w:name w:val="李巍"/>
    <w:basedOn w:val="1"/>
    <w:qFormat/>
    <w:uiPriority w:val="0"/>
    <w:pPr>
      <w:tabs>
        <w:tab w:val="left" w:pos="0"/>
      </w:tabs>
      <w:snapToGrid w:val="0"/>
      <w:ind w:firstLine="480"/>
    </w:pPr>
    <w:rPr>
      <w:rFonts w:ascii="宋体" w:hAnsi="宋体" w:cs="Times New Roman"/>
      <w:szCs w:val="20"/>
      <w:lang w:eastAsia="zh-CN"/>
    </w:rPr>
  </w:style>
  <w:style w:type="paragraph" w:customStyle="1" w:styleId="281">
    <w:name w:val="CM32"/>
    <w:basedOn w:val="26"/>
    <w:next w:val="26"/>
    <w:qFormat/>
    <w:uiPriority w:val="0"/>
    <w:pPr>
      <w:spacing w:after="98"/>
    </w:pPr>
    <w:rPr>
      <w:rFonts w:ascii="黑体" w:hAnsi="Times New Roman" w:eastAsia="黑体" w:cs="Times New Roman"/>
      <w:color w:val="auto"/>
    </w:rPr>
  </w:style>
  <w:style w:type="paragraph" w:customStyle="1" w:styleId="282">
    <w:name w:val="xl30"/>
    <w:basedOn w:val="1"/>
    <w:qFormat/>
    <w:uiPriority w:val="0"/>
    <w:pPr>
      <w:widowControl/>
      <w:pBdr>
        <w:bottom w:val="single" w:color="auto" w:sz="4" w:space="0"/>
        <w:right w:val="single" w:color="auto" w:sz="4" w:space="0"/>
      </w:pBdr>
      <w:spacing w:before="100" w:beforeAutospacing="1" w:after="100" w:afterAutospacing="1"/>
      <w:jc w:val="center"/>
    </w:pPr>
    <w:rPr>
      <w:rFonts w:ascii="Courier New" w:hAnsi="Courier New" w:eastAsia="Arial Unicode MS" w:cs="Courier New"/>
      <w:szCs w:val="20"/>
      <w:lang w:eastAsia="zh-CN"/>
    </w:rPr>
  </w:style>
  <w:style w:type="character" w:customStyle="1" w:styleId="283">
    <w:name w:val="L-3 Char"/>
    <w:link w:val="284"/>
    <w:qFormat/>
    <w:locked/>
    <w:uiPriority w:val="0"/>
    <w:rPr>
      <w:b/>
      <w:bCs/>
      <w:kern w:val="2"/>
      <w:sz w:val="32"/>
      <w:szCs w:val="32"/>
    </w:rPr>
  </w:style>
  <w:style w:type="paragraph" w:customStyle="1" w:styleId="284">
    <w:name w:val="L-3"/>
    <w:basedOn w:val="9"/>
    <w:link w:val="283"/>
    <w:qFormat/>
    <w:uiPriority w:val="0"/>
    <w:pPr>
      <w:adjustRightInd/>
      <w:spacing w:before="260" w:after="260" w:line="412" w:lineRule="auto"/>
    </w:pPr>
    <w:rPr>
      <w:bCs/>
      <w:color w:val="auto"/>
      <w:kern w:val="2"/>
      <w:sz w:val="32"/>
    </w:rPr>
  </w:style>
  <w:style w:type="paragraph" w:customStyle="1" w:styleId="285">
    <w:name w:val="样式 标题 1 + 华文中宋 两端对齐 左侧:  0 厘米"/>
    <w:basedOn w:val="7"/>
    <w:qFormat/>
    <w:uiPriority w:val="0"/>
    <w:pPr>
      <w:tabs>
        <w:tab w:val="left" w:pos="720"/>
      </w:tabs>
      <w:spacing w:line="240" w:lineRule="auto"/>
      <w:ind w:left="720" w:hanging="720"/>
    </w:pPr>
    <w:rPr>
      <w:rFonts w:ascii="华文中宋" w:hAnsi="华文中宋" w:eastAsia="华文中宋" w:cs="宋体"/>
      <w:lang w:eastAsia="zh-CN"/>
    </w:rPr>
  </w:style>
  <w:style w:type="paragraph" w:customStyle="1" w:styleId="286">
    <w:name w:val="xl750"/>
    <w:basedOn w:val="1"/>
    <w:qFormat/>
    <w:uiPriority w:val="0"/>
    <w:pPr>
      <w:widowControl/>
      <w:pBdr>
        <w:left w:val="single" w:color="auto" w:sz="4" w:space="0"/>
        <w:bottom w:val="single" w:color="auto" w:sz="4" w:space="0"/>
        <w:right w:val="single" w:color="auto" w:sz="4" w:space="0"/>
      </w:pBdr>
      <w:spacing w:before="100" w:beforeAutospacing="1" w:after="100" w:afterAutospacing="1"/>
    </w:pPr>
    <w:rPr>
      <w:rFonts w:ascii="Courier New" w:hAnsi="Courier New" w:eastAsia="Arial Unicode MS" w:cs="Times New Roman"/>
      <w:szCs w:val="20"/>
      <w:lang w:eastAsia="zh-CN"/>
    </w:rPr>
  </w:style>
  <w:style w:type="character" w:customStyle="1" w:styleId="287">
    <w:name w:val="批注框文本 Char"/>
    <w:link w:val="288"/>
    <w:qFormat/>
    <w:locked/>
    <w:uiPriority w:val="0"/>
    <w:rPr>
      <w:rFonts w:ascii="宋体" w:hAnsi="宋体"/>
      <w:kern w:val="2"/>
      <w:sz w:val="18"/>
    </w:rPr>
  </w:style>
  <w:style w:type="paragraph" w:customStyle="1" w:styleId="288">
    <w:name w:val="批注框文本1"/>
    <w:basedOn w:val="1"/>
    <w:link w:val="287"/>
    <w:qFormat/>
    <w:uiPriority w:val="0"/>
    <w:pPr>
      <w:adjustRightInd w:val="0"/>
      <w:snapToGrid w:val="0"/>
    </w:pPr>
    <w:rPr>
      <w:rFonts w:ascii="宋体" w:hAnsi="宋体" w:cs="Times New Roman"/>
      <w:kern w:val="2"/>
      <w:sz w:val="18"/>
      <w:szCs w:val="20"/>
      <w:lang w:eastAsia="zh-CN"/>
    </w:rPr>
  </w:style>
  <w:style w:type="paragraph" w:customStyle="1" w:styleId="289">
    <w:name w:val="字元 字元1"/>
    <w:basedOn w:val="1"/>
    <w:qFormat/>
    <w:uiPriority w:val="0"/>
    <w:pPr>
      <w:widowControl/>
      <w:spacing w:after="160" w:line="240" w:lineRule="exact"/>
    </w:pPr>
    <w:rPr>
      <w:rFonts w:ascii="Verdana" w:hAnsi="Verdana" w:eastAsia="仿宋_GB2312" w:cs="Verdana"/>
      <w:color w:val="000000"/>
      <w:szCs w:val="20"/>
    </w:rPr>
  </w:style>
  <w:style w:type="paragraph" w:customStyle="1" w:styleId="290">
    <w:name w:val="Char Char Char Char Char Char Char Char Char1 Char Char Char Char"/>
    <w:basedOn w:val="1"/>
    <w:qFormat/>
    <w:uiPriority w:val="0"/>
    <w:pPr>
      <w:widowControl/>
      <w:spacing w:after="160" w:line="240" w:lineRule="exact"/>
    </w:pPr>
    <w:rPr>
      <w:rFonts w:ascii="宋体" w:hAnsi="宋体" w:cs="Times New Roman"/>
      <w:szCs w:val="20"/>
      <w:lang w:eastAsia="zh-CN"/>
    </w:rPr>
  </w:style>
  <w:style w:type="paragraph" w:customStyle="1" w:styleId="291">
    <w:name w:val="p0"/>
    <w:basedOn w:val="1"/>
    <w:qFormat/>
    <w:uiPriority w:val="0"/>
    <w:pPr>
      <w:widowControl/>
    </w:pPr>
    <w:rPr>
      <w:rFonts w:ascii="宋体" w:hAnsi="宋体" w:cs="Times New Roman"/>
      <w:sz w:val="21"/>
      <w:szCs w:val="21"/>
      <w:lang w:eastAsia="zh-CN"/>
    </w:rPr>
  </w:style>
  <w:style w:type="paragraph" w:customStyle="1" w:styleId="292">
    <w:name w:val="标题后正文"/>
    <w:basedOn w:val="1"/>
    <w:qFormat/>
    <w:uiPriority w:val="0"/>
    <w:pPr>
      <w:adjustRightInd w:val="0"/>
      <w:snapToGrid w:val="0"/>
    </w:pPr>
    <w:rPr>
      <w:rFonts w:ascii="Arial" w:hAnsi="Arial" w:cs="Times New Roman"/>
      <w:kern w:val="28"/>
      <w:szCs w:val="20"/>
      <w:lang w:eastAsia="zh-CN"/>
    </w:rPr>
  </w:style>
  <w:style w:type="paragraph" w:customStyle="1" w:styleId="293">
    <w:name w:val="正文楷体"/>
    <w:basedOn w:val="1"/>
    <w:qFormat/>
    <w:uiPriority w:val="0"/>
    <w:pPr>
      <w:widowControl/>
      <w:adjustRightInd w:val="0"/>
      <w:snapToGrid w:val="0"/>
    </w:pPr>
    <w:rPr>
      <w:rFonts w:ascii="宋体" w:hAnsi="宋体" w:eastAsia="楷体_GB2312" w:cs="宋体"/>
      <w:szCs w:val="20"/>
      <w:lang w:eastAsia="zh-CN"/>
    </w:rPr>
  </w:style>
  <w:style w:type="paragraph" w:customStyle="1" w:styleId="294">
    <w:name w:val="日期1"/>
    <w:basedOn w:val="1"/>
    <w:next w:val="1"/>
    <w:qFormat/>
    <w:uiPriority w:val="0"/>
    <w:pPr>
      <w:adjustRightInd w:val="0"/>
    </w:pPr>
    <w:rPr>
      <w:rFonts w:ascii="Plotter" w:hAnsi="Plotter" w:cs="Times New Roman"/>
      <w:szCs w:val="20"/>
      <w:lang w:eastAsia="zh-CN"/>
    </w:rPr>
  </w:style>
  <w:style w:type="paragraph" w:customStyle="1" w:styleId="295">
    <w:name w:val="xl38"/>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rFonts w:ascii="宋体" w:hAnsi="宋体" w:cs="Times New Roman"/>
      <w:sz w:val="28"/>
      <w:szCs w:val="28"/>
      <w:lang w:eastAsia="zh-CN"/>
    </w:rPr>
  </w:style>
  <w:style w:type="paragraph" w:customStyle="1" w:styleId="296">
    <w:name w:val="1 Char Char Char Char"/>
    <w:basedOn w:val="1"/>
    <w:qFormat/>
    <w:uiPriority w:val="0"/>
    <w:rPr>
      <w:rFonts w:ascii="宋体" w:hAnsi="宋体" w:cs="宋体"/>
      <w:szCs w:val="20"/>
      <w:lang w:eastAsia="zh-CN"/>
    </w:rPr>
  </w:style>
  <w:style w:type="paragraph" w:customStyle="1" w:styleId="297">
    <w:name w:val="T表格"/>
    <w:qFormat/>
    <w:uiPriority w:val="0"/>
    <w:pPr>
      <w:jc w:val="center"/>
    </w:pPr>
    <w:rPr>
      <w:rFonts w:ascii="Times New Roman" w:hAnsi="Times New Roman" w:eastAsia="宋体" w:cs="Times New Roman"/>
      <w:sz w:val="21"/>
      <w:szCs w:val="21"/>
      <w:lang w:val="en-US" w:eastAsia="zh-CN" w:bidi="ar-SA"/>
    </w:rPr>
  </w:style>
  <w:style w:type="paragraph" w:customStyle="1" w:styleId="298">
    <w:name w:val="biaoge 表1"/>
    <w:basedOn w:val="1"/>
    <w:qFormat/>
    <w:uiPriority w:val="0"/>
    <w:pPr>
      <w:jc w:val="center"/>
    </w:pPr>
    <w:rPr>
      <w:rFonts w:ascii="宋体" w:hAnsi="宋体" w:cs="Times New Roman"/>
      <w:sz w:val="21"/>
      <w:szCs w:val="21"/>
      <w:lang w:eastAsia="zh-CN"/>
    </w:rPr>
  </w:style>
  <w:style w:type="paragraph" w:customStyle="1" w:styleId="299">
    <w:name w:val=".."/>
    <w:basedOn w:val="26"/>
    <w:next w:val="26"/>
    <w:qFormat/>
    <w:uiPriority w:val="0"/>
    <w:rPr>
      <w:rFonts w:ascii="Times New Roman" w:hAnsi="Times New Roman" w:cs="Times New Roman"/>
      <w:color w:val="auto"/>
    </w:rPr>
  </w:style>
  <w:style w:type="paragraph" w:customStyle="1" w:styleId="300">
    <w:name w:val="xl37"/>
    <w:basedOn w:val="1"/>
    <w:qFormat/>
    <w:uiPriority w:val="0"/>
    <w:pPr>
      <w:widowControl/>
      <w:pBdr>
        <w:left w:val="single" w:color="auto" w:sz="4" w:space="0"/>
        <w:bottom w:val="single" w:color="auto" w:sz="4" w:space="0"/>
      </w:pBdr>
      <w:spacing w:before="100" w:beforeAutospacing="1" w:after="100" w:afterAutospacing="1"/>
    </w:pPr>
    <w:rPr>
      <w:rFonts w:ascii="Courier New" w:hAnsi="Courier New" w:eastAsia="Arial Unicode MS" w:cs="Courier New"/>
      <w:szCs w:val="20"/>
      <w:lang w:eastAsia="zh-CN"/>
    </w:rPr>
  </w:style>
  <w:style w:type="paragraph" w:customStyle="1" w:styleId="301">
    <w:name w:val="样式 表题注 + 首行缩进:  2 字符"/>
    <w:basedOn w:val="1"/>
    <w:qFormat/>
    <w:uiPriority w:val="0"/>
    <w:pPr>
      <w:keepNext/>
      <w:spacing w:before="240" w:after="120"/>
      <w:jc w:val="center"/>
    </w:pPr>
    <w:rPr>
      <w:rFonts w:ascii="黑体" w:hAnsi="Arial" w:eastAsia="黑体" w:cs="Times New Roman"/>
      <w:sz w:val="21"/>
      <w:szCs w:val="20"/>
      <w:lang w:eastAsia="zh-CN"/>
    </w:rPr>
  </w:style>
  <w:style w:type="paragraph" w:customStyle="1" w:styleId="302">
    <w:name w:val="表 头"/>
    <w:basedOn w:val="1"/>
    <w:qFormat/>
    <w:uiPriority w:val="0"/>
    <w:pPr>
      <w:adjustRightInd w:val="0"/>
      <w:spacing w:before="120" w:after="120"/>
      <w:jc w:val="center"/>
    </w:pPr>
    <w:rPr>
      <w:rFonts w:ascii="宋体" w:hAnsi="宋体" w:eastAsia="黑体" w:cs="Times New Roman"/>
      <w:sz w:val="21"/>
      <w:szCs w:val="20"/>
      <w:lang w:eastAsia="zh-CN"/>
    </w:rPr>
  </w:style>
  <w:style w:type="paragraph" w:customStyle="1" w:styleId="303">
    <w:name w:val="表字1"/>
    <w:basedOn w:val="1"/>
    <w:qFormat/>
    <w:uiPriority w:val="0"/>
    <w:pPr>
      <w:adjustRightInd w:val="0"/>
      <w:jc w:val="center"/>
    </w:pPr>
    <w:rPr>
      <w:rFonts w:ascii="宋体" w:hAnsi="宋体" w:cs="Times New Roman"/>
      <w:sz w:val="21"/>
      <w:szCs w:val="20"/>
      <w:lang w:eastAsia="zh-CN"/>
    </w:rPr>
  </w:style>
  <w:style w:type="paragraph" w:customStyle="1" w:styleId="304">
    <w:name w:val="正文1"/>
    <w:basedOn w:val="1"/>
    <w:qFormat/>
    <w:uiPriority w:val="0"/>
    <w:pPr>
      <w:adjustRightInd w:val="0"/>
      <w:snapToGrid w:val="0"/>
      <w:spacing w:line="312" w:lineRule="auto"/>
      <w:ind w:firstLine="567"/>
    </w:pPr>
    <w:rPr>
      <w:rFonts w:ascii="Arial" w:hAnsi="Arial" w:cs="Times New Roman"/>
      <w:spacing w:val="6"/>
      <w:sz w:val="28"/>
      <w:szCs w:val="20"/>
      <w:lang w:eastAsia="zh-CN"/>
    </w:rPr>
  </w:style>
  <w:style w:type="paragraph" w:customStyle="1" w:styleId="305">
    <w:name w:val="样式 (符号) 宋体 首行缩进:  0.93 厘米 段前: 6 磅 段后: 6 磅 行距: 固定值 18 磅1"/>
    <w:basedOn w:val="1"/>
    <w:qFormat/>
    <w:uiPriority w:val="0"/>
    <w:pPr>
      <w:spacing w:before="160" w:after="160" w:line="320" w:lineRule="exact"/>
      <w:ind w:firstLine="527"/>
    </w:pPr>
    <w:rPr>
      <w:rFonts w:ascii="宋体" w:hAnsi="宋体" w:cs="Times New Roman"/>
      <w:szCs w:val="20"/>
      <w:lang w:eastAsia="zh-CN"/>
    </w:rPr>
  </w:style>
  <w:style w:type="paragraph" w:customStyle="1" w:styleId="306">
    <w:name w:val="11标题 3"/>
    <w:basedOn w:val="9"/>
    <w:qFormat/>
    <w:uiPriority w:val="0"/>
    <w:pPr>
      <w:adjustRightInd/>
      <w:spacing w:before="260" w:after="260" w:line="415" w:lineRule="auto"/>
    </w:pPr>
    <w:rPr>
      <w:rFonts w:eastAsia="楷体_GB2312"/>
      <w:b w:val="0"/>
      <w:bCs/>
      <w:color w:val="auto"/>
      <w:kern w:val="2"/>
    </w:rPr>
  </w:style>
  <w:style w:type="paragraph" w:customStyle="1" w:styleId="307">
    <w:name w:val="正文文本缩进1"/>
    <w:basedOn w:val="1"/>
    <w:qFormat/>
    <w:uiPriority w:val="0"/>
    <w:pPr>
      <w:adjustRightInd w:val="0"/>
      <w:snapToGrid w:val="0"/>
      <w:spacing w:line="500" w:lineRule="exact"/>
      <w:ind w:firstLine="560"/>
    </w:pPr>
    <w:rPr>
      <w:rFonts w:ascii="宋体" w:hAnsi="宋体" w:cs="Times New Roman"/>
      <w:sz w:val="28"/>
      <w:szCs w:val="20"/>
      <w:lang w:eastAsia="zh-CN"/>
    </w:rPr>
  </w:style>
  <w:style w:type="paragraph" w:customStyle="1" w:styleId="308">
    <w:name w:val="xl739"/>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Courier New" w:hAnsi="Courier New" w:eastAsia="Arial Unicode MS" w:cs="Times New Roman"/>
      <w:szCs w:val="20"/>
      <w:lang w:eastAsia="zh-CN"/>
    </w:rPr>
  </w:style>
  <w:style w:type="paragraph" w:customStyle="1" w:styleId="309">
    <w:name w:val="内部地址姓名"/>
    <w:basedOn w:val="1"/>
    <w:qFormat/>
    <w:uiPriority w:val="0"/>
    <w:pPr>
      <w:ind w:firstLine="425"/>
    </w:pPr>
    <w:rPr>
      <w:rFonts w:ascii="宋体" w:hAnsi="宋体" w:cs="Times New Roman"/>
      <w:sz w:val="28"/>
      <w:szCs w:val="20"/>
      <w:lang w:eastAsia="zh-CN"/>
    </w:rPr>
  </w:style>
  <w:style w:type="paragraph" w:customStyle="1" w:styleId="310">
    <w:name w:val="工程建设条标题"/>
    <w:basedOn w:val="1"/>
    <w:next w:val="1"/>
    <w:qFormat/>
    <w:uiPriority w:val="0"/>
    <w:pPr>
      <w:widowControl/>
      <w:tabs>
        <w:tab w:val="left" w:pos="735"/>
      </w:tabs>
      <w:outlineLvl w:val="3"/>
    </w:pPr>
    <w:rPr>
      <w:rFonts w:ascii="黑体" w:hAnsi="宋体" w:eastAsia="黑体" w:cs="Times New Roman"/>
      <w:sz w:val="21"/>
      <w:szCs w:val="20"/>
      <w:lang w:eastAsia="zh-CN"/>
    </w:rPr>
  </w:style>
  <w:style w:type="paragraph" w:customStyle="1" w:styleId="311">
    <w:name w:val="正文111"/>
    <w:basedOn w:val="6"/>
    <w:qFormat/>
    <w:uiPriority w:val="0"/>
    <w:pPr>
      <w:spacing w:afterLines="25"/>
      <w:ind w:firstLine="200"/>
    </w:pPr>
    <w:rPr>
      <w:rFonts w:ascii="宋体" w:hAnsi="宋体"/>
      <w:kern w:val="0"/>
      <w:sz w:val="24"/>
    </w:rPr>
  </w:style>
  <w:style w:type="paragraph" w:customStyle="1" w:styleId="312">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313">
    <w:name w:val="样式 表号 + 首行缩进:  0.99 厘米"/>
    <w:basedOn w:val="1"/>
    <w:qFormat/>
    <w:uiPriority w:val="0"/>
    <w:pPr>
      <w:widowControl/>
      <w:adjustRightInd w:val="0"/>
      <w:snapToGrid w:val="0"/>
      <w:spacing w:line="240" w:lineRule="atLeast"/>
      <w:ind w:firstLine="420"/>
      <w:outlineLvl w:val="4"/>
    </w:pPr>
    <w:rPr>
      <w:rFonts w:ascii="宋体" w:hAnsi="宋体" w:cs="宋体"/>
      <w:szCs w:val="20"/>
      <w:lang w:eastAsia="zh-CN"/>
    </w:rPr>
  </w:style>
  <w:style w:type="character" w:customStyle="1" w:styleId="314">
    <w:name w:val="陈表格中内容 Char Char"/>
    <w:link w:val="315"/>
    <w:qFormat/>
    <w:locked/>
    <w:uiPriority w:val="0"/>
    <w:rPr>
      <w:rFonts w:ascii="仿宋_GB2312" w:eastAsia="仿宋_GB2312"/>
      <w:kern w:val="2"/>
      <w:sz w:val="21"/>
      <w:szCs w:val="21"/>
    </w:rPr>
  </w:style>
  <w:style w:type="paragraph" w:customStyle="1" w:styleId="315">
    <w:name w:val="陈表格中内容"/>
    <w:basedOn w:val="1"/>
    <w:next w:val="1"/>
    <w:link w:val="314"/>
    <w:qFormat/>
    <w:uiPriority w:val="0"/>
    <w:pPr>
      <w:spacing w:line="288" w:lineRule="auto"/>
      <w:jc w:val="center"/>
    </w:pPr>
    <w:rPr>
      <w:rFonts w:ascii="仿宋_GB2312" w:eastAsia="仿宋_GB2312" w:cs="Times New Roman"/>
      <w:kern w:val="2"/>
      <w:sz w:val="21"/>
      <w:szCs w:val="21"/>
      <w:lang w:eastAsia="zh-CN"/>
    </w:rPr>
  </w:style>
  <w:style w:type="paragraph" w:customStyle="1" w:styleId="316">
    <w:name w:val="正文2"/>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317">
    <w:name w:val="xl23"/>
    <w:basedOn w:val="1"/>
    <w:qFormat/>
    <w:uiPriority w:val="0"/>
    <w:pPr>
      <w:widowControl/>
      <w:pBdr>
        <w:bottom w:val="single" w:color="auto" w:sz="4" w:space="0"/>
        <w:right w:val="single" w:color="auto" w:sz="4" w:space="0"/>
      </w:pBdr>
      <w:spacing w:before="100" w:beforeAutospacing="1" w:after="100" w:afterAutospacing="1"/>
      <w:jc w:val="center"/>
    </w:pPr>
    <w:rPr>
      <w:rFonts w:ascii="PMingLiU" w:hAnsi="Arial Unicode MS" w:eastAsia="PMingLiU" w:cs="Arial Unicode MS"/>
      <w:szCs w:val="20"/>
      <w:lang w:eastAsia="zh-TW"/>
    </w:rPr>
  </w:style>
  <w:style w:type="character" w:customStyle="1" w:styleId="318">
    <w:name w:val="样式 标题 4条 2[三级节名]点标题H4H41第三层条小小节河石管道4标题 4 Char Char款标题1...3 Char"/>
    <w:link w:val="319"/>
    <w:semiHidden/>
    <w:qFormat/>
    <w:locked/>
    <w:uiPriority w:val="0"/>
    <w:rPr>
      <w:b/>
      <w:color w:val="000000"/>
      <w:kern w:val="24"/>
      <w:sz w:val="24"/>
      <w:szCs w:val="24"/>
    </w:rPr>
  </w:style>
  <w:style w:type="paragraph" w:customStyle="1" w:styleId="319">
    <w:name w:val="样式 标题 4条 2[三级节名]点标题H4H41第三层条小小节河石管道4标题 4 Char Char款标题1...3"/>
    <w:basedOn w:val="10"/>
    <w:link w:val="318"/>
    <w:semiHidden/>
    <w:qFormat/>
    <w:uiPriority w:val="0"/>
    <w:pPr>
      <w:spacing w:beforeLines="50" w:afterLines="50"/>
    </w:pPr>
    <w:rPr>
      <w:rFonts w:cs="Times New Roman"/>
      <w:color w:val="000000"/>
      <w:kern w:val="24"/>
      <w:szCs w:val="24"/>
      <w:lang w:eastAsia="zh-CN"/>
    </w:rPr>
  </w:style>
  <w:style w:type="character" w:customStyle="1" w:styleId="320">
    <w:name w:val="L-正文 Char"/>
    <w:link w:val="321"/>
    <w:qFormat/>
    <w:locked/>
    <w:uiPriority w:val="0"/>
    <w:rPr>
      <w:rFonts w:ascii="宋体" w:hAnsi="宋体"/>
      <w:b/>
      <w:color w:val="000000"/>
      <w:kern w:val="2"/>
      <w:sz w:val="28"/>
      <w:szCs w:val="28"/>
    </w:rPr>
  </w:style>
  <w:style w:type="paragraph" w:customStyle="1" w:styleId="321">
    <w:name w:val="L-正文"/>
    <w:basedOn w:val="1"/>
    <w:link w:val="320"/>
    <w:qFormat/>
    <w:uiPriority w:val="0"/>
    <w:pPr>
      <w:ind w:firstLine="538" w:firstLineChars="192"/>
    </w:pPr>
    <w:rPr>
      <w:rFonts w:ascii="宋体" w:hAnsi="宋体" w:cs="Times New Roman"/>
      <w:b/>
      <w:color w:val="000000"/>
      <w:kern w:val="2"/>
      <w:sz w:val="28"/>
      <w:szCs w:val="28"/>
      <w:lang w:eastAsia="zh-CN"/>
    </w:rPr>
  </w:style>
  <w:style w:type="paragraph" w:customStyle="1" w:styleId="322">
    <w:name w:val="表格内容5"/>
    <w:basedOn w:val="1"/>
    <w:next w:val="1"/>
    <w:qFormat/>
    <w:uiPriority w:val="0"/>
    <w:pPr>
      <w:spacing w:before="40" w:after="60" w:line="200" w:lineRule="atLeast"/>
    </w:pPr>
    <w:rPr>
      <w:rFonts w:ascii="Arial" w:hAnsi="Arial" w:eastAsia="仿宋_GB2312" w:cs="Times New Roman"/>
      <w:sz w:val="21"/>
      <w:szCs w:val="20"/>
      <w:lang w:eastAsia="zh-CN"/>
    </w:rPr>
  </w:style>
  <w:style w:type="paragraph" w:customStyle="1" w:styleId="323">
    <w:name w:val="Char Char1 Char Char Char Char Char Char"/>
    <w:basedOn w:val="1"/>
    <w:qFormat/>
    <w:uiPriority w:val="0"/>
    <w:pPr>
      <w:widowControl/>
      <w:spacing w:after="160" w:line="240" w:lineRule="exact"/>
    </w:pPr>
    <w:rPr>
      <w:rFonts w:ascii="宋体" w:hAnsi="宋体" w:cs="Times New Roman"/>
      <w:sz w:val="21"/>
      <w:szCs w:val="20"/>
      <w:lang w:eastAsia="zh-CN"/>
    </w:rPr>
  </w:style>
  <w:style w:type="paragraph" w:customStyle="1" w:styleId="324">
    <w:name w:val="xl7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cs="Times New Roman"/>
      <w:szCs w:val="20"/>
      <w:lang w:eastAsia="zh-CN"/>
    </w:rPr>
  </w:style>
  <w:style w:type="paragraph" w:customStyle="1" w:styleId="325">
    <w:name w:val="CM34"/>
    <w:basedOn w:val="26"/>
    <w:next w:val="26"/>
    <w:qFormat/>
    <w:uiPriority w:val="0"/>
    <w:pPr>
      <w:spacing w:after="253"/>
    </w:pPr>
    <w:rPr>
      <w:rFonts w:ascii="黑体" w:hAnsi="Times New Roman" w:eastAsia="黑体" w:cs="Times New Roman"/>
      <w:color w:val="auto"/>
    </w:rPr>
  </w:style>
  <w:style w:type="paragraph" w:customStyle="1" w:styleId="326">
    <w:name w:val="分标题"/>
    <w:basedOn w:val="1"/>
    <w:next w:val="1"/>
    <w:qFormat/>
    <w:uiPriority w:val="0"/>
    <w:pPr>
      <w:widowControl/>
      <w:spacing w:beforeLines="50" w:line="480" w:lineRule="atLeast"/>
      <w:ind w:firstLine="560"/>
    </w:pPr>
    <w:rPr>
      <w:rFonts w:ascii="宋体" w:hAnsi="宋体" w:cs="Times New Roman"/>
      <w:color w:val="000000"/>
      <w:sz w:val="28"/>
      <w:szCs w:val="28"/>
      <w:lang w:eastAsia="zh-CN"/>
    </w:rPr>
  </w:style>
  <w:style w:type="paragraph" w:customStyle="1" w:styleId="327">
    <w:name w:val="图"/>
    <w:basedOn w:val="25"/>
    <w:qFormat/>
    <w:uiPriority w:val="0"/>
    <w:pPr>
      <w:adjustRightInd w:val="0"/>
      <w:spacing w:after="0" w:line="288" w:lineRule="auto"/>
      <w:jc w:val="center"/>
    </w:pPr>
    <w:rPr>
      <w:rFonts w:ascii="黑体" w:hAnsi="宋体" w:eastAsia="黑体" w:cs="Times New Roman"/>
      <w:b/>
      <w:sz w:val="21"/>
      <w:szCs w:val="20"/>
      <w:lang w:eastAsia="zh-CN"/>
    </w:rPr>
  </w:style>
  <w:style w:type="character" w:customStyle="1" w:styleId="328">
    <w:name w:val="样式12q Char"/>
    <w:link w:val="329"/>
    <w:qFormat/>
    <w:locked/>
    <w:uiPriority w:val="0"/>
    <w:rPr>
      <w:kern w:val="2"/>
      <w:sz w:val="28"/>
      <w:szCs w:val="28"/>
    </w:rPr>
  </w:style>
  <w:style w:type="paragraph" w:customStyle="1" w:styleId="329">
    <w:name w:val="样式12q"/>
    <w:basedOn w:val="1"/>
    <w:link w:val="328"/>
    <w:qFormat/>
    <w:uiPriority w:val="0"/>
    <w:pPr>
      <w:ind w:firstLine="560"/>
    </w:pPr>
    <w:rPr>
      <w:rFonts w:cs="Times New Roman"/>
      <w:kern w:val="2"/>
      <w:sz w:val="28"/>
      <w:szCs w:val="28"/>
      <w:lang w:eastAsia="zh-CN"/>
    </w:rPr>
  </w:style>
  <w:style w:type="paragraph" w:customStyle="1" w:styleId="330">
    <w:name w:val="威顿报告正文"/>
    <w:basedOn w:val="1"/>
    <w:qFormat/>
    <w:uiPriority w:val="0"/>
    <w:pPr>
      <w:adjustRightInd w:val="0"/>
      <w:snapToGrid w:val="0"/>
      <w:spacing w:beforeLines="25" w:line="440" w:lineRule="exact"/>
    </w:pPr>
    <w:rPr>
      <w:rFonts w:ascii="宋体" w:hAnsi="宋体" w:cs="Times New Roman"/>
      <w:color w:val="000000"/>
      <w:szCs w:val="20"/>
      <w:lang w:eastAsia="zh-CN"/>
    </w:rPr>
  </w:style>
  <w:style w:type="paragraph" w:customStyle="1" w:styleId="331">
    <w:name w:val="Body Text 21"/>
    <w:basedOn w:val="1"/>
    <w:qFormat/>
    <w:uiPriority w:val="0"/>
    <w:pPr>
      <w:adjustRightInd w:val="0"/>
    </w:pPr>
    <w:rPr>
      <w:rFonts w:ascii="宋体" w:hAnsi="宋体" w:eastAsia="仿宋体" w:cs="Times New Roman"/>
      <w:szCs w:val="20"/>
      <w:lang w:eastAsia="zh-CN"/>
    </w:rPr>
  </w:style>
  <w:style w:type="paragraph" w:customStyle="1" w:styleId="332">
    <w:name w:val="表蕊"/>
    <w:basedOn w:val="1"/>
    <w:qFormat/>
    <w:uiPriority w:val="0"/>
    <w:pPr>
      <w:adjustRightInd w:val="0"/>
      <w:spacing w:line="320" w:lineRule="atLeast"/>
    </w:pPr>
    <w:rPr>
      <w:rFonts w:ascii="宋体" w:hAnsi="宋体" w:eastAsia="楷体_GB2312" w:cs="Times New Roman"/>
      <w:spacing w:val="-10"/>
      <w:sz w:val="21"/>
      <w:szCs w:val="20"/>
      <w:lang w:eastAsia="zh-CN"/>
    </w:rPr>
  </w:style>
  <w:style w:type="paragraph" w:customStyle="1" w:styleId="333">
    <w:name w:val="CM7"/>
    <w:basedOn w:val="26"/>
    <w:next w:val="26"/>
    <w:qFormat/>
    <w:uiPriority w:val="0"/>
    <w:pPr>
      <w:spacing w:line="280" w:lineRule="atLeast"/>
    </w:pPr>
    <w:rPr>
      <w:rFonts w:hAnsi="Times New Roman" w:cs="Times New Roman"/>
      <w:color w:val="auto"/>
    </w:rPr>
  </w:style>
  <w:style w:type="paragraph" w:customStyle="1" w:styleId="334">
    <w:name w:val="样式 文章正文 + (符号) 宋体 首行缩进:  2 字符"/>
    <w:basedOn w:val="261"/>
    <w:qFormat/>
    <w:uiPriority w:val="0"/>
    <w:pPr>
      <w:ind w:firstLine="480"/>
    </w:pPr>
    <w:rPr>
      <w:rFonts w:eastAsia="Times New Roman" w:cs="宋体"/>
      <w:szCs w:val="20"/>
    </w:rPr>
  </w:style>
  <w:style w:type="character" w:customStyle="1" w:styleId="335">
    <w:name w:val="yyp Char Char"/>
    <w:link w:val="336"/>
    <w:qFormat/>
    <w:locked/>
    <w:uiPriority w:val="0"/>
    <w:rPr>
      <w:rFonts w:ascii="Calibri" w:hAnsi="Calibri" w:cs="Calibri"/>
      <w:sz w:val="24"/>
    </w:rPr>
  </w:style>
  <w:style w:type="paragraph" w:customStyle="1" w:styleId="336">
    <w:name w:val="yyp"/>
    <w:basedOn w:val="1"/>
    <w:link w:val="335"/>
    <w:qFormat/>
    <w:uiPriority w:val="0"/>
    <w:pPr>
      <w:spacing w:after="120"/>
      <w:ind w:firstLine="480"/>
    </w:pPr>
    <w:rPr>
      <w:rFonts w:ascii="Calibri" w:hAnsi="Calibri" w:cs="Calibri"/>
      <w:szCs w:val="20"/>
      <w:lang w:eastAsia="zh-CN"/>
    </w:rPr>
  </w:style>
  <w:style w:type="character" w:customStyle="1" w:styleId="337">
    <w:name w:val="陈正文 Char Char"/>
    <w:link w:val="338"/>
    <w:qFormat/>
    <w:locked/>
    <w:uiPriority w:val="0"/>
    <w:rPr>
      <w:rFonts w:ascii="仿宋_GB2312" w:eastAsia="仿宋_GB2312"/>
      <w:color w:val="FF0000"/>
      <w:kern w:val="2"/>
      <w:sz w:val="28"/>
      <w:szCs w:val="24"/>
      <w:lang w:val="zh-CN"/>
    </w:rPr>
  </w:style>
  <w:style w:type="paragraph" w:customStyle="1" w:styleId="338">
    <w:name w:val="陈正文"/>
    <w:basedOn w:val="1"/>
    <w:next w:val="1"/>
    <w:link w:val="337"/>
    <w:qFormat/>
    <w:uiPriority w:val="0"/>
    <w:pPr>
      <w:ind w:firstLine="560"/>
    </w:pPr>
    <w:rPr>
      <w:rFonts w:ascii="仿宋_GB2312" w:eastAsia="仿宋_GB2312" w:cs="Times New Roman"/>
      <w:color w:val="FF0000"/>
      <w:kern w:val="2"/>
      <w:sz w:val="28"/>
      <w:lang w:val="zh-CN" w:eastAsia="zh-CN"/>
    </w:rPr>
  </w:style>
  <w:style w:type="paragraph" w:customStyle="1" w:styleId="339">
    <w:name w:val="Char Char Char Char Char Char Char"/>
    <w:basedOn w:val="1"/>
    <w:qFormat/>
    <w:uiPriority w:val="0"/>
    <w:pPr>
      <w:widowControl/>
      <w:spacing w:after="160" w:line="240" w:lineRule="exact"/>
    </w:pPr>
    <w:rPr>
      <w:rFonts w:ascii="Verdana" w:hAnsi="Verdana" w:cs="Times New Roman"/>
      <w:sz w:val="20"/>
      <w:szCs w:val="20"/>
    </w:rPr>
  </w:style>
  <w:style w:type="paragraph" w:customStyle="1" w:styleId="340">
    <w:name w:val="表名"/>
    <w:basedOn w:val="1"/>
    <w:qFormat/>
    <w:uiPriority w:val="0"/>
    <w:pPr>
      <w:overflowPunct w:val="0"/>
      <w:spacing w:before="120"/>
    </w:pPr>
    <w:rPr>
      <w:rFonts w:ascii="Arial" w:hAnsi="Arial" w:eastAsia="黑体" w:cs="Times New Roman"/>
      <w:szCs w:val="20"/>
      <w:lang w:eastAsia="zh-CN"/>
    </w:rPr>
  </w:style>
  <w:style w:type="paragraph" w:customStyle="1" w:styleId="341">
    <w:name w:val="公式"/>
    <w:basedOn w:val="1"/>
    <w:next w:val="1"/>
    <w:qFormat/>
    <w:uiPriority w:val="0"/>
    <w:pPr>
      <w:adjustRightInd w:val="0"/>
      <w:snapToGrid w:val="0"/>
      <w:jc w:val="center"/>
    </w:pPr>
    <w:rPr>
      <w:rFonts w:ascii="宋体" w:hAnsi="宋体" w:cs="Times New Roman"/>
      <w:sz w:val="21"/>
      <w:szCs w:val="20"/>
      <w:lang w:eastAsia="zh-CN"/>
    </w:rPr>
  </w:style>
  <w:style w:type="character" w:customStyle="1" w:styleId="342">
    <w:name w:val="表题 Char Char Char"/>
    <w:link w:val="343"/>
    <w:qFormat/>
    <w:locked/>
    <w:uiPriority w:val="0"/>
    <w:rPr>
      <w:rFonts w:ascii="黑体" w:hAnsi="黑体" w:eastAsia="黑体"/>
      <w:b/>
      <w:bCs/>
      <w:kern w:val="2"/>
      <w:sz w:val="24"/>
      <w:szCs w:val="24"/>
    </w:rPr>
  </w:style>
  <w:style w:type="paragraph" w:customStyle="1" w:styleId="343">
    <w:name w:val="表题 Char Char"/>
    <w:basedOn w:val="1"/>
    <w:link w:val="342"/>
    <w:qFormat/>
    <w:uiPriority w:val="0"/>
    <w:pPr>
      <w:jc w:val="center"/>
    </w:pPr>
    <w:rPr>
      <w:rFonts w:ascii="黑体" w:hAnsi="黑体" w:eastAsia="黑体" w:cs="Times New Roman"/>
      <w:b/>
      <w:bCs/>
      <w:kern w:val="2"/>
      <w:lang w:eastAsia="zh-CN"/>
    </w:rPr>
  </w:style>
  <w:style w:type="paragraph" w:customStyle="1" w:styleId="344">
    <w:name w:val="样式 小四 加粗 居中"/>
    <w:basedOn w:val="1"/>
    <w:qFormat/>
    <w:uiPriority w:val="0"/>
    <w:pPr>
      <w:jc w:val="center"/>
    </w:pPr>
    <w:rPr>
      <w:rFonts w:ascii="宋体" w:hAnsi="宋体" w:eastAsia="黑体" w:cs="宋体"/>
      <w:b/>
      <w:bCs/>
      <w:szCs w:val="20"/>
      <w:lang w:eastAsia="zh-CN"/>
    </w:rPr>
  </w:style>
  <w:style w:type="paragraph" w:customStyle="1" w:styleId="345">
    <w:name w:val="标题W2"/>
    <w:basedOn w:val="1"/>
    <w:qFormat/>
    <w:uiPriority w:val="0"/>
    <w:pPr>
      <w:autoSpaceDE w:val="0"/>
      <w:autoSpaceDN w:val="0"/>
      <w:adjustRightInd w:val="0"/>
      <w:spacing w:before="120" w:after="120" w:line="240" w:lineRule="atLeast"/>
    </w:pPr>
    <w:rPr>
      <w:rFonts w:ascii="Arial" w:hAnsi="Arial" w:eastAsia="仿宋_GB2312" w:cs="Times New Roman"/>
      <w:szCs w:val="20"/>
      <w:lang w:eastAsia="zh-CN"/>
    </w:rPr>
  </w:style>
  <w:style w:type="paragraph" w:customStyle="1" w:styleId="346">
    <w:name w:val="Char1 Char Char Char Char Char"/>
    <w:basedOn w:val="1"/>
    <w:qFormat/>
    <w:uiPriority w:val="0"/>
    <w:rPr>
      <w:rFonts w:ascii="宋体" w:hAnsi="宋体" w:cs="Times New Roman"/>
      <w:sz w:val="21"/>
      <w:szCs w:val="20"/>
      <w:lang w:eastAsia="zh-CN"/>
    </w:rPr>
  </w:style>
  <w:style w:type="paragraph" w:customStyle="1" w:styleId="347">
    <w:name w:val="样式 正文文本"/>
    <w:basedOn w:val="25"/>
    <w:qFormat/>
    <w:uiPriority w:val="0"/>
    <w:pPr>
      <w:adjustRightInd w:val="0"/>
      <w:snapToGrid w:val="0"/>
      <w:spacing w:after="0"/>
    </w:pPr>
    <w:rPr>
      <w:rFonts w:ascii="宋体" w:hAnsi="宋体" w:eastAsia="楷体_GB2312" w:cs="宋体"/>
      <w:szCs w:val="20"/>
      <w:lang w:eastAsia="zh-CN"/>
    </w:rPr>
  </w:style>
  <w:style w:type="paragraph" w:customStyle="1" w:styleId="348">
    <w:name w:val="xl7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Courier New" w:hAnsi="Courier New" w:eastAsia="Arial Unicode MS" w:cs="Times New Roman"/>
      <w:b/>
      <w:bCs/>
      <w:szCs w:val="20"/>
      <w:lang w:eastAsia="zh-CN"/>
    </w:rPr>
  </w:style>
  <w:style w:type="paragraph" w:customStyle="1" w:styleId="349">
    <w:name w:val="刘2"/>
    <w:basedOn w:val="8"/>
    <w:qFormat/>
    <w:uiPriority w:val="0"/>
    <w:pPr>
      <w:tabs>
        <w:tab w:val="left" w:pos="576"/>
      </w:tabs>
      <w:spacing w:before="0" w:beforeLines="50" w:after="0" w:afterLines="50" w:line="240" w:lineRule="auto"/>
      <w:ind w:left="576" w:hanging="576"/>
    </w:pPr>
    <w:rPr>
      <w:rFonts w:ascii="黑体" w:hAnsi="Arial" w:cs="Times New Roman"/>
      <w:kern w:val="2"/>
      <w:lang w:eastAsia="zh-CN"/>
    </w:rPr>
  </w:style>
  <w:style w:type="paragraph" w:customStyle="1" w:styleId="350">
    <w:name w:val="表格样式1"/>
    <w:basedOn w:val="1"/>
    <w:qFormat/>
    <w:uiPriority w:val="0"/>
    <w:pPr>
      <w:adjustRightInd w:val="0"/>
      <w:spacing w:line="20" w:lineRule="atLeast"/>
      <w:jc w:val="center"/>
    </w:pPr>
    <w:rPr>
      <w:rFonts w:ascii="宋体" w:hAnsi="宋体" w:cs="Times New Roman"/>
      <w:sz w:val="21"/>
      <w:szCs w:val="20"/>
      <w:lang w:eastAsia="zh-CN"/>
    </w:rPr>
  </w:style>
  <w:style w:type="paragraph" w:customStyle="1" w:styleId="351">
    <w:name w:val="表格内字体"/>
    <w:basedOn w:val="1"/>
    <w:qFormat/>
    <w:uiPriority w:val="0"/>
    <w:pPr>
      <w:adjustRightInd w:val="0"/>
      <w:snapToGrid w:val="0"/>
      <w:jc w:val="center"/>
    </w:pPr>
    <w:rPr>
      <w:rFonts w:ascii="宋体" w:hAnsi="宋体" w:cs="Times New Roman"/>
      <w:sz w:val="21"/>
      <w:szCs w:val="20"/>
      <w:lang w:eastAsia="zh-CN"/>
    </w:rPr>
  </w:style>
  <w:style w:type="paragraph" w:customStyle="1" w:styleId="352">
    <w:name w:val="日期2"/>
    <w:basedOn w:val="1"/>
    <w:next w:val="1"/>
    <w:qFormat/>
    <w:uiPriority w:val="0"/>
    <w:pPr>
      <w:adjustRightInd w:val="0"/>
    </w:pPr>
    <w:rPr>
      <w:rFonts w:ascii="宋体" w:hAnsi="宋体" w:cs="Times New Roman"/>
      <w:sz w:val="21"/>
      <w:szCs w:val="20"/>
      <w:lang w:eastAsia="zh-CN"/>
    </w:rPr>
  </w:style>
  <w:style w:type="paragraph" w:customStyle="1" w:styleId="353">
    <w:name w:val="列出段落"/>
    <w:basedOn w:val="1"/>
    <w:qFormat/>
    <w:uiPriority w:val="0"/>
    <w:pPr>
      <w:spacing w:line="300" w:lineRule="auto"/>
      <w:ind w:firstLine="420"/>
    </w:pPr>
    <w:rPr>
      <w:rFonts w:ascii="宋体" w:hAnsi="宋体" w:cs="Times New Roman"/>
      <w:szCs w:val="20"/>
      <w:lang w:eastAsia="zh-CN"/>
    </w:rPr>
  </w:style>
  <w:style w:type="paragraph" w:customStyle="1" w:styleId="354">
    <w:name w:val="xl749"/>
    <w:basedOn w:val="1"/>
    <w:qFormat/>
    <w:uiPriority w:val="0"/>
    <w:pPr>
      <w:widowControl/>
      <w:spacing w:before="100" w:beforeAutospacing="1" w:after="100" w:afterAutospacing="1"/>
      <w:jc w:val="center"/>
    </w:pPr>
    <w:rPr>
      <w:rFonts w:ascii="Courier New" w:hAnsi="Courier New" w:eastAsia="Arial Unicode MS" w:cs="Times New Roman"/>
      <w:b/>
      <w:bCs/>
      <w:sz w:val="44"/>
      <w:szCs w:val="44"/>
      <w:lang w:eastAsia="zh-CN"/>
    </w:rPr>
  </w:style>
  <w:style w:type="paragraph" w:customStyle="1" w:styleId="355">
    <w:name w:val="正文样式"/>
    <w:basedOn w:val="1"/>
    <w:qFormat/>
    <w:uiPriority w:val="0"/>
    <w:pPr>
      <w:ind w:firstLine="480"/>
    </w:pPr>
    <w:rPr>
      <w:rFonts w:ascii="宋体" w:hAnsi="宋体" w:cs="Times New Roman"/>
      <w:lang w:eastAsia="zh-CN"/>
    </w:rPr>
  </w:style>
  <w:style w:type="paragraph" w:customStyle="1" w:styleId="356">
    <w:name w:val="注"/>
    <w:basedOn w:val="1"/>
    <w:next w:val="1"/>
    <w:qFormat/>
    <w:uiPriority w:val="0"/>
    <w:pPr>
      <w:widowControl/>
      <w:spacing w:before="60" w:after="60" w:line="312" w:lineRule="auto"/>
    </w:pPr>
    <w:rPr>
      <w:rFonts w:ascii="宋体" w:hAnsi="宋体" w:eastAsia="黑体" w:cs="Times New Roman"/>
      <w:sz w:val="21"/>
      <w:szCs w:val="21"/>
      <w:lang w:eastAsia="zh-CN"/>
    </w:rPr>
  </w:style>
  <w:style w:type="paragraph" w:customStyle="1" w:styleId="357">
    <w:name w:val="xl7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Courier New" w:hAnsi="Courier New" w:eastAsia="Arial Unicode MS" w:cs="Times New Roman"/>
      <w:szCs w:val="20"/>
      <w:lang w:eastAsia="zh-CN"/>
    </w:rPr>
  </w:style>
  <w:style w:type="paragraph" w:customStyle="1" w:styleId="358">
    <w:name w:val="xl27"/>
    <w:basedOn w:val="1"/>
    <w:qFormat/>
    <w:uiPriority w:val="0"/>
    <w:pPr>
      <w:widowControl/>
      <w:pBdr>
        <w:bottom w:val="single" w:color="auto" w:sz="4" w:space="0"/>
        <w:right w:val="single" w:color="auto" w:sz="4" w:space="0"/>
      </w:pBdr>
      <w:spacing w:before="100" w:beforeAutospacing="1" w:after="100" w:afterAutospacing="1"/>
    </w:pPr>
    <w:rPr>
      <w:rFonts w:ascii="Courier New" w:hAnsi="Courier New" w:eastAsia="Arial Unicode MS" w:cs="Courier New"/>
      <w:szCs w:val="20"/>
      <w:lang w:eastAsia="zh-CN"/>
    </w:rPr>
  </w:style>
  <w:style w:type="paragraph" w:customStyle="1" w:styleId="359">
    <w:name w:val="6"/>
    <w:basedOn w:val="1"/>
    <w:next w:val="25"/>
    <w:qFormat/>
    <w:uiPriority w:val="0"/>
    <w:rPr>
      <w:rFonts w:ascii="宋体" w:hAnsi="宋体" w:cs="Times New Roman"/>
      <w:sz w:val="21"/>
      <w:szCs w:val="20"/>
      <w:lang w:eastAsia="zh-CN"/>
    </w:rPr>
  </w:style>
  <w:style w:type="paragraph" w:customStyle="1" w:styleId="360">
    <w:name w:val="xl32"/>
    <w:basedOn w:val="1"/>
    <w:qFormat/>
    <w:uiPriority w:val="0"/>
    <w:pPr>
      <w:widowControl/>
      <w:spacing w:before="100" w:beforeAutospacing="1" w:after="100" w:afterAutospacing="1"/>
      <w:jc w:val="center"/>
    </w:pPr>
    <w:rPr>
      <w:rFonts w:ascii="Arial Unicode MS" w:hAnsi="Arial Unicode MS" w:eastAsia="Arial Unicode MS" w:cs="Arial Unicode MS"/>
      <w:sz w:val="20"/>
      <w:szCs w:val="20"/>
      <w:lang w:eastAsia="zh-CN"/>
    </w:rPr>
  </w:style>
  <w:style w:type="paragraph" w:customStyle="1" w:styleId="361">
    <w:name w:val="小四表文左齐"/>
    <w:basedOn w:val="1"/>
    <w:qFormat/>
    <w:uiPriority w:val="0"/>
    <w:pPr>
      <w:jc w:val="center"/>
    </w:pPr>
    <w:rPr>
      <w:rFonts w:ascii="仿宋_GB2312" w:hAnsi="宋体" w:eastAsia="仿宋_GB2312" w:cs="Times New Roman"/>
      <w:szCs w:val="20"/>
      <w:lang w:eastAsia="zh-CN"/>
    </w:rPr>
  </w:style>
  <w:style w:type="character" w:customStyle="1" w:styleId="362">
    <w:name w:val="表号 Char Char"/>
    <w:link w:val="363"/>
    <w:qFormat/>
    <w:locked/>
    <w:uiPriority w:val="0"/>
    <w:rPr>
      <w:rFonts w:ascii="Arial" w:hAnsi="Arial" w:cs="Arial"/>
      <w:kern w:val="2"/>
      <w:sz w:val="21"/>
      <w:szCs w:val="24"/>
    </w:rPr>
  </w:style>
  <w:style w:type="paragraph" w:customStyle="1" w:styleId="363">
    <w:name w:val="表号 Char"/>
    <w:next w:val="364"/>
    <w:link w:val="362"/>
    <w:qFormat/>
    <w:uiPriority w:val="0"/>
    <w:pPr>
      <w:adjustRightInd w:val="0"/>
      <w:snapToGrid w:val="0"/>
      <w:spacing w:line="360" w:lineRule="auto"/>
      <w:jc w:val="right"/>
    </w:pPr>
    <w:rPr>
      <w:rFonts w:ascii="Arial" w:hAnsi="Arial" w:eastAsia="宋体" w:cs="Arial"/>
      <w:kern w:val="2"/>
      <w:sz w:val="21"/>
      <w:szCs w:val="24"/>
      <w:lang w:val="en-US" w:eastAsia="zh-CN" w:bidi="ar-SA"/>
    </w:rPr>
  </w:style>
  <w:style w:type="paragraph" w:customStyle="1" w:styleId="364">
    <w:name w:val="表文字"/>
    <w:basedOn w:val="1"/>
    <w:link w:val="365"/>
    <w:qFormat/>
    <w:uiPriority w:val="0"/>
    <w:pPr>
      <w:topLinePunct/>
      <w:adjustRightInd w:val="0"/>
      <w:spacing w:line="240" w:lineRule="exact"/>
      <w:jc w:val="center"/>
    </w:pPr>
    <w:rPr>
      <w:rFonts w:cs="Times New Roman"/>
      <w:kern w:val="2"/>
      <w:sz w:val="21"/>
      <w:szCs w:val="21"/>
      <w:lang w:eastAsia="zh-CN"/>
    </w:rPr>
  </w:style>
  <w:style w:type="character" w:customStyle="1" w:styleId="365">
    <w:name w:val="表文字 Char1"/>
    <w:link w:val="364"/>
    <w:qFormat/>
    <w:locked/>
    <w:uiPriority w:val="0"/>
    <w:rPr>
      <w:kern w:val="2"/>
      <w:sz w:val="21"/>
      <w:szCs w:val="21"/>
    </w:rPr>
  </w:style>
  <w:style w:type="paragraph" w:customStyle="1" w:styleId="366">
    <w:name w:val="字元 字元 字元 字元"/>
    <w:basedOn w:val="1"/>
    <w:qFormat/>
    <w:uiPriority w:val="0"/>
    <w:pPr>
      <w:widowControl/>
      <w:spacing w:after="160" w:line="240" w:lineRule="exact"/>
    </w:pPr>
    <w:rPr>
      <w:rFonts w:ascii="Verdana" w:hAnsi="Verdana" w:eastAsia="仿宋_GB2312" w:cs="Verdana"/>
      <w:color w:val="000000"/>
      <w:szCs w:val="20"/>
    </w:rPr>
  </w:style>
  <w:style w:type="paragraph" w:customStyle="1" w:styleId="367">
    <w:name w:val="xl7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Courier New" w:hAnsi="Courier New" w:eastAsia="Arial Unicode MS" w:cs="Times New Roman"/>
      <w:szCs w:val="20"/>
      <w:lang w:eastAsia="zh-CN"/>
    </w:rPr>
  </w:style>
  <w:style w:type="paragraph" w:customStyle="1" w:styleId="368">
    <w:name w:val="xl7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Courier New" w:hAnsi="Courier New" w:eastAsia="Arial Unicode MS" w:cs="Times New Roman"/>
      <w:szCs w:val="20"/>
      <w:lang w:eastAsia="zh-CN"/>
    </w:rPr>
  </w:style>
  <w:style w:type="paragraph" w:customStyle="1" w:styleId="369">
    <w:name w:val="项目"/>
    <w:basedOn w:val="1"/>
    <w:qFormat/>
    <w:uiPriority w:val="0"/>
    <w:pPr>
      <w:tabs>
        <w:tab w:val="left" w:pos="900"/>
      </w:tabs>
      <w:ind w:left="900" w:hanging="420"/>
    </w:pPr>
    <w:rPr>
      <w:rFonts w:ascii="宋体" w:hAnsi="宋体" w:cs="Times New Roman"/>
      <w:szCs w:val="20"/>
      <w:lang w:eastAsia="zh-CN"/>
    </w:rPr>
  </w:style>
  <w:style w:type="paragraph" w:customStyle="1" w:styleId="370">
    <w:name w:val="Char Char Char Char Char Char Char Char Char"/>
    <w:basedOn w:val="1"/>
    <w:qFormat/>
    <w:uiPriority w:val="0"/>
    <w:pPr>
      <w:widowControl/>
      <w:spacing w:after="160" w:line="240" w:lineRule="exact"/>
    </w:pPr>
    <w:rPr>
      <w:rFonts w:ascii="Verdana" w:hAnsi="Verdana" w:eastAsia="仿宋_GB2312" w:cs="Times New Roman"/>
      <w:szCs w:val="20"/>
    </w:rPr>
  </w:style>
  <w:style w:type="paragraph" w:customStyle="1" w:styleId="371">
    <w:name w:val="表格里"/>
    <w:basedOn w:val="1"/>
    <w:qFormat/>
    <w:uiPriority w:val="0"/>
    <w:pPr>
      <w:adjustRightInd w:val="0"/>
      <w:snapToGrid w:val="0"/>
      <w:jc w:val="center"/>
    </w:pPr>
    <w:rPr>
      <w:rFonts w:ascii="宋体" w:hAnsi="宋体" w:cs="宋体"/>
      <w:sz w:val="21"/>
      <w:szCs w:val="20"/>
      <w:lang w:eastAsia="zh-CN"/>
    </w:rPr>
  </w:style>
  <w:style w:type="paragraph" w:customStyle="1" w:styleId="372">
    <w:name w:val="样式2－表格"/>
    <w:basedOn w:val="1"/>
    <w:qFormat/>
    <w:uiPriority w:val="0"/>
    <w:pPr>
      <w:autoSpaceDE w:val="0"/>
      <w:autoSpaceDN w:val="0"/>
      <w:adjustRightInd w:val="0"/>
      <w:snapToGrid w:val="0"/>
      <w:spacing w:line="300" w:lineRule="auto"/>
    </w:pPr>
    <w:rPr>
      <w:rFonts w:ascii="宋体" w:hAnsi="宋体" w:cs="Times New Roman"/>
      <w:color w:val="000000"/>
      <w:sz w:val="21"/>
      <w:szCs w:val="20"/>
      <w:lang w:eastAsia="zh-CN"/>
    </w:rPr>
  </w:style>
  <w:style w:type="paragraph" w:customStyle="1" w:styleId="373">
    <w:name w:val="2"/>
    <w:basedOn w:val="1"/>
    <w:qFormat/>
    <w:uiPriority w:val="0"/>
    <w:pPr>
      <w:widowControl/>
      <w:spacing w:after="160" w:line="240" w:lineRule="exact"/>
    </w:pPr>
    <w:rPr>
      <w:rFonts w:ascii="Verdana" w:hAnsi="Verdana" w:eastAsia="仿宋_GB2312" w:cs="Times New Roman"/>
      <w:szCs w:val="20"/>
    </w:rPr>
  </w:style>
  <w:style w:type="paragraph" w:customStyle="1" w:styleId="374">
    <w:name w:val="表格标题"/>
    <w:basedOn w:val="1"/>
    <w:qFormat/>
    <w:uiPriority w:val="0"/>
    <w:pPr>
      <w:tabs>
        <w:tab w:val="left" w:pos="902"/>
      </w:tabs>
      <w:adjustRightInd w:val="0"/>
      <w:snapToGrid w:val="0"/>
      <w:ind w:left="902" w:hanging="420"/>
      <w:jc w:val="center"/>
    </w:pPr>
    <w:rPr>
      <w:rFonts w:ascii="宋体" w:hAnsi="宋体" w:cs="Times New Roman"/>
      <w:szCs w:val="20"/>
      <w:lang w:eastAsia="zh-CN"/>
    </w:rPr>
  </w:style>
  <w:style w:type="paragraph" w:customStyle="1" w:styleId="375">
    <w:name w:val="标题1"/>
    <w:basedOn w:val="7"/>
    <w:qFormat/>
    <w:uiPriority w:val="0"/>
    <w:pPr>
      <w:tabs>
        <w:tab w:val="left" w:pos="0"/>
      </w:tabs>
    </w:pPr>
    <w:rPr>
      <w:rFonts w:ascii="Times New Roman" w:hAnsi="Times New Roman" w:eastAsia="楷体_GB2312" w:cs="Times New Roman"/>
      <w:lang w:eastAsia="zh-CN"/>
    </w:rPr>
  </w:style>
  <w:style w:type="paragraph" w:customStyle="1" w:styleId="376">
    <w:name w:val="hb3"/>
    <w:basedOn w:val="9"/>
    <w:qFormat/>
    <w:uiPriority w:val="0"/>
    <w:pPr>
      <w:spacing w:before="360" w:after="360" w:line="240" w:lineRule="auto"/>
    </w:pPr>
    <w:rPr>
      <w:b w:val="0"/>
      <w:bCs/>
      <w:color w:val="auto"/>
    </w:rPr>
  </w:style>
  <w:style w:type="paragraph" w:customStyle="1" w:styleId="377">
    <w:name w:val="列表段落1"/>
    <w:basedOn w:val="1"/>
    <w:qFormat/>
    <w:uiPriority w:val="0"/>
    <w:rPr>
      <w:rFonts w:ascii="Calibri" w:hAnsi="Calibri" w:cs="Times New Roman"/>
      <w:lang w:eastAsia="zh-CN"/>
    </w:rPr>
  </w:style>
  <w:style w:type="paragraph" w:customStyle="1" w:styleId="378">
    <w:name w:val="pic-info"/>
    <w:basedOn w:val="1"/>
    <w:qFormat/>
    <w:uiPriority w:val="0"/>
    <w:pPr>
      <w:widowControl/>
      <w:spacing w:before="100" w:beforeAutospacing="1" w:after="100" w:afterAutospacing="1"/>
    </w:pPr>
    <w:rPr>
      <w:rFonts w:ascii="宋体" w:hAnsi="宋体" w:cs="宋体"/>
      <w:szCs w:val="20"/>
      <w:lang w:eastAsia="zh-CN"/>
    </w:rPr>
  </w:style>
  <w:style w:type="paragraph" w:customStyle="1" w:styleId="379">
    <w:name w:val="fang 正文文本"/>
    <w:basedOn w:val="25"/>
    <w:qFormat/>
    <w:uiPriority w:val="0"/>
    <w:pPr>
      <w:adjustRightInd w:val="0"/>
      <w:snapToGrid w:val="0"/>
      <w:spacing w:after="0"/>
    </w:pPr>
    <w:rPr>
      <w:rFonts w:ascii="宋体" w:hAnsi="宋体" w:cs="Times New Roman"/>
      <w:szCs w:val="20"/>
      <w:lang w:eastAsia="zh-CN"/>
    </w:rPr>
  </w:style>
  <w:style w:type="paragraph" w:customStyle="1" w:styleId="380">
    <w:name w:val="MTDisplayEquation"/>
    <w:basedOn w:val="1"/>
    <w:next w:val="1"/>
    <w:qFormat/>
    <w:uiPriority w:val="0"/>
    <w:pPr>
      <w:tabs>
        <w:tab w:val="center" w:pos="4160"/>
        <w:tab w:val="right" w:pos="8300"/>
      </w:tabs>
      <w:spacing w:line="460" w:lineRule="exact"/>
      <w:ind w:firstLine="480"/>
    </w:pPr>
    <w:rPr>
      <w:rFonts w:ascii="宋体" w:hAnsi="Courier New" w:cs="Times New Roman"/>
      <w:szCs w:val="20"/>
      <w:lang w:eastAsia="zh-CN"/>
    </w:rPr>
  </w:style>
  <w:style w:type="paragraph" w:customStyle="1" w:styleId="381">
    <w:name w:val="xl738"/>
    <w:basedOn w:val="1"/>
    <w:qFormat/>
    <w:uiPriority w:val="0"/>
    <w:pPr>
      <w:widowControl/>
      <w:spacing w:before="100" w:beforeAutospacing="1" w:after="100" w:afterAutospacing="1"/>
    </w:pPr>
    <w:rPr>
      <w:rFonts w:ascii="Courier New" w:hAnsi="Courier New" w:eastAsia="Arial Unicode MS" w:cs="Times New Roman"/>
      <w:szCs w:val="20"/>
      <w:lang w:eastAsia="zh-CN"/>
    </w:rPr>
  </w:style>
  <w:style w:type="paragraph" w:customStyle="1" w:styleId="382">
    <w:name w:val="表后文"/>
    <w:basedOn w:val="1"/>
    <w:qFormat/>
    <w:uiPriority w:val="0"/>
    <w:pPr>
      <w:adjustRightInd w:val="0"/>
      <w:spacing w:before="120" w:line="400" w:lineRule="exact"/>
      <w:ind w:firstLine="601"/>
    </w:pPr>
    <w:rPr>
      <w:rFonts w:ascii="宋体" w:hAnsi="宋体" w:eastAsia="楷体_GB2312" w:cs="Times New Roman"/>
      <w:spacing w:val="8"/>
      <w:sz w:val="28"/>
      <w:szCs w:val="20"/>
      <w:lang w:eastAsia="zh-CN"/>
    </w:rPr>
  </w:style>
  <w:style w:type="character" w:customStyle="1" w:styleId="383">
    <w:name w:val="表头 Char Char1 Char Char"/>
    <w:link w:val="384"/>
    <w:qFormat/>
    <w:locked/>
    <w:uiPriority w:val="0"/>
    <w:rPr>
      <w:rFonts w:ascii="华文中宋" w:hAnsi="华文中宋" w:eastAsia="华文中宋"/>
      <w:b/>
      <w:kern w:val="32"/>
      <w:sz w:val="28"/>
      <w:szCs w:val="24"/>
    </w:rPr>
  </w:style>
  <w:style w:type="paragraph" w:customStyle="1" w:styleId="384">
    <w:name w:val="表头 Char Char1 Char"/>
    <w:basedOn w:val="1"/>
    <w:next w:val="385"/>
    <w:link w:val="383"/>
    <w:qFormat/>
    <w:uiPriority w:val="0"/>
    <w:pPr>
      <w:snapToGrid w:val="0"/>
      <w:spacing w:before="60" w:after="60" w:line="480" w:lineRule="exact"/>
      <w:jc w:val="center"/>
    </w:pPr>
    <w:rPr>
      <w:rFonts w:ascii="华文中宋" w:hAnsi="华文中宋" w:eastAsia="华文中宋" w:cs="Times New Roman"/>
      <w:b/>
      <w:kern w:val="32"/>
      <w:sz w:val="28"/>
      <w:lang w:eastAsia="zh-CN"/>
    </w:rPr>
  </w:style>
  <w:style w:type="paragraph" w:customStyle="1" w:styleId="385">
    <w:name w:val="普通文字"/>
    <w:basedOn w:val="1"/>
    <w:qFormat/>
    <w:uiPriority w:val="0"/>
    <w:pPr>
      <w:snapToGrid w:val="0"/>
      <w:spacing w:line="360" w:lineRule="exact"/>
    </w:pPr>
    <w:rPr>
      <w:rFonts w:ascii="宋体" w:hAnsi="宋体" w:cs="Times New Roman"/>
      <w:kern w:val="21"/>
      <w:szCs w:val="20"/>
      <w:lang w:eastAsia="zh-CN"/>
    </w:rPr>
  </w:style>
  <w:style w:type="paragraph" w:customStyle="1" w:styleId="386">
    <w:name w:val="xl56"/>
    <w:basedOn w:val="1"/>
    <w:qFormat/>
    <w:uiPriority w:val="0"/>
    <w:pPr>
      <w:widowControl/>
      <w:spacing w:before="100" w:beforeAutospacing="1" w:after="100" w:afterAutospacing="1"/>
      <w:jc w:val="center"/>
    </w:pPr>
    <w:rPr>
      <w:rFonts w:ascii="宋体" w:hAnsi="宋体" w:cs="Times New Roman"/>
      <w:sz w:val="28"/>
      <w:szCs w:val="28"/>
      <w:lang w:eastAsia="zh-CN"/>
    </w:rPr>
  </w:style>
  <w:style w:type="paragraph" w:customStyle="1" w:styleId="387">
    <w:name w:val="正文缩进（4号宋体）"/>
    <w:basedOn w:val="6"/>
    <w:qFormat/>
    <w:uiPriority w:val="0"/>
    <w:pPr>
      <w:adjustRightInd w:val="0"/>
      <w:spacing w:line="360" w:lineRule="atLeast"/>
      <w:ind w:firstLine="560"/>
    </w:pPr>
    <w:rPr>
      <w:rFonts w:ascii="宋体" w:hAnsi="宋体" w:cs="宋体"/>
      <w:kern w:val="0"/>
      <w:sz w:val="28"/>
    </w:rPr>
  </w:style>
  <w:style w:type="paragraph" w:customStyle="1" w:styleId="388">
    <w:name w:val="表文"/>
    <w:basedOn w:val="1"/>
    <w:qFormat/>
    <w:uiPriority w:val="0"/>
    <w:pPr>
      <w:widowControl/>
      <w:overflowPunct w:val="0"/>
      <w:jc w:val="center"/>
    </w:pPr>
    <w:rPr>
      <w:rFonts w:ascii="宋体" w:hAnsi="宋体" w:eastAsia="楷体_GB2312" w:cs="宋体"/>
      <w:sz w:val="21"/>
      <w:szCs w:val="20"/>
      <w:lang w:eastAsia="zh-CN"/>
    </w:rPr>
  </w:style>
  <w:style w:type="paragraph" w:customStyle="1" w:styleId="389">
    <w:name w:val="BG"/>
    <w:basedOn w:val="1"/>
    <w:next w:val="1"/>
    <w:qFormat/>
    <w:uiPriority w:val="0"/>
    <w:pPr>
      <w:tabs>
        <w:tab w:val="left" w:pos="1134"/>
      </w:tabs>
      <w:adjustRightInd w:val="0"/>
      <w:spacing w:line="360" w:lineRule="atLeast"/>
      <w:jc w:val="center"/>
    </w:pPr>
    <w:rPr>
      <w:rFonts w:ascii="Arial" w:hAnsi="Arial" w:cs="Times New Roman"/>
      <w:sz w:val="21"/>
      <w:szCs w:val="20"/>
      <w:lang w:eastAsia="zh-CN"/>
    </w:rPr>
  </w:style>
  <w:style w:type="paragraph" w:customStyle="1" w:styleId="390">
    <w:name w:val="xl7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仿宋_GB2312" w:hAnsi="Arial Unicode MS" w:eastAsia="仿宋_GB2312" w:cs="Times New Roman"/>
      <w:szCs w:val="20"/>
      <w:lang w:eastAsia="zh-CN"/>
    </w:rPr>
  </w:style>
  <w:style w:type="paragraph" w:customStyle="1" w:styleId="391">
    <w:name w:val="reader-word-layer reader-word-s6-11"/>
    <w:basedOn w:val="1"/>
    <w:qFormat/>
    <w:uiPriority w:val="0"/>
    <w:pPr>
      <w:widowControl/>
      <w:spacing w:before="100" w:beforeAutospacing="1" w:after="100" w:afterAutospacing="1"/>
    </w:pPr>
    <w:rPr>
      <w:rFonts w:ascii="宋体" w:hAnsi="宋体" w:cs="宋体"/>
      <w:szCs w:val="20"/>
      <w:lang w:eastAsia="zh-CN"/>
    </w:rPr>
  </w:style>
  <w:style w:type="paragraph" w:customStyle="1" w:styleId="392">
    <w:name w:val="Char Char Char Char Char Char Char Char Char Char"/>
    <w:basedOn w:val="1"/>
    <w:qFormat/>
    <w:uiPriority w:val="0"/>
    <w:rPr>
      <w:rFonts w:ascii="宋体" w:hAnsi="宋体" w:cs="Times New Roman"/>
      <w:sz w:val="21"/>
      <w:szCs w:val="20"/>
      <w:lang w:eastAsia="zh-CN"/>
    </w:rPr>
  </w:style>
  <w:style w:type="paragraph" w:customStyle="1" w:styleId="393">
    <w:name w:val="正文 + 宋体"/>
    <w:basedOn w:val="62"/>
    <w:qFormat/>
    <w:uiPriority w:val="0"/>
    <w:pPr>
      <w:spacing w:after="0"/>
      <w:ind w:firstLine="200" w:firstLineChars="200"/>
    </w:pPr>
  </w:style>
  <w:style w:type="character" w:customStyle="1" w:styleId="394">
    <w:name w:val="节 Char"/>
    <w:link w:val="395"/>
    <w:qFormat/>
    <w:locked/>
    <w:uiPriority w:val="0"/>
    <w:rPr>
      <w:rFonts w:ascii="Arial" w:hAnsi="Arial" w:eastAsia="黑体" w:cs="Arial"/>
      <w:b/>
      <w:bCs/>
      <w:kern w:val="2"/>
      <w:sz w:val="32"/>
      <w:szCs w:val="32"/>
    </w:rPr>
  </w:style>
  <w:style w:type="paragraph" w:customStyle="1" w:styleId="395">
    <w:name w:val="标题2"/>
    <w:basedOn w:val="1"/>
    <w:link w:val="394"/>
    <w:qFormat/>
    <w:uiPriority w:val="0"/>
    <w:pPr>
      <w:adjustRightInd w:val="0"/>
      <w:snapToGrid w:val="0"/>
      <w:spacing w:line="500" w:lineRule="exact"/>
      <w:outlineLvl w:val="1"/>
    </w:pPr>
    <w:rPr>
      <w:rFonts w:ascii="Arial" w:hAnsi="Arial" w:eastAsia="黑体" w:cs="Arial"/>
      <w:b/>
      <w:bCs/>
      <w:kern w:val="2"/>
      <w:sz w:val="32"/>
      <w:szCs w:val="32"/>
      <w:lang w:eastAsia="zh-CN"/>
    </w:rPr>
  </w:style>
  <w:style w:type="paragraph" w:customStyle="1" w:styleId="396">
    <w:name w:val="纪任山图表标题5"/>
    <w:basedOn w:val="1"/>
    <w:qFormat/>
    <w:uiPriority w:val="0"/>
    <w:pPr>
      <w:adjustRightInd w:val="0"/>
      <w:snapToGrid w:val="0"/>
      <w:spacing w:after="120" w:line="480" w:lineRule="exact"/>
      <w:jc w:val="center"/>
    </w:pPr>
    <w:rPr>
      <w:rFonts w:ascii="宋体" w:hAnsi="宋体" w:cs="Times New Roman"/>
      <w:b/>
      <w:color w:val="000000"/>
      <w:spacing w:val="6"/>
      <w:szCs w:val="20"/>
      <w:lang w:eastAsia="zh-CN"/>
    </w:rPr>
  </w:style>
  <w:style w:type="paragraph" w:customStyle="1" w:styleId="397">
    <w:name w:val="xl75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Arial Unicode MS" w:eastAsia="仿宋_GB2312" w:cs="Times New Roman"/>
      <w:szCs w:val="20"/>
      <w:lang w:eastAsia="zh-CN"/>
    </w:rPr>
  </w:style>
  <w:style w:type="paragraph" w:customStyle="1" w:styleId="398">
    <w:name w:val="xl7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仿宋_GB2312" w:hAnsi="Arial Unicode MS" w:eastAsia="仿宋_GB2312" w:cs="Times New Roman"/>
      <w:szCs w:val="20"/>
      <w:lang w:eastAsia="zh-CN"/>
    </w:rPr>
  </w:style>
  <w:style w:type="paragraph" w:customStyle="1" w:styleId="399">
    <w:name w:val="我的表格"/>
    <w:basedOn w:val="1"/>
    <w:qFormat/>
    <w:uiPriority w:val="0"/>
    <w:pPr>
      <w:autoSpaceDE w:val="0"/>
      <w:autoSpaceDN w:val="0"/>
      <w:adjustRightInd w:val="0"/>
      <w:jc w:val="center"/>
    </w:pPr>
    <w:rPr>
      <w:rFonts w:ascii="宋体" w:hAnsi="宋体" w:cs="Times New Roman"/>
      <w:sz w:val="21"/>
      <w:szCs w:val="21"/>
      <w:lang w:eastAsia="zh-CN"/>
    </w:rPr>
  </w:style>
  <w:style w:type="paragraph" w:customStyle="1" w:styleId="400">
    <w:name w:val="样式 宋体（1.5 倍） + 宋体 首行缩进:  2 字符"/>
    <w:basedOn w:val="1"/>
    <w:qFormat/>
    <w:uiPriority w:val="0"/>
    <w:pPr>
      <w:ind w:firstLine="480"/>
    </w:pPr>
    <w:rPr>
      <w:rFonts w:ascii="宋体" w:hAnsi="宋体" w:cs="宋体"/>
      <w:szCs w:val="20"/>
      <w:lang w:eastAsia="zh-CN"/>
    </w:rPr>
  </w:style>
  <w:style w:type="paragraph" w:customStyle="1" w:styleId="401">
    <w:name w:val="Char Char Char Char Char Char1 Char"/>
    <w:basedOn w:val="1"/>
    <w:qFormat/>
    <w:uiPriority w:val="0"/>
    <w:rPr>
      <w:rFonts w:ascii="宋体" w:hAnsi="宋体" w:cs="Times New Roman"/>
      <w:sz w:val="21"/>
      <w:szCs w:val="20"/>
      <w:lang w:eastAsia="zh-CN"/>
    </w:rPr>
  </w:style>
  <w:style w:type="paragraph" w:customStyle="1" w:styleId="402">
    <w:name w:val="表格文字2"/>
    <w:basedOn w:val="1"/>
    <w:qFormat/>
    <w:uiPriority w:val="0"/>
    <w:pPr>
      <w:adjustRightInd w:val="0"/>
      <w:snapToGrid w:val="0"/>
      <w:spacing w:before="20"/>
      <w:jc w:val="center"/>
    </w:pPr>
    <w:rPr>
      <w:rFonts w:ascii="Arial" w:hAnsi="Arial" w:cs="Times New Roman"/>
      <w:szCs w:val="20"/>
      <w:lang w:eastAsia="zh-CN"/>
    </w:rPr>
  </w:style>
  <w:style w:type="paragraph" w:customStyle="1" w:styleId="403">
    <w:name w:val="表格cy"/>
    <w:basedOn w:val="1"/>
    <w:qFormat/>
    <w:uiPriority w:val="0"/>
    <w:pPr>
      <w:adjustRightInd w:val="0"/>
      <w:snapToGrid w:val="0"/>
    </w:pPr>
    <w:rPr>
      <w:rFonts w:ascii="宋体" w:hAnsi="宋体" w:cs="宋体"/>
      <w:szCs w:val="20"/>
      <w:lang w:eastAsia="zh-CN"/>
    </w:rPr>
  </w:style>
  <w:style w:type="paragraph" w:customStyle="1" w:styleId="404">
    <w:name w:val="xl29"/>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sz w:val="23"/>
      <w:szCs w:val="23"/>
      <w:lang w:eastAsia="zh-CN"/>
    </w:rPr>
  </w:style>
  <w:style w:type="paragraph" w:customStyle="1" w:styleId="405">
    <w:name w:val="xl24"/>
    <w:basedOn w:val="1"/>
    <w:qFormat/>
    <w:uiPriority w:val="0"/>
    <w:pPr>
      <w:widowControl/>
      <w:spacing w:before="100" w:beforeAutospacing="1" w:after="100" w:afterAutospacing="1"/>
    </w:pPr>
    <w:rPr>
      <w:rFonts w:ascii="Arial Unicode MS" w:hAnsi="Arial Unicode MS" w:eastAsia="Arial Unicode MS" w:cs="Arial Unicode MS"/>
      <w:sz w:val="20"/>
      <w:szCs w:val="20"/>
      <w:lang w:eastAsia="zh-CN"/>
    </w:rPr>
  </w:style>
  <w:style w:type="paragraph" w:customStyle="1" w:styleId="406">
    <w:name w:val="hb4"/>
    <w:basedOn w:val="10"/>
    <w:qFormat/>
    <w:uiPriority w:val="0"/>
    <w:pPr>
      <w:topLinePunct/>
      <w:spacing w:beforeLines="100" w:afterLines="100" w:line="300" w:lineRule="exact"/>
    </w:pPr>
    <w:rPr>
      <w:rFonts w:ascii="宋体" w:hAnsi="宋体" w:cs="Times New Roman"/>
      <w:szCs w:val="20"/>
      <w:lang w:eastAsia="zh-CN"/>
    </w:rPr>
  </w:style>
  <w:style w:type="paragraph" w:customStyle="1" w:styleId="407">
    <w:name w:val="十二五 正文"/>
    <w:basedOn w:val="1"/>
    <w:qFormat/>
    <w:uiPriority w:val="0"/>
    <w:pPr>
      <w:tabs>
        <w:tab w:val="left" w:pos="2520"/>
      </w:tabs>
      <w:ind w:left="-475" w:leftChars="-198" w:right="-595" w:rightChars="-248" w:firstLine="416" w:firstLineChars="198"/>
    </w:pPr>
    <w:rPr>
      <w:rFonts w:ascii="宋体" w:hAnsi="宋体" w:cs="宋体"/>
      <w:color w:val="000000"/>
      <w:sz w:val="21"/>
      <w:szCs w:val="21"/>
      <w:lang w:eastAsia="zh-CN"/>
    </w:rPr>
  </w:style>
  <w:style w:type="paragraph" w:customStyle="1" w:styleId="408">
    <w:name w:val="xl7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Arial Unicode MS" w:eastAsia="仿宋_GB2312" w:cs="Times New Roman"/>
      <w:szCs w:val="20"/>
      <w:lang w:eastAsia="zh-CN"/>
    </w:rPr>
  </w:style>
  <w:style w:type="paragraph" w:customStyle="1" w:styleId="409">
    <w:name w:val="表内5号居中"/>
    <w:qFormat/>
    <w:uiPriority w:val="0"/>
    <w:pPr>
      <w:adjustRightInd w:val="0"/>
      <w:snapToGrid w:val="0"/>
      <w:jc w:val="center"/>
    </w:pPr>
    <w:rPr>
      <w:rFonts w:ascii="Times New Roman" w:hAnsi="Times New Roman" w:eastAsia="宋体" w:cs="Times New Roman"/>
      <w:sz w:val="21"/>
      <w:lang w:val="en-US" w:eastAsia="zh-CN" w:bidi="ar-SA"/>
    </w:rPr>
  </w:style>
  <w:style w:type="character" w:customStyle="1" w:styleId="410">
    <w:name w:val="表体 Char"/>
    <w:link w:val="411"/>
    <w:semiHidden/>
    <w:qFormat/>
    <w:locked/>
    <w:uiPriority w:val="0"/>
    <w:rPr>
      <w:rFonts w:ascii="Courier New" w:hAnsi="Courier New" w:cs="Courier New"/>
      <w:b/>
      <w:color w:val="000000"/>
      <w:kern w:val="24"/>
      <w:sz w:val="18"/>
    </w:rPr>
  </w:style>
  <w:style w:type="paragraph" w:customStyle="1" w:styleId="411">
    <w:name w:val="表体"/>
    <w:basedOn w:val="185"/>
    <w:link w:val="410"/>
    <w:semiHidden/>
    <w:qFormat/>
    <w:uiPriority w:val="0"/>
    <w:pPr>
      <w:adjustRightInd/>
      <w:spacing w:before="50" w:after="0" w:line="280" w:lineRule="exact"/>
      <w:ind w:firstLine="420"/>
      <w:textAlignment w:val="auto"/>
    </w:pPr>
    <w:rPr>
      <w:rFonts w:ascii="Courier New" w:hAnsi="Courier New" w:eastAsia="宋体" w:cs="Courier New"/>
      <w:b/>
      <w:color w:val="000000"/>
      <w:sz w:val="18"/>
      <w:szCs w:val="20"/>
      <w:lang w:eastAsia="zh-CN"/>
    </w:rPr>
  </w:style>
  <w:style w:type="paragraph" w:customStyle="1" w:styleId="412">
    <w:name w:val="Char4 Char Char Char Char Char Char"/>
    <w:basedOn w:val="1"/>
    <w:qFormat/>
    <w:uiPriority w:val="0"/>
    <w:rPr>
      <w:rFonts w:ascii="宋体" w:hAnsi="宋体" w:cs="宋体"/>
      <w:szCs w:val="20"/>
      <w:lang w:eastAsia="zh-CN"/>
    </w:rPr>
  </w:style>
  <w:style w:type="paragraph" w:customStyle="1" w:styleId="413">
    <w:name w:val="p16"/>
    <w:basedOn w:val="1"/>
    <w:qFormat/>
    <w:uiPriority w:val="0"/>
    <w:pPr>
      <w:widowControl/>
    </w:pPr>
    <w:rPr>
      <w:rFonts w:ascii="Arial" w:hAnsi="Arial" w:cs="Arial"/>
      <w:szCs w:val="20"/>
      <w:lang w:eastAsia="zh-CN"/>
    </w:rPr>
  </w:style>
  <w:style w:type="paragraph" w:customStyle="1" w:styleId="414">
    <w:name w:val="新正文样式"/>
    <w:basedOn w:val="1"/>
    <w:qFormat/>
    <w:uiPriority w:val="0"/>
    <w:pPr>
      <w:tabs>
        <w:tab w:val="left" w:pos="567"/>
      </w:tabs>
      <w:ind w:firstLine="560"/>
    </w:pPr>
    <w:rPr>
      <w:rFonts w:ascii="宋体" w:hAnsi="宋体" w:eastAsia="华文中宋" w:cs="Times New Roman"/>
      <w:spacing w:val="20"/>
      <w:szCs w:val="20"/>
      <w:lang w:eastAsia="zh-CN"/>
    </w:rPr>
  </w:style>
  <w:style w:type="paragraph" w:customStyle="1" w:styleId="415">
    <w:name w:val="刘1"/>
    <w:basedOn w:val="7"/>
    <w:qFormat/>
    <w:uiPriority w:val="0"/>
    <w:pPr>
      <w:tabs>
        <w:tab w:val="left" w:pos="840"/>
      </w:tabs>
      <w:spacing w:before="0" w:beforeLines="100" w:after="0" w:afterLines="100" w:line="240" w:lineRule="auto"/>
      <w:ind w:left="840" w:hanging="360"/>
      <w:jc w:val="center"/>
    </w:pPr>
    <w:rPr>
      <w:rFonts w:ascii="黑体" w:hAnsi="Times New Roman" w:eastAsia="黑体" w:cs="Times New Roman"/>
      <w:b w:val="0"/>
      <w:lang w:eastAsia="zh-CN"/>
    </w:rPr>
  </w:style>
  <w:style w:type="paragraph" w:customStyle="1" w:styleId="416">
    <w:name w:val="样式 (中文) 楷体_GB2312 四号"/>
    <w:basedOn w:val="1"/>
    <w:qFormat/>
    <w:uiPriority w:val="0"/>
    <w:pPr>
      <w:ind w:firstLine="560"/>
    </w:pPr>
    <w:rPr>
      <w:rFonts w:ascii="宋体" w:hAnsi="宋体" w:eastAsia="楷体_GB2312" w:cs="宋体"/>
      <w:sz w:val="28"/>
      <w:szCs w:val="28"/>
      <w:lang w:eastAsia="zh-CN"/>
    </w:rPr>
  </w:style>
  <w:style w:type="paragraph" w:customStyle="1" w:styleId="417">
    <w:name w:val="Char Char1 Char Char Char Char Char Char Char Char Char Char Char Char Char Char Char Char Char Char Char Char1 Char"/>
    <w:basedOn w:val="1"/>
    <w:qFormat/>
    <w:uiPriority w:val="0"/>
    <w:rPr>
      <w:rFonts w:ascii="宋体" w:hAnsi="宋体" w:cs="宋体"/>
      <w:szCs w:val="20"/>
      <w:lang w:eastAsia="zh-CN"/>
    </w:rPr>
  </w:style>
  <w:style w:type="paragraph" w:customStyle="1" w:styleId="418">
    <w:name w:val="CM21"/>
    <w:basedOn w:val="26"/>
    <w:next w:val="26"/>
    <w:qFormat/>
    <w:uiPriority w:val="0"/>
    <w:pPr>
      <w:spacing w:after="210"/>
    </w:pPr>
    <w:rPr>
      <w:rFonts w:ascii="黑体" w:hAnsi="Times New Roman" w:eastAsia="黑体" w:cs="Times New Roman"/>
      <w:color w:val="auto"/>
    </w:rPr>
  </w:style>
  <w:style w:type="paragraph" w:customStyle="1" w:styleId="419">
    <w:name w:val="Style1"/>
    <w:basedOn w:val="1"/>
    <w:next w:val="1"/>
    <w:qFormat/>
    <w:uiPriority w:val="0"/>
    <w:pPr>
      <w:keepNext/>
      <w:keepLines/>
      <w:autoSpaceDE w:val="0"/>
      <w:autoSpaceDN w:val="0"/>
      <w:adjustRightInd w:val="0"/>
      <w:spacing w:before="260" w:after="260" w:line="412" w:lineRule="auto"/>
    </w:pPr>
    <w:rPr>
      <w:rFonts w:ascii="宋体" w:hAnsi="宋体" w:cs="Times New Roman"/>
      <w:b/>
      <w:bCs/>
      <w:sz w:val="32"/>
      <w:szCs w:val="32"/>
      <w:lang w:eastAsia="zh-CN"/>
    </w:rPr>
  </w:style>
  <w:style w:type="paragraph" w:customStyle="1" w:styleId="420">
    <w:name w:val="十二五 大标题"/>
    <w:basedOn w:val="7"/>
    <w:qFormat/>
    <w:uiPriority w:val="0"/>
    <w:pPr>
      <w:tabs>
        <w:tab w:val="left" w:pos="2520"/>
      </w:tabs>
      <w:spacing w:before="120" w:after="0"/>
      <w:jc w:val="center"/>
    </w:pPr>
    <w:rPr>
      <w:rFonts w:ascii="方正大标宋简体" w:eastAsia="方正大标宋简体" w:cs="Times New Roman"/>
      <w:b w:val="0"/>
      <w:sz w:val="28"/>
      <w:lang w:eastAsia="zh-CN"/>
    </w:rPr>
  </w:style>
  <w:style w:type="paragraph" w:customStyle="1" w:styleId="421">
    <w:name w:val="节以下标题样式"/>
    <w:basedOn w:val="414"/>
    <w:qFormat/>
    <w:uiPriority w:val="0"/>
    <w:pPr>
      <w:ind w:firstLine="0" w:firstLineChars="0"/>
    </w:pPr>
  </w:style>
  <w:style w:type="paragraph" w:customStyle="1" w:styleId="422">
    <w:name w:val="表5号字"/>
    <w:qFormat/>
    <w:uiPriority w:val="0"/>
    <w:pPr>
      <w:keepNext/>
      <w:widowControl w:val="0"/>
      <w:adjustRightInd w:val="0"/>
      <w:spacing w:before="120" w:line="60" w:lineRule="atLeast"/>
      <w:jc w:val="center"/>
    </w:pPr>
    <w:rPr>
      <w:rFonts w:ascii="Times New Roman" w:hAnsi="Times New Roman" w:eastAsia="宋体" w:cs="Times New Roman"/>
      <w:sz w:val="21"/>
      <w:lang w:val="en-US" w:eastAsia="zh-CN" w:bidi="ar-SA"/>
    </w:rPr>
  </w:style>
  <w:style w:type="paragraph" w:customStyle="1" w:styleId="423">
    <w:name w:val="PP 行"/>
    <w:basedOn w:val="41"/>
    <w:qFormat/>
    <w:uiPriority w:val="0"/>
  </w:style>
  <w:style w:type="paragraph" w:customStyle="1" w:styleId="424">
    <w:name w:val="CM37"/>
    <w:basedOn w:val="26"/>
    <w:next w:val="26"/>
    <w:qFormat/>
    <w:uiPriority w:val="0"/>
    <w:pPr>
      <w:spacing w:after="670"/>
    </w:pPr>
    <w:rPr>
      <w:rFonts w:ascii="黑体" w:hAnsi="Times New Roman" w:eastAsia="黑体" w:cs="Times New Roman"/>
      <w:color w:val="auto"/>
    </w:rPr>
  </w:style>
  <w:style w:type="paragraph" w:customStyle="1" w:styleId="425">
    <w:name w:val="表号和图号"/>
    <w:qFormat/>
    <w:uiPriority w:val="0"/>
    <w:pPr>
      <w:snapToGrid w:val="0"/>
      <w:spacing w:beforeLines="50" w:afterLines="50" w:line="360" w:lineRule="auto"/>
      <w:jc w:val="center"/>
    </w:pPr>
    <w:rPr>
      <w:rFonts w:ascii="Times New Roman" w:hAnsi="Times New Roman" w:eastAsia="黑体" w:cs="Times New Roman"/>
      <w:kern w:val="2"/>
      <w:sz w:val="21"/>
      <w:szCs w:val="24"/>
      <w:lang w:val="en-US" w:eastAsia="zh-CN" w:bidi="ar-SA"/>
    </w:rPr>
  </w:style>
  <w:style w:type="paragraph" w:customStyle="1" w:styleId="426">
    <w:name w:val="监测文字"/>
    <w:basedOn w:val="1"/>
    <w:qFormat/>
    <w:uiPriority w:val="0"/>
    <w:pPr>
      <w:spacing w:beforeLines="25" w:line="440" w:lineRule="exact"/>
    </w:pPr>
    <w:rPr>
      <w:rFonts w:ascii="宋体" w:hAnsi="宋体" w:cs="Times New Roman"/>
      <w:szCs w:val="20"/>
      <w:lang w:eastAsia="zh-CN"/>
    </w:rPr>
  </w:style>
  <w:style w:type="character" w:customStyle="1" w:styleId="427">
    <w:name w:val="表文字居中 Char Char"/>
    <w:link w:val="428"/>
    <w:qFormat/>
    <w:locked/>
    <w:uiPriority w:val="0"/>
    <w:rPr>
      <w:rFonts w:ascii="Arial" w:hAnsi="Arial" w:eastAsia="Times New Roman" w:cs="Arial"/>
      <w:kern w:val="2"/>
      <w:sz w:val="21"/>
      <w:szCs w:val="24"/>
    </w:rPr>
  </w:style>
  <w:style w:type="paragraph" w:customStyle="1" w:styleId="428">
    <w:name w:val="表文字居中"/>
    <w:link w:val="427"/>
    <w:qFormat/>
    <w:uiPriority w:val="0"/>
    <w:pPr>
      <w:adjustRightInd w:val="0"/>
      <w:spacing w:line="360" w:lineRule="auto"/>
      <w:jc w:val="center"/>
    </w:pPr>
    <w:rPr>
      <w:rFonts w:ascii="Arial" w:hAnsi="Arial" w:eastAsia="Times New Roman" w:cs="Arial"/>
      <w:kern w:val="2"/>
      <w:sz w:val="21"/>
      <w:szCs w:val="24"/>
      <w:lang w:val="en-US" w:eastAsia="zh-CN" w:bidi="ar-SA"/>
    </w:rPr>
  </w:style>
  <w:style w:type="paragraph" w:customStyle="1" w:styleId="429">
    <w:name w:val="王 正文 四宋"/>
    <w:basedOn w:val="1"/>
    <w:qFormat/>
    <w:uiPriority w:val="0"/>
    <w:pPr>
      <w:snapToGrid w:val="0"/>
      <w:spacing w:line="640" w:lineRule="exact"/>
      <w:ind w:firstLine="664"/>
    </w:pPr>
    <w:rPr>
      <w:rFonts w:ascii="仿宋_GB2312" w:hAnsi="宋体" w:eastAsia="仿宋_GB2312" w:cs="Times New Roman"/>
      <w:bCs/>
      <w:spacing w:val="6"/>
      <w:sz w:val="32"/>
      <w:szCs w:val="32"/>
      <w:lang w:eastAsia="zh-CN"/>
    </w:rPr>
  </w:style>
  <w:style w:type="paragraph" w:customStyle="1" w:styleId="430">
    <w:name w:val="xl759"/>
    <w:basedOn w:val="1"/>
    <w:qFormat/>
    <w:uiPriority w:val="0"/>
    <w:pPr>
      <w:widowControl/>
      <w:pBdr>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cs="Times New Roman"/>
      <w:szCs w:val="20"/>
      <w:lang w:eastAsia="zh-CN"/>
    </w:rPr>
  </w:style>
  <w:style w:type="paragraph" w:customStyle="1" w:styleId="431">
    <w:name w:val="居中正文"/>
    <w:basedOn w:val="62"/>
    <w:qFormat/>
    <w:uiPriority w:val="0"/>
    <w:pPr>
      <w:adjustRightInd w:val="0"/>
      <w:spacing w:before="120" w:after="0"/>
      <w:ind w:firstLine="0" w:firstLineChars="0"/>
      <w:jc w:val="center"/>
    </w:pPr>
    <w:rPr>
      <w:kern w:val="28"/>
    </w:rPr>
  </w:style>
  <w:style w:type="paragraph" w:customStyle="1" w:styleId="432">
    <w:name w:val="刘佳正文"/>
    <w:basedOn w:val="1"/>
    <w:qFormat/>
    <w:uiPriority w:val="0"/>
    <w:pPr>
      <w:spacing w:line="400" w:lineRule="exact"/>
    </w:pPr>
    <w:rPr>
      <w:rFonts w:ascii="宋体" w:hAnsi="宋体" w:cs="Times New Roman"/>
      <w:szCs w:val="20"/>
      <w:lang w:eastAsia="zh-CN"/>
    </w:rPr>
  </w:style>
  <w:style w:type="paragraph" w:customStyle="1" w:styleId="433">
    <w:name w:val="样式8"/>
    <w:basedOn w:val="1"/>
    <w:qFormat/>
    <w:uiPriority w:val="0"/>
    <w:pPr>
      <w:ind w:firstLine="499"/>
    </w:pPr>
    <w:rPr>
      <w:rFonts w:ascii="宋体" w:hAnsi="宋体" w:cs="Times New Roman"/>
      <w:szCs w:val="20"/>
      <w:lang w:eastAsia="zh-CN"/>
    </w:rPr>
  </w:style>
  <w:style w:type="paragraph" w:customStyle="1" w:styleId="434">
    <w:name w:val="字元 字元 Char Char 字元 字元1 Char Char Char"/>
    <w:basedOn w:val="1"/>
    <w:qFormat/>
    <w:uiPriority w:val="0"/>
    <w:rPr>
      <w:rFonts w:ascii="宋体" w:hAnsi="宋体" w:cs="Times New Roman"/>
      <w:szCs w:val="20"/>
      <w:lang w:eastAsia="zh-CN"/>
    </w:rPr>
  </w:style>
  <w:style w:type="paragraph" w:customStyle="1" w:styleId="435">
    <w:name w:val="Style6"/>
    <w:basedOn w:val="1"/>
    <w:qFormat/>
    <w:uiPriority w:val="0"/>
    <w:pPr>
      <w:autoSpaceDE w:val="0"/>
      <w:autoSpaceDN w:val="0"/>
      <w:adjustRightInd w:val="0"/>
    </w:pPr>
    <w:rPr>
      <w:rFonts w:ascii="宋体" w:hAnsi="宋体" w:cs="Times New Roman"/>
      <w:spacing w:val="4"/>
      <w:sz w:val="20"/>
      <w:szCs w:val="20"/>
      <w:lang w:eastAsia="zh-CN"/>
    </w:rPr>
  </w:style>
  <w:style w:type="paragraph" w:customStyle="1" w:styleId="436">
    <w:name w:val="正文(首行缩进2字)"/>
    <w:basedOn w:val="1"/>
    <w:next w:val="1"/>
    <w:qFormat/>
    <w:uiPriority w:val="0"/>
    <w:pPr>
      <w:adjustRightInd w:val="0"/>
      <w:ind w:firstLine="560"/>
    </w:pPr>
    <w:rPr>
      <w:rFonts w:ascii="宋体" w:hAnsi="宋体" w:cs="Times New Roman"/>
      <w:color w:val="000000"/>
      <w:sz w:val="28"/>
      <w:szCs w:val="20"/>
      <w:lang w:eastAsia="zh-CN"/>
    </w:rPr>
  </w:style>
  <w:style w:type="paragraph" w:customStyle="1" w:styleId="437">
    <w:name w:val="xl7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cs="Times New Roman"/>
      <w:szCs w:val="20"/>
      <w:lang w:eastAsia="zh-CN"/>
    </w:rPr>
  </w:style>
  <w:style w:type="paragraph" w:customStyle="1" w:styleId="438">
    <w:name w:val="xl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lang w:eastAsia="zh-CN"/>
    </w:rPr>
  </w:style>
  <w:style w:type="paragraph" w:customStyle="1" w:styleId="439">
    <w:name w:val="x.x(1)"/>
    <w:basedOn w:val="1"/>
    <w:qFormat/>
    <w:uiPriority w:val="0"/>
    <w:pPr>
      <w:widowControl/>
      <w:autoSpaceDE w:val="0"/>
      <w:autoSpaceDN w:val="0"/>
      <w:adjustRightInd w:val="0"/>
      <w:snapToGrid w:val="0"/>
      <w:spacing w:line="300" w:lineRule="auto"/>
      <w:ind w:left="1134" w:hanging="567"/>
    </w:pPr>
    <w:rPr>
      <w:rFonts w:ascii="Arial" w:hAnsi="Arial" w:eastAsia="MS PGothic" w:cs="Times New Roman"/>
      <w:szCs w:val="20"/>
      <w:lang w:eastAsia="ja-JP"/>
    </w:rPr>
  </w:style>
  <w:style w:type="paragraph" w:customStyle="1" w:styleId="440">
    <w:name w:val="字元 字元"/>
    <w:basedOn w:val="1"/>
    <w:qFormat/>
    <w:uiPriority w:val="0"/>
    <w:rPr>
      <w:rFonts w:ascii="宋体" w:hAnsi="宋体" w:cs="Times New Roman"/>
      <w:sz w:val="21"/>
      <w:szCs w:val="20"/>
      <w:lang w:eastAsia="zh-CN"/>
    </w:rPr>
  </w:style>
  <w:style w:type="character" w:customStyle="1" w:styleId="441">
    <w:name w:val="正文(首行缩进) Char"/>
    <w:link w:val="442"/>
    <w:semiHidden/>
    <w:qFormat/>
    <w:locked/>
    <w:uiPriority w:val="0"/>
    <w:rPr>
      <w:kern w:val="24"/>
      <w:sz w:val="24"/>
    </w:rPr>
  </w:style>
  <w:style w:type="paragraph" w:customStyle="1" w:styleId="442">
    <w:name w:val="正文(首行缩进)"/>
    <w:basedOn w:val="1"/>
    <w:link w:val="441"/>
    <w:semiHidden/>
    <w:qFormat/>
    <w:uiPriority w:val="0"/>
    <w:pPr>
      <w:ind w:firstLine="420"/>
    </w:pPr>
    <w:rPr>
      <w:rFonts w:cs="Times New Roman"/>
      <w:kern w:val="24"/>
      <w:szCs w:val="20"/>
      <w:lang w:eastAsia="zh-CN"/>
    </w:rPr>
  </w:style>
  <w:style w:type="paragraph" w:customStyle="1" w:styleId="443">
    <w:name w:val="1文章"/>
    <w:basedOn w:val="1"/>
    <w:qFormat/>
    <w:uiPriority w:val="0"/>
    <w:pPr>
      <w:snapToGrid w:val="0"/>
      <w:ind w:firstLine="454"/>
      <w:outlineLvl w:val="4"/>
    </w:pPr>
    <w:rPr>
      <w:rFonts w:ascii="宋体" w:hAnsi="宋体" w:cs="Times New Roman"/>
      <w:spacing w:val="4"/>
      <w:szCs w:val="20"/>
      <w:lang w:eastAsia="zh-CN"/>
    </w:rPr>
  </w:style>
  <w:style w:type="paragraph" w:customStyle="1" w:styleId="444">
    <w:name w:val="xl74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Courier New" w:hAnsi="Courier New" w:eastAsia="Arial Unicode MS" w:cs="Times New Roman"/>
      <w:szCs w:val="20"/>
      <w:lang w:eastAsia="zh-CN"/>
    </w:rPr>
  </w:style>
  <w:style w:type="paragraph" w:customStyle="1" w:styleId="445">
    <w:name w:val="xl752"/>
    <w:basedOn w:val="1"/>
    <w:qFormat/>
    <w:uiPriority w:val="0"/>
    <w:pPr>
      <w:widowControl/>
      <w:spacing w:before="100" w:beforeAutospacing="1" w:after="100" w:afterAutospacing="1"/>
    </w:pPr>
    <w:rPr>
      <w:rFonts w:ascii="仿宋_GB2312" w:hAnsi="Arial Unicode MS" w:eastAsia="仿宋_GB2312" w:cs="Times New Roman"/>
      <w:szCs w:val="20"/>
      <w:lang w:eastAsia="zh-CN"/>
    </w:rPr>
  </w:style>
  <w:style w:type="paragraph" w:customStyle="1" w:styleId="446">
    <w:name w:val="表内式样"/>
    <w:qFormat/>
    <w:uiPriority w:val="0"/>
    <w:pPr>
      <w:framePr w:hSpace="180" w:wrap="around" w:vAnchor="text" w:hAnchor="margin" w:x="-684" w:y="3"/>
      <w:widowControl w:val="0"/>
      <w:spacing w:line="0" w:lineRule="atLeast"/>
      <w:jc w:val="center"/>
    </w:pPr>
    <w:rPr>
      <w:rFonts w:ascii="Times New Roman" w:hAnsi="Times New Roman" w:eastAsia="宋体" w:cs="Times New Roman"/>
      <w:kern w:val="2"/>
      <w:sz w:val="21"/>
      <w:lang w:val="en-US" w:eastAsia="zh-CN" w:bidi="ar-SA"/>
    </w:rPr>
  </w:style>
  <w:style w:type="paragraph" w:customStyle="1" w:styleId="447">
    <w:name w:val="xl44"/>
    <w:basedOn w:val="1"/>
    <w:qFormat/>
    <w:uiPriority w:val="0"/>
    <w:pPr>
      <w:widowControl/>
      <w:pBdr>
        <w:bottom w:val="single" w:color="auto" w:sz="4" w:space="0"/>
        <w:right w:val="single" w:color="auto" w:sz="4" w:space="0"/>
      </w:pBdr>
      <w:spacing w:before="100" w:beforeAutospacing="1" w:after="100" w:afterAutospacing="1"/>
    </w:pPr>
    <w:rPr>
      <w:rFonts w:ascii="Arial Unicode MS" w:hAnsi="Arial Unicode MS" w:eastAsia="Arial Unicode MS" w:cs="Arial Unicode MS"/>
      <w:szCs w:val="20"/>
      <w:lang w:eastAsia="zh-CN"/>
    </w:rPr>
  </w:style>
  <w:style w:type="paragraph" w:customStyle="1" w:styleId="448">
    <w:name w:val="reader-word-layer reader-word-s6-8"/>
    <w:basedOn w:val="1"/>
    <w:qFormat/>
    <w:uiPriority w:val="0"/>
    <w:pPr>
      <w:widowControl/>
      <w:spacing w:before="100" w:beforeAutospacing="1" w:after="100" w:afterAutospacing="1"/>
    </w:pPr>
    <w:rPr>
      <w:rFonts w:ascii="宋体" w:hAnsi="宋体" w:cs="宋体"/>
      <w:szCs w:val="20"/>
      <w:lang w:eastAsia="zh-CN"/>
    </w:rPr>
  </w:style>
  <w:style w:type="paragraph" w:customStyle="1" w:styleId="449">
    <w:name w:val="正文仿宋小四"/>
    <w:basedOn w:val="1"/>
    <w:qFormat/>
    <w:uiPriority w:val="0"/>
    <w:pPr>
      <w:adjustRightInd w:val="0"/>
      <w:snapToGrid w:val="0"/>
      <w:ind w:firstLine="480"/>
    </w:pPr>
    <w:rPr>
      <w:rFonts w:ascii="宋体" w:hAnsi="宋体" w:eastAsia="仿宋_GB2312" w:cs="Times New Roman"/>
      <w:szCs w:val="20"/>
      <w:lang w:eastAsia="zh-CN"/>
    </w:rPr>
  </w:style>
  <w:style w:type="paragraph" w:customStyle="1" w:styleId="450">
    <w:name w:val="标准正文"/>
    <w:basedOn w:val="1"/>
    <w:qFormat/>
    <w:uiPriority w:val="0"/>
    <w:pPr>
      <w:widowControl/>
      <w:tabs>
        <w:tab w:val="right" w:pos="8640"/>
      </w:tabs>
      <w:spacing w:afterLines="50"/>
      <w:ind w:firstLine="531" w:firstLineChars="225"/>
    </w:pPr>
    <w:rPr>
      <w:rFonts w:ascii="Garamond" w:hAnsi="Garamond" w:eastAsia="仿宋_GB2312" w:cs="Times New Roman"/>
      <w:spacing w:val="-2"/>
      <w:kern w:val="44"/>
      <w:sz w:val="21"/>
      <w:szCs w:val="20"/>
      <w:lang w:eastAsia="zh-CN"/>
    </w:rPr>
  </w:style>
  <w:style w:type="paragraph" w:customStyle="1" w:styleId="451">
    <w:name w:val="正文01"/>
    <w:qFormat/>
    <w:uiPriority w:val="0"/>
    <w:pPr>
      <w:widowControl w:val="0"/>
      <w:spacing w:before="60" w:line="460" w:lineRule="exact"/>
      <w:ind w:firstLine="200" w:firstLineChars="200"/>
      <w:jc w:val="both"/>
    </w:pPr>
    <w:rPr>
      <w:rFonts w:ascii="Times New Roman" w:hAnsi="Times New Roman" w:eastAsia="宋体" w:cs="Times New Roman"/>
      <w:sz w:val="24"/>
      <w:szCs w:val="24"/>
      <w:lang w:val="en-US" w:eastAsia="zh-CN" w:bidi="ar-SA"/>
    </w:rPr>
  </w:style>
  <w:style w:type="paragraph" w:customStyle="1" w:styleId="452">
    <w:name w:val="xl26"/>
    <w:basedOn w:val="1"/>
    <w:qFormat/>
    <w:uiPriority w:val="0"/>
    <w:pPr>
      <w:widowControl/>
      <w:spacing w:before="100" w:beforeAutospacing="1" w:after="100" w:afterAutospacing="1"/>
      <w:jc w:val="right"/>
    </w:pPr>
    <w:rPr>
      <w:rFonts w:ascii="宋体" w:hAnsi="宋体" w:cs="Times New Roman"/>
      <w:szCs w:val="20"/>
      <w:lang w:eastAsia="zh-CN"/>
    </w:rPr>
  </w:style>
  <w:style w:type="paragraph" w:customStyle="1" w:styleId="453">
    <w:name w:val="标题样式3"/>
    <w:basedOn w:val="60"/>
    <w:qFormat/>
    <w:uiPriority w:val="0"/>
    <w:pPr>
      <w:spacing w:before="0" w:after="0" w:line="520" w:lineRule="exact"/>
      <w:jc w:val="left"/>
    </w:pPr>
    <w:rPr>
      <w:rFonts w:ascii="Times New Roman" w:hAnsi="Times New Roman" w:eastAsia="黑体"/>
      <w:b w:val="0"/>
      <w:bCs w:val="0"/>
      <w:sz w:val="30"/>
      <w:szCs w:val="30"/>
    </w:rPr>
  </w:style>
  <w:style w:type="paragraph" w:customStyle="1" w:styleId="454">
    <w:name w:val="条题"/>
    <w:basedOn w:val="6"/>
    <w:next w:val="6"/>
    <w:qFormat/>
    <w:uiPriority w:val="0"/>
    <w:pPr>
      <w:tabs>
        <w:tab w:val="left" w:pos="425"/>
      </w:tabs>
      <w:ind w:left="425" w:hanging="425"/>
    </w:pPr>
    <w:rPr>
      <w:rFonts w:ascii="宋体" w:hAnsi="宋体"/>
      <w:bCs/>
      <w:kern w:val="0"/>
      <w:sz w:val="24"/>
    </w:rPr>
  </w:style>
  <w:style w:type="paragraph" w:customStyle="1" w:styleId="455">
    <w:name w:val="xl39"/>
    <w:basedOn w:val="1"/>
    <w:qFormat/>
    <w:uiPriority w:val="0"/>
    <w:pPr>
      <w:widowControl/>
      <w:pBdr>
        <w:bottom w:val="single" w:color="auto" w:sz="4" w:space="0"/>
        <w:right w:val="single" w:color="auto" w:sz="4" w:space="0"/>
      </w:pBdr>
      <w:spacing w:before="100" w:beforeAutospacing="1" w:after="100" w:afterAutospacing="1"/>
      <w:jc w:val="center"/>
    </w:pPr>
    <w:rPr>
      <w:rFonts w:ascii="Arial" w:hAnsi="Arial" w:eastAsia="Arial Unicode MS" w:cs="Arial"/>
      <w:b/>
      <w:bCs/>
      <w:sz w:val="23"/>
      <w:szCs w:val="23"/>
      <w:lang w:eastAsia="zh-CN"/>
    </w:rPr>
  </w:style>
  <w:style w:type="paragraph" w:customStyle="1" w:styleId="456">
    <w:name w:val="4级"/>
    <w:basedOn w:val="1"/>
    <w:qFormat/>
    <w:uiPriority w:val="0"/>
    <w:pPr>
      <w:keepNext/>
      <w:keepLines/>
      <w:spacing w:beforeLines="50" w:afterLines="50"/>
      <w:outlineLvl w:val="3"/>
    </w:pPr>
    <w:rPr>
      <w:rFonts w:ascii="宋体" w:hAnsi="宋体" w:cs="Times New Roman"/>
      <w:bCs/>
      <w:color w:val="000000"/>
      <w:szCs w:val="20"/>
      <w:lang w:eastAsia="zh-CN"/>
    </w:rPr>
  </w:style>
  <w:style w:type="paragraph" w:customStyle="1" w:styleId="457">
    <w:name w:val="表格文字样式"/>
    <w:basedOn w:val="1"/>
    <w:qFormat/>
    <w:uiPriority w:val="0"/>
    <w:pPr>
      <w:tabs>
        <w:tab w:val="left" w:pos="567"/>
      </w:tabs>
      <w:jc w:val="center"/>
    </w:pPr>
    <w:rPr>
      <w:rFonts w:ascii="宋体" w:hAnsi="宋体" w:eastAsia="华文中宋" w:cs="Times New Roman"/>
      <w:spacing w:val="20"/>
      <w:szCs w:val="20"/>
      <w:lang w:eastAsia="zh-CN"/>
    </w:rPr>
  </w:style>
  <w:style w:type="paragraph" w:customStyle="1" w:styleId="458">
    <w:name w:val="默认段落字体 Para Char Char Char Char Char Char Char"/>
    <w:basedOn w:val="1"/>
    <w:qFormat/>
    <w:uiPriority w:val="0"/>
    <w:rPr>
      <w:rFonts w:ascii="宋体" w:hAnsi="宋体" w:cs="宋体"/>
      <w:szCs w:val="20"/>
      <w:lang w:eastAsia="zh-CN"/>
    </w:rPr>
  </w:style>
  <w:style w:type="paragraph" w:customStyle="1" w:styleId="459">
    <w:name w:val="文本条款"/>
    <w:basedOn w:val="1"/>
    <w:next w:val="1"/>
    <w:qFormat/>
    <w:uiPriority w:val="0"/>
    <w:pPr>
      <w:spacing w:line="480" w:lineRule="exact"/>
      <w:ind w:firstLine="560"/>
    </w:pPr>
    <w:rPr>
      <w:rFonts w:ascii="宋体" w:hAnsi="宋体" w:cs="Times New Roman"/>
      <w:sz w:val="28"/>
      <w:szCs w:val="20"/>
      <w:lang w:eastAsia="zh-CN"/>
    </w:rPr>
  </w:style>
  <w:style w:type="paragraph" w:customStyle="1" w:styleId="460">
    <w:name w:val="_Style 5"/>
    <w:basedOn w:val="1"/>
    <w:qFormat/>
    <w:uiPriority w:val="0"/>
    <w:rPr>
      <w:rFonts w:ascii="宋体" w:hAnsi="宋体" w:cs="Times New Roman"/>
      <w:szCs w:val="20"/>
      <w:lang w:eastAsia="zh-CN"/>
    </w:rPr>
  </w:style>
  <w:style w:type="paragraph" w:customStyle="1" w:styleId="461">
    <w:name w:val="表题注"/>
    <w:basedOn w:val="20"/>
    <w:qFormat/>
    <w:uiPriority w:val="0"/>
    <w:pPr>
      <w:keepNext/>
      <w:spacing w:before="240" w:after="120"/>
      <w:jc w:val="center"/>
    </w:pPr>
    <w:rPr>
      <w:rFonts w:ascii="黑体" w:hAnsi="Arial" w:cs="Times New Roman"/>
      <w:sz w:val="21"/>
      <w:lang w:eastAsia="zh-CN"/>
    </w:rPr>
  </w:style>
  <w:style w:type="paragraph" w:customStyle="1" w:styleId="462">
    <w:name w:val="标题3"/>
    <w:basedOn w:val="9"/>
    <w:qFormat/>
    <w:uiPriority w:val="0"/>
    <w:pPr>
      <w:adjustRightInd/>
      <w:spacing w:before="260" w:after="260"/>
    </w:pPr>
    <w:rPr>
      <w:b w:val="0"/>
      <w:bCs/>
      <w:color w:val="auto"/>
      <w:kern w:val="2"/>
      <w:sz w:val="30"/>
    </w:rPr>
  </w:style>
  <w:style w:type="character" w:customStyle="1" w:styleId="463">
    <w:name w:val="样式 (报告) 仿宋_GB2312 (中文) 仿宋_GB2312 四号 行距: 1.5 倍行距 Char"/>
    <w:link w:val="464"/>
    <w:qFormat/>
    <w:locked/>
    <w:uiPriority w:val="0"/>
    <w:rPr>
      <w:rFonts w:ascii="仿宋_GB2312" w:hAnsi="仿宋_GB2312" w:eastAsia="仿宋_GB2312" w:cs="宋体"/>
      <w:b/>
      <w:color w:val="000000"/>
      <w:kern w:val="2"/>
      <w:sz w:val="28"/>
      <w:szCs w:val="28"/>
    </w:rPr>
  </w:style>
  <w:style w:type="paragraph" w:customStyle="1" w:styleId="464">
    <w:name w:val="样式 (报告) 仿宋_GB2312 (中文) 仿宋_GB2312 四号 行距: 1.5 倍行距"/>
    <w:basedOn w:val="1"/>
    <w:link w:val="463"/>
    <w:qFormat/>
    <w:uiPriority w:val="0"/>
    <w:pPr>
      <w:adjustRightInd w:val="0"/>
      <w:snapToGrid w:val="0"/>
    </w:pPr>
    <w:rPr>
      <w:rFonts w:ascii="仿宋_GB2312" w:hAnsi="仿宋_GB2312" w:eastAsia="仿宋_GB2312" w:cs="宋体"/>
      <w:b/>
      <w:color w:val="000000"/>
      <w:kern w:val="2"/>
      <w:sz w:val="28"/>
      <w:szCs w:val="28"/>
      <w:lang w:eastAsia="zh-CN"/>
    </w:rPr>
  </w:style>
  <w:style w:type="character" w:customStyle="1" w:styleId="465">
    <w:name w:val="大纲正文 Char"/>
    <w:link w:val="466"/>
    <w:qFormat/>
    <w:locked/>
    <w:uiPriority w:val="0"/>
    <w:rPr>
      <w:rFonts w:ascii="宋体" w:hAnsi="宋体" w:cs="宋体"/>
      <w:b/>
      <w:color w:val="000000"/>
      <w:sz w:val="24"/>
    </w:rPr>
  </w:style>
  <w:style w:type="paragraph" w:customStyle="1" w:styleId="466">
    <w:name w:val="大纲正文"/>
    <w:basedOn w:val="1"/>
    <w:link w:val="465"/>
    <w:qFormat/>
    <w:uiPriority w:val="0"/>
    <w:pPr>
      <w:widowControl/>
      <w:adjustRightInd w:val="0"/>
      <w:snapToGrid w:val="0"/>
      <w:spacing w:beforeLines="50" w:afterLines="50"/>
      <w:ind w:firstLine="472"/>
    </w:pPr>
    <w:rPr>
      <w:rFonts w:ascii="宋体" w:hAnsi="宋体" w:cs="宋体"/>
      <w:b/>
      <w:color w:val="000000"/>
      <w:szCs w:val="20"/>
      <w:lang w:eastAsia="zh-CN"/>
    </w:rPr>
  </w:style>
  <w:style w:type="paragraph" w:customStyle="1" w:styleId="467">
    <w:name w:val="样式"/>
    <w:basedOn w:val="1"/>
    <w:qFormat/>
    <w:uiPriority w:val="0"/>
    <w:rPr>
      <w:rFonts w:ascii="宋体" w:hAnsi="宋体" w:cs="Times New Roman"/>
      <w:sz w:val="21"/>
      <w:szCs w:val="21"/>
      <w:lang w:eastAsia="zh-CN"/>
    </w:rPr>
  </w:style>
  <w:style w:type="paragraph" w:customStyle="1" w:styleId="468">
    <w:name w:val="图表名称"/>
    <w:basedOn w:val="1"/>
    <w:qFormat/>
    <w:uiPriority w:val="0"/>
    <w:pPr>
      <w:spacing w:line="240" w:lineRule="exact"/>
    </w:pPr>
    <w:rPr>
      <w:rFonts w:ascii="宋体" w:hAnsi="宋体" w:eastAsia="仿宋_GB2312" w:cs="Times New Roman"/>
      <w:b/>
      <w:kern w:val="2"/>
      <w:sz w:val="21"/>
      <w:szCs w:val="21"/>
      <w:lang w:eastAsia="zh-CN"/>
    </w:rPr>
  </w:style>
  <w:style w:type="paragraph" w:customStyle="1" w:styleId="469">
    <w:name w:val="brdrw15brsp20 tqctx4153t"/>
    <w:qFormat/>
    <w:uiPriority w:val="0"/>
    <w:pPr>
      <w:widowControl w:val="0"/>
      <w:pBdr>
        <w:bottom w:val="single" w:color="auto" w:sz="6" w:space="0"/>
      </w:pBdr>
      <w:adjustRightInd w:val="0"/>
      <w:spacing w:line="312" w:lineRule="atLeast"/>
      <w:jc w:val="center"/>
    </w:pPr>
    <w:rPr>
      <w:rFonts w:ascii="Times New Roman" w:hAnsi="Times New Roman" w:eastAsia="宋体" w:cs="Times New Roman"/>
      <w:sz w:val="21"/>
      <w:lang w:val="en-US" w:eastAsia="zh-CN" w:bidi="ar-SA"/>
    </w:rPr>
  </w:style>
  <w:style w:type="paragraph" w:customStyle="1" w:styleId="470">
    <w:name w:val="reader-word-layer reader-word-s6-9"/>
    <w:basedOn w:val="1"/>
    <w:qFormat/>
    <w:uiPriority w:val="0"/>
    <w:pPr>
      <w:widowControl/>
      <w:spacing w:before="100" w:beforeAutospacing="1" w:after="100" w:afterAutospacing="1"/>
    </w:pPr>
    <w:rPr>
      <w:rFonts w:ascii="宋体" w:hAnsi="宋体" w:cs="宋体"/>
      <w:szCs w:val="20"/>
      <w:lang w:eastAsia="zh-CN"/>
    </w:rPr>
  </w:style>
  <w:style w:type="paragraph" w:customStyle="1" w:styleId="471">
    <w:name w:val="样式12"/>
    <w:basedOn w:val="1"/>
    <w:qFormat/>
    <w:uiPriority w:val="0"/>
    <w:rPr>
      <w:rFonts w:ascii="宋体" w:hAnsi="宋体" w:cs="Times New Roman"/>
      <w:szCs w:val="20"/>
      <w:vertAlign w:val="subscript"/>
      <w:lang w:eastAsia="zh-CN"/>
    </w:rPr>
  </w:style>
  <w:style w:type="paragraph" w:customStyle="1" w:styleId="472">
    <w:name w:val="样式 宋体 四号 行距: 1.5 倍行距"/>
    <w:basedOn w:val="1"/>
    <w:qFormat/>
    <w:uiPriority w:val="0"/>
    <w:pPr>
      <w:ind w:right="-169"/>
      <w:jc w:val="center"/>
    </w:pPr>
    <w:rPr>
      <w:rFonts w:ascii="宋体" w:hAnsi="宋体" w:cs="Times New Roman"/>
      <w:b/>
      <w:color w:val="FF0000"/>
      <w:szCs w:val="20"/>
      <w:lang w:eastAsia="zh-CN"/>
    </w:rPr>
  </w:style>
  <w:style w:type="paragraph" w:customStyle="1" w:styleId="473">
    <w:name w:val="封面正文"/>
    <w:qFormat/>
    <w:uiPriority w:val="0"/>
    <w:pPr>
      <w:jc w:val="both"/>
    </w:pPr>
    <w:rPr>
      <w:rFonts w:ascii="Times New Roman" w:hAnsi="Times New Roman" w:eastAsia="宋体" w:cs="Times New Roman"/>
      <w:lang w:val="en-US" w:eastAsia="zh-CN" w:bidi="ar-SA"/>
    </w:rPr>
  </w:style>
  <w:style w:type="character" w:customStyle="1" w:styleId="474">
    <w:name w:val="燕山正文 Char Char Char"/>
    <w:link w:val="475"/>
    <w:qFormat/>
    <w:locked/>
    <w:uiPriority w:val="0"/>
    <w:rPr>
      <w:rFonts w:ascii="宋体" w:hAnsi="宋体"/>
      <w:b/>
      <w:color w:val="000000"/>
      <w:sz w:val="28"/>
      <w:szCs w:val="28"/>
    </w:rPr>
  </w:style>
  <w:style w:type="paragraph" w:customStyle="1" w:styleId="475">
    <w:name w:val="燕山正文 Char Char"/>
    <w:basedOn w:val="1"/>
    <w:link w:val="474"/>
    <w:qFormat/>
    <w:uiPriority w:val="0"/>
    <w:pPr>
      <w:adjustRightInd w:val="0"/>
      <w:snapToGrid w:val="0"/>
      <w:ind w:firstLine="567"/>
    </w:pPr>
    <w:rPr>
      <w:rFonts w:ascii="宋体" w:hAnsi="宋体" w:cs="Times New Roman"/>
      <w:b/>
      <w:color w:val="000000"/>
      <w:sz w:val="28"/>
      <w:szCs w:val="28"/>
      <w:lang w:eastAsia="zh-CN"/>
    </w:rPr>
  </w:style>
  <w:style w:type="paragraph" w:customStyle="1" w:styleId="476">
    <w:name w:val="正文样式1"/>
    <w:basedOn w:val="1"/>
    <w:qFormat/>
    <w:uiPriority w:val="0"/>
    <w:pPr>
      <w:adjustRightInd w:val="0"/>
      <w:snapToGrid w:val="0"/>
      <w:ind w:firstLine="420"/>
    </w:pPr>
    <w:rPr>
      <w:rFonts w:ascii="宋体" w:hAnsi="宋体" w:cs="Times New Roman"/>
      <w:sz w:val="21"/>
      <w:szCs w:val="20"/>
      <w:lang w:eastAsia="zh-CN"/>
    </w:rPr>
  </w:style>
  <w:style w:type="paragraph" w:customStyle="1" w:styleId="477">
    <w:name w:val="缺省文本_注释_宋体"/>
    <w:basedOn w:val="1"/>
    <w:qFormat/>
    <w:uiPriority w:val="0"/>
    <w:pPr>
      <w:tabs>
        <w:tab w:val="left" w:pos="639"/>
        <w:tab w:val="center" w:pos="5670"/>
        <w:tab w:val="right" w:pos="7655"/>
      </w:tabs>
      <w:spacing w:before="80" w:after="120" w:line="360" w:lineRule="exact"/>
      <w:outlineLvl w:val="7"/>
    </w:pPr>
    <w:rPr>
      <w:rFonts w:ascii="宋体" w:hAnsi="宋体" w:cs="Times New Roman"/>
      <w:spacing w:val="4"/>
      <w:kern w:val="28"/>
      <w:sz w:val="21"/>
      <w:szCs w:val="20"/>
      <w:lang w:eastAsia="zh-CN"/>
    </w:rPr>
  </w:style>
  <w:style w:type="paragraph" w:customStyle="1" w:styleId="478">
    <w:name w:val="表格（5号）"/>
    <w:basedOn w:val="1"/>
    <w:qFormat/>
    <w:uiPriority w:val="0"/>
    <w:pPr>
      <w:spacing w:line="360" w:lineRule="exact"/>
      <w:ind w:left="-113" w:right="-113"/>
      <w:jc w:val="center"/>
    </w:pPr>
    <w:rPr>
      <w:rFonts w:ascii="宋体" w:hAnsi="宋体" w:cs="Courier New"/>
      <w:color w:val="000000"/>
      <w:sz w:val="18"/>
      <w:szCs w:val="20"/>
      <w:lang w:eastAsia="zh-CN"/>
    </w:rPr>
  </w:style>
  <w:style w:type="paragraph" w:customStyle="1" w:styleId="479">
    <w:name w:val="1-正文"/>
    <w:basedOn w:val="1"/>
    <w:qFormat/>
    <w:uiPriority w:val="0"/>
    <w:pPr>
      <w:ind w:firstLine="480"/>
    </w:pPr>
    <w:rPr>
      <w:rFonts w:ascii="宋体" w:hAnsi="宋体" w:cs="Times New Roman"/>
      <w:szCs w:val="20"/>
      <w:lang w:eastAsia="zh-CN"/>
    </w:rPr>
  </w:style>
  <w:style w:type="character" w:customStyle="1" w:styleId="480">
    <w:name w:val="样式5 Char2"/>
    <w:link w:val="5"/>
    <w:qFormat/>
    <w:locked/>
    <w:uiPriority w:val="0"/>
    <w:rPr>
      <w:b/>
      <w:kern w:val="2"/>
      <w:sz w:val="24"/>
      <w:szCs w:val="21"/>
    </w:rPr>
  </w:style>
  <w:style w:type="paragraph" w:customStyle="1" w:styleId="481">
    <w:name w:val="标准"/>
    <w:basedOn w:val="1"/>
    <w:qFormat/>
    <w:uiPriority w:val="0"/>
    <w:pPr>
      <w:adjustRightInd w:val="0"/>
    </w:pPr>
    <w:rPr>
      <w:rFonts w:ascii="宋体" w:hAnsi="宋体" w:cs="Times New Roman"/>
      <w:sz w:val="28"/>
      <w:szCs w:val="28"/>
      <w:lang w:eastAsia="zh-CN"/>
    </w:rPr>
  </w:style>
  <w:style w:type="paragraph" w:customStyle="1" w:styleId="482">
    <w:name w:val="reader-word-layer reader-word-s1-12"/>
    <w:basedOn w:val="1"/>
    <w:qFormat/>
    <w:uiPriority w:val="0"/>
    <w:pPr>
      <w:widowControl/>
      <w:spacing w:before="100" w:beforeAutospacing="1" w:after="100" w:afterAutospacing="1"/>
    </w:pPr>
    <w:rPr>
      <w:rFonts w:ascii="宋体" w:hAnsi="宋体" w:cs="宋体"/>
      <w:szCs w:val="20"/>
      <w:lang w:eastAsia="zh-CN"/>
    </w:rPr>
  </w:style>
  <w:style w:type="character" w:customStyle="1" w:styleId="483">
    <w:name w:val="标题 3，BSH-3条标题1.1.1 Char Char"/>
    <w:link w:val="484"/>
    <w:qFormat/>
    <w:locked/>
    <w:uiPriority w:val="0"/>
    <w:rPr>
      <w:rFonts w:ascii="宋体" w:hAnsi="宋体"/>
      <w:caps/>
      <w:sz w:val="24"/>
      <w:szCs w:val="24"/>
    </w:rPr>
  </w:style>
  <w:style w:type="paragraph" w:customStyle="1" w:styleId="484">
    <w:name w:val="标题 3，BSH-3条标题1.1.1"/>
    <w:basedOn w:val="9"/>
    <w:link w:val="483"/>
    <w:qFormat/>
    <w:uiPriority w:val="0"/>
    <w:pPr>
      <w:adjustRightInd/>
      <w:spacing w:before="0" w:after="0"/>
      <w:outlineLvl w:val="9"/>
    </w:pPr>
    <w:rPr>
      <w:b w:val="0"/>
      <w:caps/>
      <w:color w:val="auto"/>
      <w:sz w:val="24"/>
      <w:szCs w:val="24"/>
    </w:rPr>
  </w:style>
  <w:style w:type="paragraph" w:customStyle="1" w:styleId="485">
    <w:name w:val="样式 燕山正文 + 首行缩进:  3.5 字符"/>
    <w:basedOn w:val="1"/>
    <w:qFormat/>
    <w:uiPriority w:val="0"/>
    <w:pPr>
      <w:tabs>
        <w:tab w:val="left" w:pos="4680"/>
      </w:tabs>
      <w:adjustRightInd w:val="0"/>
      <w:snapToGrid w:val="0"/>
      <w:ind w:firstLine="560"/>
    </w:pPr>
    <w:rPr>
      <w:rFonts w:ascii="宋体" w:hAnsi="宋体" w:cs="宋体"/>
      <w:color w:val="000000"/>
      <w:sz w:val="28"/>
      <w:szCs w:val="20"/>
      <w:lang w:eastAsia="zh-CN"/>
    </w:rPr>
  </w:style>
  <w:style w:type="character" w:customStyle="1" w:styleId="486">
    <w:name w:val="样式 题注 + (西文) Times New Roman (中文) 宋体 小四 加粗 黑色 Char Char"/>
    <w:link w:val="487"/>
    <w:qFormat/>
    <w:locked/>
    <w:uiPriority w:val="0"/>
    <w:rPr>
      <w:rFonts w:ascii="Arial" w:hAnsi="Arial" w:cs="Arial"/>
      <w:b/>
      <w:bCs/>
      <w:color w:val="000000"/>
      <w:sz w:val="24"/>
      <w:szCs w:val="24"/>
    </w:rPr>
  </w:style>
  <w:style w:type="paragraph" w:customStyle="1" w:styleId="487">
    <w:name w:val="样式 题注 + (西文) Times New Roman (中文) 宋体 小四 加粗 黑色 Char"/>
    <w:basedOn w:val="20"/>
    <w:link w:val="486"/>
    <w:qFormat/>
    <w:uiPriority w:val="0"/>
    <w:pPr>
      <w:adjustRightInd w:val="0"/>
      <w:spacing w:beforeLines="100"/>
      <w:jc w:val="center"/>
    </w:pPr>
    <w:rPr>
      <w:rFonts w:ascii="Arial" w:hAnsi="Arial" w:eastAsia="宋体" w:cs="Arial"/>
      <w:b/>
      <w:bCs/>
      <w:color w:val="000000"/>
      <w:sz w:val="24"/>
      <w:szCs w:val="24"/>
      <w:lang w:eastAsia="zh-CN"/>
    </w:rPr>
  </w:style>
  <w:style w:type="paragraph" w:customStyle="1" w:styleId="488">
    <w:name w:val="赵文本"/>
    <w:basedOn w:val="1"/>
    <w:qFormat/>
    <w:uiPriority w:val="0"/>
    <w:pPr>
      <w:ind w:firstLine="480"/>
    </w:pPr>
    <w:rPr>
      <w:rFonts w:ascii="宋体" w:hAnsi="宋体" w:eastAsia="仿宋_GB2312" w:cs="Times New Roman"/>
      <w:szCs w:val="32"/>
      <w:lang w:eastAsia="zh-CN"/>
    </w:rPr>
  </w:style>
  <w:style w:type="paragraph" w:customStyle="1" w:styleId="489">
    <w:name w:val="简单回函地址"/>
    <w:basedOn w:val="1"/>
    <w:qFormat/>
    <w:uiPriority w:val="0"/>
    <w:rPr>
      <w:rFonts w:ascii="宋体" w:hAnsi="宋体" w:cs="Times New Roman"/>
      <w:sz w:val="21"/>
      <w:szCs w:val="20"/>
      <w:lang w:eastAsia="zh-CN"/>
    </w:rPr>
  </w:style>
  <w:style w:type="paragraph" w:customStyle="1" w:styleId="490">
    <w:name w:val="正文段落"/>
    <w:qFormat/>
    <w:uiPriority w:val="0"/>
    <w:pPr>
      <w:spacing w:beforeLines="50"/>
      <w:ind w:firstLine="505" w:firstLineChars="200"/>
    </w:pPr>
    <w:rPr>
      <w:rFonts w:ascii="Times New Roman" w:hAnsi="Times New Roman" w:eastAsia="宋体" w:cs="Times New Roman"/>
      <w:bCs/>
      <w:kern w:val="2"/>
      <w:sz w:val="24"/>
      <w:szCs w:val="24"/>
      <w:lang w:val="en-US" w:eastAsia="zh-CN" w:bidi="ar-SA"/>
    </w:rPr>
  </w:style>
  <w:style w:type="paragraph" w:customStyle="1" w:styleId="491">
    <w:name w:val="前言、引言标题"/>
    <w:next w:val="1"/>
    <w:qFormat/>
    <w:uiPriority w:val="0"/>
    <w:pPr>
      <w:shd w:val="clear" w:color="auto" w:fill="FFFFFF"/>
      <w:tabs>
        <w:tab w:val="left" w:pos="436"/>
      </w:tabs>
      <w:spacing w:before="640" w:after="560"/>
      <w:ind w:left="16" w:firstLine="560"/>
      <w:jc w:val="center"/>
      <w:outlineLvl w:val="0"/>
    </w:pPr>
    <w:rPr>
      <w:rFonts w:ascii="黑体" w:hAnsi="Times New Roman" w:eastAsia="黑体" w:cs="Times New Roman"/>
      <w:sz w:val="32"/>
      <w:lang w:val="en-US" w:eastAsia="zh-CN" w:bidi="ar-SA"/>
    </w:rPr>
  </w:style>
  <w:style w:type="paragraph" w:customStyle="1" w:styleId="492">
    <w:name w:val="样式4"/>
    <w:basedOn w:val="1"/>
    <w:qFormat/>
    <w:uiPriority w:val="0"/>
    <w:pPr>
      <w:tabs>
        <w:tab w:val="left" w:pos="0"/>
      </w:tabs>
      <w:snapToGrid w:val="0"/>
      <w:ind w:firstLine="480"/>
    </w:pPr>
    <w:rPr>
      <w:rFonts w:ascii="宋体" w:hAnsi="宋体" w:cs="Times New Roman"/>
      <w:szCs w:val="20"/>
      <w:lang w:eastAsia="zh-CN"/>
    </w:rPr>
  </w:style>
  <w:style w:type="paragraph" w:customStyle="1" w:styleId="493">
    <w:name w:val="1234567"/>
    <w:basedOn w:val="1"/>
    <w:next w:val="1"/>
    <w:qFormat/>
    <w:uiPriority w:val="0"/>
    <w:pPr>
      <w:tabs>
        <w:tab w:val="left" w:pos="0"/>
      </w:tabs>
      <w:snapToGrid w:val="0"/>
      <w:ind w:firstLine="218" w:firstLineChars="218"/>
    </w:pPr>
    <w:rPr>
      <w:rFonts w:ascii="宋体" w:hAnsi="宋体" w:cs="Times New Roman"/>
      <w:szCs w:val="20"/>
      <w:lang w:eastAsia="zh-CN"/>
    </w:rPr>
  </w:style>
  <w:style w:type="paragraph" w:customStyle="1" w:styleId="494">
    <w:name w:val="Char Char Char Char Char Char Char Char Char Char Char Char4 Char Char Char Char Char Char Char"/>
    <w:basedOn w:val="1"/>
    <w:qFormat/>
    <w:uiPriority w:val="0"/>
    <w:rPr>
      <w:rFonts w:ascii="宋体" w:hAnsi="宋体" w:cs="Times New Roman"/>
      <w:sz w:val="21"/>
      <w:szCs w:val="20"/>
      <w:lang w:eastAsia="zh-CN"/>
    </w:rPr>
  </w:style>
  <w:style w:type="paragraph" w:customStyle="1" w:styleId="495">
    <w:name w:val="样式 首行缩进:  2 字符"/>
    <w:basedOn w:val="1"/>
    <w:qFormat/>
    <w:uiPriority w:val="0"/>
    <w:pPr>
      <w:tabs>
        <w:tab w:val="left" w:pos="0"/>
      </w:tabs>
      <w:spacing w:line="560" w:lineRule="exact"/>
      <w:ind w:firstLine="560"/>
    </w:pPr>
    <w:rPr>
      <w:rFonts w:ascii="宋体" w:hAnsi="宋体" w:eastAsia="仿宋_GB2312" w:cs="Times New Roman"/>
      <w:spacing w:val="12"/>
      <w:sz w:val="28"/>
      <w:szCs w:val="20"/>
      <w:lang w:eastAsia="zh-CN"/>
    </w:rPr>
  </w:style>
  <w:style w:type="paragraph" w:customStyle="1" w:styleId="496">
    <w:name w:val="样式 标题 1 + 小四"/>
    <w:basedOn w:val="7"/>
    <w:qFormat/>
    <w:uiPriority w:val="0"/>
    <w:pPr>
      <w:tabs>
        <w:tab w:val="left" w:pos="420"/>
      </w:tabs>
      <w:spacing w:before="0" w:beforeLines="50" w:after="240" w:line="0" w:lineRule="atLeast"/>
      <w:ind w:left="420" w:hanging="420"/>
      <w:jc w:val="center"/>
    </w:pPr>
    <w:rPr>
      <w:rFonts w:ascii="Times New Roman" w:hAnsi="Times New Roman" w:cs="Times New Roman"/>
      <w:sz w:val="30"/>
      <w:lang w:eastAsia="zh-CN"/>
    </w:rPr>
  </w:style>
  <w:style w:type="paragraph" w:customStyle="1" w:styleId="497">
    <w:name w:val="xl41"/>
    <w:basedOn w:val="1"/>
    <w:qFormat/>
    <w:uiPriority w:val="0"/>
    <w:pPr>
      <w:widowControl/>
      <w:pBdr>
        <w:bottom w:val="single" w:color="auto" w:sz="4" w:space="0"/>
        <w:right w:val="single" w:color="auto" w:sz="4" w:space="0"/>
      </w:pBdr>
      <w:spacing w:before="100" w:beforeAutospacing="1" w:after="100" w:afterAutospacing="1"/>
      <w:jc w:val="center"/>
    </w:pPr>
    <w:rPr>
      <w:rFonts w:ascii="Arial" w:hAnsi="Arial" w:eastAsia="Arial Unicode MS" w:cs="Arial"/>
      <w:color w:val="FF0000"/>
      <w:sz w:val="23"/>
      <w:szCs w:val="23"/>
      <w:lang w:eastAsia="zh-CN"/>
    </w:rPr>
  </w:style>
  <w:style w:type="paragraph" w:customStyle="1" w:styleId="498">
    <w:name w:val="表格内"/>
    <w:qFormat/>
    <w:uiPriority w:val="0"/>
    <w:pPr>
      <w:keepNext/>
      <w:keepLines/>
      <w:widowControl w:val="0"/>
      <w:tabs>
        <w:tab w:val="left" w:pos="9356"/>
      </w:tabs>
      <w:adjustRightInd w:val="0"/>
      <w:spacing w:before="40" w:after="40" w:line="80" w:lineRule="atLeast"/>
    </w:pPr>
    <w:rPr>
      <w:rFonts w:ascii="Arial" w:hAnsi="Times New Roman" w:eastAsia="宋体" w:cs="Times New Roman"/>
      <w:sz w:val="24"/>
      <w:lang w:val="en-US" w:eastAsia="zh-CN" w:bidi="ar-SA"/>
    </w:rPr>
  </w:style>
  <w:style w:type="paragraph" w:customStyle="1" w:styleId="499">
    <w:name w:val="段落"/>
    <w:basedOn w:val="1"/>
    <w:qFormat/>
    <w:uiPriority w:val="0"/>
    <w:pPr>
      <w:spacing w:line="420" w:lineRule="exact"/>
      <w:ind w:firstLine="480"/>
    </w:pPr>
    <w:rPr>
      <w:rFonts w:ascii="宋体" w:hAnsi="宋体" w:cs="Times New Roman"/>
      <w:szCs w:val="20"/>
      <w:lang w:eastAsia="zh-CN"/>
    </w:rPr>
  </w:style>
  <w:style w:type="paragraph" w:customStyle="1" w:styleId="500">
    <w:name w:val="Char Char2 Char Char Char2 Char Char Char Char Char Char Char Char Char Char Char Char Char"/>
    <w:basedOn w:val="1"/>
    <w:qFormat/>
    <w:uiPriority w:val="0"/>
    <w:pPr>
      <w:widowControl/>
      <w:spacing w:after="160" w:line="240" w:lineRule="exact"/>
    </w:pPr>
    <w:rPr>
      <w:rFonts w:ascii="宋体" w:hAnsi="宋体" w:cs="Times New Roman"/>
      <w:sz w:val="21"/>
      <w:szCs w:val="20"/>
      <w:lang w:eastAsia="zh-CN"/>
    </w:rPr>
  </w:style>
  <w:style w:type="paragraph" w:customStyle="1" w:styleId="501">
    <w:name w:val="gao 1"/>
    <w:basedOn w:val="1"/>
    <w:qFormat/>
    <w:uiPriority w:val="0"/>
    <w:rPr>
      <w:rFonts w:ascii="宋体" w:hAnsi="宋体" w:eastAsia="方正大标宋简体" w:cs="Times New Roman"/>
      <w:sz w:val="28"/>
      <w:szCs w:val="20"/>
      <w:lang w:eastAsia="zh-CN"/>
    </w:rPr>
  </w:style>
  <w:style w:type="paragraph" w:customStyle="1" w:styleId="502">
    <w:name w:val="xl49"/>
    <w:basedOn w:val="1"/>
    <w:qFormat/>
    <w:uiPriority w:val="0"/>
    <w:pPr>
      <w:widowControl/>
      <w:pBdr>
        <w:bottom w:val="single" w:color="auto" w:sz="4" w:space="0"/>
        <w:right w:val="single" w:color="auto" w:sz="4" w:space="0"/>
      </w:pBdr>
      <w:spacing w:before="100" w:beforeAutospacing="1" w:after="100" w:afterAutospacing="1"/>
      <w:jc w:val="center"/>
    </w:pPr>
    <w:rPr>
      <w:rFonts w:ascii="Arial" w:hAnsi="Arial" w:eastAsia="Arial Unicode MS" w:cs="Arial"/>
      <w:color w:val="0000FF"/>
      <w:sz w:val="23"/>
      <w:szCs w:val="23"/>
      <w:lang w:eastAsia="zh-CN"/>
    </w:rPr>
  </w:style>
  <w:style w:type="paragraph" w:customStyle="1" w:styleId="503">
    <w:name w:val="Char Char Char1 Char Char Char Char Char Char Char Char Char Char"/>
    <w:basedOn w:val="1"/>
    <w:qFormat/>
    <w:uiPriority w:val="0"/>
    <w:rPr>
      <w:rFonts w:ascii="宋体" w:hAnsi="宋体" w:cs="Times New Roman"/>
      <w:sz w:val="21"/>
      <w:szCs w:val="20"/>
      <w:lang w:eastAsia="zh-CN"/>
    </w:rPr>
  </w:style>
  <w:style w:type="paragraph" w:customStyle="1" w:styleId="504">
    <w:name w:val="Style5"/>
    <w:basedOn w:val="1"/>
    <w:qFormat/>
    <w:uiPriority w:val="0"/>
    <w:pPr>
      <w:autoSpaceDE w:val="0"/>
      <w:autoSpaceDN w:val="0"/>
      <w:adjustRightInd w:val="0"/>
      <w:ind w:firstLine="420"/>
    </w:pPr>
    <w:rPr>
      <w:rFonts w:ascii="宋体" w:hAnsi="宋体" w:cs="Times New Roman"/>
      <w:szCs w:val="21"/>
      <w:lang w:eastAsia="zh-CN"/>
    </w:rPr>
  </w:style>
  <w:style w:type="paragraph" w:customStyle="1" w:styleId="505">
    <w:name w:val="CM17"/>
    <w:basedOn w:val="26"/>
    <w:next w:val="26"/>
    <w:qFormat/>
    <w:uiPriority w:val="0"/>
    <w:pPr>
      <w:spacing w:line="273" w:lineRule="atLeast"/>
    </w:pPr>
    <w:rPr>
      <w:rFonts w:ascii="黑体" w:hAnsi="Times New Roman" w:eastAsia="黑体" w:cs="Times New Roman"/>
      <w:color w:val="auto"/>
    </w:rPr>
  </w:style>
  <w:style w:type="paragraph" w:customStyle="1" w:styleId="506">
    <w:name w:val="图片"/>
    <w:basedOn w:val="1"/>
    <w:qFormat/>
    <w:uiPriority w:val="0"/>
    <w:pPr>
      <w:spacing w:line="440" w:lineRule="exact"/>
    </w:pPr>
    <w:rPr>
      <w:rFonts w:ascii="宋体" w:hAnsi="宋体" w:cs="Times New Roman"/>
      <w:szCs w:val="20"/>
      <w:lang w:eastAsia="zh-CN"/>
    </w:rPr>
  </w:style>
  <w:style w:type="paragraph" w:customStyle="1" w:styleId="507">
    <w:name w:val="Char Char1 Char"/>
    <w:basedOn w:val="1"/>
    <w:qFormat/>
    <w:uiPriority w:val="0"/>
    <w:rPr>
      <w:rFonts w:ascii="宋体" w:hAnsi="宋体" w:cs="Times New Roman"/>
      <w:sz w:val="21"/>
      <w:szCs w:val="20"/>
      <w:lang w:eastAsia="zh-CN"/>
    </w:rPr>
  </w:style>
  <w:style w:type="paragraph" w:customStyle="1" w:styleId="508">
    <w:name w:val="xl33"/>
    <w:basedOn w:val="1"/>
    <w:qFormat/>
    <w:uiPriority w:val="0"/>
    <w:pPr>
      <w:widowControl/>
      <w:pBdr>
        <w:left w:val="single" w:color="auto" w:sz="4" w:space="0"/>
      </w:pBdr>
      <w:spacing w:before="100" w:beforeAutospacing="1" w:after="100" w:afterAutospacing="1"/>
    </w:pPr>
    <w:rPr>
      <w:rFonts w:ascii="Courier New" w:hAnsi="Courier New" w:eastAsia="Arial Unicode MS" w:cs="Courier New"/>
      <w:szCs w:val="20"/>
      <w:lang w:eastAsia="zh-CN"/>
    </w:rPr>
  </w:style>
  <w:style w:type="paragraph" w:customStyle="1" w:styleId="509">
    <w:name w:val="样式 标题 1 + 宋体 四号"/>
    <w:basedOn w:val="7"/>
    <w:qFormat/>
    <w:uiPriority w:val="0"/>
    <w:pPr>
      <w:keepLines w:val="0"/>
      <w:spacing w:before="0" w:after="0" w:line="700" w:lineRule="exact"/>
      <w:jc w:val="center"/>
    </w:pPr>
    <w:rPr>
      <w:rFonts w:hAnsi="华文中宋" w:eastAsia="华文中宋" w:cs="华文中宋"/>
      <w:color w:val="000000"/>
      <w:kern w:val="2"/>
      <w:sz w:val="28"/>
      <w:lang w:eastAsia="zh-CN"/>
    </w:rPr>
  </w:style>
  <w:style w:type="paragraph" w:customStyle="1" w:styleId="510">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Courier New" w:hAnsi="Courier New" w:eastAsia="Arial Unicode MS" w:cs="Courier New"/>
      <w:szCs w:val="20"/>
      <w:lang w:eastAsia="zh-CN"/>
    </w:rPr>
  </w:style>
  <w:style w:type="paragraph" w:customStyle="1" w:styleId="511">
    <w:name w:val="正文-使用"/>
    <w:basedOn w:val="1"/>
    <w:qFormat/>
    <w:uiPriority w:val="0"/>
    <w:pPr>
      <w:ind w:firstLine="482"/>
    </w:pPr>
    <w:rPr>
      <w:rFonts w:ascii="宋体" w:hAnsi="宋体" w:cs="Times New Roman"/>
      <w:szCs w:val="20"/>
      <w:lang w:eastAsia="zh-CN"/>
    </w:rPr>
  </w:style>
  <w:style w:type="paragraph" w:customStyle="1" w:styleId="512">
    <w:name w:val="样式2"/>
    <w:basedOn w:val="1"/>
    <w:qFormat/>
    <w:uiPriority w:val="0"/>
    <w:pPr>
      <w:autoSpaceDE w:val="0"/>
      <w:autoSpaceDN w:val="0"/>
      <w:adjustRightInd w:val="0"/>
      <w:spacing w:beforeLines="25" w:afterLines="50"/>
      <w:jc w:val="center"/>
    </w:pPr>
    <w:rPr>
      <w:rFonts w:ascii="宋体" w:hAnsi="宋体" w:cs="Times New Roman"/>
      <w:szCs w:val="20"/>
      <w:lang w:eastAsia="zh-CN"/>
    </w:rPr>
  </w:style>
  <w:style w:type="paragraph" w:customStyle="1" w:styleId="513">
    <w:name w:val="1正文段落"/>
    <w:basedOn w:val="1"/>
    <w:qFormat/>
    <w:uiPriority w:val="0"/>
    <w:pPr>
      <w:snapToGrid w:val="0"/>
      <w:ind w:firstLine="480"/>
    </w:pPr>
    <w:rPr>
      <w:rFonts w:ascii="宋体" w:hAnsi="宋体" w:cs="Times New Roman"/>
      <w:szCs w:val="20"/>
      <w:lang w:eastAsia="zh-CN"/>
    </w:rPr>
  </w:style>
  <w:style w:type="character" w:customStyle="1" w:styleId="514">
    <w:name w:val="font61"/>
    <w:qFormat/>
    <w:uiPriority w:val="0"/>
    <w:rPr>
      <w:rFonts w:hint="eastAsia" w:ascii="宋体" w:hAnsi="宋体" w:eastAsia="宋体" w:cs="宋体"/>
      <w:b/>
      <w:color w:val="000000"/>
      <w:sz w:val="21"/>
      <w:szCs w:val="21"/>
      <w:u w:val="none"/>
    </w:rPr>
  </w:style>
  <w:style w:type="character" w:customStyle="1" w:styleId="515">
    <w:name w:val="无间隔 Char"/>
    <w:qFormat/>
    <w:uiPriority w:val="0"/>
    <w:rPr>
      <w:rFonts w:hint="default" w:ascii="Calibri" w:hAnsi="Calibri" w:eastAsia="Calibri" w:cs="Times New Roman"/>
      <w:b/>
      <w:sz w:val="22"/>
      <w:szCs w:val="22"/>
    </w:rPr>
  </w:style>
  <w:style w:type="character" w:customStyle="1" w:styleId="516">
    <w:name w:val="表头 Char"/>
    <w:qFormat/>
    <w:uiPriority w:val="0"/>
    <w:rPr>
      <w:rFonts w:hint="eastAsia" w:ascii="黑体" w:hAnsi="黑体" w:eastAsia="黑体"/>
      <w:b/>
      <w:kern w:val="2"/>
      <w:sz w:val="24"/>
      <w:szCs w:val="24"/>
      <w:lang w:val="en-US" w:eastAsia="zh-CN" w:bidi="ar-SA"/>
    </w:rPr>
  </w:style>
  <w:style w:type="character" w:customStyle="1" w:styleId="517">
    <w:name w:val="text1"/>
    <w:basedOn w:val="73"/>
    <w:qFormat/>
    <w:uiPriority w:val="0"/>
    <w:rPr>
      <w:b/>
      <w:sz w:val="24"/>
    </w:rPr>
  </w:style>
  <w:style w:type="character" w:customStyle="1" w:styleId="518">
    <w:name w:val="样式 (符号) 宋体 小四"/>
    <w:qFormat/>
    <w:uiPriority w:val="0"/>
    <w:rPr>
      <w:b/>
      <w:kern w:val="0"/>
      <w:sz w:val="24"/>
    </w:rPr>
  </w:style>
  <w:style w:type="character" w:customStyle="1" w:styleId="519">
    <w:name w:val="个人撰写风格"/>
    <w:qFormat/>
    <w:uiPriority w:val="0"/>
    <w:rPr>
      <w:rFonts w:hint="default" w:ascii="Arial" w:hAnsi="Arial" w:eastAsia="宋体" w:cs="Arial"/>
      <w:b/>
      <w:color w:val="auto"/>
      <w:sz w:val="20"/>
    </w:rPr>
  </w:style>
  <w:style w:type="character" w:customStyle="1" w:styleId="520">
    <w:name w:val="apple-style-span"/>
    <w:basedOn w:val="73"/>
    <w:qFormat/>
    <w:uiPriority w:val="0"/>
    <w:rPr>
      <w:b/>
      <w:sz w:val="24"/>
    </w:rPr>
  </w:style>
  <w:style w:type="character" w:customStyle="1" w:styleId="521">
    <w:name w:val="apple-converted-space"/>
    <w:basedOn w:val="73"/>
    <w:qFormat/>
    <w:uiPriority w:val="0"/>
    <w:rPr>
      <w:b/>
      <w:sz w:val="24"/>
    </w:rPr>
  </w:style>
  <w:style w:type="character" w:customStyle="1" w:styleId="522">
    <w:name w:val="headline-content"/>
    <w:basedOn w:val="73"/>
    <w:qFormat/>
    <w:uiPriority w:val="0"/>
    <w:rPr>
      <w:b/>
      <w:sz w:val="24"/>
    </w:rPr>
  </w:style>
  <w:style w:type="character" w:customStyle="1" w:styleId="523">
    <w:name w:val="标题 4 Char11"/>
    <w:qFormat/>
    <w:uiPriority w:val="0"/>
    <w:rPr>
      <w:rFonts w:hint="eastAsia" w:ascii="黑体" w:hAnsi="Arial" w:eastAsia="黑体"/>
      <w:b/>
      <w:bCs/>
      <w:kern w:val="2"/>
      <w:sz w:val="24"/>
      <w:szCs w:val="24"/>
    </w:rPr>
  </w:style>
  <w:style w:type="character" w:customStyle="1" w:styleId="524">
    <w:name w:val="Char Char8"/>
    <w:qFormat/>
    <w:uiPriority w:val="0"/>
    <w:rPr>
      <w:b/>
      <w:bCs/>
      <w:kern w:val="2"/>
      <w:sz w:val="28"/>
      <w:szCs w:val="32"/>
    </w:rPr>
  </w:style>
  <w:style w:type="character" w:customStyle="1" w:styleId="525">
    <w:name w:val="font11"/>
    <w:qFormat/>
    <w:uiPriority w:val="0"/>
    <w:rPr>
      <w:rFonts w:hint="default" w:ascii="Times New Roman" w:hAnsi="Times New Roman" w:cs="Times New Roman"/>
      <w:b/>
      <w:color w:val="000000"/>
      <w:sz w:val="21"/>
      <w:szCs w:val="21"/>
      <w:u w:val="none"/>
      <w:vertAlign w:val="subscript"/>
    </w:rPr>
  </w:style>
  <w:style w:type="character" w:customStyle="1" w:styleId="526">
    <w:name w:val="我的正文 Char Char"/>
    <w:qFormat/>
    <w:uiPriority w:val="0"/>
    <w:rPr>
      <w:rFonts w:hint="eastAsia" w:ascii="宋体" w:hAnsi="宋体" w:eastAsia="宋体" w:cs="宋体"/>
      <w:kern w:val="2"/>
      <w:sz w:val="24"/>
      <w:lang w:val="en-US" w:eastAsia="zh-CN" w:bidi="ar-SA"/>
    </w:rPr>
  </w:style>
  <w:style w:type="character" w:customStyle="1" w:styleId="527">
    <w:name w:val="批注框文本 Char Char"/>
    <w:qFormat/>
    <w:uiPriority w:val="0"/>
    <w:rPr>
      <w:rFonts w:hint="eastAsia" w:ascii="宋体" w:hAnsi="宋体" w:eastAsia="宋体"/>
      <w:kern w:val="2"/>
      <w:sz w:val="18"/>
      <w:lang w:bidi="ar-SA"/>
    </w:rPr>
  </w:style>
  <w:style w:type="character" w:customStyle="1" w:styleId="528">
    <w:name w:val="正文缩进 Char"/>
    <w:qFormat/>
    <w:uiPriority w:val="0"/>
    <w:rPr>
      <w:rFonts w:hint="eastAsia" w:ascii="宋体" w:hAnsi="宋体" w:eastAsia="宋体"/>
      <w:b/>
      <w:kern w:val="2"/>
      <w:sz w:val="24"/>
      <w:szCs w:val="24"/>
      <w:lang w:val="en-US" w:eastAsia="zh-CN" w:bidi="ar-SA"/>
    </w:rPr>
  </w:style>
  <w:style w:type="character" w:customStyle="1" w:styleId="529">
    <w:name w:val="15"/>
    <w:qFormat/>
    <w:uiPriority w:val="0"/>
    <w:rPr>
      <w:rFonts w:hint="default" w:ascii="Times New Roman" w:hAnsi="Times New Roman" w:cs="Times New Roman"/>
      <w:b/>
      <w:color w:val="3366CC"/>
      <w:sz w:val="20"/>
      <w:szCs w:val="20"/>
      <w:u w:val="single"/>
    </w:rPr>
  </w:style>
  <w:style w:type="character" w:customStyle="1" w:styleId="530">
    <w:name w:val="表头 Char Char Char Char Char"/>
    <w:qFormat/>
    <w:uiPriority w:val="0"/>
    <w:rPr>
      <w:rFonts w:hint="eastAsia" w:ascii="宋体" w:hAnsi="宋体" w:eastAsia="宋体"/>
      <w:b/>
      <w:kern w:val="32"/>
      <w:sz w:val="24"/>
      <w:lang w:val="en-US" w:eastAsia="zh-CN" w:bidi="ar-SA"/>
    </w:rPr>
  </w:style>
  <w:style w:type="character" w:customStyle="1" w:styleId="531">
    <w:name w:val="封面文字 Char Char"/>
    <w:qFormat/>
    <w:uiPriority w:val="0"/>
    <w:rPr>
      <w:rFonts w:hint="eastAsia" w:ascii="宋体" w:hAnsi="宋体" w:eastAsia="宋体"/>
      <w:kern w:val="2"/>
      <w:sz w:val="21"/>
      <w:szCs w:val="24"/>
      <w:lang w:val="en-US" w:eastAsia="zh-CN" w:bidi="ar-SA"/>
    </w:rPr>
  </w:style>
  <w:style w:type="character" w:customStyle="1" w:styleId="532">
    <w:name w:val="样式12q Char Char"/>
    <w:qFormat/>
    <w:uiPriority w:val="0"/>
    <w:rPr>
      <w:rFonts w:hint="eastAsia" w:ascii="宋体" w:hAnsi="宋体" w:eastAsia="宋体"/>
      <w:kern w:val="2"/>
      <w:sz w:val="28"/>
      <w:szCs w:val="28"/>
      <w:lang w:val="en-US" w:eastAsia="zh-CN" w:bidi="ar-SA"/>
    </w:rPr>
  </w:style>
  <w:style w:type="character" w:customStyle="1" w:styleId="533">
    <w:name w:val="表头 Char Char Char Char"/>
    <w:qFormat/>
    <w:uiPriority w:val="0"/>
    <w:rPr>
      <w:rFonts w:hint="eastAsia" w:ascii="华文中宋" w:hAnsi="华文中宋" w:eastAsia="华文中宋"/>
      <w:b/>
      <w:kern w:val="32"/>
      <w:sz w:val="28"/>
      <w:lang w:val="en-US" w:eastAsia="zh-CN" w:bidi="ar-SA"/>
    </w:rPr>
  </w:style>
  <w:style w:type="character" w:customStyle="1" w:styleId="534">
    <w:name w:val="bsudyvofdjk"/>
    <w:basedOn w:val="73"/>
    <w:qFormat/>
    <w:uiPriority w:val="0"/>
    <w:rPr>
      <w:b/>
      <w:sz w:val="24"/>
    </w:rPr>
  </w:style>
  <w:style w:type="character" w:customStyle="1" w:styleId="535">
    <w:name w:val="列表 Char"/>
    <w:qFormat/>
    <w:uiPriority w:val="0"/>
    <w:rPr>
      <w:rFonts w:hint="eastAsia" w:ascii="宋体" w:hAnsi="宋体" w:eastAsia="宋体"/>
      <w:b/>
      <w:snapToGrid w:val="0"/>
      <w:sz w:val="21"/>
      <w:lang w:val="en-US" w:eastAsia="zh-CN" w:bidi="ar-SA"/>
    </w:rPr>
  </w:style>
  <w:style w:type="character" w:customStyle="1" w:styleId="536">
    <w:name w:val="样式 标题 2节标题 1.11.1标题2SeBSH-2h2l22nd levelTitre22Header ... Char Char"/>
    <w:qFormat/>
    <w:uiPriority w:val="0"/>
    <w:rPr>
      <w:rFonts w:hint="eastAsia" w:ascii="宋体" w:hAnsi="宋体" w:eastAsia="黑体"/>
      <w:b/>
      <w:bCs/>
      <w:kern w:val="2"/>
      <w:sz w:val="24"/>
      <w:szCs w:val="32"/>
      <w:lang w:val="en-US" w:eastAsia="zh-CN" w:bidi="ar-SA"/>
    </w:rPr>
  </w:style>
  <w:style w:type="character" w:customStyle="1" w:styleId="537">
    <w:name w:val="tit"/>
    <w:basedOn w:val="73"/>
    <w:qFormat/>
    <w:uiPriority w:val="0"/>
    <w:rPr>
      <w:b/>
      <w:sz w:val="24"/>
    </w:rPr>
  </w:style>
  <w:style w:type="character" w:customStyle="1" w:styleId="538">
    <w:name w:val="hz20"/>
    <w:basedOn w:val="73"/>
    <w:qFormat/>
    <w:uiPriority w:val="0"/>
    <w:rPr>
      <w:b/>
      <w:sz w:val="24"/>
    </w:rPr>
  </w:style>
  <w:style w:type="character" w:customStyle="1" w:styleId="539">
    <w:name w:val="表头名称 Char Char"/>
    <w:qFormat/>
    <w:uiPriority w:val="0"/>
    <w:rPr>
      <w:rFonts w:hint="eastAsia" w:ascii="黑体" w:hAnsi="宋体" w:eastAsia="黑体"/>
      <w:b/>
      <w:kern w:val="2"/>
      <w:sz w:val="24"/>
      <w:szCs w:val="24"/>
      <w:lang w:val="en-US" w:eastAsia="zh-CN" w:bidi="ar-SA"/>
    </w:rPr>
  </w:style>
  <w:style w:type="character" w:customStyle="1" w:styleId="540">
    <w:name w:val="p41"/>
    <w:qFormat/>
    <w:uiPriority w:val="0"/>
    <w:rPr>
      <w:b/>
      <w:sz w:val="21"/>
      <w:szCs w:val="21"/>
    </w:rPr>
  </w:style>
  <w:style w:type="character" w:customStyle="1" w:styleId="541">
    <w:name w:val="s gray"/>
    <w:basedOn w:val="73"/>
    <w:qFormat/>
    <w:uiPriority w:val="0"/>
    <w:rPr>
      <w:b/>
      <w:sz w:val="24"/>
    </w:rPr>
  </w:style>
  <w:style w:type="character" w:customStyle="1" w:styleId="542">
    <w:name w:val="正文文字缩进 3 Char"/>
    <w:qFormat/>
    <w:uiPriority w:val="0"/>
    <w:rPr>
      <w:rFonts w:hint="eastAsia" w:ascii="宋体" w:hAnsi="宋体" w:eastAsia="宋体"/>
      <w:b/>
      <w:kern w:val="2"/>
      <w:sz w:val="24"/>
      <w:szCs w:val="24"/>
      <w:lang w:val="en-US" w:eastAsia="zh-CN" w:bidi="ar-SA"/>
    </w:rPr>
  </w:style>
  <w:style w:type="character" w:customStyle="1" w:styleId="543">
    <w:name w:val="Char Char6"/>
    <w:qFormat/>
    <w:uiPriority w:val="0"/>
    <w:rPr>
      <w:rFonts w:hint="eastAsia" w:ascii="宋体" w:hAnsi="宋体" w:eastAsia="宋体"/>
      <w:kern w:val="2"/>
      <w:sz w:val="21"/>
      <w:lang w:val="en-US" w:eastAsia="zh-CN" w:bidi="ar-SA"/>
    </w:rPr>
  </w:style>
  <w:style w:type="character" w:customStyle="1" w:styleId="544">
    <w:name w:val="表头名称 Char"/>
    <w:qFormat/>
    <w:uiPriority w:val="0"/>
    <w:rPr>
      <w:rFonts w:hint="eastAsia" w:ascii="黑体" w:hAnsi="宋体" w:eastAsia="黑体"/>
      <w:b/>
      <w:kern w:val="2"/>
      <w:sz w:val="24"/>
      <w:szCs w:val="24"/>
      <w:lang w:val="en-US" w:eastAsia="zh-CN" w:bidi="ar-SA"/>
    </w:rPr>
  </w:style>
  <w:style w:type="character" w:customStyle="1" w:styleId="545">
    <w:name w:val="font51"/>
    <w:qFormat/>
    <w:uiPriority w:val="0"/>
    <w:rPr>
      <w:rFonts w:hint="default" w:ascii="Times New Roman" w:hAnsi="Times New Roman" w:cs="Times New Roman"/>
      <w:b/>
      <w:color w:val="000000"/>
      <w:sz w:val="21"/>
      <w:szCs w:val="21"/>
      <w:u w:val="none"/>
    </w:rPr>
  </w:style>
  <w:style w:type="character" w:customStyle="1" w:styleId="546">
    <w:name w:val="style1"/>
    <w:basedOn w:val="73"/>
    <w:qFormat/>
    <w:uiPriority w:val="0"/>
    <w:rPr>
      <w:b/>
      <w:sz w:val="24"/>
    </w:rPr>
  </w:style>
  <w:style w:type="character" w:customStyle="1" w:styleId="547">
    <w:name w:val="标题5"/>
    <w:basedOn w:val="73"/>
    <w:qFormat/>
    <w:uiPriority w:val="0"/>
    <w:rPr>
      <w:b/>
      <w:sz w:val="24"/>
    </w:rPr>
  </w:style>
  <w:style w:type="character" w:customStyle="1" w:styleId="548">
    <w:name w:val="表头 Char Char1 Char Char Char"/>
    <w:qFormat/>
    <w:uiPriority w:val="0"/>
    <w:rPr>
      <w:rFonts w:hint="eastAsia" w:ascii="华文中宋" w:hAnsi="华文中宋" w:eastAsia="华文中宋"/>
      <w:b/>
      <w:snapToGrid w:val="0"/>
      <w:kern w:val="32"/>
      <w:sz w:val="28"/>
      <w:szCs w:val="24"/>
      <w:lang w:val="en-US" w:eastAsia="zh-CN" w:bidi="ar-SA"/>
    </w:rPr>
  </w:style>
  <w:style w:type="character" w:customStyle="1" w:styleId="549">
    <w:name w:val="postbody1"/>
    <w:qFormat/>
    <w:uiPriority w:val="0"/>
    <w:rPr>
      <w:sz w:val="28"/>
      <w:szCs w:val="28"/>
    </w:rPr>
  </w:style>
  <w:style w:type="character" w:customStyle="1" w:styleId="550">
    <w:name w:val="Char Char10"/>
    <w:qFormat/>
    <w:uiPriority w:val="0"/>
    <w:rPr>
      <w:rFonts w:hint="eastAsia" w:ascii="方正舒体" w:hAnsi="宋体" w:eastAsia="方正舒体"/>
      <w:b/>
      <w:bCs/>
      <w:kern w:val="2"/>
      <w:sz w:val="28"/>
    </w:rPr>
  </w:style>
  <w:style w:type="character" w:customStyle="1" w:styleId="551">
    <w:name w:val="fccs"/>
    <w:basedOn w:val="73"/>
    <w:qFormat/>
    <w:uiPriority w:val="0"/>
    <w:rPr>
      <w:b/>
      <w:sz w:val="24"/>
    </w:rPr>
  </w:style>
  <w:style w:type="character" w:customStyle="1" w:styleId="552">
    <w:name w:val="页眉1 Char"/>
    <w:qFormat/>
    <w:uiPriority w:val="0"/>
    <w:rPr>
      <w:rFonts w:hint="eastAsia" w:ascii="宋体" w:hAnsi="宋体" w:eastAsia="宋体"/>
      <w:b/>
      <w:kern w:val="2"/>
      <w:sz w:val="18"/>
      <w:szCs w:val="18"/>
      <w:lang w:val="en-US" w:eastAsia="zh-CN" w:bidi="ar-SA"/>
    </w:rPr>
  </w:style>
  <w:style w:type="character" w:customStyle="1" w:styleId="553">
    <w:name w:val="表头 Char Char Char"/>
    <w:qFormat/>
    <w:uiPriority w:val="0"/>
    <w:rPr>
      <w:rFonts w:hint="eastAsia" w:ascii="黑体" w:hAnsi="黑体" w:eastAsia="黑体"/>
      <w:b/>
      <w:kern w:val="2"/>
      <w:sz w:val="21"/>
      <w:szCs w:val="28"/>
      <w:lang w:val="en-US" w:eastAsia="zh-CN" w:bidi="ar-SA"/>
    </w:rPr>
  </w:style>
  <w:style w:type="character" w:customStyle="1" w:styleId="554">
    <w:name w:val="正文：段落格式 Char Char"/>
    <w:qFormat/>
    <w:uiPriority w:val="0"/>
    <w:rPr>
      <w:rFonts w:hint="eastAsia" w:ascii="宋体" w:hAnsi="宋体" w:eastAsia="宋体"/>
      <w:color w:val="000000"/>
      <w:kern w:val="15"/>
      <w:sz w:val="24"/>
      <w:szCs w:val="24"/>
      <w:lang w:val="en-US" w:eastAsia="zh-CN" w:bidi="ar-SA"/>
    </w:rPr>
  </w:style>
  <w:style w:type="character" w:customStyle="1" w:styleId="555">
    <w:name w:val="款 Char Char"/>
    <w:qFormat/>
    <w:uiPriority w:val="0"/>
    <w:rPr>
      <w:rFonts w:hint="default" w:ascii="Arial" w:hAnsi="Arial" w:eastAsia="黑体" w:cs="Arial"/>
      <w:b/>
      <w:bCs/>
      <w:kern w:val="2"/>
      <w:sz w:val="28"/>
      <w:szCs w:val="28"/>
      <w:lang w:val="en-US" w:eastAsia="zh-CN" w:bidi="ar-SA"/>
    </w:rPr>
  </w:style>
  <w:style w:type="character" w:customStyle="1" w:styleId="556">
    <w:name w:val="style91"/>
    <w:qFormat/>
    <w:uiPriority w:val="0"/>
    <w:rPr>
      <w:b/>
      <w:color w:val="993300"/>
      <w:sz w:val="24"/>
    </w:rPr>
  </w:style>
  <w:style w:type="character" w:customStyle="1" w:styleId="557">
    <w:name w:val="unnamed11"/>
    <w:qFormat/>
    <w:uiPriority w:val="0"/>
    <w:rPr>
      <w:b/>
      <w:color w:val="006666"/>
      <w:sz w:val="19"/>
      <w:szCs w:val="19"/>
    </w:rPr>
  </w:style>
  <w:style w:type="character" w:customStyle="1" w:styleId="558">
    <w:name w:val="-*+ Char Char"/>
    <w:qFormat/>
    <w:uiPriority w:val="0"/>
    <w:rPr>
      <w:rFonts w:hint="eastAsia" w:ascii="仿宋_GB2312" w:eastAsia="仿宋_GB2312"/>
      <w:b/>
      <w:bCs/>
      <w:snapToGrid w:val="0"/>
      <w:spacing w:val="10"/>
      <w:sz w:val="28"/>
      <w:szCs w:val="28"/>
      <w:lang w:val="en-US" w:eastAsia="zh-CN" w:bidi="ar-SA"/>
    </w:rPr>
  </w:style>
  <w:style w:type="character" w:customStyle="1" w:styleId="559">
    <w:name w:val="Char Char4"/>
    <w:qFormat/>
    <w:uiPriority w:val="0"/>
    <w:rPr>
      <w:rFonts w:hint="eastAsia" w:ascii="宋体" w:hAnsi="宋体" w:eastAsia="宋体"/>
      <w:kern w:val="2"/>
      <w:sz w:val="18"/>
      <w:szCs w:val="18"/>
      <w:lang w:val="en-US" w:eastAsia="zh-CN" w:bidi="ar-SA"/>
    </w:rPr>
  </w:style>
  <w:style w:type="character" w:customStyle="1" w:styleId="560">
    <w:name w:val="HTML Markup"/>
    <w:qFormat/>
    <w:uiPriority w:val="0"/>
    <w:rPr>
      <w:vanish/>
      <w:color w:val="FF0000"/>
    </w:rPr>
  </w:style>
  <w:style w:type="character" w:customStyle="1" w:styleId="561">
    <w:name w:val="Char Char7"/>
    <w:qFormat/>
    <w:uiPriority w:val="0"/>
    <w:rPr>
      <w:rFonts w:hint="default" w:ascii="Cambria" w:hAnsi="Cambria"/>
      <w:b/>
      <w:bCs/>
      <w:kern w:val="2"/>
      <w:sz w:val="24"/>
      <w:szCs w:val="28"/>
    </w:rPr>
  </w:style>
  <w:style w:type="character" w:customStyle="1" w:styleId="562">
    <w:name w:val="style11"/>
    <w:qFormat/>
    <w:uiPriority w:val="0"/>
    <w:rPr>
      <w:rFonts w:hint="default" w:ascii="Tahoma" w:hAnsi="Tahoma" w:eastAsia="黑体" w:cs="Tahoma"/>
      <w:b/>
      <w:color w:val="60281E"/>
      <w:kern w:val="2"/>
      <w:sz w:val="24"/>
      <w:szCs w:val="28"/>
      <w:lang w:val="en-US" w:eastAsia="zh-CN" w:bidi="ar-SA"/>
    </w:rPr>
  </w:style>
  <w:style w:type="character" w:customStyle="1" w:styleId="563">
    <w:name w:val="f9wen1"/>
    <w:qFormat/>
    <w:uiPriority w:val="0"/>
    <w:rPr>
      <w:b/>
      <w:spacing w:val="12"/>
      <w:sz w:val="18"/>
      <w:szCs w:val="18"/>
      <w:u w:val="none"/>
    </w:rPr>
  </w:style>
  <w:style w:type="character" w:customStyle="1" w:styleId="564">
    <w:name w:val="inner"/>
    <w:basedOn w:val="73"/>
    <w:qFormat/>
    <w:uiPriority w:val="0"/>
    <w:rPr>
      <w:b/>
      <w:sz w:val="24"/>
    </w:rPr>
  </w:style>
  <w:style w:type="character" w:customStyle="1" w:styleId="565">
    <w:name w:val="Char Char9"/>
    <w:qFormat/>
    <w:uiPriority w:val="0"/>
    <w:rPr>
      <w:b/>
      <w:color w:val="000000"/>
      <w:kern w:val="2"/>
      <w:sz w:val="28"/>
    </w:rPr>
  </w:style>
  <w:style w:type="character" w:customStyle="1" w:styleId="566">
    <w:name w:val="Char Char1"/>
    <w:qFormat/>
    <w:locked/>
    <w:uiPriority w:val="0"/>
    <w:rPr>
      <w:rFonts w:hint="default" w:ascii="Arial" w:hAnsi="Arial" w:eastAsia="宋体" w:cs="Arial"/>
      <w:b/>
      <w:kern w:val="2"/>
      <w:sz w:val="24"/>
      <w:szCs w:val="24"/>
      <w:lang w:val="en-US" w:eastAsia="zh-CN" w:bidi="ar-SA"/>
    </w:rPr>
  </w:style>
  <w:style w:type="character" w:customStyle="1" w:styleId="567">
    <w:name w:val="banquan1"/>
    <w:qFormat/>
    <w:uiPriority w:val="0"/>
    <w:rPr>
      <w:rFonts w:hint="eastAsia" w:ascii="宋体" w:hAnsi="宋体" w:eastAsia="宋体"/>
      <w:b/>
      <w:color w:val="333333"/>
      <w:sz w:val="24"/>
      <w:szCs w:val="24"/>
      <w:u w:val="none"/>
    </w:rPr>
  </w:style>
  <w:style w:type="character" w:customStyle="1" w:styleId="568">
    <w:name w:val="表头5H Char Char"/>
    <w:qFormat/>
    <w:uiPriority w:val="0"/>
    <w:rPr>
      <w:rFonts w:hint="eastAsia" w:ascii="黑体" w:hAnsi="黑体" w:eastAsia="黑体"/>
      <w:kern w:val="2"/>
      <w:sz w:val="24"/>
      <w:szCs w:val="24"/>
      <w:lang w:val="en-US" w:eastAsia="zh-CN" w:bidi="ar-SA"/>
    </w:rPr>
  </w:style>
  <w:style w:type="character" w:customStyle="1" w:styleId="569">
    <w:name w:val="样式11"/>
    <w:basedOn w:val="73"/>
    <w:qFormat/>
    <w:uiPriority w:val="0"/>
    <w:rPr>
      <w:b/>
      <w:sz w:val="24"/>
    </w:rPr>
  </w:style>
  <w:style w:type="character" w:customStyle="1" w:styleId="570">
    <w:name w:val="current"/>
    <w:basedOn w:val="73"/>
    <w:qFormat/>
    <w:uiPriority w:val="0"/>
    <w:rPr>
      <w:b/>
      <w:color w:val="FFFFFF"/>
      <w:sz w:val="24"/>
      <w:bdr w:val="single" w:color="044498" w:sz="6" w:space="0"/>
      <w:shd w:val="clear" w:color="auto" w:fill="044498"/>
    </w:rPr>
  </w:style>
  <w:style w:type="character" w:customStyle="1" w:styleId="571">
    <w:name w:val="chuti1"/>
    <w:qFormat/>
    <w:uiPriority w:val="0"/>
    <w:rPr>
      <w:bCs/>
      <w:sz w:val="21"/>
      <w:szCs w:val="21"/>
    </w:rPr>
  </w:style>
  <w:style w:type="character" w:customStyle="1" w:styleId="572">
    <w:name w:val="样式 题注 + (西文) Times New Roman (中文) 宋体 小四 加粗 黑色 Char Char Char"/>
    <w:qFormat/>
    <w:uiPriority w:val="0"/>
    <w:rPr>
      <w:rFonts w:hint="eastAsia" w:ascii="宋体" w:hAnsi="宋体" w:eastAsia="宋体" w:cs="Arial"/>
      <w:b/>
      <w:bCs/>
      <w:color w:val="000000"/>
      <w:sz w:val="24"/>
      <w:szCs w:val="24"/>
      <w:lang w:val="en-US" w:eastAsia="zh-CN" w:bidi="ar-SA"/>
    </w:rPr>
  </w:style>
  <w:style w:type="character" w:customStyle="1" w:styleId="573">
    <w:name w:val="Char Char Char Char Char"/>
    <w:qFormat/>
    <w:uiPriority w:val="0"/>
    <w:rPr>
      <w:rFonts w:hint="eastAsia" w:ascii="宋体" w:hAnsi="宋体" w:eastAsia="宋体"/>
      <w:b/>
      <w:kern w:val="2"/>
      <w:sz w:val="24"/>
      <w:szCs w:val="24"/>
      <w:lang w:val="en-US" w:eastAsia="zh-CN" w:bidi="ar-SA"/>
    </w:rPr>
  </w:style>
  <w:style w:type="character" w:customStyle="1" w:styleId="574">
    <w:name w:val="bsharetext"/>
    <w:basedOn w:val="73"/>
    <w:qFormat/>
    <w:uiPriority w:val="0"/>
    <w:rPr>
      <w:b/>
      <w:sz w:val="24"/>
    </w:rPr>
  </w:style>
  <w:style w:type="character" w:customStyle="1" w:styleId="575">
    <w:name w:val="unnamed31"/>
    <w:qFormat/>
    <w:uiPriority w:val="0"/>
    <w:rPr>
      <w:b/>
      <w:sz w:val="18"/>
      <w:szCs w:val="18"/>
    </w:rPr>
  </w:style>
  <w:style w:type="character" w:customStyle="1" w:styleId="576">
    <w:name w:val="st1"/>
    <w:basedOn w:val="73"/>
    <w:qFormat/>
    <w:uiPriority w:val="0"/>
    <w:rPr>
      <w:b/>
      <w:sz w:val="24"/>
    </w:rPr>
  </w:style>
  <w:style w:type="character" w:customStyle="1" w:styleId="577">
    <w:name w:val="td71"/>
    <w:qFormat/>
    <w:uiPriority w:val="0"/>
    <w:rPr>
      <w:b/>
      <w:color w:val="3B3B3B"/>
      <w:sz w:val="21"/>
      <w:szCs w:val="21"/>
    </w:rPr>
  </w:style>
  <w:style w:type="character" w:customStyle="1" w:styleId="578">
    <w:name w:val="表文字 Char Char"/>
    <w:qFormat/>
    <w:uiPriority w:val="0"/>
    <w:rPr>
      <w:rFonts w:hint="default" w:ascii="Arial" w:hAnsi="Arial" w:cs="Arial"/>
      <w:sz w:val="21"/>
      <w:lang w:val="en-US" w:eastAsia="zh-CN" w:bidi="ar-SA"/>
    </w:rPr>
  </w:style>
  <w:style w:type="character" w:customStyle="1" w:styleId="579">
    <w:name w:val="Char Char11"/>
    <w:qFormat/>
    <w:uiPriority w:val="0"/>
    <w:rPr>
      <w:rFonts w:hint="default" w:ascii="Times New Roman" w:hAnsi="Times New Roman" w:eastAsia="宋体" w:cs="Times New Roman"/>
      <w:b/>
      <w:sz w:val="24"/>
      <w:szCs w:val="24"/>
    </w:rPr>
  </w:style>
  <w:style w:type="character" w:customStyle="1" w:styleId="580">
    <w:name w:val="样式 (报告) 仿宋_GB2312 (中文) 仿宋_GB2312 四号 行距: 1.5 倍行距 Char Char"/>
    <w:qFormat/>
    <w:uiPriority w:val="0"/>
    <w:rPr>
      <w:rFonts w:hint="eastAsia" w:ascii="仿宋_GB2312" w:hAnsi="仿宋_GB2312" w:eastAsia="仿宋_GB2312" w:cs="宋体"/>
      <w:snapToGrid w:val="0"/>
      <w:color w:val="000000"/>
      <w:kern w:val="2"/>
      <w:sz w:val="28"/>
      <w:szCs w:val="28"/>
      <w:lang w:val="en-US" w:eastAsia="zh-CN" w:bidi="ar-SA"/>
    </w:rPr>
  </w:style>
  <w:style w:type="character" w:customStyle="1" w:styleId="581">
    <w:name w:val="disabled"/>
    <w:basedOn w:val="73"/>
    <w:qFormat/>
    <w:uiPriority w:val="0"/>
    <w:rPr>
      <w:b/>
      <w:color w:val="999999"/>
      <w:sz w:val="24"/>
      <w:bdr w:val="single" w:color="C5C5C5" w:sz="6" w:space="0"/>
    </w:rPr>
  </w:style>
  <w:style w:type="paragraph" w:customStyle="1" w:styleId="582">
    <w:name w:val="CM13"/>
    <w:basedOn w:val="26"/>
    <w:next w:val="26"/>
    <w:qFormat/>
    <w:uiPriority w:val="0"/>
    <w:pPr>
      <w:spacing w:line="560" w:lineRule="atLeast"/>
    </w:pPr>
    <w:rPr>
      <w:rFonts w:ascii="黑体" w:hAnsi="Times New Roman" w:eastAsia="黑体" w:cs="Times New Roman"/>
      <w:color w:val="auto"/>
    </w:rPr>
  </w:style>
  <w:style w:type="paragraph" w:customStyle="1" w:styleId="583">
    <w:name w:val="CM30"/>
    <w:basedOn w:val="26"/>
    <w:next w:val="26"/>
    <w:qFormat/>
    <w:uiPriority w:val="0"/>
    <w:pPr>
      <w:spacing w:after="323"/>
    </w:pPr>
    <w:rPr>
      <w:rFonts w:ascii="黑体" w:hAnsi="Times New Roman" w:eastAsia="黑体" w:cs="Times New Roman"/>
      <w:color w:val="auto"/>
    </w:rPr>
  </w:style>
  <w:style w:type="paragraph" w:customStyle="1" w:styleId="584">
    <w:name w:val="标准条文"/>
    <w:basedOn w:val="26"/>
    <w:next w:val="26"/>
    <w:qFormat/>
    <w:uiPriority w:val="0"/>
    <w:rPr>
      <w:rFonts w:hAnsi="Times New Roman" w:cs="Times New Roman"/>
      <w:color w:val="auto"/>
    </w:rPr>
  </w:style>
  <w:style w:type="paragraph" w:customStyle="1" w:styleId="585">
    <w:name w:val="表格后正文"/>
    <w:basedOn w:val="414"/>
    <w:qFormat/>
    <w:uiPriority w:val="0"/>
    <w:pPr>
      <w:spacing w:before="200"/>
    </w:pPr>
  </w:style>
  <w:style w:type="paragraph" w:customStyle="1" w:styleId="586">
    <w:name w:val="二级条标题"/>
    <w:basedOn w:val="276"/>
    <w:next w:val="1"/>
    <w:qFormat/>
    <w:uiPriority w:val="0"/>
    <w:pPr>
      <w:outlineLvl w:val="3"/>
    </w:pPr>
  </w:style>
  <w:style w:type="paragraph" w:customStyle="1" w:styleId="587">
    <w:name w:val="小于节标题"/>
    <w:basedOn w:val="414"/>
    <w:qFormat/>
    <w:uiPriority w:val="0"/>
    <w:pPr>
      <w:ind w:firstLine="0" w:firstLineChars="0"/>
      <w:jc w:val="left"/>
    </w:pPr>
  </w:style>
  <w:style w:type="paragraph" w:customStyle="1" w:styleId="588">
    <w:name w:val="陈表格中内容，两端对齐"/>
    <w:basedOn w:val="315"/>
    <w:next w:val="315"/>
    <w:qFormat/>
    <w:uiPriority w:val="0"/>
    <w:pPr>
      <w:jc w:val="left"/>
    </w:pPr>
  </w:style>
  <w:style w:type="paragraph" w:customStyle="1" w:styleId="589">
    <w:name w:val="表格方案样式2"/>
    <w:basedOn w:val="457"/>
    <w:qFormat/>
    <w:uiPriority w:val="0"/>
    <w:rPr>
      <w:spacing w:val="0"/>
    </w:rPr>
  </w:style>
  <w:style w:type="paragraph" w:customStyle="1" w:styleId="590">
    <w:name w:val="三级条标题"/>
    <w:basedOn w:val="586"/>
    <w:next w:val="1"/>
    <w:qFormat/>
    <w:uiPriority w:val="0"/>
    <w:pPr>
      <w:outlineLvl w:val="4"/>
    </w:pPr>
  </w:style>
  <w:style w:type="paragraph" w:customStyle="1" w:styleId="591">
    <w:name w:val="四级条标题"/>
    <w:basedOn w:val="590"/>
    <w:next w:val="1"/>
    <w:qFormat/>
    <w:uiPriority w:val="0"/>
    <w:pPr>
      <w:outlineLvl w:val="5"/>
    </w:pPr>
  </w:style>
  <w:style w:type="paragraph" w:customStyle="1" w:styleId="592">
    <w:name w:val="五级条标题"/>
    <w:basedOn w:val="591"/>
    <w:next w:val="1"/>
    <w:qFormat/>
    <w:uiPriority w:val="0"/>
    <w:pPr>
      <w:outlineLvl w:val="6"/>
    </w:pPr>
  </w:style>
  <w:style w:type="character" w:customStyle="1" w:styleId="593">
    <w:name w:val="未处理的提及1"/>
    <w:basedOn w:val="73"/>
    <w:semiHidden/>
    <w:unhideWhenUsed/>
    <w:qFormat/>
    <w:uiPriority w:val="99"/>
    <w:rPr>
      <w:color w:val="605E5C"/>
      <w:shd w:val="clear" w:color="auto" w:fill="E1DFDD"/>
    </w:rPr>
  </w:style>
  <w:style w:type="paragraph" w:customStyle="1" w:styleId="594">
    <w:name w:val="Char Char Char Char Char Char Char Char Char Char Char Char1 Char Char Char Char"/>
    <w:basedOn w:val="1"/>
    <w:next w:val="1"/>
    <w:semiHidden/>
    <w:qFormat/>
    <w:uiPriority w:val="0"/>
    <w:pPr>
      <w:spacing w:line="336" w:lineRule="auto"/>
    </w:pPr>
    <w:rPr>
      <w:rFonts w:ascii="宋体" w:hAnsi="宋体" w:eastAsia="汉鼎简书宋" w:cs="宋体"/>
      <w:szCs w:val="20"/>
      <w:lang w:eastAsia="zh-CN"/>
    </w:rPr>
  </w:style>
  <w:style w:type="paragraph" w:customStyle="1" w:styleId="595">
    <w:name w:val="正文表标题"/>
    <w:next w:val="1"/>
    <w:semiHidden/>
    <w:qFormat/>
    <w:uiPriority w:val="0"/>
    <w:pPr>
      <w:tabs>
        <w:tab w:val="left" w:pos="436"/>
      </w:tabs>
      <w:ind w:left="16" w:firstLine="560"/>
      <w:jc w:val="center"/>
    </w:pPr>
    <w:rPr>
      <w:rFonts w:ascii="黑体" w:hAnsi="Times New Roman" w:eastAsia="黑体" w:cs="黑体"/>
      <w:sz w:val="21"/>
      <w:szCs w:val="21"/>
      <w:lang w:val="en-US" w:eastAsia="zh-CN" w:bidi="ar-SA"/>
    </w:rPr>
  </w:style>
  <w:style w:type="paragraph" w:customStyle="1" w:styleId="596">
    <w:name w:val="图题"/>
    <w:basedOn w:val="1"/>
    <w:semiHidden/>
    <w:qFormat/>
    <w:uiPriority w:val="0"/>
    <w:pPr>
      <w:numPr>
        <w:ilvl w:val="0"/>
        <w:numId w:val="5"/>
      </w:numPr>
      <w:spacing w:before="60" w:after="60"/>
      <w:ind w:firstLine="480"/>
    </w:pPr>
    <w:rPr>
      <w:rFonts w:ascii="宋体" w:hAnsi="宋体" w:eastAsia="黑体" w:cs="宋体"/>
      <w:sz w:val="21"/>
      <w:szCs w:val="20"/>
      <w:lang w:eastAsia="zh-CN"/>
    </w:rPr>
  </w:style>
  <w:style w:type="paragraph" w:customStyle="1" w:styleId="597">
    <w:name w:val="样式 批注文字"/>
    <w:basedOn w:val="23"/>
    <w:next w:val="1"/>
    <w:semiHidden/>
    <w:qFormat/>
    <w:uiPriority w:val="0"/>
    <w:rPr>
      <w:rFonts w:cs="Times New Roman"/>
      <w:color w:val="000000"/>
      <w:sz w:val="18"/>
      <w:szCs w:val="20"/>
      <w:lang w:eastAsia="zh-CN"/>
    </w:rPr>
  </w:style>
  <w:style w:type="paragraph" w:customStyle="1" w:styleId="598">
    <w:name w:val="Char Char Char1 Char"/>
    <w:basedOn w:val="1"/>
    <w:semiHidden/>
    <w:qFormat/>
    <w:uiPriority w:val="0"/>
    <w:rPr>
      <w:rFonts w:ascii="宋体" w:hAnsi="宋体" w:cs="Times New Roman"/>
      <w:sz w:val="21"/>
      <w:szCs w:val="20"/>
      <w:lang w:eastAsia="zh-CN"/>
    </w:rPr>
  </w:style>
  <w:style w:type="character" w:customStyle="1" w:styleId="599">
    <w:name w:val="正文文本 字符1"/>
    <w:basedOn w:val="73"/>
    <w:semiHidden/>
    <w:qFormat/>
    <w:locked/>
    <w:uiPriority w:val="0"/>
    <w:rPr>
      <w:rFonts w:ascii="宋体" w:hAnsi="宋体"/>
      <w:sz w:val="24"/>
    </w:rPr>
  </w:style>
  <w:style w:type="character" w:customStyle="1" w:styleId="600">
    <w:name w:val="批注框文本 字符1"/>
    <w:basedOn w:val="73"/>
    <w:semiHidden/>
    <w:qFormat/>
    <w:uiPriority w:val="0"/>
    <w:rPr>
      <w:rFonts w:hint="eastAsia" w:ascii="宋体" w:hAnsi="宋体" w:eastAsia="宋体"/>
      <w:sz w:val="18"/>
      <w:szCs w:val="18"/>
    </w:rPr>
  </w:style>
  <w:style w:type="character" w:customStyle="1" w:styleId="601">
    <w:name w:val="批注文字 字符1"/>
    <w:basedOn w:val="73"/>
    <w:semiHidden/>
    <w:qFormat/>
    <w:locked/>
    <w:uiPriority w:val="0"/>
    <w:rPr>
      <w:rFonts w:ascii="宋体" w:hAnsi="宋体"/>
      <w:sz w:val="24"/>
    </w:rPr>
  </w:style>
  <w:style w:type="character" w:customStyle="1" w:styleId="602">
    <w:name w:val="日期 字符1"/>
    <w:basedOn w:val="73"/>
    <w:semiHidden/>
    <w:qFormat/>
    <w:uiPriority w:val="0"/>
    <w:rPr>
      <w:rFonts w:hint="eastAsia" w:ascii="宋体" w:hAnsi="宋体" w:eastAsia="宋体"/>
      <w:sz w:val="24"/>
    </w:rPr>
  </w:style>
  <w:style w:type="character" w:customStyle="1" w:styleId="603">
    <w:name w:val="正文文本 3 字符1"/>
    <w:basedOn w:val="73"/>
    <w:semiHidden/>
    <w:qFormat/>
    <w:uiPriority w:val="0"/>
    <w:rPr>
      <w:rFonts w:hint="eastAsia" w:ascii="宋体" w:hAnsi="宋体" w:eastAsia="宋体"/>
      <w:sz w:val="16"/>
      <w:szCs w:val="16"/>
    </w:rPr>
  </w:style>
  <w:style w:type="character" w:customStyle="1" w:styleId="604">
    <w:name w:val="注释标题 字符1"/>
    <w:basedOn w:val="73"/>
    <w:semiHidden/>
    <w:qFormat/>
    <w:uiPriority w:val="0"/>
    <w:rPr>
      <w:rFonts w:hint="eastAsia" w:ascii="宋体" w:hAnsi="宋体" w:eastAsia="宋体"/>
      <w:sz w:val="24"/>
    </w:rPr>
  </w:style>
  <w:style w:type="character" w:customStyle="1" w:styleId="605">
    <w:name w:val="页眉 字符1"/>
    <w:basedOn w:val="73"/>
    <w:semiHidden/>
    <w:qFormat/>
    <w:uiPriority w:val="0"/>
    <w:rPr>
      <w:rFonts w:hint="eastAsia" w:ascii="宋体" w:hAnsi="宋体" w:eastAsia="宋体"/>
      <w:sz w:val="18"/>
      <w:szCs w:val="18"/>
    </w:rPr>
  </w:style>
  <w:style w:type="character" w:customStyle="1" w:styleId="606">
    <w:name w:val="文档结构图 字符1"/>
    <w:basedOn w:val="73"/>
    <w:semiHidden/>
    <w:qFormat/>
    <w:uiPriority w:val="0"/>
    <w:rPr>
      <w:rFonts w:hint="eastAsia" w:ascii="Microsoft YaHei UI" w:hAnsi="宋体" w:eastAsia="Microsoft YaHei UI"/>
      <w:sz w:val="18"/>
      <w:szCs w:val="18"/>
    </w:rPr>
  </w:style>
  <w:style w:type="character" w:customStyle="1" w:styleId="607">
    <w:name w:val="页脚 字符1"/>
    <w:basedOn w:val="73"/>
    <w:semiHidden/>
    <w:qFormat/>
    <w:uiPriority w:val="0"/>
    <w:rPr>
      <w:rFonts w:hint="eastAsia" w:ascii="宋体" w:hAnsi="宋体" w:eastAsia="宋体"/>
      <w:sz w:val="18"/>
      <w:szCs w:val="18"/>
    </w:rPr>
  </w:style>
  <w:style w:type="character" w:customStyle="1" w:styleId="608">
    <w:name w:val="正文文本缩进 字符1"/>
    <w:basedOn w:val="73"/>
    <w:semiHidden/>
    <w:qFormat/>
    <w:uiPriority w:val="0"/>
    <w:rPr>
      <w:rFonts w:hint="eastAsia" w:ascii="宋体" w:hAnsi="宋体" w:eastAsia="宋体"/>
      <w:sz w:val="24"/>
    </w:rPr>
  </w:style>
  <w:style w:type="character" w:customStyle="1" w:styleId="609">
    <w:name w:val="正文文本 2 字符1"/>
    <w:basedOn w:val="73"/>
    <w:semiHidden/>
    <w:qFormat/>
    <w:uiPriority w:val="0"/>
    <w:rPr>
      <w:rFonts w:hint="eastAsia" w:ascii="宋体" w:hAnsi="宋体" w:eastAsia="宋体"/>
      <w:sz w:val="24"/>
    </w:rPr>
  </w:style>
  <w:style w:type="character" w:customStyle="1" w:styleId="610">
    <w:name w:val="正文文本缩进 3 字符1"/>
    <w:basedOn w:val="73"/>
    <w:semiHidden/>
    <w:qFormat/>
    <w:uiPriority w:val="0"/>
    <w:rPr>
      <w:rFonts w:hint="eastAsia" w:ascii="宋体" w:hAnsi="宋体" w:eastAsia="宋体"/>
      <w:sz w:val="16"/>
      <w:szCs w:val="16"/>
    </w:rPr>
  </w:style>
  <w:style w:type="character" w:customStyle="1" w:styleId="611">
    <w:name w:val="正文文本缩进 2 字符1"/>
    <w:basedOn w:val="73"/>
    <w:semiHidden/>
    <w:qFormat/>
    <w:uiPriority w:val="0"/>
    <w:rPr>
      <w:rFonts w:hint="eastAsia" w:ascii="宋体" w:hAnsi="宋体" w:eastAsia="宋体"/>
      <w:sz w:val="24"/>
    </w:rPr>
  </w:style>
  <w:style w:type="character" w:customStyle="1" w:styleId="612">
    <w:name w:val="纯文本 字符1"/>
    <w:basedOn w:val="73"/>
    <w:semiHidden/>
    <w:qFormat/>
    <w:uiPriority w:val="0"/>
    <w:rPr>
      <w:rFonts w:hint="eastAsia" w:hAnsi="Courier New" w:cs="Courier New" w:asciiTheme="minorEastAsia" w:eastAsiaTheme="minorEastAsia"/>
      <w:sz w:val="24"/>
    </w:rPr>
  </w:style>
  <w:style w:type="table" w:customStyle="1" w:styleId="613">
    <w:name w:val="表格主题（安）1"/>
    <w:basedOn w:val="64"/>
    <w:qFormat/>
    <w:uiPriority w:val="0"/>
    <w:pPr>
      <w:widowControl w:val="0"/>
      <w:jc w:val="center"/>
    </w:pPr>
    <w:rPr>
      <w:sz w:val="21"/>
      <w:szCs w:val="21"/>
    </w:rPr>
    <w:tblPr>
      <w:tblBorders>
        <w:top w:val="single" w:color="auto" w:sz="12" w:space="0"/>
        <w:bottom w:val="single" w:color="auto" w:sz="12" w:space="0"/>
        <w:insideH w:val="single" w:color="auto" w:sz="6" w:space="0"/>
        <w:insideV w:val="single" w:color="auto" w:sz="6" w:space="0"/>
      </w:tblBorders>
    </w:tblPr>
    <w:tcPr>
      <w:vAlign w:val="center"/>
    </w:tcPr>
  </w:style>
  <w:style w:type="paragraph" w:customStyle="1" w:styleId="614">
    <w:name w:val="表格中的文字"/>
    <w:basedOn w:val="596"/>
    <w:semiHidden/>
    <w:qFormat/>
    <w:uiPriority w:val="0"/>
    <w:pPr>
      <w:spacing w:before="0" w:after="0" w:line="240" w:lineRule="auto"/>
      <w:ind w:firstLine="0" w:firstLineChars="0"/>
      <w:jc w:val="center"/>
    </w:pPr>
  </w:style>
  <w:style w:type="paragraph" w:customStyle="1" w:styleId="615">
    <w:name w:val="WPSOffice手动目录 1"/>
    <w:qFormat/>
    <w:uiPriority w:val="0"/>
    <w:rPr>
      <w:rFonts w:ascii="Calibri" w:hAnsi="Calibri" w:eastAsia="宋体" w:cs="Times New Roman"/>
      <w:lang w:val="en-US" w:eastAsia="zh-CN" w:bidi="ar-SA"/>
    </w:rPr>
  </w:style>
  <w:style w:type="paragraph" w:customStyle="1" w:styleId="616">
    <w:name w:val="WPSOffice手动目录 2"/>
    <w:qFormat/>
    <w:uiPriority w:val="0"/>
    <w:pPr>
      <w:ind w:left="200" w:leftChars="200"/>
    </w:pPr>
    <w:rPr>
      <w:rFonts w:ascii="Calibri" w:hAnsi="Calibri" w:eastAsia="宋体" w:cs="Times New Roman"/>
      <w:lang w:val="en-US" w:eastAsia="zh-CN" w:bidi="ar-SA"/>
    </w:rPr>
  </w:style>
  <w:style w:type="paragraph" w:customStyle="1" w:styleId="617">
    <w:name w:val="WPSOffice手动目录 3"/>
    <w:qFormat/>
    <w:uiPriority w:val="0"/>
    <w:pPr>
      <w:ind w:left="400" w:leftChars="400"/>
    </w:pPr>
    <w:rPr>
      <w:rFonts w:ascii="Calibri" w:hAnsi="Calibri" w:eastAsia="宋体" w:cs="Times New Roman"/>
      <w:lang w:val="en-US" w:eastAsia="zh-CN" w:bidi="ar-SA"/>
    </w:rPr>
  </w:style>
  <w:style w:type="paragraph" w:customStyle="1" w:styleId="618">
    <w:name w:val="图表标题2"/>
    <w:basedOn w:val="20"/>
    <w:qFormat/>
    <w:uiPriority w:val="1"/>
    <w:pPr>
      <w:jc w:val="center"/>
    </w:pPr>
    <w:rPr>
      <w:rFonts w:ascii="Times New Roman" w:hAnsi="Times New Roman" w:cs="Times New Roman" w:eastAsiaTheme="minorEastAsia"/>
      <w:b/>
      <w:bCs/>
      <w:sz w:val="24"/>
      <w:szCs w:val="24"/>
      <w:lang w:eastAsia="zh-CN"/>
    </w:rPr>
  </w:style>
  <w:style w:type="paragraph" w:customStyle="1" w:styleId="619">
    <w:name w:val="标题 3 + 宋体"/>
    <w:basedOn w:val="9"/>
    <w:qFormat/>
    <w:uiPriority w:val="0"/>
    <w:pPr>
      <w:keepNext w:val="0"/>
      <w:keepLines w:val="0"/>
      <w:numPr>
        <w:ilvl w:val="2"/>
        <w:numId w:val="6"/>
      </w:numPr>
      <w:spacing w:before="50" w:beforeLines="50" w:after="50" w:afterLines="50"/>
    </w:pPr>
    <w:rPr>
      <w:rFonts w:ascii="Times New Roman" w:hAnsi="Times New Roman"/>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6.png"/><Relationship Id="rId30" Type="http://schemas.openxmlformats.org/officeDocument/2006/relationships/image" Target="media/image5.png"/><Relationship Id="rId3" Type="http://schemas.openxmlformats.org/officeDocument/2006/relationships/footnotes" Target="footnotes.xml"/><Relationship Id="rId29" Type="http://schemas.openxmlformats.org/officeDocument/2006/relationships/image" Target="media/image4.wmf"/><Relationship Id="rId28" Type="http://schemas.openxmlformats.org/officeDocument/2006/relationships/oleObject" Target="embeddings/oleObject1.bin"/><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chart" Target="charts/chart2.xml"/><Relationship Id="rId24" Type="http://schemas.openxmlformats.org/officeDocument/2006/relationships/chart" Target="charts/chart1.xml"/><Relationship Id="rId23" Type="http://schemas.openxmlformats.org/officeDocument/2006/relationships/image" Target="media/image1.png"/><Relationship Id="rId22" Type="http://schemas.openxmlformats.org/officeDocument/2006/relationships/theme" Target="theme/theme1.xml"/><Relationship Id="rId21" Type="http://schemas.openxmlformats.org/officeDocument/2006/relationships/footer" Target="footer13.xml"/><Relationship Id="rId20" Type="http://schemas.openxmlformats.org/officeDocument/2006/relationships/footer" Target="footer12.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Administrator\Desktop\&#26032;&#24314;%20XLS%20&#24037;&#20316;&#3492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enovo04\Desktop\&#29615;&#22659;&#36136;&#37327;&#25253;&#21578;&#20070;\&#25968;&#25454;&#25972;&#29702;\5&#24180;&#26399;&#38388;&#27700;&#36136;&#21464;&#21270;&#24773;&#20917;.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'[新建 XLS 工作表.xls]Sheet1'!$J$15</c:f>
              <c:strCache>
                <c:ptCount val="1"/>
                <c:pt idx="0">
                  <c:v>SO2</c:v>
                </c:pt>
              </c:strCache>
            </c:strRef>
          </c:tx>
          <c:spPr>
            <a:solidFill>
              <a:srgbClr val="4F81BD"/>
            </a:solidFill>
            <a:ln>
              <a:noFill/>
            </a:ln>
            <a:effectLst/>
          </c:spPr>
          <c:invertIfNegative val="0"/>
          <c:dLbls>
            <c:delete val="1"/>
          </c:dLbls>
          <c:cat>
            <c:strRef>
              <c:f>'[新建 XLS 工作表.xls]Sheet1'!$I$16:$I$24</c:f>
              <c:strCache>
                <c:ptCount val="9"/>
                <c:pt idx="0">
                  <c:v>2011年</c:v>
                </c:pt>
                <c:pt idx="1">
                  <c:v>2012年</c:v>
                </c:pt>
                <c:pt idx="2">
                  <c:v>2013年</c:v>
                </c:pt>
                <c:pt idx="3">
                  <c:v>2014年</c:v>
                </c:pt>
                <c:pt idx="4">
                  <c:v>2015年</c:v>
                </c:pt>
                <c:pt idx="5">
                  <c:v>2016年</c:v>
                </c:pt>
                <c:pt idx="6">
                  <c:v>2017年</c:v>
                </c:pt>
                <c:pt idx="7">
                  <c:v>2018年</c:v>
                </c:pt>
                <c:pt idx="8">
                  <c:v>2019</c:v>
                </c:pt>
              </c:strCache>
            </c:strRef>
          </c:cat>
          <c:val>
            <c:numRef>
              <c:f>'[新建 XLS 工作表.xls]Sheet1'!$J$16:$J$24</c:f>
              <c:numCache>
                <c:formatCode>General</c:formatCode>
                <c:ptCount val="9"/>
                <c:pt idx="0">
                  <c:v>0.06</c:v>
                </c:pt>
                <c:pt idx="1">
                  <c:v>0.043</c:v>
                </c:pt>
                <c:pt idx="2">
                  <c:v>0.058</c:v>
                </c:pt>
                <c:pt idx="3">
                  <c:v>0.044</c:v>
                </c:pt>
                <c:pt idx="4">
                  <c:v>0.039</c:v>
                </c:pt>
                <c:pt idx="5">
                  <c:v>0.033</c:v>
                </c:pt>
                <c:pt idx="6">
                  <c:v>0.034</c:v>
                </c:pt>
                <c:pt idx="7">
                  <c:v>0.029</c:v>
                </c:pt>
                <c:pt idx="8">
                  <c:v>0.022</c:v>
                </c:pt>
              </c:numCache>
            </c:numRef>
          </c:val>
        </c:ser>
        <c:ser>
          <c:idx val="1"/>
          <c:order val="1"/>
          <c:tx>
            <c:strRef>
              <c:f>'[新建 XLS 工作表.xls]Sheet1'!$K$15</c:f>
              <c:strCache>
                <c:ptCount val="1"/>
                <c:pt idx="0">
                  <c:v>NO2</c:v>
                </c:pt>
              </c:strCache>
            </c:strRef>
          </c:tx>
          <c:spPr>
            <a:solidFill>
              <a:srgbClr val="C0504D"/>
            </a:solidFill>
            <a:ln>
              <a:noFill/>
            </a:ln>
            <a:effectLst/>
          </c:spPr>
          <c:invertIfNegative val="0"/>
          <c:dLbls>
            <c:delete val="1"/>
          </c:dLbls>
          <c:cat>
            <c:strRef>
              <c:f>'[新建 XLS 工作表.xls]Sheet1'!$I$16:$I$24</c:f>
              <c:strCache>
                <c:ptCount val="9"/>
                <c:pt idx="0">
                  <c:v>2011年</c:v>
                </c:pt>
                <c:pt idx="1">
                  <c:v>2012年</c:v>
                </c:pt>
                <c:pt idx="2">
                  <c:v>2013年</c:v>
                </c:pt>
                <c:pt idx="3">
                  <c:v>2014年</c:v>
                </c:pt>
                <c:pt idx="4">
                  <c:v>2015年</c:v>
                </c:pt>
                <c:pt idx="5">
                  <c:v>2016年</c:v>
                </c:pt>
                <c:pt idx="6">
                  <c:v>2017年</c:v>
                </c:pt>
                <c:pt idx="7">
                  <c:v>2018年</c:v>
                </c:pt>
                <c:pt idx="8">
                  <c:v>2019</c:v>
                </c:pt>
              </c:strCache>
            </c:strRef>
          </c:cat>
          <c:val>
            <c:numRef>
              <c:f>'[新建 XLS 工作表.xls]Sheet1'!$K$16:$K$24</c:f>
              <c:numCache>
                <c:formatCode>General</c:formatCode>
                <c:ptCount val="9"/>
                <c:pt idx="0">
                  <c:v>0.031</c:v>
                </c:pt>
                <c:pt idx="1">
                  <c:v>0.032</c:v>
                </c:pt>
                <c:pt idx="2">
                  <c:v>0.04</c:v>
                </c:pt>
                <c:pt idx="3">
                  <c:v>0.04</c:v>
                </c:pt>
                <c:pt idx="4">
                  <c:v>0.037</c:v>
                </c:pt>
                <c:pt idx="5">
                  <c:v>0.034</c:v>
                </c:pt>
                <c:pt idx="6">
                  <c:v>0.042</c:v>
                </c:pt>
                <c:pt idx="7">
                  <c:v>0.041</c:v>
                </c:pt>
                <c:pt idx="8">
                  <c:v>0.036</c:v>
                </c:pt>
              </c:numCache>
            </c:numRef>
          </c:val>
        </c:ser>
        <c:ser>
          <c:idx val="2"/>
          <c:order val="2"/>
          <c:tx>
            <c:strRef>
              <c:f>'[新建 XLS 工作表.xls]Sheet1'!$L$15</c:f>
              <c:strCache>
                <c:ptCount val="1"/>
                <c:pt idx="0">
                  <c:v>PM10</c:v>
                </c:pt>
              </c:strCache>
            </c:strRef>
          </c:tx>
          <c:spPr>
            <a:solidFill>
              <a:srgbClr val="9BBB59"/>
            </a:solidFill>
            <a:ln>
              <a:noFill/>
            </a:ln>
            <a:effectLst/>
          </c:spPr>
          <c:invertIfNegative val="0"/>
          <c:dLbls>
            <c:delete val="1"/>
          </c:dLbls>
          <c:cat>
            <c:strRef>
              <c:f>'[新建 XLS 工作表.xls]Sheet1'!$I$16:$I$24</c:f>
              <c:strCache>
                <c:ptCount val="9"/>
                <c:pt idx="0">
                  <c:v>2011年</c:v>
                </c:pt>
                <c:pt idx="1">
                  <c:v>2012年</c:v>
                </c:pt>
                <c:pt idx="2">
                  <c:v>2013年</c:v>
                </c:pt>
                <c:pt idx="3">
                  <c:v>2014年</c:v>
                </c:pt>
                <c:pt idx="4">
                  <c:v>2015年</c:v>
                </c:pt>
                <c:pt idx="5">
                  <c:v>2016年</c:v>
                </c:pt>
                <c:pt idx="6">
                  <c:v>2017年</c:v>
                </c:pt>
                <c:pt idx="7">
                  <c:v>2018年</c:v>
                </c:pt>
                <c:pt idx="8">
                  <c:v>2019</c:v>
                </c:pt>
              </c:strCache>
            </c:strRef>
          </c:cat>
          <c:val>
            <c:numRef>
              <c:f>'[新建 XLS 工作表.xls]Sheet1'!$L$16:$L$24</c:f>
              <c:numCache>
                <c:formatCode>General</c:formatCode>
                <c:ptCount val="9"/>
                <c:pt idx="0">
                  <c:v>0.081</c:v>
                </c:pt>
                <c:pt idx="1">
                  <c:v>0.082</c:v>
                </c:pt>
                <c:pt idx="2">
                  <c:v>0.12</c:v>
                </c:pt>
                <c:pt idx="3">
                  <c:v>0.11</c:v>
                </c:pt>
                <c:pt idx="4">
                  <c:v>0.104</c:v>
                </c:pt>
                <c:pt idx="5">
                  <c:v>0.089</c:v>
                </c:pt>
                <c:pt idx="6">
                  <c:v>0.093</c:v>
                </c:pt>
                <c:pt idx="7">
                  <c:v>0.079</c:v>
                </c:pt>
                <c:pt idx="8">
                  <c:v>0.08</c:v>
                </c:pt>
              </c:numCache>
            </c:numRef>
          </c:val>
        </c:ser>
        <c:ser>
          <c:idx val="3"/>
          <c:order val="3"/>
          <c:tx>
            <c:strRef>
              <c:f>'[新建 XLS 工作表.xls]Sheet1'!$M$15</c:f>
              <c:strCache>
                <c:ptCount val="1"/>
                <c:pt idx="0">
                  <c:v>PM2.5</c:v>
                </c:pt>
              </c:strCache>
            </c:strRef>
          </c:tx>
          <c:spPr>
            <a:solidFill>
              <a:srgbClr val="8064A2"/>
            </a:solidFill>
            <a:ln>
              <a:noFill/>
            </a:ln>
            <a:effectLst/>
          </c:spPr>
          <c:invertIfNegative val="0"/>
          <c:dLbls>
            <c:delete val="1"/>
          </c:dLbls>
          <c:cat>
            <c:strRef>
              <c:f>'[新建 XLS 工作表.xls]Sheet1'!$I$16:$I$24</c:f>
              <c:strCache>
                <c:ptCount val="9"/>
                <c:pt idx="0">
                  <c:v>2011年</c:v>
                </c:pt>
                <c:pt idx="1">
                  <c:v>2012年</c:v>
                </c:pt>
                <c:pt idx="2">
                  <c:v>2013年</c:v>
                </c:pt>
                <c:pt idx="3">
                  <c:v>2014年</c:v>
                </c:pt>
                <c:pt idx="4">
                  <c:v>2015年</c:v>
                </c:pt>
                <c:pt idx="5">
                  <c:v>2016年</c:v>
                </c:pt>
                <c:pt idx="6">
                  <c:v>2017年</c:v>
                </c:pt>
                <c:pt idx="7">
                  <c:v>2018年</c:v>
                </c:pt>
                <c:pt idx="8">
                  <c:v>2019</c:v>
                </c:pt>
              </c:strCache>
            </c:strRef>
          </c:cat>
          <c:val>
            <c:numRef>
              <c:f>'[新建 XLS 工作表.xls]Sheet1'!$M$16:$M$24</c:f>
              <c:numCache>
                <c:formatCode>General</c:formatCode>
                <c:ptCount val="9"/>
                <c:pt idx="0">
                  <c:v>0</c:v>
                </c:pt>
                <c:pt idx="1">
                  <c:v>0</c:v>
                </c:pt>
                <c:pt idx="2">
                  <c:v>0</c:v>
                </c:pt>
                <c:pt idx="3">
                  <c:v>0</c:v>
                </c:pt>
                <c:pt idx="4">
                  <c:v>0.065</c:v>
                </c:pt>
                <c:pt idx="5">
                  <c:v>0.051</c:v>
                </c:pt>
                <c:pt idx="6">
                  <c:v>0.054</c:v>
                </c:pt>
                <c:pt idx="7">
                  <c:v>0.044</c:v>
                </c:pt>
                <c:pt idx="8">
                  <c:v>0.045</c:v>
                </c:pt>
              </c:numCache>
            </c:numRef>
          </c:val>
        </c:ser>
        <c:dLbls>
          <c:showLegendKey val="0"/>
          <c:showVal val="0"/>
          <c:showCatName val="0"/>
          <c:showSerName val="0"/>
          <c:showPercent val="0"/>
          <c:showBubbleSize val="0"/>
        </c:dLbls>
        <c:gapWidth val="219"/>
        <c:overlap val="-27"/>
        <c:axId val="910764192"/>
        <c:axId val="46266336"/>
      </c:barChart>
      <c:catAx>
        <c:axId val="910764192"/>
        <c:scaling>
          <c:orientation val="minMax"/>
        </c:scaling>
        <c:delete val="0"/>
        <c:axPos val="b"/>
        <c:numFmt formatCode="General" sourceLinked="0"/>
        <c:majorTickMark val="none"/>
        <c:minorTickMark val="none"/>
        <c:tickLblPos val="nextTo"/>
        <c:spPr>
          <a:noFill/>
          <a:ln w="9525" cap="flat" cmpd="sng" algn="ctr">
            <a:solidFill>
              <a:srgbClr val="D9D9D9">
                <a:lumMod val="15000"/>
                <a:lumOff val="85000"/>
              </a:srgbClr>
            </a:solidFill>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46266336"/>
        <c:crosses val="autoZero"/>
        <c:auto val="1"/>
        <c:lblAlgn val="ctr"/>
        <c:lblOffset val="100"/>
        <c:noMultiLvlLbl val="0"/>
      </c:catAx>
      <c:valAx>
        <c:axId val="46266336"/>
        <c:scaling>
          <c:orientation val="minMax"/>
        </c:scaling>
        <c:delete val="0"/>
        <c:axPos val="l"/>
        <c:majorGridlines>
          <c:spPr>
            <a:ln w="9525" cap="flat" cmpd="sng" algn="ctr">
              <a:solidFill>
                <a:srgbClr val="D9D9D9">
                  <a:lumMod val="15000"/>
                  <a:lumOff val="85000"/>
                </a:srgb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910764192"/>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legend>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465780163474442"/>
          <c:y val="0.011338100102145"/>
          <c:w val="0.752860802732707"/>
          <c:h val="0.730071501532177"/>
        </c:manualLayout>
      </c:layout>
      <c:barChart>
        <c:barDir val="col"/>
        <c:grouping val="clustered"/>
        <c:varyColors val="0"/>
        <c:ser>
          <c:idx val="0"/>
          <c:order val="0"/>
          <c:tx>
            <c:strRef>
              <c:f>[5年期间水质变化情况.xls]Sheet1!$G$2</c:f>
              <c:strCache>
                <c:ptCount val="1"/>
                <c:pt idx="0">
                  <c:v>2016年</c:v>
                </c:pt>
              </c:strCache>
            </c:strRef>
          </c:tx>
          <c:spPr>
            <a:solidFill>
              <a:schemeClr val="accent1"/>
            </a:solidFill>
            <a:ln>
              <a:noFill/>
            </a:ln>
            <a:effectLst/>
          </c:spPr>
          <c:invertIfNegative val="0"/>
          <c:dLbls>
            <c:delete val="1"/>
          </c:dLbls>
          <c:cat>
            <c:strRef>
              <c:f>[5年期间水质变化情况.xls]Sheet1!$H$1:$J$1</c:f>
              <c:strCache>
                <c:ptCount val="3"/>
                <c:pt idx="0">
                  <c:v>化学需氧量</c:v>
                </c:pt>
                <c:pt idx="1">
                  <c:v>氨氮</c:v>
                </c:pt>
                <c:pt idx="2">
                  <c:v>总磷</c:v>
                </c:pt>
              </c:strCache>
            </c:strRef>
          </c:cat>
          <c:val>
            <c:numRef>
              <c:f>[5年期间水质变化情况.xls]Sheet1!$H$2:$J$2</c:f>
              <c:numCache>
                <c:formatCode>General</c:formatCode>
                <c:ptCount val="3"/>
                <c:pt idx="0">
                  <c:v>53</c:v>
                </c:pt>
                <c:pt idx="1">
                  <c:v>1.9</c:v>
                </c:pt>
                <c:pt idx="2">
                  <c:v>0.25</c:v>
                </c:pt>
              </c:numCache>
            </c:numRef>
          </c:val>
        </c:ser>
        <c:ser>
          <c:idx val="1"/>
          <c:order val="1"/>
          <c:tx>
            <c:strRef>
              <c:f>[5年期间水质变化情况.xls]Sheet1!$G$3</c:f>
              <c:strCache>
                <c:ptCount val="1"/>
                <c:pt idx="0">
                  <c:v>2017年</c:v>
                </c:pt>
              </c:strCache>
            </c:strRef>
          </c:tx>
          <c:spPr>
            <a:solidFill>
              <a:schemeClr val="accent2"/>
            </a:solidFill>
            <a:ln>
              <a:noFill/>
            </a:ln>
            <a:effectLst/>
          </c:spPr>
          <c:invertIfNegative val="0"/>
          <c:dLbls>
            <c:delete val="1"/>
          </c:dLbls>
          <c:cat>
            <c:strRef>
              <c:f>[5年期间水质变化情况.xls]Sheet1!$H$1:$J$1</c:f>
              <c:strCache>
                <c:ptCount val="3"/>
                <c:pt idx="0">
                  <c:v>化学需氧量</c:v>
                </c:pt>
                <c:pt idx="1">
                  <c:v>氨氮</c:v>
                </c:pt>
                <c:pt idx="2">
                  <c:v>总磷</c:v>
                </c:pt>
              </c:strCache>
            </c:strRef>
          </c:cat>
          <c:val>
            <c:numRef>
              <c:f>[5年期间水质变化情况.xls]Sheet1!$H$3:$J$3</c:f>
              <c:numCache>
                <c:formatCode>General</c:formatCode>
                <c:ptCount val="3"/>
                <c:pt idx="0">
                  <c:v>24</c:v>
                </c:pt>
                <c:pt idx="1">
                  <c:v>1.41</c:v>
                </c:pt>
                <c:pt idx="2">
                  <c:v>0.17</c:v>
                </c:pt>
              </c:numCache>
            </c:numRef>
          </c:val>
        </c:ser>
        <c:ser>
          <c:idx val="2"/>
          <c:order val="2"/>
          <c:tx>
            <c:strRef>
              <c:f>[5年期间水质变化情况.xls]Sheet1!$G$4</c:f>
              <c:strCache>
                <c:ptCount val="1"/>
                <c:pt idx="0">
                  <c:v>2018年</c:v>
                </c:pt>
              </c:strCache>
            </c:strRef>
          </c:tx>
          <c:spPr>
            <a:solidFill>
              <a:schemeClr val="accent3"/>
            </a:solidFill>
            <a:ln>
              <a:noFill/>
            </a:ln>
            <a:effectLst/>
          </c:spPr>
          <c:invertIfNegative val="0"/>
          <c:dLbls>
            <c:delete val="1"/>
          </c:dLbls>
          <c:cat>
            <c:strRef>
              <c:f>[5年期间水质变化情况.xls]Sheet1!$H$1:$J$1</c:f>
              <c:strCache>
                <c:ptCount val="3"/>
                <c:pt idx="0">
                  <c:v>化学需氧量</c:v>
                </c:pt>
                <c:pt idx="1">
                  <c:v>氨氮</c:v>
                </c:pt>
                <c:pt idx="2">
                  <c:v>总磷</c:v>
                </c:pt>
              </c:strCache>
            </c:strRef>
          </c:cat>
          <c:val>
            <c:numRef>
              <c:f>[5年期间水质变化情况.xls]Sheet1!$H$4:$J$4</c:f>
              <c:numCache>
                <c:formatCode>General</c:formatCode>
                <c:ptCount val="3"/>
                <c:pt idx="0">
                  <c:v>12</c:v>
                </c:pt>
                <c:pt idx="1">
                  <c:v>2.46</c:v>
                </c:pt>
                <c:pt idx="2">
                  <c:v>0.16</c:v>
                </c:pt>
              </c:numCache>
            </c:numRef>
          </c:val>
        </c:ser>
        <c:ser>
          <c:idx val="3"/>
          <c:order val="3"/>
          <c:tx>
            <c:strRef>
              <c:f>[5年期间水质变化情况.xls]Sheet1!$G$5</c:f>
              <c:strCache>
                <c:ptCount val="1"/>
                <c:pt idx="0">
                  <c:v>2019年</c:v>
                </c:pt>
              </c:strCache>
            </c:strRef>
          </c:tx>
          <c:spPr>
            <a:solidFill>
              <a:schemeClr val="accent4"/>
            </a:solidFill>
            <a:ln>
              <a:noFill/>
            </a:ln>
            <a:effectLst/>
          </c:spPr>
          <c:invertIfNegative val="0"/>
          <c:dLbls>
            <c:delete val="1"/>
          </c:dLbls>
          <c:cat>
            <c:strRef>
              <c:f>[5年期间水质变化情况.xls]Sheet1!$H$1:$J$1</c:f>
              <c:strCache>
                <c:ptCount val="3"/>
                <c:pt idx="0">
                  <c:v>化学需氧量</c:v>
                </c:pt>
                <c:pt idx="1">
                  <c:v>氨氮</c:v>
                </c:pt>
                <c:pt idx="2">
                  <c:v>总磷</c:v>
                </c:pt>
              </c:strCache>
            </c:strRef>
          </c:cat>
          <c:val>
            <c:numRef>
              <c:f>[5年期间水质变化情况.xls]Sheet1!$H$5:$J$5</c:f>
              <c:numCache>
                <c:formatCode>General</c:formatCode>
                <c:ptCount val="3"/>
                <c:pt idx="0">
                  <c:v>27</c:v>
                </c:pt>
                <c:pt idx="1">
                  <c:v>6.7</c:v>
                </c:pt>
                <c:pt idx="2">
                  <c:v>0.28</c:v>
                </c:pt>
              </c:numCache>
            </c:numRef>
          </c:val>
        </c:ser>
        <c:ser>
          <c:idx val="4"/>
          <c:order val="4"/>
          <c:tx>
            <c:strRef>
              <c:f>[5年期间水质变化情况.xls]Sheet1!$G$6</c:f>
              <c:strCache>
                <c:ptCount val="1"/>
                <c:pt idx="0">
                  <c:v>2020年</c:v>
                </c:pt>
              </c:strCache>
            </c:strRef>
          </c:tx>
          <c:spPr>
            <a:solidFill>
              <a:schemeClr val="accent5"/>
            </a:solidFill>
            <a:ln>
              <a:noFill/>
            </a:ln>
            <a:effectLst/>
          </c:spPr>
          <c:invertIfNegative val="0"/>
          <c:dLbls>
            <c:delete val="1"/>
          </c:dLbls>
          <c:cat>
            <c:strRef>
              <c:f>[5年期间水质变化情况.xls]Sheet1!$H$1:$J$1</c:f>
              <c:strCache>
                <c:ptCount val="3"/>
                <c:pt idx="0">
                  <c:v>化学需氧量</c:v>
                </c:pt>
                <c:pt idx="1">
                  <c:v>氨氮</c:v>
                </c:pt>
                <c:pt idx="2">
                  <c:v>总磷</c:v>
                </c:pt>
              </c:strCache>
            </c:strRef>
          </c:cat>
          <c:val>
            <c:numRef>
              <c:f>[5年期间水质变化情况.xls]Sheet1!$H$6:$J$6</c:f>
              <c:numCache>
                <c:formatCode>General</c:formatCode>
                <c:ptCount val="3"/>
                <c:pt idx="0">
                  <c:v>28.44</c:v>
                </c:pt>
                <c:pt idx="1">
                  <c:v>2.51</c:v>
                </c:pt>
                <c:pt idx="2">
                  <c:v>0.28</c:v>
                </c:pt>
              </c:numCache>
            </c:numRef>
          </c:val>
        </c:ser>
        <c:dLbls>
          <c:showLegendKey val="0"/>
          <c:showVal val="0"/>
          <c:showCatName val="0"/>
          <c:showSerName val="0"/>
          <c:showPercent val="0"/>
          <c:showBubbleSize val="0"/>
        </c:dLbls>
        <c:gapWidth val="300"/>
        <c:axId val="158667520"/>
        <c:axId val="158669440"/>
      </c:barChart>
      <c:catAx>
        <c:axId val="158667520"/>
        <c:scaling>
          <c:orientation val="minMax"/>
        </c:scaling>
        <c:delete val="0"/>
        <c:axPos val="b"/>
        <c:title>
          <c:tx>
            <c:rich>
              <a:bodyPr rot="0" spcFirstLastPara="0" vertOverflow="ellipsis" vert="horz" wrap="square" anchor="ctr" anchorCtr="1"/>
              <a:lstStyle/>
              <a:p>
                <a:pPr defTabSz="914400">
                  <a:defRPr lang="zh-CN" sz="1200" b="0" i="0" u="none" strike="noStrike" kern="1200" baseline="0">
                    <a:solidFill>
                      <a:schemeClr val="tx1">
                        <a:lumMod val="65000"/>
                        <a:lumOff val="35000"/>
                      </a:schemeClr>
                    </a:solidFill>
                    <a:latin typeface="+mn-lt"/>
                    <a:ea typeface="+mn-ea"/>
                    <a:cs typeface="+mn-cs"/>
                  </a:defRPr>
                </a:pPr>
                <a:r>
                  <a:rPr lang="zh-CN" altLang="en-US" sz="1200"/>
                  <a:t>单位：</a:t>
                </a:r>
                <a:r>
                  <a:rPr lang="en-US" altLang="zh-CN" sz="1200"/>
                  <a:t>mg/L</a:t>
                </a:r>
                <a:endParaRPr lang="en-US" altLang="zh-CN" sz="1200"/>
              </a:p>
            </c:rich>
          </c:tx>
          <c:layout>
            <c:manualLayout>
              <c:xMode val="edge"/>
              <c:yMode val="edge"/>
              <c:x val="0.0520833333333334"/>
              <c:y val="0.00715137067938021"/>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crossAx val="158669440"/>
        <c:crosses val="autoZero"/>
        <c:auto val="1"/>
        <c:lblAlgn val="ctr"/>
        <c:lblOffset val="100"/>
        <c:noMultiLvlLbl val="0"/>
      </c:catAx>
      <c:valAx>
        <c:axId val="158669440"/>
        <c:scaling>
          <c:orientation val="minMax"/>
        </c:scaling>
        <c:delete val="0"/>
        <c:axPos val="l"/>
        <c:majorGridlines>
          <c:spPr>
            <a:ln w="9525" cap="flat" cmpd="sng" algn="ctr">
              <a:solidFill>
                <a:schemeClr val="tx1">
                  <a:lumMod val="15000"/>
                  <a:lumOff val="85000"/>
                </a:schemeClr>
              </a:solidFill>
              <a:prstDash val="solid"/>
              <a:round/>
            </a:ln>
            <a:effectLst/>
          </c:spPr>
        </c:majorGridlines>
        <c:minorGridlines>
          <c:spPr>
            <a:ln w="9525" cap="flat" cmpd="sng" algn="ctr">
              <a:solidFill>
                <a:schemeClr val="tx1">
                  <a:lumMod val="5000"/>
                  <a:lumOff val="95000"/>
                </a:schemeClr>
              </a:solidFill>
              <a:prstDash val="solid"/>
              <a:round/>
            </a:ln>
            <a:effectLst/>
          </c:spPr>
        </c:minorGridlines>
        <c:numFmt formatCode="General"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crossAx val="158667520"/>
        <c:crosses val="autoZero"/>
        <c:crossBetween val="between"/>
      </c:valAx>
      <c:spPr>
        <a:noFill/>
        <a:ln>
          <a:noFill/>
        </a:ln>
        <a:effectLst/>
      </c:spPr>
    </c:plotArea>
    <c:legend>
      <c:legendPos val="r"/>
      <c:legendEntry>
        <c:idx val="0"/>
        <c:txPr>
          <a:bodyPr rot="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legendEntry>
      <c:legendEntry>
        <c:idx val="4"/>
        <c:txPr>
          <a:bodyPr rot="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zh-CN" sz="12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sz="1200"/>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rgbClr val="4F81BD"/>
  <a:srgbClr val="C0504D"/>
  <a:srgbClr val="9BBB59"/>
  <a:srgbClr val="8064A2"/>
  <a:srgbClr val="4BACC6"/>
  <a:srgbClr val="F7964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rgbClr val="595959">
        <a:lumMod val="65000"/>
        <a:lumOff val="35000"/>
      </a:srgbClr>
    </cs:fontRef>
    <cs:defRPr sz="1000" kern="1200"/>
  </cs:axisTitle>
  <cs:categoryAxis>
    <cs:lnRef idx="0"/>
    <cs:fillRef idx="0"/>
    <cs:effectRef idx="0"/>
    <cs:fontRef idx="minor">
      <a:srgbClr val="595959">
        <a:lumMod val="65000"/>
        <a:lumOff val="35000"/>
      </a:srgbClr>
    </cs:fontRef>
    <cs:spPr>
      <a:ln w="9525" cap="flat" cmpd="sng" algn="ctr">
        <a:solidFill>
          <a:srgbClr val="D9D9D9">
            <a:lumMod val="15000"/>
            <a:lumOff val="85000"/>
          </a:srgbClr>
        </a:solidFill>
        <a:round/>
      </a:ln>
    </cs:spPr>
    <cs:defRPr sz="900" kern="1200"/>
  </cs:categoryAxis>
  <cs:chartArea mods="allowNoFillOverride allowNoLineOverride">
    <cs:lnRef idx="0"/>
    <cs:fillRef idx="0"/>
    <cs:effectRef idx="0"/>
    <cs:fontRef idx="minor">
      <a:srgbClr val="000000"/>
    </cs:fontRef>
    <cs:spPr>
      <a:solidFill>
        <a:srgbClr val="FFFFFF"/>
      </a:solidFill>
      <a:ln w="9525" cap="flat" cmpd="sng" algn="ctr">
        <a:solidFill>
          <a:srgbClr val="D9D9D9">
            <a:lumMod val="15000"/>
            <a:lumOff val="85000"/>
          </a:srgbClr>
        </a:solidFill>
        <a:round/>
      </a:ln>
    </cs:spPr>
    <cs:defRPr sz="1000" kern="1200"/>
  </cs:chartArea>
  <cs:dataLabel>
    <cs:lnRef idx="0"/>
    <cs:fillRef idx="0"/>
    <cs:effectRef idx="0"/>
    <cs:fontRef idx="minor">
      <a:srgbClr val="404040">
        <a:lumMod val="75000"/>
        <a:lumOff val="25000"/>
      </a:srgbClr>
    </cs:fontRef>
    <cs:defRPr sz="900" kern="1200"/>
  </cs:dataLabel>
  <cs:dataLabelCallout>
    <cs:lnRef idx="0"/>
    <cs:fillRef idx="0"/>
    <cs:effectRef idx="0"/>
    <cs:fontRef idx="minor">
      <a:srgbClr val="595959">
        <a:lumMod val="65000"/>
        <a:lumOff val="35000"/>
      </a:srgbClr>
    </cs:fontRef>
    <cs:spPr>
      <a:solidFill>
        <a:srgbClr val="FFFFFF"/>
      </a:solidFill>
      <a:ln>
        <a:solidFill>
          <a:srgbClr val="BFBFBF">
            <a:lumMod val="25000"/>
            <a:lumOff val="75000"/>
          </a:srgb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rgbClr val="000000"/>
    </cs:fontRef>
  </cs:dataPoint>
  <cs:dataPoint3D>
    <cs:lnRef idx="0"/>
    <cs:fillRef idx="1">
      <cs:styleClr val="auto"/>
    </cs:fillRef>
    <cs:effectRef idx="0"/>
    <cs:fontRef idx="minor">
      <a:srgbClr val="000000"/>
    </cs:fontRef>
  </cs:dataPoint3D>
  <cs:dataPointLine>
    <cs:lnRef idx="0">
      <cs:styleClr val="auto"/>
    </cs:lnRef>
    <cs:fillRef idx="1"/>
    <cs:effectRef idx="0"/>
    <cs:fontRef idx="minor">
      <a:srgbClr val="000000"/>
    </cs:fontRef>
    <cs:spPr>
      <a:ln w="28575" cap="rnd">
        <a:solidFill>
          <a:srgbClr val="FFFFFF"/>
        </a:solidFill>
        <a:round/>
      </a:ln>
    </cs:spPr>
  </cs:dataPointLine>
  <cs:dataPointMarker>
    <cs:lnRef idx="0">
      <cs:styleClr val="auto"/>
    </cs:lnRef>
    <cs:fillRef idx="1">
      <cs:styleClr val="auto"/>
    </cs:fillRef>
    <cs:effectRef idx="0"/>
    <cs:fontRef idx="minor">
      <a:srgbClr val="000000"/>
    </cs:fontRef>
    <cs:spPr>
      <a:ln w="9525">
        <a:solidFill>
          <a:srgbClr val="FFFFFF"/>
        </a:solidFill>
      </a:ln>
    </cs:spPr>
  </cs:dataPointMarker>
  <cs:dataPointMarkerLayout symbol="circle" size="5"/>
  <cs:dataPointWireframe>
    <cs:lnRef idx="0">
      <cs:styleClr val="auto"/>
    </cs:lnRef>
    <cs:fillRef idx="1"/>
    <cs:effectRef idx="0"/>
    <cs:fontRef idx="minor">
      <a:srgbClr val="000000"/>
    </cs:fontRef>
    <cs:spPr>
      <a:ln w="9525" cap="rnd">
        <a:solidFill>
          <a:srgbClr val="FFFFFF"/>
        </a:solidFill>
        <a:round/>
      </a:ln>
    </cs:spPr>
  </cs:dataPointWireframe>
  <cs:dataTable>
    <cs:lnRef idx="0"/>
    <cs:fillRef idx="0"/>
    <cs:effectRef idx="0"/>
    <cs:fontRef idx="minor">
      <a:srgbClr val="595959">
        <a:lumMod val="65000"/>
        <a:lumOff val="35000"/>
      </a:srgbClr>
    </cs:fontRef>
    <cs:spPr>
      <a:noFill/>
      <a:ln w="9525" cap="flat" cmpd="sng" algn="ctr">
        <a:solidFill>
          <a:srgbClr val="D9D9D9">
            <a:lumMod val="15000"/>
            <a:lumOff val="85000"/>
          </a:srgbClr>
        </a:solidFill>
        <a:round/>
      </a:ln>
    </cs:spPr>
    <cs:defRPr sz="900" kern="1200"/>
  </cs:dataTable>
  <cs:downBar>
    <cs:lnRef idx="0"/>
    <cs:fillRef idx="0"/>
    <cs:effectRef idx="0"/>
    <cs:fontRef idx="minor">
      <a:srgbClr val="000000"/>
    </cs:fontRef>
    <cs:spPr>
      <a:solidFill>
        <a:srgbClr val="595959">
          <a:lumMod val="65000"/>
          <a:lumOff val="35000"/>
        </a:srgbClr>
      </a:solidFill>
      <a:ln w="9525">
        <a:solidFill>
          <a:srgbClr val="595959">
            <a:lumMod val="65000"/>
            <a:lumOff val="35000"/>
          </a:srgbClr>
        </a:solidFill>
      </a:ln>
    </cs:spPr>
  </cs:downBar>
  <cs:dropLine>
    <cs:lnRef idx="0"/>
    <cs:fillRef idx="0"/>
    <cs:effectRef idx="0"/>
    <cs:fontRef idx="minor">
      <a:srgbClr val="000000"/>
    </cs:fontRef>
    <cs:spPr>
      <a:ln w="9525" cap="flat" cmpd="sng" algn="ctr">
        <a:solidFill>
          <a:srgbClr val="A6A6A6">
            <a:lumMod val="35000"/>
            <a:lumOff val="65000"/>
          </a:srgbClr>
        </a:solidFill>
        <a:round/>
      </a:ln>
    </cs:spPr>
  </cs:dropLine>
  <cs:errorBar>
    <cs:lnRef idx="0"/>
    <cs:fillRef idx="0"/>
    <cs:effectRef idx="0"/>
    <cs:fontRef idx="minor">
      <a:srgbClr val="000000"/>
    </cs:fontRef>
    <cs:spPr>
      <a:ln w="9525" cap="flat" cmpd="sng" algn="ctr">
        <a:solidFill>
          <a:srgbClr val="595959">
            <a:lumMod val="65000"/>
            <a:lumOff val="35000"/>
          </a:srgbClr>
        </a:solidFill>
        <a:round/>
      </a:ln>
    </cs:spPr>
  </cs:errorBar>
  <cs:floor>
    <cs:lnRef idx="0"/>
    <cs:fillRef idx="0"/>
    <cs:effectRef idx="0"/>
    <cs:fontRef idx="minor">
      <a:srgbClr val="000000"/>
    </cs:fontRef>
    <cs:spPr>
      <a:noFill/>
      <a:ln>
        <a:noFill/>
      </a:ln>
    </cs:spPr>
  </cs:floor>
  <cs:gridlineMajor>
    <cs:lnRef idx="0"/>
    <cs:fillRef idx="0"/>
    <cs:effectRef idx="0"/>
    <cs:fontRef idx="minor">
      <a:srgbClr val="000000"/>
    </cs:fontRef>
    <cs:spPr>
      <a:ln w="9525" cap="flat" cmpd="sng" algn="ctr">
        <a:solidFill>
          <a:srgbClr val="D9D9D9">
            <a:lumMod val="15000"/>
            <a:lumOff val="85000"/>
          </a:srgbClr>
        </a:solidFill>
        <a:round/>
      </a:ln>
    </cs:spPr>
  </cs:gridlineMajor>
  <cs:gridlineMinor>
    <cs:lnRef idx="0"/>
    <cs:fillRef idx="0"/>
    <cs:effectRef idx="0"/>
    <cs:fontRef idx="minor">
      <a:srgbClr val="000000"/>
    </cs:fontRef>
    <cs:spPr>
      <a:ln w="9525" cap="flat" cmpd="sng" algn="ctr">
        <a:solidFill>
          <a:srgbClr val="F2F2F2">
            <a:lumMod val="5000"/>
            <a:lumOff val="95000"/>
          </a:srgbClr>
        </a:solidFill>
        <a:round/>
      </a:ln>
    </cs:spPr>
  </cs:gridlineMinor>
  <cs:hiLoLine>
    <cs:lnRef idx="0"/>
    <cs:fillRef idx="0"/>
    <cs:effectRef idx="0"/>
    <cs:fontRef idx="minor">
      <a:srgbClr val="000000"/>
    </cs:fontRef>
    <cs:spPr>
      <a:ln w="9525" cap="flat" cmpd="sng" algn="ctr">
        <a:solidFill>
          <a:srgbClr val="404040">
            <a:lumMod val="75000"/>
            <a:lumOff val="25000"/>
          </a:srgbClr>
        </a:solidFill>
        <a:round/>
      </a:ln>
    </cs:spPr>
  </cs:hiLoLine>
  <cs:leaderLine>
    <cs:lnRef idx="0"/>
    <cs:fillRef idx="0"/>
    <cs:effectRef idx="0"/>
    <cs:fontRef idx="minor">
      <a:srgbClr val="000000"/>
    </cs:fontRef>
    <cs:spPr>
      <a:ln w="9525" cap="flat" cmpd="sng" algn="ctr">
        <a:solidFill>
          <a:srgbClr val="A6A6A6">
            <a:lumMod val="35000"/>
            <a:lumOff val="65000"/>
          </a:srgbClr>
        </a:solidFill>
        <a:round/>
      </a:ln>
    </cs:spPr>
  </cs:leaderLine>
  <cs:legend>
    <cs:lnRef idx="0"/>
    <cs:fillRef idx="0"/>
    <cs:effectRef idx="0"/>
    <cs:fontRef idx="minor">
      <a:srgbClr val="595959">
        <a:lumMod val="65000"/>
        <a:lumOff val="35000"/>
      </a:srgbClr>
    </cs:fontRef>
    <cs:defRPr sz="900" kern="1200"/>
  </cs:legend>
  <cs:plotArea mods="allowNoFillOverride allowNoLineOverride">
    <cs:lnRef idx="0"/>
    <cs:fillRef idx="0"/>
    <cs:effectRef idx="0"/>
    <cs:fontRef idx="minor">
      <a:srgbClr val="000000"/>
    </cs:fontRef>
  </cs:plotArea>
  <cs:plotArea3D mods="allowNoFillOverride allowNoLineOverride">
    <cs:lnRef idx="0"/>
    <cs:fillRef idx="0"/>
    <cs:effectRef idx="0"/>
    <cs:fontRef idx="minor">
      <a:srgbClr val="000000"/>
    </cs:fontRef>
  </cs:plotArea3D>
  <cs:seriesAxis>
    <cs:lnRef idx="0"/>
    <cs:fillRef idx="0"/>
    <cs:effectRef idx="0"/>
    <cs:fontRef idx="minor">
      <a:srgbClr val="595959">
        <a:lumMod val="65000"/>
        <a:lumOff val="35000"/>
      </a:srgbClr>
    </cs:fontRef>
    <cs:defRPr sz="900" kern="1200"/>
  </cs:seriesAxis>
  <cs:seriesLine>
    <cs:lnRef idx="0"/>
    <cs:fillRef idx="0"/>
    <cs:effectRef idx="0"/>
    <cs:fontRef idx="minor">
      <a:srgbClr val="000000"/>
    </cs:fontRef>
    <cs:spPr>
      <a:ln w="9525" cap="flat" cmpd="sng" algn="ctr">
        <a:solidFill>
          <a:srgbClr val="A6A6A6">
            <a:lumMod val="35000"/>
            <a:lumOff val="65000"/>
          </a:srgbClr>
        </a:solidFill>
        <a:round/>
      </a:ln>
    </cs:spPr>
  </cs:seriesLine>
  <cs:title>
    <cs:lnRef idx="0"/>
    <cs:fillRef idx="0"/>
    <cs:effectRef idx="0"/>
    <cs:fontRef idx="minor">
      <a:srgbClr val="595959">
        <a:lumMod val="65000"/>
        <a:lumOff val="35000"/>
      </a:srgbClr>
    </cs:fontRef>
    <cs:defRPr sz="1400" b="0" kern="1200" spc="0" baseline="0"/>
  </cs:title>
  <cs:trendline>
    <cs:lnRef idx="0">
      <cs:styleClr val="auto"/>
    </cs:lnRef>
    <cs:fillRef idx="0"/>
    <cs:effectRef idx="0"/>
    <cs:fontRef idx="minor">
      <a:srgbClr val="000000"/>
    </cs:fontRef>
    <cs:spPr>
      <a:ln w="19050" cap="rnd">
        <a:solidFill>
          <a:srgbClr val="FFFFFF"/>
        </a:solidFill>
        <a:prstDash val="sysDot"/>
      </a:ln>
    </cs:spPr>
  </cs:trendline>
  <cs:trendlineLabel>
    <cs:lnRef idx="0"/>
    <cs:fillRef idx="0"/>
    <cs:effectRef idx="0"/>
    <cs:fontRef idx="minor">
      <a:srgbClr val="595959">
        <a:lumMod val="65000"/>
        <a:lumOff val="35000"/>
      </a:srgbClr>
    </cs:fontRef>
    <cs:defRPr sz="900" kern="1200"/>
  </cs:trendlineLabel>
  <cs:upBar>
    <cs:lnRef idx="0"/>
    <cs:fillRef idx="0"/>
    <cs:effectRef idx="0"/>
    <cs:fontRef idx="minor">
      <a:srgbClr val="000000"/>
    </cs:fontRef>
    <cs:spPr>
      <a:solidFill>
        <a:srgbClr val="FFFFFF"/>
      </a:solidFill>
      <a:ln w="9525">
        <a:solidFill>
          <a:srgbClr val="D9D9D9">
            <a:lumMod val="15000"/>
            <a:lumOff val="85000"/>
          </a:srgbClr>
        </a:solidFill>
      </a:ln>
    </cs:spPr>
  </cs:upBar>
  <cs:valueAxis>
    <cs:lnRef idx="0"/>
    <cs:fillRef idx="0"/>
    <cs:effectRef idx="0"/>
    <cs:fontRef idx="minor">
      <a:srgbClr val="595959">
        <a:lumMod val="65000"/>
        <a:lumOff val="35000"/>
      </a:srgbClr>
    </cs:fontRef>
    <cs:defRPr sz="900" kern="1200"/>
  </cs:valueAxis>
  <cs:wall>
    <cs:lnRef idx="0"/>
    <cs:fillRef idx="0"/>
    <cs:effectRef idx="0"/>
    <cs:fontRef idx="minor">
      <a:srgbClr val="000000"/>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A8ED408-A641-4B83-B6AC-3A36A59B5903}">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149</Pages>
  <Words>72348</Words>
  <Characters>84292</Characters>
  <Lines>814</Lines>
  <Paragraphs>229</Paragraphs>
  <TotalTime>7</TotalTime>
  <ScaleCrop>false</ScaleCrop>
  <LinksUpToDate>false</LinksUpToDate>
  <CharactersWithSpaces>85484</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2021-04-23T07:25:00Z</dcterms:created>
  <dc:creator>微软用户</dc:creator>
  <cp:lastModifiedBy>Phoenix</cp:lastModifiedBy>
  <cp:lastPrinted>2020-09-25T03:14:00Z</cp:lastPrinted>
  <dcterms:modified xsi:type="dcterms:W3CDTF">2022-01-25T05:50:19Z</dcterms:modified>
  <cp:revision>66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KSOSaveFontToCloudKey">
    <vt:lpwstr>416909091_btnclosed</vt:lpwstr>
  </property>
  <property fmtid="{D5CDD505-2E9C-101B-9397-08002B2CF9AE}" pid="4" name="ICV">
    <vt:lpwstr>388FCA2FCBCE4359AE01179D0CE27FA6</vt:lpwstr>
  </property>
</Properties>
</file>