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20" w:h="16840"/>
          <w:pgMar w:top="1431" w:right="1464" w:bottom="1217" w:left="1579" w:header="0" w:footer="990" w:gutter="0"/>
          <w:cols w:equalWidth="0" w:num="1">
            <w:col w:w="8876"/>
          </w:cols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40" w:line="219" w:lineRule="auto"/>
        <w:ind w:firstLine="13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市民政局市财政局关于积极应对</w:t>
      </w:r>
    </w:p>
    <w:p>
      <w:pPr>
        <w:spacing w:before="39" w:line="219" w:lineRule="auto"/>
        <w:ind w:firstLine="18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新冠肺炎疫情支持养老服务</w:t>
      </w:r>
    </w:p>
    <w:p>
      <w:pPr>
        <w:spacing w:before="41" w:line="220" w:lineRule="auto"/>
        <w:ind w:firstLine="29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行业发展的通知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各区、县(市)民政局,财政局:</w:t>
      </w:r>
    </w:p>
    <w:p>
      <w:pPr>
        <w:spacing w:before="145" w:line="315" w:lineRule="auto"/>
        <w:ind w:right="11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为有效落实《辽宁省促进服务业领域困难行业恢复发展的若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干举措的通知》(辽政办〔2022〕14号)精神,支持养老服务企业</w:t>
      </w:r>
      <w:r>
        <w:rPr>
          <w:rFonts w:ascii="仿宋" w:hAnsi="仿宋" w:eastAsia="仿宋" w:cs="仿宋"/>
          <w:spacing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复产复工,帮助养老服务行业有效克服疫情期间经营困难,促进</w:t>
      </w:r>
      <w:r>
        <w:rPr>
          <w:rFonts w:ascii="仿宋" w:hAnsi="仿宋" w:eastAsia="仿宋" w:cs="仿宋"/>
          <w:spacing w:val="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行业健康稳定发展,经市政府同意,制定如下扶持措施:</w:t>
      </w:r>
    </w:p>
    <w:p>
      <w:pPr>
        <w:spacing w:before="1" w:line="311" w:lineRule="auto"/>
        <w:ind w:firstLine="624"/>
        <w:rPr>
          <w:rFonts w:ascii="仿宋" w:hAnsi="仿宋" w:eastAsia="仿宋" w:cs="仿宋"/>
          <w:sz w:val="33"/>
          <w:szCs w:val="33"/>
        </w:rPr>
      </w:pPr>
      <w:r>
        <w:rPr>
          <w:rFonts w:ascii="黑体" w:hAnsi="黑体" w:eastAsia="黑体" w:cs="黑体"/>
          <w:spacing w:val="-2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一、提前拨付养老机构建设补贴资金。</w:t>
      </w:r>
      <w:r>
        <w:rPr>
          <w:rFonts w:ascii="黑体" w:hAnsi="黑体" w:eastAsia="黑体" w:cs="黑体"/>
          <w:spacing w:val="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对已通过审核的养老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机构,经再次确认后,认定应继续拨付建设补贴资金的养老机构,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提前拨付2022年度建设补贴资金,市、区两级财政按照7:</w:t>
      </w:r>
      <w:r>
        <w:rPr>
          <w:rFonts w:ascii="仿宋" w:hAnsi="仿宋" w:eastAsia="仿宋" w:cs="仿宋"/>
          <w:spacing w:val="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3比例</w:t>
      </w:r>
    </w:p>
    <w:p>
      <w:pPr>
        <w:spacing w:before="2" w:line="188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配比。</w:t>
      </w:r>
    </w:p>
    <w:p>
      <w:pPr>
        <w:sectPr>
          <w:type w:val="continuous"/>
          <w:pgSz w:w="11920" w:h="16840"/>
          <w:pgMar w:top="1431" w:right="1464" w:bottom="1217" w:left="1579" w:header="0" w:footer="990" w:gutter="0"/>
          <w:cols w:equalWidth="0" w:num="1">
            <w:col w:w="8876"/>
          </w:cols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4" w:line="325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二、提前拨付养老机构运营补贴资金。</w:t>
      </w:r>
      <w:r>
        <w:rPr>
          <w:rFonts w:ascii="仿宋" w:hAnsi="仿宋" w:eastAsia="仿宋" w:cs="仿宋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已通过2021年度民办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养老机构运营补贴审核且正常运营的养老机构,参照2021年度实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际发放运营补贴资金市级配比资金的60%预拨2022年度运营补贴,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市、区两级财政按7: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3比例配比,待2022年度运营补贴申报工作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结束后,按照审核情况多退少补。补助资金可用于购买防疫物资、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提高老年人生活标准、补贴一线养老护理人员等方面。</w:t>
      </w:r>
    </w:p>
    <w:p>
      <w:pPr>
        <w:spacing w:before="5" w:line="322" w:lineRule="auto"/>
        <w:ind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三、阶段性提高养老机构运营补贴标准。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自2022年3月1日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32"/>
          <w:szCs w:val="32"/>
        </w:rPr>
        <w:t>至4月30日,星级养老机构运营补贴标准在原标准基础上上浮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20%,即一星级机构每人每月102元、二星级机构每人每月126元、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三星级机构每人每月150元、四星级机构每人每月174元、五星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级机构每人每月198元。市、区两级财政按照7:3比例配比。</w:t>
      </w:r>
    </w:p>
    <w:p>
      <w:pPr>
        <w:spacing w:before="11" w:line="320" w:lineRule="auto"/>
        <w:ind w:right="96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四、加大对社区居家养老服务扶持力度。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对于受疫情影响暂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停服务的区域性居家养老服务中心、社区养老服务站等社区居家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养老服务设施,在对老年人服务流量等相关指标进行星级评定时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将充分考虑疫情因素。符合运营补贴条件的社区居家养老服务设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施,2022年度运营补贴标准在原标准基础上上浮20%,即区域性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居家养老服务中心三星级6万元、四星级10.8万元、五星级15.6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万元;社区养老服务站三星级2.4万元、四星级3.6万元、五星 </w:t>
      </w:r>
      <w:r>
        <w:rPr>
          <w:rFonts w:ascii="仿宋" w:hAnsi="仿宋" w:eastAsia="仿宋" w:cs="仿宋"/>
          <w:spacing w:val="-1"/>
          <w:sz w:val="32"/>
          <w:szCs w:val="32"/>
        </w:rPr>
        <w:t>级4.8万元。市、区两级财政按照1: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1比例配比。</w:t>
      </w:r>
    </w:p>
    <w:p>
      <w:pPr>
        <w:spacing w:before="28" w:line="329" w:lineRule="auto"/>
        <w:ind w:right="75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五、强化责任保险支持。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积极协调养老服务机构综合责任保</w:t>
      </w:r>
      <w:r>
        <w:rPr>
          <w:rFonts w:ascii="仿宋" w:hAnsi="仿宋" w:eastAsia="仿宋" w:cs="仿宋"/>
          <w:sz w:val="32"/>
          <w:szCs w:val="32"/>
        </w:rPr>
        <w:t xml:space="preserve"> 险承保机构,对疫情期间养老服务机构及老年人理赔开辟绿色通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道，做到快速理赔、应赔尽赔。2021年度投保的公众责任险在原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180" w:lineRule="auto"/>
        <w:ind w:firstLine="2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─2─</w:t>
      </w:r>
    </w:p>
    <w:p>
      <w:pPr>
        <w:sectPr>
          <w:footerReference r:id="rId6" w:type="default"/>
          <w:pgSz w:w="11920" w:h="16840"/>
          <w:pgMar w:top="1431" w:right="1389" w:bottom="400" w:left="1579" w:header="0" w:footer="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142.45pt;margin-top:335pt;height:21.3pt;width:94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firstLine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12"/>
                      <w:sz w:val="32"/>
                      <w:szCs w:val="32"/>
                    </w:rPr>
                    <w:t>沈阳市民政局</w:t>
                  </w:r>
                </w:p>
              </w:txbxContent>
            </v:textbox>
          </v:shape>
        </w:pic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4" w:line="323" w:lineRule="auto"/>
        <w:ind w:right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保险期限上延长,延长期限从全市社区居家养老服务设施暂停服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务之日起至恢复服务止。</w:t>
      </w:r>
    </w:p>
    <w:p>
      <w:pPr>
        <w:spacing w:line="328" w:lineRule="auto"/>
        <w:ind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六、畅通政策落实渠道。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各区、县(市)民政局要会同财政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部门确保补贴资金有效落实,及时发放至养老服务机构,积极采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sz w:val="32"/>
          <w:szCs w:val="32"/>
        </w:rPr>
        <w:t>取措施,有条件的区、县(市)可适当提高补助标准,出台相关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优惠扶持政策,全力帮助养老服务机构渡过难关。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325" w:lineRule="auto"/>
        <w:ind w:left="4999" w:right="1464" w:firstLine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沈阳市财政局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6"/>
          <w:w w:val="117"/>
          <w:sz w:val="32"/>
          <w:szCs w:val="32"/>
        </w:rPr>
        <w:t>022年5月30日</w:t>
      </w:r>
    </w:p>
    <w:p>
      <w:pPr>
        <w:spacing w:line="220" w:lineRule="auto"/>
        <w:ind w:firstLine="769"/>
        <w:sectPr>
          <w:footerReference r:id="rId7" w:type="default"/>
          <w:pgSz w:w="11920" w:h="16840"/>
          <w:pgMar w:top="1431" w:right="1452" w:bottom="1184" w:left="1610" w:header="0" w:footer="960" w:gutter="0"/>
          <w:cols w:space="720" w:num="1"/>
        </w:sectPr>
      </w:pPr>
      <w:r>
        <w:rPr>
          <w:rFonts w:ascii="仿宋" w:hAnsi="仿宋" w:eastAsia="仿宋" w:cs="仿宋"/>
          <w:spacing w:val="3"/>
          <w:sz w:val="32"/>
          <w:szCs w:val="32"/>
        </w:rPr>
        <w:t>(此件公开发布)</w:t>
      </w:r>
    </w:p>
    <w:p>
      <w:pPr>
        <w:spacing w:before="88" w:line="180" w:lineRule="auto"/>
        <w:rPr>
          <w:rFonts w:ascii="仿宋" w:hAnsi="仿宋" w:eastAsia="仿宋" w:cs="仿宋"/>
          <w:sz w:val="27"/>
          <w:szCs w:val="27"/>
        </w:rPr>
      </w:pPr>
      <w:bookmarkStart w:id="0" w:name="_GoBack"/>
      <w:bookmarkEnd w:id="0"/>
    </w:p>
    <w:sectPr>
      <w:footerReference r:id="rId8" w:type="default"/>
      <w:pgSz w:w="11920" w:h="16840"/>
      <w:pgMar w:top="1431" w:right="1459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exact"/>
      <w:ind w:firstLine="7590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position w:val="-4"/>
        <w:sz w:val="33"/>
        <w:szCs w:val="33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61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position w:val="-4"/>
        <w:sz w:val="32"/>
        <w:szCs w:val="32"/>
      </w:rPr>
      <w:t>─3─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ZTQ3ZmI1OTFmODUzNzgwMGRlNDBmMWZiZDQzMjEifQ=="/>
  </w:docVars>
  <w:rsids>
    <w:rsidRoot w:val="00000000"/>
    <w:rsid w:val="15A23277"/>
    <w:rsid w:val="20323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1025</Words>
  <Characters>1101</Characters>
  <TotalTime>19</TotalTime>
  <ScaleCrop>false</ScaleCrop>
  <LinksUpToDate>false</LinksUpToDate>
  <CharactersWithSpaces>1164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2022-07-13T10:50:00Z</dcterms:created>
  <dc:creator>Kingsoft-PDF</dc:creator>
  <cp:keywords>62ce32fa3ff9110015476287</cp:keywords>
  <cp:lastModifiedBy>杨洋</cp:lastModifiedBy>
  <dcterms:modified xsi:type="dcterms:W3CDTF">2022-07-19T07:04:39Z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2022-07-13T10:50:48Z</vt:filetime>
  </property>
  <property fmtid="{D5CDD505-2E9C-101B-9397-08002B2CF9AE}" pid="4" name="KSOProductBuildVer">
    <vt:lpwstr>2052-11.1.0.11830</vt:lpwstr>
  </property>
  <property fmtid="{D5CDD505-2E9C-101B-9397-08002B2CF9AE}" pid="5" name="ICV">
    <vt:lpwstr>81931EE93CCD4967888BE8054BF5969F</vt:lpwstr>
  </property>
</Properties>
</file>