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Calibri" w:hAnsi="Calibri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ascii="Calibri" w:hAnsi="Calibri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  <w:t>1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沈阳市浑南区市场监督管理局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关于不合格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餐具</w:t>
      </w:r>
      <w:r>
        <w:rPr>
          <w:rFonts w:hint="eastAsia" w:ascii="宋体" w:hAnsi="宋体" w:cs="宋体"/>
          <w:b/>
          <w:bCs/>
          <w:sz w:val="44"/>
          <w:szCs w:val="44"/>
        </w:rPr>
        <w:t>风险控制情况的通告</w:t>
      </w:r>
    </w:p>
    <w:p>
      <w:pPr>
        <w:snapToGrid w:val="0"/>
        <w:spacing w:line="600" w:lineRule="exact"/>
        <w:ind w:firstLine="880" w:firstLineChars="200"/>
        <w:rPr>
          <w:rFonts w:hint="eastAsia" w:ascii="宋体" w:hAnsi="宋体" w:cs="宋体"/>
          <w:color w:val="000000"/>
          <w:sz w:val="44"/>
          <w:szCs w:val="44"/>
        </w:rPr>
      </w:pP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沈阳市浑南区原味白山烧烤店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餐饮使用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碟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（一）抽检基本情况。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沈阳市浑南区原味白山烧烤店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2022年3月9日加工使用的碟，大肠菌群项目不符合《食品安全国家标准消毒餐（饮）具》要求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（二）沈阳市浑南区市场监督管理局对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沈阳市浑南区原味白山烧烤店</w:t>
      </w:r>
      <w:r>
        <w:rPr>
          <w:rFonts w:hint="eastAsia" w:ascii="仿宋" w:hAnsi="仿宋" w:eastAsia="仿宋" w:cs="仿宋"/>
          <w:sz w:val="32"/>
          <w:szCs w:val="32"/>
        </w:rPr>
        <w:t>经营场所实施现场检查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，现场当事人证照齐全，所用餐具为人工清洗。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当事人立即整改清洗流程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、广大消费者如发现食品安全违法行为，可拨打市场监管部门12315热线电话投诉举报。</w:t>
      </w:r>
    </w:p>
    <w:p>
      <w:pPr>
        <w:spacing w:line="560" w:lineRule="exact"/>
        <w:rPr>
          <w:rFonts w:hint="eastAsia" w:ascii="仿宋" w:hAnsi="仿宋" w:eastAsia="仿宋" w:cs="仿宋"/>
          <w:b/>
          <w:color w:val="093A96"/>
          <w:kern w:val="0"/>
          <w:sz w:val="32"/>
          <w:szCs w:val="32"/>
          <w:lang w:bidi="ar"/>
        </w:rPr>
      </w:pPr>
    </w:p>
    <w:p>
      <w:pPr>
        <w:spacing w:line="560" w:lineRule="exact"/>
        <w:rPr>
          <w:rFonts w:hint="eastAsia" w:ascii="仿宋" w:hAnsi="仿宋" w:eastAsia="仿宋" w:cs="仿宋"/>
          <w:b/>
          <w:color w:val="093A96"/>
          <w:kern w:val="0"/>
          <w:sz w:val="32"/>
          <w:szCs w:val="32"/>
          <w:lang w:bidi="ar"/>
        </w:rPr>
      </w:pPr>
    </w:p>
    <w:p>
      <w:pPr>
        <w:spacing w:line="560" w:lineRule="exact"/>
        <w:rPr>
          <w:rFonts w:hint="eastAsia" w:ascii="仿宋" w:hAnsi="仿宋" w:eastAsia="仿宋" w:cs="仿宋"/>
          <w:b/>
          <w:color w:val="093A96"/>
          <w:kern w:val="0"/>
          <w:sz w:val="32"/>
          <w:szCs w:val="32"/>
          <w:lang w:bidi="ar"/>
        </w:rPr>
      </w:pPr>
    </w:p>
    <w:p>
      <w:pPr>
        <w:spacing w:line="560" w:lineRule="exact"/>
        <w:rPr>
          <w:rFonts w:hint="eastAsia" w:ascii="仿宋" w:hAnsi="仿宋" w:eastAsia="仿宋" w:cs="仿宋"/>
          <w:b/>
          <w:color w:val="093A96"/>
          <w:kern w:val="0"/>
          <w:sz w:val="32"/>
          <w:szCs w:val="32"/>
          <w:lang w:bidi="ar"/>
        </w:rPr>
      </w:pPr>
    </w:p>
    <w:p>
      <w:pPr>
        <w:spacing w:line="560" w:lineRule="exact"/>
        <w:rPr>
          <w:rFonts w:hint="eastAsia" w:ascii="仿宋" w:hAnsi="仿宋" w:eastAsia="仿宋" w:cs="仿宋"/>
          <w:b/>
          <w:color w:val="093A96"/>
          <w:kern w:val="0"/>
          <w:sz w:val="32"/>
          <w:szCs w:val="32"/>
          <w:lang w:bidi="ar"/>
        </w:rPr>
      </w:pPr>
    </w:p>
    <w:p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沈阳市浑南区市场监督管理局</w:t>
      </w:r>
    </w:p>
    <w:p>
      <w:pPr>
        <w:spacing w:line="560" w:lineRule="exact"/>
        <w:ind w:right="640" w:firstLine="4160" w:firstLineChars="1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640" w:lineRule="exact"/>
        <w:jc w:val="left"/>
        <w:rPr>
          <w:rFonts w:hint="default" w:ascii="宋体" w:hAnsi="宋体" w:cs="宋体"/>
          <w:sz w:val="44"/>
          <w:szCs w:val="32"/>
          <w:lang w:val="en-US"/>
        </w:rPr>
      </w:pPr>
      <w:r>
        <w:rPr>
          <w:rFonts w:hint="eastAsia" w:ascii="Calibri" w:hAnsi="Calibri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cs="Times New Roman"/>
          <w:color w:val="auto"/>
          <w:kern w:val="0"/>
          <w:sz w:val="24"/>
          <w:szCs w:val="24"/>
          <w:u w:val="none"/>
          <w:lang w:val="en-US" w:eastAsia="zh-CN" w:bidi="ar"/>
        </w:rPr>
        <w:t>2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</w:rPr>
      </w:pPr>
      <w:r>
        <w:rPr>
          <w:rFonts w:hint="eastAsia" w:ascii="宋体" w:hAnsi="宋体" w:cs="宋体"/>
          <w:b/>
          <w:bCs/>
          <w:sz w:val="44"/>
          <w:szCs w:val="32"/>
        </w:rPr>
        <w:t>沈阳市浑南区市场监督管理局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</w:rPr>
      </w:pPr>
      <w:r>
        <w:rPr>
          <w:rFonts w:hint="eastAsia" w:ascii="宋体" w:hAnsi="宋体" w:cs="宋体"/>
          <w:b/>
          <w:bCs/>
          <w:sz w:val="44"/>
          <w:szCs w:val="32"/>
        </w:rPr>
        <w:t>关于不合格</w:t>
      </w:r>
      <w:r>
        <w:rPr>
          <w:rFonts w:hint="eastAsia" w:ascii="宋体" w:hAnsi="宋体" w:cs="宋体"/>
          <w:b/>
          <w:bCs/>
          <w:sz w:val="44"/>
          <w:szCs w:val="32"/>
          <w:lang w:eastAsia="zh-CN"/>
        </w:rPr>
        <w:t>餐具</w:t>
      </w:r>
      <w:r>
        <w:rPr>
          <w:rFonts w:hint="eastAsia" w:ascii="宋体" w:hAnsi="宋体" w:cs="宋体"/>
          <w:b/>
          <w:bCs/>
          <w:sz w:val="44"/>
          <w:szCs w:val="32"/>
        </w:rPr>
        <w:t>核查处置情况的通告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沈阳市浑南区原味白山烧烤店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餐饮使用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碟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（一）抽检基本情况。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沈阳市浑南区原味白山烧烤店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2022年3月9日加工使用的碟，大肠菌群项目不符合《食品安全国家标准消毒餐（饮）具》要求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（二）对企业违法违规行为依法处罚情况。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事人经营餐饮使用料碗清洗消毒不合格的行为，违反了《中华人民共和国食品安全法》第一百二十六条一款（五）项的规定，沈阳市浑南区市场监督管理局当场对其下达了《当场行政处罚决定书》（沈浑南市监当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10-005号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），对当事人给予警告处罚。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沈阳市浑南区原味白山烧烤店立即规范餐具清洗流程，查验所用洗涤用品是否为检验合格的用品并加强员工培训，浑南区市场监督管理局于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2022年4月4日对当事人进行了</w:t>
      </w:r>
      <w:r>
        <w:rPr>
          <w:rFonts w:hint="eastAsia" w:ascii="仿宋" w:hAnsi="仿宋" w:eastAsia="仿宋" w:cs="仿宋"/>
          <w:sz w:val="32"/>
          <w:szCs w:val="32"/>
        </w:rPr>
        <w:t>复查。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沈阳市浑南区市场监督管理局</w:t>
      </w:r>
    </w:p>
    <w:p>
      <w:pPr>
        <w:pStyle w:val="3"/>
        <w:widowControl/>
        <w:spacing w:line="480" w:lineRule="auto"/>
        <w:ind w:firstLine="4160" w:firstLineChars="1300"/>
        <w:jc w:val="both"/>
        <w:rPr>
          <w:rFonts w:hint="eastAsia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/>
          <w:lang w:bidi="ar"/>
        </w:rPr>
        <w:t>附件3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8"/>
        </w:rPr>
      </w:pPr>
      <w:r>
        <w:rPr>
          <w:rFonts w:hint="eastAsia" w:ascii="宋体" w:hAnsi="宋体" w:cs="宋体"/>
          <w:b/>
          <w:bCs/>
          <w:sz w:val="44"/>
          <w:szCs w:val="48"/>
        </w:rPr>
        <w:t>沈阳市浑南区市场监督管理局关于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8"/>
        </w:rPr>
      </w:pPr>
      <w:r>
        <w:rPr>
          <w:rFonts w:hint="eastAsia" w:ascii="宋体" w:hAnsi="宋体" w:cs="宋体"/>
          <w:b/>
          <w:bCs/>
          <w:sz w:val="44"/>
          <w:szCs w:val="32"/>
          <w:lang w:eastAsia="zh-CN"/>
        </w:rPr>
        <w:t>经营餐饮所用盘子</w:t>
      </w:r>
      <w:r>
        <w:rPr>
          <w:rFonts w:hint="eastAsia" w:ascii="宋体" w:hAnsi="宋体" w:cs="宋体"/>
          <w:b/>
          <w:bCs/>
          <w:sz w:val="44"/>
          <w:szCs w:val="48"/>
        </w:rPr>
        <w:t>核查处置情况的报告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0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沈阳市市场监督管理局：</w:t>
      </w:r>
    </w:p>
    <w:p>
      <w:pPr>
        <w:adjustRightInd w:val="0"/>
        <w:spacing w:line="520" w:lineRule="exact"/>
        <w:jc w:val="left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 xml:space="preserve">   现将涉及我区1批次不合格食品1家经营企业有关核查处置及信息公开情况报告如下：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一、基本情况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  <w:lang w:eastAsia="zh-CN"/>
        </w:rPr>
        <w:t>经营餐饮所用盘子</w:t>
      </w:r>
      <w:r>
        <w:rPr>
          <w:rFonts w:hint="eastAsia" w:ascii="仿宋" w:hAnsi="仿宋" w:eastAsia="仿宋" w:cs="仿宋"/>
          <w:sz w:val="32"/>
          <w:szCs w:val="30"/>
        </w:rPr>
        <w:t>基本信息如下：</w:t>
      </w:r>
    </w:p>
    <w:p>
      <w:pPr>
        <w:spacing w:before="95" w:beforeLines="30" w:line="480" w:lineRule="exact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表1  不合格食品基本信息表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498"/>
        <w:gridCol w:w="1463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抽样编号</w:t>
            </w:r>
          </w:p>
        </w:tc>
        <w:tc>
          <w:tcPr>
            <w:tcW w:w="24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XC22210182216800031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样品名称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碟（复用餐饮具）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生产日期</w:t>
            </w:r>
          </w:p>
        </w:tc>
        <w:tc>
          <w:tcPr>
            <w:tcW w:w="24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2022-03-09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型号规格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标称生产企业</w:t>
            </w:r>
          </w:p>
        </w:tc>
        <w:tc>
          <w:tcPr>
            <w:tcW w:w="24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被抽样单位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沈阳市浑南区原味白山烧烤店餐馆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FF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检验不合格项目</w:t>
            </w:r>
          </w:p>
        </w:tc>
        <w:tc>
          <w:tcPr>
            <w:tcW w:w="24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  <w:t>阴离子合成洗涤剂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FF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检验机构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  <w:t>辽宁惠康检测评价技术有限公司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监管部门收到检验报告日期</w:t>
            </w:r>
          </w:p>
        </w:tc>
        <w:tc>
          <w:tcPr>
            <w:tcW w:w="24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2022年3月29日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检验报告送达企业日期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2022年4月1日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楷体_GB2312" w:hAnsi="仿宋" w:eastAsia="楷体_GB2312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hint="eastAsia" w:ascii="楷体_GB2312" w:hAnsi="仿宋" w:eastAsia="楷体_GB2312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二、经营环节</w:t>
      </w:r>
    </w:p>
    <w:p>
      <w:pPr>
        <w:spacing w:line="560" w:lineRule="exact"/>
        <w:ind w:right="640" w:firstLine="640" w:firstLineChars="200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沈阳市浑南区市场监督管理局</w:t>
      </w:r>
      <w:r>
        <w:rPr>
          <w:rFonts w:hint="eastAsia" w:ascii="仿宋" w:hAnsi="仿宋" w:eastAsia="仿宋" w:cs="仿宋"/>
          <w:sz w:val="32"/>
          <w:szCs w:val="30"/>
        </w:rPr>
        <w:t>到不合格报告后开展核查处置工作情况。具体处置情况见下表。</w:t>
      </w:r>
    </w:p>
    <w:p>
      <w:pPr>
        <w:spacing w:before="95" w:beforeLines="30" w:line="480" w:lineRule="exact"/>
        <w:jc w:val="center"/>
        <w:rPr>
          <w:rFonts w:hint="eastAsia" w:ascii="仿宋" w:hAnsi="仿宋" w:eastAsia="仿宋" w:cs="仿宋"/>
          <w:sz w:val="28"/>
        </w:rPr>
      </w:pPr>
    </w:p>
    <w:p>
      <w:pPr>
        <w:spacing w:before="95" w:beforeLines="30" w:line="480" w:lineRule="exact"/>
        <w:jc w:val="center"/>
        <w:rPr>
          <w:rFonts w:hint="eastAsia" w:ascii="黑体" w:hAnsi="黑体" w:eastAsia="黑体"/>
          <w:sz w:val="28"/>
        </w:rPr>
      </w:pPr>
    </w:p>
    <w:p>
      <w:pPr>
        <w:spacing w:before="95" w:beforeLines="30" w:line="480" w:lineRule="exact"/>
        <w:jc w:val="center"/>
        <w:rPr>
          <w:rFonts w:hint="eastAsia" w:ascii="黑体" w:hAnsi="黑体" w:eastAsia="黑体"/>
          <w:sz w:val="28"/>
        </w:rPr>
      </w:pPr>
    </w:p>
    <w:p>
      <w:pPr>
        <w:spacing w:before="95" w:beforeLines="30" w:line="480" w:lineRule="exact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表2  经营环节核查处置情况表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处置措施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产品控制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企业依法主动</w:t>
            </w:r>
            <w:r>
              <w:rPr>
                <w:rFonts w:hint="eastAsia" w:eastAsia="仿宋_GB2312"/>
                <w:sz w:val="24"/>
                <w:lang w:eastAsia="zh-CN"/>
              </w:rPr>
              <w:t>规范清洗流程、排查洗涤剂并加强员工培训。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原因排查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  <w:lang w:eastAsia="zh-CN"/>
              </w:rPr>
              <w:t>餐具人工清洗不到位。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行政处罚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当事人经营餐饮使用碟清洗消毒不合格的行为，违反了《中华人民共和国食品安全法》第一百二十六条一款（五）项的规定，沈阳市浑南区市场监督管理局当场对其下达了《当场行政处罚决定书》（沈浑南市监当罚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10-005号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），对当事人给予警告处罚。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整改复查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沈阳市浑南区原味白山烧烤店立即规范餐具清洗流程，查验所用洗涤用品是否为检验合格的用品并加强员工培训，浑南区市场监督管理局于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2022年4月4日对当事人进行了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通报移送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无</w:t>
            </w:r>
          </w:p>
        </w:tc>
      </w:tr>
    </w:tbl>
    <w:p>
      <w:pPr>
        <w:pStyle w:val="3"/>
        <w:widowControl/>
        <w:spacing w:before="0" w:beforeAutospacing="0" w:after="0" w:afterAutospacing="0"/>
        <w:rPr>
          <w:rFonts w:hint="eastAsia" w:ascii="仿宋" w:hAnsi="仿宋" w:eastAsia="仿宋"/>
          <w:kern w:val="2"/>
          <w:sz w:val="32"/>
          <w:szCs w:val="30"/>
        </w:rPr>
      </w:pPr>
      <w:r>
        <w:rPr>
          <w:rFonts w:hint="eastAsia" w:ascii="仿宋" w:hAnsi="仿宋" w:eastAsia="仿宋"/>
          <w:kern w:val="2"/>
          <w:sz w:val="32"/>
          <w:szCs w:val="30"/>
        </w:rPr>
        <w:t xml:space="preserve">   </w:t>
      </w:r>
    </w:p>
    <w:p>
      <w:pPr>
        <w:pStyle w:val="3"/>
        <w:widowControl/>
        <w:spacing w:before="0" w:beforeAutospacing="0" w:after="0" w:afterAutospacing="0"/>
        <w:rPr>
          <w:rFonts w:hint="eastAsia" w:ascii="仿宋" w:hAnsi="仿宋" w:eastAsia="仿宋"/>
          <w:kern w:val="2"/>
          <w:sz w:val="32"/>
          <w:szCs w:val="30"/>
        </w:rPr>
      </w:pPr>
    </w:p>
    <w:p>
      <w:pPr>
        <w:pStyle w:val="3"/>
        <w:widowControl/>
        <w:spacing w:before="0" w:beforeAutospacing="0" w:after="0" w:afterAutospacing="0"/>
        <w:rPr>
          <w:rFonts w:hint="eastAsia" w:ascii="仿宋" w:hAnsi="仿宋" w:eastAsia="仿宋"/>
          <w:kern w:val="2"/>
          <w:sz w:val="32"/>
          <w:szCs w:val="30"/>
        </w:rPr>
      </w:pPr>
    </w:p>
    <w:p>
      <w:pPr>
        <w:pStyle w:val="3"/>
        <w:widowControl/>
        <w:spacing w:before="0" w:beforeAutospacing="0" w:after="0" w:afterAutospacing="0"/>
        <w:rPr>
          <w:rFonts w:hint="eastAsia" w:ascii="仿宋" w:hAnsi="仿宋" w:eastAsia="仿宋"/>
          <w:kern w:val="2"/>
          <w:sz w:val="32"/>
          <w:szCs w:val="30"/>
        </w:rPr>
      </w:pPr>
    </w:p>
    <w:p>
      <w:pPr>
        <w:pStyle w:val="3"/>
        <w:widowControl/>
        <w:spacing w:before="0" w:beforeAutospacing="0" w:after="0" w:afterAutospacing="0"/>
        <w:rPr>
          <w:rFonts w:hint="eastAsia" w:ascii="仿宋" w:hAnsi="仿宋" w:eastAsia="仿宋"/>
          <w:kern w:val="2"/>
          <w:sz w:val="32"/>
          <w:szCs w:val="30"/>
        </w:rPr>
      </w:pPr>
    </w:p>
    <w:p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沈阳市浑南区市场监督管理局</w:t>
      </w:r>
    </w:p>
    <w:p>
      <w:pPr>
        <w:widowControl/>
        <w:ind w:firstLine="4160" w:firstLineChars="1300"/>
        <w:jc w:val="left"/>
        <w:rPr>
          <w:rFonts w:hint="eastAsia" w:ascii="仿宋" w:hAnsi="仿宋" w:eastAsia="仿宋" w:cs="仿宋"/>
          <w:color w:val="FF0000"/>
          <w:kern w:val="0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9060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2pt;width:7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yskbtEAAAADAQAADwAAAAAAAAABACAAAAAiAAAAZHJzL2Rvd25y&#10;ZXYueG1sUEsBAhQAFAAAAAgAh07iQJkRkJ3MAQAAlg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5B6D7"/>
    <w:multiLevelType w:val="singleLevel"/>
    <w:tmpl w:val="18F5B6D7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1D938E52"/>
    <w:multiLevelType w:val="singleLevel"/>
    <w:tmpl w:val="1D938E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Q1NDQ1YjgzZDc3OGZlNzY1NGFmMDZjMjhkNDcifQ=="/>
  </w:docVars>
  <w:rsids>
    <w:rsidRoot w:val="3E9072A9"/>
    <w:rsid w:val="00AB7343"/>
    <w:rsid w:val="052E0494"/>
    <w:rsid w:val="35643E12"/>
    <w:rsid w:val="3E9072A9"/>
    <w:rsid w:val="51021D03"/>
    <w:rsid w:val="588E2A73"/>
    <w:rsid w:val="5BE766D3"/>
    <w:rsid w:val="65436BCB"/>
    <w:rsid w:val="7E87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1168</Words>
  <Characters>1247</Characters>
  <Lines>0</Lines>
  <Paragraphs>0</Paragraphs>
  <TotalTime>1</TotalTime>
  <ScaleCrop>false</ScaleCrop>
  <LinksUpToDate>false</LinksUpToDate>
  <CharactersWithSpaces>1257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2022-07-01T05:33:00Z</dcterms:created>
  <dc:creator>❔</dc:creator>
  <cp:lastModifiedBy>❔</cp:lastModifiedBy>
  <dcterms:modified xsi:type="dcterms:W3CDTF">2022-07-22T03:26:58Z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47A9CA034F8C439C86969BC528B1C29B</vt:lpwstr>
  </property>
</Properties>
</file>