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</w:pPr>
      <w:r>
        <w:fldChar w:fldCharType="begin"/>
      </w:r>
      <w:r>
        <w:instrText xml:space="preserve"> DOCPROPERTY  Title  \* MERGEFORMAT </w:instrText>
      </w:r>
      <w:r>
        <w:fldChar w:fldCharType="separate"/>
      </w:r>
      <w:r>
        <w:t>浑南区工信局2020年度行政执法</w:t>
      </w:r>
      <w:r>
        <w:br w:type="textWrapping"/>
      </w:r>
      <w:r>
        <w:t>总体情况报告</w:t>
      </w:r>
      <w:r>
        <w:fldChar w:fldCharType="end"/>
      </w:r>
    </w:p>
    <w:p>
      <w:pPr>
        <w:pStyle w:val="2"/>
        <w:ind w:firstLine="632"/>
      </w:pPr>
      <w:r>
        <w:rPr>
          <w:rFonts w:hint="eastAsia"/>
        </w:rPr>
        <w:t>总体情况</w:t>
      </w:r>
    </w:p>
    <w:p>
      <w:pPr>
        <w:pStyle w:val="5"/>
        <w:ind w:firstLine="632"/>
      </w:pPr>
      <w:r>
        <w:rPr>
          <w:rFonts w:hint="eastAsia"/>
        </w:rPr>
        <w:t>已确认的行政执法主体情况</w:t>
      </w:r>
    </w:p>
    <w:p>
      <w:pPr>
        <w:ind w:firstLine="632"/>
      </w:pPr>
      <w:r>
        <w:t>1.职权主体数量</w:t>
      </w:r>
      <w:r>
        <w:rPr>
          <w:rFonts w:hint="eastAsia"/>
        </w:rPr>
        <w:t>：</w:t>
      </w:r>
      <w:r>
        <w:t>1；</w:t>
      </w:r>
    </w:p>
    <w:p>
      <w:pPr>
        <w:ind w:firstLine="632"/>
      </w:pPr>
      <w:r>
        <w:t>2.授权主体数量</w:t>
      </w:r>
      <w:r>
        <w:rPr>
          <w:rFonts w:hint="eastAsia"/>
        </w:rPr>
        <w:t>：0</w:t>
      </w:r>
      <w:r>
        <w:t>；</w:t>
      </w:r>
    </w:p>
    <w:p>
      <w:pPr>
        <w:ind w:firstLine="632"/>
      </w:pPr>
      <w:r>
        <w:t>3.委托主体数量</w:t>
      </w:r>
      <w:r>
        <w:rPr>
          <w:rFonts w:hint="eastAsia"/>
        </w:rPr>
        <w:t>：0</w:t>
      </w:r>
      <w:r>
        <w:t>；</w:t>
      </w:r>
    </w:p>
    <w:p>
      <w:pPr>
        <w:pStyle w:val="5"/>
        <w:ind w:firstLine="632"/>
      </w:pPr>
      <w:r>
        <w:rPr>
          <w:rFonts w:hint="eastAsia"/>
        </w:rPr>
        <w:t>行政执法人员总体情况</w:t>
      </w:r>
    </w:p>
    <w:p>
      <w:pPr>
        <w:ind w:firstLine="632"/>
      </w:pPr>
      <w:r>
        <w:t>1.在岗在编人员数量</w:t>
      </w:r>
      <w:r>
        <w:rPr>
          <w:rFonts w:hint="eastAsia"/>
        </w:rPr>
        <w:t>：0</w:t>
      </w:r>
      <w:r>
        <w:t>；</w:t>
      </w:r>
    </w:p>
    <w:p>
      <w:pPr>
        <w:ind w:firstLine="632"/>
      </w:pPr>
      <w:r>
        <w:t>2.参加培训考试合格人员数量</w:t>
      </w:r>
      <w:r>
        <w:rPr>
          <w:rFonts w:hint="eastAsia"/>
        </w:rPr>
        <w:t>：0</w:t>
      </w:r>
      <w:r>
        <w:t>；</w:t>
      </w:r>
    </w:p>
    <w:p>
      <w:pPr>
        <w:ind w:firstLine="632"/>
      </w:pPr>
      <w:r>
        <w:t>3.调离执法岗位人员数量</w:t>
      </w:r>
      <w:r>
        <w:rPr>
          <w:rFonts w:hint="eastAsia"/>
        </w:rPr>
        <w:t>：0</w:t>
      </w:r>
      <w:r>
        <w:t>；</w:t>
      </w:r>
    </w:p>
    <w:p>
      <w:pPr>
        <w:pStyle w:val="5"/>
        <w:ind w:firstLine="632"/>
      </w:pPr>
      <w:r>
        <w:rPr>
          <w:rFonts w:hint="eastAsia"/>
        </w:rPr>
        <w:t>法制审核总体情况</w:t>
      </w:r>
    </w:p>
    <w:p>
      <w:pPr>
        <w:ind w:firstLine="632"/>
      </w:pPr>
      <w:r>
        <w:t>1.法制审核人员配备数量</w:t>
      </w:r>
      <w:r>
        <w:rPr>
          <w:rFonts w:hint="eastAsia"/>
        </w:rPr>
        <w:t>：0</w:t>
      </w:r>
      <w:r>
        <w:t>；</w:t>
      </w:r>
    </w:p>
    <w:p>
      <w:pPr>
        <w:ind w:firstLine="632"/>
      </w:pPr>
      <w:r>
        <w:t>2.具有职业法律资格（通过司法考试）人员数量</w:t>
      </w:r>
      <w:r>
        <w:rPr>
          <w:rFonts w:hint="eastAsia"/>
        </w:rPr>
        <w:t>：0</w:t>
      </w:r>
      <w:r>
        <w:t>；</w:t>
      </w:r>
    </w:p>
    <w:p>
      <w:pPr>
        <w:ind w:firstLine="632"/>
      </w:pPr>
      <w:r>
        <w:t>3.法制审核人员日常培训情况</w:t>
      </w:r>
      <w:r>
        <w:rPr>
          <w:rFonts w:hint="eastAsia"/>
        </w:rPr>
        <w:t>：暂无</w:t>
      </w:r>
      <w:r>
        <w:t>；</w:t>
      </w:r>
    </w:p>
    <w:p>
      <w:pPr>
        <w:ind w:firstLine="632"/>
      </w:pPr>
      <w:r>
        <w:t>4.2020年度法制审核案件数量</w:t>
      </w:r>
      <w:r>
        <w:rPr>
          <w:rFonts w:hint="eastAsia"/>
        </w:rPr>
        <w:t>：</w:t>
      </w:r>
      <w:r>
        <w:t>0；</w:t>
      </w:r>
    </w:p>
    <w:p>
      <w:pPr>
        <w:ind w:firstLine="632"/>
      </w:pPr>
      <w:r>
        <w:t>5.法制审核纠正案件数量</w:t>
      </w:r>
      <w:r>
        <w:rPr>
          <w:rFonts w:hint="eastAsia"/>
        </w:rPr>
        <w:t>：</w:t>
      </w:r>
      <w:r>
        <w:t>0；</w:t>
      </w:r>
    </w:p>
    <w:p>
      <w:pPr>
        <w:pStyle w:val="5"/>
        <w:ind w:firstLine="632"/>
      </w:pPr>
      <w:r>
        <w:rPr>
          <w:rFonts w:hint="eastAsia"/>
        </w:rPr>
        <w:t>“行政执法事项清单”编制和公开情况</w:t>
      </w:r>
    </w:p>
    <w:p>
      <w:pPr>
        <w:ind w:firstLine="632"/>
        <w:rPr>
          <w:rFonts w:hint="eastAsia"/>
        </w:rPr>
      </w:pPr>
      <w:r>
        <w:rPr>
          <w:rFonts w:hint="eastAsia"/>
        </w:rPr>
        <w:t>由于权责清单及自由裁量权基准变更，行政执法事项清单正在编制中。</w:t>
      </w:r>
    </w:p>
    <w:p>
      <w:pPr>
        <w:pStyle w:val="5"/>
        <w:ind w:firstLine="632"/>
      </w:pPr>
      <w:r>
        <w:rPr>
          <w:rFonts w:hint="eastAsia"/>
        </w:rPr>
        <w:t>涉企检查计划管理情况</w:t>
      </w:r>
    </w:p>
    <w:p>
      <w:pPr>
        <w:ind w:firstLine="632"/>
      </w:pPr>
      <w:r>
        <w:t>1.开展编制（非安全领域）涉企检查计划数量</w:t>
      </w:r>
      <w:r>
        <w:rPr>
          <w:rFonts w:hint="eastAsia"/>
        </w:rPr>
        <w:t>：</w:t>
      </w:r>
      <w:r>
        <w:t>0；</w:t>
      </w:r>
    </w:p>
    <w:p>
      <w:pPr>
        <w:ind w:firstLine="632"/>
      </w:pPr>
      <w:r>
        <w:t>2.检查计划落实数量</w:t>
      </w:r>
      <w:r>
        <w:rPr>
          <w:rFonts w:hint="eastAsia"/>
        </w:rPr>
        <w:t>：</w:t>
      </w:r>
      <w:r>
        <w:t>0；</w:t>
      </w:r>
    </w:p>
    <w:p>
      <w:pPr>
        <w:ind w:firstLine="632"/>
      </w:pPr>
      <w:r>
        <w:t>3.同比去年变化数量</w:t>
      </w:r>
      <w:r>
        <w:rPr>
          <w:rFonts w:hint="eastAsia"/>
        </w:rPr>
        <w:t>：无变化</w:t>
      </w:r>
      <w:r>
        <w:t>；</w:t>
      </w:r>
    </w:p>
    <w:p>
      <w:pPr>
        <w:ind w:firstLine="632"/>
      </w:pPr>
      <w:r>
        <w:t>4.发生处罚、处理案件数量</w:t>
      </w:r>
      <w:r>
        <w:rPr>
          <w:rFonts w:hint="eastAsia"/>
        </w:rPr>
        <w:t>：</w:t>
      </w:r>
      <w:r>
        <w:t>0；</w:t>
      </w:r>
    </w:p>
    <w:p>
      <w:pPr>
        <w:ind w:firstLine="632"/>
      </w:pPr>
      <w:r>
        <w:t>5.开展企业回访情况</w:t>
      </w:r>
      <w:r>
        <w:rPr>
          <w:rFonts w:hint="eastAsia"/>
        </w:rPr>
        <w:t>：</w:t>
      </w:r>
      <w:r>
        <w:t>0；</w:t>
      </w:r>
    </w:p>
    <w:p>
      <w:pPr>
        <w:ind w:firstLine="632"/>
      </w:pPr>
      <w:r>
        <w:t>6.年度检查计划实施情况，年底前是否已报送同级司法行政机关</w:t>
      </w:r>
      <w:r>
        <w:rPr>
          <w:rFonts w:hint="eastAsia"/>
        </w:rPr>
        <w:t>：是</w:t>
      </w:r>
      <w:r>
        <w:t>；</w:t>
      </w:r>
    </w:p>
    <w:p>
      <w:pPr>
        <w:pStyle w:val="5"/>
        <w:ind w:firstLine="632"/>
      </w:pPr>
      <w:r>
        <w:rPr>
          <w:rFonts w:hint="eastAsia"/>
        </w:rPr>
        <w:t>涉企检查备案情况</w:t>
      </w:r>
    </w:p>
    <w:p>
      <w:pPr>
        <w:ind w:firstLine="632"/>
      </w:pPr>
      <w:r>
        <w:t>1.开展的涉及安全领域涉企检查数量</w:t>
      </w:r>
      <w:r>
        <w:rPr>
          <w:rFonts w:hint="eastAsia"/>
        </w:rPr>
        <w:t>：</w:t>
      </w:r>
      <w:r>
        <w:t>0；</w:t>
      </w:r>
    </w:p>
    <w:p>
      <w:pPr>
        <w:ind w:firstLine="632"/>
      </w:pPr>
      <w:r>
        <w:t>2.年度安全领域检查实施情况年底前是否报送同级司法行政机关</w:t>
      </w:r>
      <w:r>
        <w:rPr>
          <w:rFonts w:hint="eastAsia"/>
        </w:rPr>
        <w:t>：是</w:t>
      </w:r>
      <w:r>
        <w:t>；</w:t>
      </w:r>
    </w:p>
    <w:p>
      <w:pPr>
        <w:ind w:firstLine="632"/>
      </w:pPr>
      <w:r>
        <w:t>3.开展的涉及国家、省、市政府部署的专项检查次数</w:t>
      </w:r>
      <w:r>
        <w:rPr>
          <w:rFonts w:hint="eastAsia"/>
        </w:rPr>
        <w:t>：</w:t>
      </w:r>
      <w:r>
        <w:t>0；</w:t>
      </w:r>
    </w:p>
    <w:p>
      <w:pPr>
        <w:ind w:firstLine="632"/>
      </w:pPr>
      <w:r>
        <w:t>4.专项检查结束后30日内，是否及时备案检查有关情况</w:t>
      </w:r>
      <w:r>
        <w:rPr>
          <w:rFonts w:hint="eastAsia"/>
        </w:rPr>
        <w:t>：无</w:t>
      </w:r>
    </w:p>
    <w:p>
      <w:pPr>
        <w:pStyle w:val="5"/>
        <w:ind w:firstLine="632"/>
      </w:pPr>
      <w:r>
        <w:rPr>
          <w:rFonts w:hint="eastAsia"/>
        </w:rPr>
        <w:t>开展行政执法人员培训情况</w:t>
      </w:r>
    </w:p>
    <w:p>
      <w:pPr>
        <w:ind w:firstLine="632"/>
      </w:pPr>
      <w:r>
        <w:t>1.各地区、各部门开展本执法领域专业培训情况</w:t>
      </w:r>
      <w:r>
        <w:rPr>
          <w:rFonts w:hint="eastAsia"/>
        </w:rPr>
        <w:t>：暂未开展</w:t>
      </w:r>
      <w:r>
        <w:t>；</w:t>
      </w:r>
    </w:p>
    <w:p>
      <w:pPr>
        <w:ind w:firstLine="632"/>
      </w:pPr>
      <w:r>
        <w:t>2.各地区、各部门参加执法资格考试培训情况</w:t>
      </w:r>
      <w:r>
        <w:rPr>
          <w:rFonts w:hint="eastAsia"/>
        </w:rPr>
        <w:t>：正在按照市、区司法局要求，积极组织相关人员报名</w:t>
      </w:r>
      <w:r>
        <w:t>；</w:t>
      </w:r>
    </w:p>
    <w:p>
      <w:pPr>
        <w:pStyle w:val="5"/>
        <w:ind w:firstLine="632"/>
      </w:pPr>
      <w:r>
        <w:rPr>
          <w:rFonts w:hint="eastAsia"/>
        </w:rPr>
        <w:t>自由裁量权基准制度建设情况</w:t>
      </w:r>
    </w:p>
    <w:p>
      <w:pPr>
        <w:ind w:firstLine="632"/>
      </w:pPr>
      <w:r>
        <w:t>1.细化裁量权基准数量</w:t>
      </w:r>
      <w:r>
        <w:rPr>
          <w:rFonts w:hint="eastAsia"/>
        </w:rPr>
        <w:t>：</w:t>
      </w:r>
      <w:r>
        <w:t>6；</w:t>
      </w:r>
    </w:p>
    <w:p>
      <w:pPr>
        <w:ind w:firstLine="632"/>
      </w:pPr>
      <w:r>
        <w:t>2.2020年动态调整情况</w:t>
      </w:r>
      <w:r>
        <w:rPr>
          <w:rFonts w:hint="eastAsia"/>
        </w:rPr>
        <w:t>：对内容进行更新，并在区司法局报备，在区政府网站进行公开</w:t>
      </w:r>
      <w:r>
        <w:t>；</w:t>
      </w:r>
    </w:p>
    <w:p>
      <w:pPr>
        <w:pStyle w:val="5"/>
        <w:ind w:firstLine="632"/>
      </w:pPr>
      <w:r>
        <w:rPr>
          <w:rFonts w:hint="eastAsia"/>
        </w:rPr>
        <w:t>行政执法决定公开情况</w:t>
      </w:r>
    </w:p>
    <w:p>
      <w:pPr>
        <w:ind w:firstLine="632"/>
      </w:pPr>
      <w:r>
        <w:t>1.行政执法决定总数（种类、数据）</w:t>
      </w:r>
      <w:r>
        <w:rPr>
          <w:rFonts w:hint="eastAsia"/>
        </w:rPr>
        <w:t>：</w:t>
      </w:r>
      <w:r>
        <w:t>0；</w:t>
      </w:r>
    </w:p>
    <w:p>
      <w:pPr>
        <w:ind w:firstLine="632"/>
      </w:pPr>
      <w:r>
        <w:t>2.行政许可、行政处罚决定公示公开数据</w:t>
      </w:r>
      <w:r>
        <w:rPr>
          <w:rFonts w:hint="eastAsia"/>
        </w:rPr>
        <w:t>：</w:t>
      </w:r>
      <w:r>
        <w:t>0；</w:t>
      </w:r>
    </w:p>
    <w:p>
      <w:pPr>
        <w:pStyle w:val="5"/>
        <w:ind w:firstLine="632"/>
      </w:pPr>
      <w:r>
        <w:rPr>
          <w:rFonts w:hint="eastAsia"/>
        </w:rPr>
        <w:t>重大行政处罚备案总体情况</w:t>
      </w:r>
    </w:p>
    <w:p>
      <w:pPr>
        <w:ind w:firstLine="632"/>
      </w:pPr>
      <w:r>
        <w:t>1.2020年总体备案数量</w:t>
      </w:r>
      <w:r>
        <w:rPr>
          <w:rFonts w:hint="eastAsia"/>
        </w:rPr>
        <w:t>：</w:t>
      </w:r>
      <w:r>
        <w:t>0；</w:t>
      </w:r>
    </w:p>
    <w:p>
      <w:pPr>
        <w:ind w:firstLine="632"/>
      </w:pPr>
      <w:r>
        <w:t>2.涉企重大处罚数量</w:t>
      </w:r>
      <w:r>
        <w:rPr>
          <w:rFonts w:hint="eastAsia"/>
        </w:rPr>
        <w:t>：</w:t>
      </w:r>
      <w:r>
        <w:t>0；</w:t>
      </w:r>
    </w:p>
    <w:p>
      <w:pPr>
        <w:ind w:firstLine="632"/>
      </w:pPr>
      <w:r>
        <w:t>3.提出备案建议数量</w:t>
      </w:r>
      <w:r>
        <w:rPr>
          <w:rFonts w:hint="eastAsia"/>
        </w:rPr>
        <w:t>：</w:t>
      </w:r>
      <w:r>
        <w:t>0；</w:t>
      </w:r>
    </w:p>
    <w:p>
      <w:pPr>
        <w:pStyle w:val="5"/>
        <w:ind w:firstLine="632"/>
      </w:pPr>
      <w:r>
        <w:rPr>
          <w:rFonts w:hint="eastAsia"/>
        </w:rPr>
        <w:t>行政执法音像记录设备配备情况</w:t>
      </w:r>
    </w:p>
    <w:p>
      <w:pPr>
        <w:ind w:firstLine="632"/>
      </w:pPr>
      <w:r>
        <w:t>1.行政执法音像记录设备与行政执法人员配备比例</w:t>
      </w:r>
      <w:r>
        <w:rPr>
          <w:rFonts w:hint="eastAsia"/>
        </w:rPr>
        <w:t>：</w:t>
      </w:r>
      <w:r>
        <w:t>1</w:t>
      </w:r>
      <w:r>
        <w:rPr>
          <w:rFonts w:hint="eastAsia"/>
        </w:rPr>
        <w:t>:</w:t>
      </w:r>
      <w:r>
        <w:t>3；</w:t>
      </w:r>
    </w:p>
    <w:p>
      <w:pPr>
        <w:ind w:firstLine="632"/>
      </w:pPr>
      <w:r>
        <w:t>2.固定场所记录设备配备情况</w:t>
      </w:r>
      <w:r>
        <w:rPr>
          <w:rFonts w:hint="eastAsia"/>
        </w:rPr>
        <w:t>：无</w:t>
      </w:r>
      <w:r>
        <w:t>；</w:t>
      </w:r>
    </w:p>
    <w:p>
      <w:pPr>
        <w:ind w:firstLine="632"/>
      </w:pPr>
      <w:r>
        <w:t>3.将音像设备采购纳入预算情况</w:t>
      </w:r>
      <w:r>
        <w:rPr>
          <w:rFonts w:hint="eastAsia"/>
        </w:rPr>
        <w:t>：已配备达标，无需另行采购</w:t>
      </w:r>
      <w:r>
        <w:t>；</w:t>
      </w:r>
    </w:p>
    <w:p>
      <w:pPr>
        <w:pStyle w:val="5"/>
        <w:ind w:firstLine="632"/>
      </w:pPr>
      <w:r>
        <w:rPr>
          <w:rFonts w:hint="eastAsia"/>
        </w:rPr>
        <w:t>落实行政执法责任制情况</w:t>
      </w:r>
    </w:p>
    <w:p>
      <w:pPr>
        <w:ind w:firstLine="632"/>
        <w:rPr>
          <w:rFonts w:hint="eastAsia"/>
        </w:rPr>
      </w:pPr>
      <w:r>
        <w:rPr>
          <w:rFonts w:hint="eastAsia"/>
        </w:rPr>
        <w:t>已落实。出台了《沈阳市浑南区工业和信息化局行政执法责任制规定》并认真执行。</w:t>
      </w:r>
    </w:p>
    <w:p>
      <w:pPr>
        <w:pStyle w:val="28"/>
        <w:ind w:left="3790"/>
      </w:pPr>
      <w:r>
        <w:br w:type="textWrapping"/>
      </w:r>
      <w:r>
        <w:fldChar w:fldCharType="begin"/>
      </w:r>
      <w:r>
        <w:instrText xml:space="preserve"> DOCPROPERTY  Company  \* MERGEFORMAT </w:instrText>
      </w:r>
      <w:r>
        <w:fldChar w:fldCharType="separate"/>
      </w:r>
      <w:r>
        <w:t>沈阳市浑南区工业和信息化局</w:t>
      </w:r>
      <w:r>
        <w:fldChar w:fldCharType="end"/>
      </w:r>
    </w:p>
    <w:p>
      <w:pPr>
        <w:pStyle w:val="29"/>
        <w:ind w:left="3790" w:right="1263"/>
      </w:pPr>
      <w:sdt>
        <w:sdtPr>
          <w:rPr>
            <w:rFonts w:hint="eastAsia"/>
          </w:rPr>
          <w:alias w:val="发布日期"/>
          <w:id w:val="301661323"/>
          <w:placeholder>
            <w:docPart w:val="84340628486442C3BD6FC05E7BE45985"/>
          </w:placeholder>
          <w15:dataBinding w:prefixMappings="xmlns:ns0='http://schemas.microsoft.com/office/2006/coverPageProps' " w:xpath="/ns0:CoverPageProperties[1]/ns0:PublishDate[1]" w:storeItemID="{55AF091B-3C7A-41E3-B477-F2FDAA23CFDA}"/>
          <w:date w:fullDate="2021-01-29T00:00:00Z">
            <w:dateFormat w:val="yyyy年M月d日"/>
            <w:lid w:val="zh-CN"/>
            <w:storeMappedDataAs w:val="datetime"/>
            <w:calendar w:val="gregorian"/>
          </w:date>
        </w:sdtPr>
        <w:sdtEndPr>
          <w:rPr>
            <w:rFonts w:hint="eastAsia"/>
          </w:rPr>
        </w:sdtEndPr>
        <w:sdtContent>
          <w:r>
            <w:rPr>
              <w:rFonts w:hint="eastAsia"/>
            </w:rPr>
            <w:t>2021年1月29日</w:t>
          </w:r>
        </w:sdtContent>
      </w:sdt>
    </w:p>
    <w:p>
      <w:pPr>
        <w:ind w:firstLine="632"/>
      </w:pP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474" w:bottom="1985" w:left="1588" w:header="2098" w:footer="992" w:gutter="0"/>
      <w:cols w:space="425" w:num="1"/>
      <w:titlePg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DC1C0F4-2494-4D86-B166-8FF033D8EFE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20CF633-F03B-44D2-837F-BFCC681DEA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2711C12-2631-4B09-B22E-0E88495EEB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D8F7647-2033-4F40-970D-7E83590904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7ED25CB-A367-4A0D-B283-CFF899C19F8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6" w:fontKey="{1BEE63CE-A088-4D1D-9E1D-DEBCBB072B6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eastAsia="宋体"/>
        <w:sz w:val="28"/>
        <w:szCs w:val="18"/>
      </w:rPr>
      <w:id w:val="2032150289"/>
      <w:docPartObj>
        <w:docPartGallery w:val="AutoText"/>
      </w:docPartObj>
    </w:sdtPr>
    <w:sdtEndPr>
      <w:rPr>
        <w:rFonts w:ascii="宋体" w:eastAsia="宋体"/>
        <w:sz w:val="28"/>
        <w:szCs w:val="18"/>
      </w:rPr>
    </w:sdtEndPr>
    <w:sdtContent>
      <w:p>
        <w:pPr>
          <w:snapToGrid w:val="0"/>
          <w:spacing w:before="120" w:after="120"/>
          <w:ind w:left="320" w:leftChars="100" w:right="320" w:rightChars="100" w:firstLine="0" w:firstLineChars="0"/>
          <w:jc w:val="right"/>
          <w:rPr>
            <w:sz w:val="28"/>
            <w:szCs w:val="18"/>
          </w:rPr>
        </w:pPr>
        <w:r>
          <w:rPr>
            <w:rFonts w:hint="eastAsia" w:ascii="宋体" w:eastAsia="宋体"/>
            <w:sz w:val="28"/>
            <w:szCs w:val="18"/>
          </w:rPr>
          <w:t>—</w:t>
        </w:r>
        <w:r>
          <w:rPr>
            <w:rFonts w:ascii="宋体" w:eastAsia="宋体"/>
            <w:sz w:val="28"/>
            <w:szCs w:val="18"/>
          </w:rPr>
          <w:t xml:space="preserve"> </w:t>
        </w:r>
        <w:r>
          <w:rPr>
            <w:rFonts w:ascii="宋体" w:eastAsia="宋体"/>
            <w:sz w:val="28"/>
            <w:szCs w:val="18"/>
          </w:rPr>
          <w:fldChar w:fldCharType="begin"/>
        </w:r>
        <w:r>
          <w:rPr>
            <w:rFonts w:ascii="宋体" w:eastAsia="宋体"/>
            <w:sz w:val="28"/>
            <w:szCs w:val="18"/>
          </w:rPr>
          <w:instrText xml:space="preserve">PAGE   \* MERGEFORMAT</w:instrText>
        </w:r>
        <w:r>
          <w:rPr>
            <w:rFonts w:ascii="宋体" w:eastAsia="宋体"/>
            <w:sz w:val="28"/>
            <w:szCs w:val="18"/>
          </w:rPr>
          <w:fldChar w:fldCharType="separate"/>
        </w:r>
        <w:r>
          <w:rPr>
            <w:rFonts w:ascii="宋体" w:eastAsia="宋体"/>
            <w:sz w:val="28"/>
            <w:szCs w:val="18"/>
            <w:lang w:val="zh-CN"/>
          </w:rPr>
          <w:t>3</w:t>
        </w:r>
        <w:r>
          <w:rPr>
            <w:rFonts w:ascii="宋体" w:eastAsia="宋体"/>
            <w:sz w:val="28"/>
            <w:szCs w:val="18"/>
          </w:rPr>
          <w:fldChar w:fldCharType="end"/>
        </w:r>
        <w:r>
          <w:rPr>
            <w:rFonts w:ascii="宋体" w:eastAsia="宋体"/>
            <w:sz w:val="28"/>
            <w:szCs w:val="18"/>
          </w:rPr>
          <w:t xml:space="preserve"> </w:t>
        </w:r>
        <w:r>
          <w:rPr>
            <w:rFonts w:hint="eastAsia" w:ascii="宋体" w:eastAsia="宋体"/>
            <w:sz w:val="28"/>
            <w:szCs w:val="1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903565"/>
      <w:docPartObj>
        <w:docPartGallery w:val="AutoText"/>
      </w:docPartObj>
    </w:sdtPr>
    <w:sdtContent>
      <w:p>
        <w:pPr>
          <w:pStyle w:val="15"/>
          <w:spacing w:before="120" w:after="120"/>
          <w:ind w:left="320" w:leftChars="0" w:right="320"/>
          <w:jc w:val="left"/>
        </w:pPr>
        <w:r>
          <w:rPr>
            <w:rFonts w:hint="eastAsia"/>
          </w:rPr>
          <w:t>—</w:t>
        </w:r>
        <w:r>
          <w:t xml:space="preserve"> 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t xml:space="preserve"> </w:t>
        </w:r>
        <w:r>
          <w:rPr>
            <w:rFonts w:hint="eastAsia"/>
          </w:rPr>
          <w:t>—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eastAsia="宋体"/>
        <w:sz w:val="28"/>
        <w:szCs w:val="18"/>
      </w:rPr>
      <w:id w:val="-183444728"/>
      <w:docPartObj>
        <w:docPartGallery w:val="AutoText"/>
      </w:docPartObj>
    </w:sdtPr>
    <w:sdtEndPr>
      <w:rPr>
        <w:rFonts w:ascii="宋体" w:eastAsia="宋体"/>
        <w:sz w:val="28"/>
        <w:szCs w:val="18"/>
      </w:rPr>
    </w:sdtEndPr>
    <w:sdtContent>
      <w:p>
        <w:pPr>
          <w:snapToGrid w:val="0"/>
          <w:spacing w:before="120" w:after="120"/>
          <w:ind w:left="320" w:leftChars="100" w:right="320" w:rightChars="100" w:firstLine="0" w:firstLineChars="0"/>
          <w:jc w:val="right"/>
          <w:rPr>
            <w:sz w:val="28"/>
            <w:szCs w:val="18"/>
          </w:rPr>
        </w:pPr>
        <w:r>
          <w:rPr>
            <w:rFonts w:hint="eastAsia" w:ascii="宋体" w:eastAsia="宋体"/>
            <w:sz w:val="28"/>
            <w:szCs w:val="18"/>
          </w:rPr>
          <w:t>—</w:t>
        </w:r>
        <w:r>
          <w:rPr>
            <w:rFonts w:ascii="宋体" w:eastAsia="宋体"/>
            <w:sz w:val="28"/>
            <w:szCs w:val="18"/>
          </w:rPr>
          <w:t xml:space="preserve"> </w:t>
        </w:r>
        <w:r>
          <w:rPr>
            <w:rFonts w:ascii="宋体" w:eastAsia="宋体"/>
            <w:sz w:val="28"/>
            <w:szCs w:val="18"/>
          </w:rPr>
          <w:fldChar w:fldCharType="begin"/>
        </w:r>
        <w:r>
          <w:rPr>
            <w:rFonts w:ascii="宋体" w:eastAsia="宋体"/>
            <w:sz w:val="28"/>
            <w:szCs w:val="18"/>
          </w:rPr>
          <w:instrText xml:space="preserve">PAGE   \* MERGEFORMAT</w:instrText>
        </w:r>
        <w:r>
          <w:rPr>
            <w:rFonts w:ascii="宋体" w:eastAsia="宋体"/>
            <w:sz w:val="28"/>
            <w:szCs w:val="18"/>
          </w:rPr>
          <w:fldChar w:fldCharType="separate"/>
        </w:r>
        <w:r>
          <w:rPr>
            <w:rFonts w:ascii="宋体" w:eastAsia="宋体"/>
            <w:sz w:val="28"/>
            <w:szCs w:val="18"/>
            <w:lang w:val="zh-CN"/>
          </w:rPr>
          <w:t>1</w:t>
        </w:r>
        <w:r>
          <w:rPr>
            <w:rFonts w:ascii="宋体" w:eastAsia="宋体"/>
            <w:sz w:val="28"/>
            <w:szCs w:val="18"/>
          </w:rPr>
          <w:fldChar w:fldCharType="end"/>
        </w:r>
        <w:r>
          <w:rPr>
            <w:rFonts w:ascii="宋体" w:eastAsia="宋体"/>
            <w:sz w:val="28"/>
            <w:szCs w:val="18"/>
          </w:rPr>
          <w:t xml:space="preserve"> </w:t>
        </w:r>
        <w:r>
          <w:rPr>
            <w:rFonts w:hint="eastAsia" w:ascii="宋体" w:eastAsia="宋体"/>
            <w:sz w:val="28"/>
            <w:szCs w:val="18"/>
          </w:rPr>
          <w:t>—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C7B1B"/>
    <w:multiLevelType w:val="multilevel"/>
    <w:tmpl w:val="0F4C7B1B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851" w:hanging="851"/>
      </w:pPr>
      <w:rPr>
        <w:rFonts w:hint="eastAsia" w:ascii="黑体" w:hAnsi="黑体" w:eastAsia="黑体" w:cs="黑体"/>
        <w:b w:val="0"/>
        <w:i w:val="0"/>
        <w:caps w:val="0"/>
        <w:smallCaps w:val="0"/>
        <w:strike w:val="0"/>
        <w:dstrike w:val="0"/>
        <w:vanish w:val="0"/>
        <w:sz w:val="32"/>
        <w:szCs w:val="32"/>
        <w:vertAlign w:val="baseline"/>
      </w:rPr>
    </w:lvl>
    <w:lvl w:ilvl="1" w:tentative="0">
      <w:start w:val="1"/>
      <w:numFmt w:val="chineseCountingThousand"/>
      <w:pStyle w:val="5"/>
      <w:suff w:val="nothing"/>
      <w:lvlText w:val="（%2）"/>
      <w:lvlJc w:val="left"/>
      <w:pPr>
        <w:ind w:left="1021" w:hanging="1021"/>
      </w:pPr>
      <w:rPr>
        <w:rFonts w:hint="eastAsia" w:ascii="楷体" w:hAnsi="楷体" w:eastAsia="楷体" w:cs="楷体"/>
        <w:b w:val="0"/>
        <w:i w:val="0"/>
        <w:caps w:val="0"/>
        <w:smallCaps w:val="0"/>
        <w:strike w:val="0"/>
        <w:dstrike w:val="0"/>
        <w:vanish w:val="0"/>
        <w:sz w:val="32"/>
        <w:szCs w:val="32"/>
        <w:vertAlign w:val="baseline"/>
      </w:rPr>
    </w:lvl>
    <w:lvl w:ilvl="2" w:tentative="0">
      <w:start w:val="1"/>
      <w:numFmt w:val="decimal"/>
      <w:pStyle w:val="6"/>
      <w:suff w:val="nothing"/>
      <w:lvlText w:val="%3."/>
      <w:lvlJc w:val="left"/>
      <w:pPr>
        <w:ind w:left="454" w:hanging="454"/>
      </w:pPr>
      <w:rPr>
        <w:rFonts w:hint="eastAsia" w:ascii="仿宋" w:hAnsi="仿宋" w:eastAsia="仿宋" w:cs="仿宋"/>
        <w:b w:val="0"/>
        <w:i w:val="0"/>
        <w:caps w:val="0"/>
        <w:smallCaps w:val="0"/>
        <w:strike w:val="0"/>
        <w:dstrike w:val="0"/>
        <w:vanish w:val="0"/>
        <w:sz w:val="32"/>
        <w:szCs w:val="32"/>
        <w:u w:val="none"/>
        <w:vertAlign w:val="baseline"/>
      </w:rPr>
    </w:lvl>
    <w:lvl w:ilvl="3" w:tentative="0">
      <w:start w:val="1"/>
      <w:numFmt w:val="decimal"/>
      <w:pStyle w:val="7"/>
      <w:suff w:val="nothing"/>
      <w:lvlText w:val="（%4）"/>
      <w:lvlJc w:val="left"/>
      <w:pPr>
        <w:ind w:left="851" w:hanging="851"/>
      </w:pPr>
      <w:rPr>
        <w:rFonts w:hint="eastAsia" w:ascii="仿宋" w:eastAsia="仿宋"/>
        <w:b w:val="0"/>
        <w:i w:val="0"/>
        <w:caps w:val="0"/>
        <w:smallCaps w:val="0"/>
        <w:strike w:val="0"/>
        <w:dstrike w:val="0"/>
        <w:vanish w:val="0"/>
        <w:sz w:val="32"/>
        <w:vertAlign w:val="baseline"/>
      </w:rPr>
    </w:lvl>
    <w:lvl w:ilvl="4" w:tentative="0">
      <w:start w:val="1"/>
      <w:numFmt w:val="lowerLetter"/>
      <w:pStyle w:val="8"/>
      <w:suff w:val="nothing"/>
      <w:lvlText w:val="%5."/>
      <w:lvlJc w:val="left"/>
      <w:pPr>
        <w:ind w:left="851" w:hanging="851"/>
      </w:pPr>
      <w:rPr>
        <w:rFonts w:hint="eastAsia"/>
      </w:rPr>
    </w:lvl>
    <w:lvl w:ilvl="5" w:tentative="0">
      <w:start w:val="1"/>
      <w:numFmt w:val="lowerLetter"/>
      <w:pStyle w:val="9"/>
      <w:suff w:val="nothing"/>
      <w:lvlText w:val="(%6)"/>
      <w:lvlJc w:val="left"/>
      <w:pPr>
        <w:ind w:left="851" w:hanging="851"/>
      </w:pPr>
      <w:rPr>
        <w:rFonts w:hint="eastAsia"/>
      </w:rPr>
    </w:lvl>
    <w:lvl w:ilvl="6" w:tentative="0">
      <w:start w:val="1"/>
      <w:numFmt w:val="upperRoman"/>
      <w:pStyle w:val="10"/>
      <w:suff w:val="nothing"/>
      <w:lvlText w:val="%7."/>
      <w:lvlJc w:val="left"/>
      <w:pPr>
        <w:ind w:left="851" w:hanging="851"/>
      </w:pPr>
      <w:rPr>
        <w:rFonts w:hint="eastAsia"/>
      </w:rPr>
    </w:lvl>
    <w:lvl w:ilvl="7" w:tentative="0">
      <w:start w:val="1"/>
      <w:numFmt w:val="lowerRoman"/>
      <w:pStyle w:val="11"/>
      <w:suff w:val="nothing"/>
      <w:lvlText w:val="%8."/>
      <w:lvlJc w:val="left"/>
      <w:pPr>
        <w:ind w:left="851" w:hanging="851"/>
      </w:pPr>
      <w:rPr>
        <w:rFonts w:hint="eastAsia"/>
      </w:rPr>
    </w:lvl>
    <w:lvl w:ilvl="8" w:tentative="0">
      <w:start w:val="1"/>
      <w:numFmt w:val="lowerRoman"/>
      <w:pStyle w:val="12"/>
      <w:suff w:val="nothing"/>
      <w:lvlText w:val="(%9)"/>
      <w:lvlJc w:val="left"/>
      <w:pPr>
        <w:ind w:left="851" w:hanging="851"/>
      </w:pPr>
      <w:rPr>
        <w:rFonts w:hint="eastAsia"/>
      </w:rPr>
    </w:lvl>
  </w:abstractNum>
  <w:abstractNum w:abstractNumId="1">
    <w:nsid w:val="21B00750"/>
    <w:multiLevelType w:val="multilevel"/>
    <w:tmpl w:val="21B00750"/>
    <w:lvl w:ilvl="0" w:tentative="0">
      <w:start w:val="1"/>
      <w:numFmt w:val="decimal"/>
      <w:pStyle w:val="51"/>
      <w:suff w:val="nothing"/>
      <w:lvlText w:val="%1."/>
      <w:lvlJc w:val="left"/>
      <w:pPr>
        <w:ind w:left="0" w:firstLine="635"/>
      </w:pPr>
      <w:rPr>
        <w:rFonts w:hint="eastAsia" w:ascii="仿宋" w:eastAsia="仿宋"/>
        <w:b w:val="0"/>
        <w:i w:val="0"/>
        <w:sz w:val="32"/>
      </w:rPr>
    </w:lvl>
    <w:lvl w:ilvl="1" w:tentative="0">
      <w:start w:val="1"/>
      <w:numFmt w:val="lowerLetter"/>
      <w:lvlText w:val="%2)"/>
      <w:lvlJc w:val="left"/>
      <w:pPr>
        <w:ind w:left="1472" w:hanging="420"/>
      </w:pPr>
    </w:lvl>
    <w:lvl w:ilvl="2" w:tentative="0">
      <w:start w:val="1"/>
      <w:numFmt w:val="lowerRoman"/>
      <w:lvlText w:val="%3."/>
      <w:lvlJc w:val="right"/>
      <w:pPr>
        <w:ind w:left="1892" w:hanging="420"/>
      </w:pPr>
    </w:lvl>
    <w:lvl w:ilvl="3" w:tentative="0">
      <w:start w:val="1"/>
      <w:numFmt w:val="decimal"/>
      <w:lvlText w:val="%4."/>
      <w:lvlJc w:val="left"/>
      <w:pPr>
        <w:ind w:left="2312" w:hanging="420"/>
      </w:pPr>
    </w:lvl>
    <w:lvl w:ilvl="4" w:tentative="0">
      <w:start w:val="1"/>
      <w:numFmt w:val="lowerLetter"/>
      <w:lvlText w:val="%5)"/>
      <w:lvlJc w:val="left"/>
      <w:pPr>
        <w:ind w:left="2732" w:hanging="420"/>
      </w:pPr>
    </w:lvl>
    <w:lvl w:ilvl="5" w:tentative="0">
      <w:start w:val="1"/>
      <w:numFmt w:val="lowerRoman"/>
      <w:lvlText w:val="%6."/>
      <w:lvlJc w:val="right"/>
      <w:pPr>
        <w:ind w:left="3152" w:hanging="420"/>
      </w:pPr>
    </w:lvl>
    <w:lvl w:ilvl="6" w:tentative="0">
      <w:start w:val="1"/>
      <w:numFmt w:val="decimal"/>
      <w:lvlText w:val="%7."/>
      <w:lvlJc w:val="left"/>
      <w:pPr>
        <w:ind w:left="3572" w:hanging="420"/>
      </w:pPr>
    </w:lvl>
    <w:lvl w:ilvl="7" w:tentative="0">
      <w:start w:val="1"/>
      <w:numFmt w:val="lowerLetter"/>
      <w:lvlText w:val="%8)"/>
      <w:lvlJc w:val="left"/>
      <w:pPr>
        <w:ind w:left="3992" w:hanging="420"/>
      </w:pPr>
    </w:lvl>
    <w:lvl w:ilvl="8" w:tentative="0">
      <w:start w:val="1"/>
      <w:numFmt w:val="lowerRoman"/>
      <w:lvlText w:val="%9."/>
      <w:lvlJc w:val="right"/>
      <w:pPr>
        <w:ind w:left="44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stylePaneFormatFilter w:val="B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1"/>
  <w:attachedTemplate r:id="rId1"/>
  <w:documentProtection w:enforcement="0"/>
  <w:defaultTabStop w:val="319"/>
  <w:evenAndOddHeaders w:val="1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6"/>
    <w:rsid w:val="000018D0"/>
    <w:rsid w:val="00006063"/>
    <w:rsid w:val="0001277F"/>
    <w:rsid w:val="00012F28"/>
    <w:rsid w:val="00012F6E"/>
    <w:rsid w:val="000202A4"/>
    <w:rsid w:val="0004389F"/>
    <w:rsid w:val="0004408F"/>
    <w:rsid w:val="0005268B"/>
    <w:rsid w:val="000562F9"/>
    <w:rsid w:val="00060C7E"/>
    <w:rsid w:val="0006512F"/>
    <w:rsid w:val="00071EE0"/>
    <w:rsid w:val="0008036E"/>
    <w:rsid w:val="00085A40"/>
    <w:rsid w:val="00085D2E"/>
    <w:rsid w:val="00086BEC"/>
    <w:rsid w:val="000973CD"/>
    <w:rsid w:val="000A0AE9"/>
    <w:rsid w:val="000B0F06"/>
    <w:rsid w:val="000B16AF"/>
    <w:rsid w:val="000B7AB3"/>
    <w:rsid w:val="000C50F4"/>
    <w:rsid w:val="000D55E2"/>
    <w:rsid w:val="000E10D3"/>
    <w:rsid w:val="000E11A6"/>
    <w:rsid w:val="000E15BA"/>
    <w:rsid w:val="000F3705"/>
    <w:rsid w:val="001050F4"/>
    <w:rsid w:val="0011277D"/>
    <w:rsid w:val="001158D8"/>
    <w:rsid w:val="001171E6"/>
    <w:rsid w:val="00121691"/>
    <w:rsid w:val="00123B3D"/>
    <w:rsid w:val="0012447E"/>
    <w:rsid w:val="0012664A"/>
    <w:rsid w:val="00145E20"/>
    <w:rsid w:val="00163357"/>
    <w:rsid w:val="00166717"/>
    <w:rsid w:val="00170B40"/>
    <w:rsid w:val="0017668E"/>
    <w:rsid w:val="00181EBD"/>
    <w:rsid w:val="00182470"/>
    <w:rsid w:val="00183432"/>
    <w:rsid w:val="001904CA"/>
    <w:rsid w:val="00193324"/>
    <w:rsid w:val="001935F0"/>
    <w:rsid w:val="001A2AC9"/>
    <w:rsid w:val="001A2F88"/>
    <w:rsid w:val="001B1A9D"/>
    <w:rsid w:val="001B6F0A"/>
    <w:rsid w:val="001B6F17"/>
    <w:rsid w:val="001C54B5"/>
    <w:rsid w:val="001C6158"/>
    <w:rsid w:val="001D1EAF"/>
    <w:rsid w:val="001D285A"/>
    <w:rsid w:val="001D4455"/>
    <w:rsid w:val="001E2EA4"/>
    <w:rsid w:val="001E733F"/>
    <w:rsid w:val="001E7BF5"/>
    <w:rsid w:val="001F29A3"/>
    <w:rsid w:val="001F2F39"/>
    <w:rsid w:val="00204907"/>
    <w:rsid w:val="00211E17"/>
    <w:rsid w:val="00213AAA"/>
    <w:rsid w:val="0021430B"/>
    <w:rsid w:val="00214A49"/>
    <w:rsid w:val="002254E9"/>
    <w:rsid w:val="00231C8A"/>
    <w:rsid w:val="0023312F"/>
    <w:rsid w:val="002338ED"/>
    <w:rsid w:val="002341A8"/>
    <w:rsid w:val="002414D4"/>
    <w:rsid w:val="0024230B"/>
    <w:rsid w:val="0024284A"/>
    <w:rsid w:val="00245493"/>
    <w:rsid w:val="0025157A"/>
    <w:rsid w:val="00260190"/>
    <w:rsid w:val="00260EEC"/>
    <w:rsid w:val="00260F0D"/>
    <w:rsid w:val="00273480"/>
    <w:rsid w:val="00275DC4"/>
    <w:rsid w:val="00282CAF"/>
    <w:rsid w:val="002852B2"/>
    <w:rsid w:val="002933CA"/>
    <w:rsid w:val="002A3094"/>
    <w:rsid w:val="002A4F36"/>
    <w:rsid w:val="002A795B"/>
    <w:rsid w:val="002B0FE9"/>
    <w:rsid w:val="002B3DFD"/>
    <w:rsid w:val="002B647A"/>
    <w:rsid w:val="002C387E"/>
    <w:rsid w:val="002C464E"/>
    <w:rsid w:val="002C64C3"/>
    <w:rsid w:val="002C7267"/>
    <w:rsid w:val="002D18C8"/>
    <w:rsid w:val="002E1F58"/>
    <w:rsid w:val="002E2A65"/>
    <w:rsid w:val="002E33BA"/>
    <w:rsid w:val="002E37F9"/>
    <w:rsid w:val="002E49A7"/>
    <w:rsid w:val="002E6C09"/>
    <w:rsid w:val="00302010"/>
    <w:rsid w:val="00302B2F"/>
    <w:rsid w:val="003146C8"/>
    <w:rsid w:val="00316929"/>
    <w:rsid w:val="003244A3"/>
    <w:rsid w:val="00324AA8"/>
    <w:rsid w:val="00334080"/>
    <w:rsid w:val="00336D49"/>
    <w:rsid w:val="003414DE"/>
    <w:rsid w:val="003420C7"/>
    <w:rsid w:val="003428C2"/>
    <w:rsid w:val="00346A48"/>
    <w:rsid w:val="00360889"/>
    <w:rsid w:val="00362483"/>
    <w:rsid w:val="00370B5A"/>
    <w:rsid w:val="00371FE9"/>
    <w:rsid w:val="00374DFB"/>
    <w:rsid w:val="003803DC"/>
    <w:rsid w:val="0038081B"/>
    <w:rsid w:val="00383B6E"/>
    <w:rsid w:val="00383D18"/>
    <w:rsid w:val="00387A24"/>
    <w:rsid w:val="00393A1E"/>
    <w:rsid w:val="003951B8"/>
    <w:rsid w:val="00395A5B"/>
    <w:rsid w:val="003B1112"/>
    <w:rsid w:val="003B2384"/>
    <w:rsid w:val="003C06A6"/>
    <w:rsid w:val="003C1FBA"/>
    <w:rsid w:val="003D5EB8"/>
    <w:rsid w:val="003E2E04"/>
    <w:rsid w:val="003F3C43"/>
    <w:rsid w:val="003F770B"/>
    <w:rsid w:val="00410C58"/>
    <w:rsid w:val="00411E2A"/>
    <w:rsid w:val="00421038"/>
    <w:rsid w:val="00421864"/>
    <w:rsid w:val="004245C6"/>
    <w:rsid w:val="004365EB"/>
    <w:rsid w:val="00436771"/>
    <w:rsid w:val="00437DD8"/>
    <w:rsid w:val="00441EB4"/>
    <w:rsid w:val="00462BD6"/>
    <w:rsid w:val="00462FEB"/>
    <w:rsid w:val="00464B0D"/>
    <w:rsid w:val="00467A38"/>
    <w:rsid w:val="00472774"/>
    <w:rsid w:val="00473437"/>
    <w:rsid w:val="00482A40"/>
    <w:rsid w:val="00496DFA"/>
    <w:rsid w:val="004A45E6"/>
    <w:rsid w:val="004B2054"/>
    <w:rsid w:val="004B7A41"/>
    <w:rsid w:val="004C6441"/>
    <w:rsid w:val="004D2C30"/>
    <w:rsid w:val="004D6CAB"/>
    <w:rsid w:val="004F20A8"/>
    <w:rsid w:val="005003B6"/>
    <w:rsid w:val="00502190"/>
    <w:rsid w:val="00505FF7"/>
    <w:rsid w:val="00511888"/>
    <w:rsid w:val="005157AD"/>
    <w:rsid w:val="00520DCC"/>
    <w:rsid w:val="00536301"/>
    <w:rsid w:val="0054029E"/>
    <w:rsid w:val="00544533"/>
    <w:rsid w:val="00556C56"/>
    <w:rsid w:val="00570FE9"/>
    <w:rsid w:val="005864A0"/>
    <w:rsid w:val="00591C67"/>
    <w:rsid w:val="005A210D"/>
    <w:rsid w:val="005A676C"/>
    <w:rsid w:val="005B1867"/>
    <w:rsid w:val="005B4011"/>
    <w:rsid w:val="005E2AB2"/>
    <w:rsid w:val="005E6F73"/>
    <w:rsid w:val="005F3619"/>
    <w:rsid w:val="005F3D7E"/>
    <w:rsid w:val="0060014F"/>
    <w:rsid w:val="00603068"/>
    <w:rsid w:val="00606B03"/>
    <w:rsid w:val="00610C64"/>
    <w:rsid w:val="00614D0E"/>
    <w:rsid w:val="006158E1"/>
    <w:rsid w:val="00620892"/>
    <w:rsid w:val="006219BB"/>
    <w:rsid w:val="00624C0F"/>
    <w:rsid w:val="0062602C"/>
    <w:rsid w:val="006260A7"/>
    <w:rsid w:val="00626E69"/>
    <w:rsid w:val="006275D3"/>
    <w:rsid w:val="00637058"/>
    <w:rsid w:val="00644CD8"/>
    <w:rsid w:val="00656B7C"/>
    <w:rsid w:val="00656FD3"/>
    <w:rsid w:val="00667FFB"/>
    <w:rsid w:val="00681F85"/>
    <w:rsid w:val="0069729F"/>
    <w:rsid w:val="006A70B0"/>
    <w:rsid w:val="006A7418"/>
    <w:rsid w:val="006B7833"/>
    <w:rsid w:val="006C20F0"/>
    <w:rsid w:val="006C5B3A"/>
    <w:rsid w:val="006D3939"/>
    <w:rsid w:val="006D7A99"/>
    <w:rsid w:val="006E2EA2"/>
    <w:rsid w:val="006E30E7"/>
    <w:rsid w:val="006F086D"/>
    <w:rsid w:val="006F13F0"/>
    <w:rsid w:val="006F3024"/>
    <w:rsid w:val="006F3133"/>
    <w:rsid w:val="007007E4"/>
    <w:rsid w:val="0070299A"/>
    <w:rsid w:val="00703786"/>
    <w:rsid w:val="00705635"/>
    <w:rsid w:val="0070577B"/>
    <w:rsid w:val="00712AB5"/>
    <w:rsid w:val="00714313"/>
    <w:rsid w:val="007145E8"/>
    <w:rsid w:val="00722115"/>
    <w:rsid w:val="00722422"/>
    <w:rsid w:val="00722F79"/>
    <w:rsid w:val="0072342E"/>
    <w:rsid w:val="00724FDD"/>
    <w:rsid w:val="007304A6"/>
    <w:rsid w:val="00751586"/>
    <w:rsid w:val="00751E28"/>
    <w:rsid w:val="0075288B"/>
    <w:rsid w:val="007529F4"/>
    <w:rsid w:val="0075353F"/>
    <w:rsid w:val="00754C5A"/>
    <w:rsid w:val="007562DA"/>
    <w:rsid w:val="00766EDF"/>
    <w:rsid w:val="00771DE3"/>
    <w:rsid w:val="00773E69"/>
    <w:rsid w:val="00780EAB"/>
    <w:rsid w:val="0078165A"/>
    <w:rsid w:val="00782664"/>
    <w:rsid w:val="00782B76"/>
    <w:rsid w:val="00782F9C"/>
    <w:rsid w:val="00786539"/>
    <w:rsid w:val="00792DD6"/>
    <w:rsid w:val="0079346A"/>
    <w:rsid w:val="00793F09"/>
    <w:rsid w:val="0079558F"/>
    <w:rsid w:val="007A3DF7"/>
    <w:rsid w:val="007A4766"/>
    <w:rsid w:val="007C5917"/>
    <w:rsid w:val="007D10DF"/>
    <w:rsid w:val="007E6C17"/>
    <w:rsid w:val="007F1727"/>
    <w:rsid w:val="007F1CFC"/>
    <w:rsid w:val="007F3F2B"/>
    <w:rsid w:val="008017E5"/>
    <w:rsid w:val="00802987"/>
    <w:rsid w:val="0082256C"/>
    <w:rsid w:val="00822DC5"/>
    <w:rsid w:val="0082384B"/>
    <w:rsid w:val="00823AB9"/>
    <w:rsid w:val="008252A9"/>
    <w:rsid w:val="00826FD9"/>
    <w:rsid w:val="00834F22"/>
    <w:rsid w:val="00835AAE"/>
    <w:rsid w:val="008447A5"/>
    <w:rsid w:val="00846357"/>
    <w:rsid w:val="0084659F"/>
    <w:rsid w:val="00847372"/>
    <w:rsid w:val="00847FF3"/>
    <w:rsid w:val="00861629"/>
    <w:rsid w:val="00864B14"/>
    <w:rsid w:val="00864C5F"/>
    <w:rsid w:val="00866EC6"/>
    <w:rsid w:val="0087608C"/>
    <w:rsid w:val="00883C00"/>
    <w:rsid w:val="00885AAB"/>
    <w:rsid w:val="008962C7"/>
    <w:rsid w:val="00896CB3"/>
    <w:rsid w:val="008A0C78"/>
    <w:rsid w:val="008A4B62"/>
    <w:rsid w:val="008A531D"/>
    <w:rsid w:val="008A6AB0"/>
    <w:rsid w:val="008B1983"/>
    <w:rsid w:val="008B65E8"/>
    <w:rsid w:val="008C1C34"/>
    <w:rsid w:val="008C5126"/>
    <w:rsid w:val="008D0419"/>
    <w:rsid w:val="008D5093"/>
    <w:rsid w:val="008E0B09"/>
    <w:rsid w:val="008E0B6A"/>
    <w:rsid w:val="008F78A5"/>
    <w:rsid w:val="00905708"/>
    <w:rsid w:val="00906897"/>
    <w:rsid w:val="0091422D"/>
    <w:rsid w:val="009236F1"/>
    <w:rsid w:val="009246E7"/>
    <w:rsid w:val="00931881"/>
    <w:rsid w:val="00933DB7"/>
    <w:rsid w:val="00950247"/>
    <w:rsid w:val="00951CAC"/>
    <w:rsid w:val="00953CBF"/>
    <w:rsid w:val="009546D2"/>
    <w:rsid w:val="009666F7"/>
    <w:rsid w:val="00966E24"/>
    <w:rsid w:val="00967F13"/>
    <w:rsid w:val="00977E1D"/>
    <w:rsid w:val="00980481"/>
    <w:rsid w:val="0098577D"/>
    <w:rsid w:val="0098604B"/>
    <w:rsid w:val="00986617"/>
    <w:rsid w:val="00993366"/>
    <w:rsid w:val="00994C33"/>
    <w:rsid w:val="009A40F6"/>
    <w:rsid w:val="009C4B05"/>
    <w:rsid w:val="009D0229"/>
    <w:rsid w:val="009D24DE"/>
    <w:rsid w:val="009D707C"/>
    <w:rsid w:val="009E40B6"/>
    <w:rsid w:val="009F106D"/>
    <w:rsid w:val="009F1942"/>
    <w:rsid w:val="009F437C"/>
    <w:rsid w:val="009F4C21"/>
    <w:rsid w:val="009F6655"/>
    <w:rsid w:val="009F77A3"/>
    <w:rsid w:val="009F7BAC"/>
    <w:rsid w:val="00A072F2"/>
    <w:rsid w:val="00A12C6F"/>
    <w:rsid w:val="00A16248"/>
    <w:rsid w:val="00A17F98"/>
    <w:rsid w:val="00A2722B"/>
    <w:rsid w:val="00A34DCD"/>
    <w:rsid w:val="00A41CDF"/>
    <w:rsid w:val="00A501E3"/>
    <w:rsid w:val="00A528A2"/>
    <w:rsid w:val="00A55F3C"/>
    <w:rsid w:val="00A56294"/>
    <w:rsid w:val="00A62417"/>
    <w:rsid w:val="00A73F47"/>
    <w:rsid w:val="00A858D1"/>
    <w:rsid w:val="00A90BAC"/>
    <w:rsid w:val="00A94A0A"/>
    <w:rsid w:val="00A9638B"/>
    <w:rsid w:val="00AA7147"/>
    <w:rsid w:val="00AA7260"/>
    <w:rsid w:val="00AB59EE"/>
    <w:rsid w:val="00AC26EF"/>
    <w:rsid w:val="00AC5717"/>
    <w:rsid w:val="00AC77F7"/>
    <w:rsid w:val="00AD1EA5"/>
    <w:rsid w:val="00AE10A6"/>
    <w:rsid w:val="00AE1D2A"/>
    <w:rsid w:val="00AE2AC8"/>
    <w:rsid w:val="00AE5DF8"/>
    <w:rsid w:val="00AF30E5"/>
    <w:rsid w:val="00B07E80"/>
    <w:rsid w:val="00B120CF"/>
    <w:rsid w:val="00B122F6"/>
    <w:rsid w:val="00B13100"/>
    <w:rsid w:val="00B1668E"/>
    <w:rsid w:val="00B20A13"/>
    <w:rsid w:val="00B20D00"/>
    <w:rsid w:val="00B2120C"/>
    <w:rsid w:val="00B22A5F"/>
    <w:rsid w:val="00B41722"/>
    <w:rsid w:val="00B41E57"/>
    <w:rsid w:val="00B45CAB"/>
    <w:rsid w:val="00B46859"/>
    <w:rsid w:val="00B469FB"/>
    <w:rsid w:val="00B50361"/>
    <w:rsid w:val="00B51375"/>
    <w:rsid w:val="00B528A0"/>
    <w:rsid w:val="00B53D70"/>
    <w:rsid w:val="00B62B13"/>
    <w:rsid w:val="00B639CE"/>
    <w:rsid w:val="00B63F4D"/>
    <w:rsid w:val="00B63FD4"/>
    <w:rsid w:val="00B64BB3"/>
    <w:rsid w:val="00B65837"/>
    <w:rsid w:val="00B73943"/>
    <w:rsid w:val="00B902DD"/>
    <w:rsid w:val="00B9540B"/>
    <w:rsid w:val="00BB0C3A"/>
    <w:rsid w:val="00BC105C"/>
    <w:rsid w:val="00BD443F"/>
    <w:rsid w:val="00BF25D7"/>
    <w:rsid w:val="00BF3834"/>
    <w:rsid w:val="00BF3CAF"/>
    <w:rsid w:val="00BF461F"/>
    <w:rsid w:val="00C02061"/>
    <w:rsid w:val="00C0570E"/>
    <w:rsid w:val="00C06433"/>
    <w:rsid w:val="00C07256"/>
    <w:rsid w:val="00C15B79"/>
    <w:rsid w:val="00C161F9"/>
    <w:rsid w:val="00C16E16"/>
    <w:rsid w:val="00C21C2F"/>
    <w:rsid w:val="00C3038A"/>
    <w:rsid w:val="00C34109"/>
    <w:rsid w:val="00C35B55"/>
    <w:rsid w:val="00C447EF"/>
    <w:rsid w:val="00C46B2F"/>
    <w:rsid w:val="00C5040A"/>
    <w:rsid w:val="00C510FD"/>
    <w:rsid w:val="00C57535"/>
    <w:rsid w:val="00C6524E"/>
    <w:rsid w:val="00C660BE"/>
    <w:rsid w:val="00C674AC"/>
    <w:rsid w:val="00C67EEE"/>
    <w:rsid w:val="00C720FE"/>
    <w:rsid w:val="00C77450"/>
    <w:rsid w:val="00C77729"/>
    <w:rsid w:val="00C77C02"/>
    <w:rsid w:val="00C77FAC"/>
    <w:rsid w:val="00C814FD"/>
    <w:rsid w:val="00C83D56"/>
    <w:rsid w:val="00C844B8"/>
    <w:rsid w:val="00C85EC0"/>
    <w:rsid w:val="00C87760"/>
    <w:rsid w:val="00C95C6D"/>
    <w:rsid w:val="00C95EA7"/>
    <w:rsid w:val="00C96D12"/>
    <w:rsid w:val="00CA10A5"/>
    <w:rsid w:val="00CA15D9"/>
    <w:rsid w:val="00CA1AF9"/>
    <w:rsid w:val="00CA3EDA"/>
    <w:rsid w:val="00CA4ED8"/>
    <w:rsid w:val="00CB0B6C"/>
    <w:rsid w:val="00CB0FA3"/>
    <w:rsid w:val="00CB3D56"/>
    <w:rsid w:val="00CB487D"/>
    <w:rsid w:val="00CC552A"/>
    <w:rsid w:val="00CD0DDD"/>
    <w:rsid w:val="00CD360E"/>
    <w:rsid w:val="00CE18DC"/>
    <w:rsid w:val="00CE212F"/>
    <w:rsid w:val="00CE4D2A"/>
    <w:rsid w:val="00CE55CB"/>
    <w:rsid w:val="00CE722F"/>
    <w:rsid w:val="00CF0984"/>
    <w:rsid w:val="00CF37CB"/>
    <w:rsid w:val="00CF6742"/>
    <w:rsid w:val="00D04653"/>
    <w:rsid w:val="00D12BE6"/>
    <w:rsid w:val="00D16A1D"/>
    <w:rsid w:val="00D175A1"/>
    <w:rsid w:val="00D232B5"/>
    <w:rsid w:val="00D52401"/>
    <w:rsid w:val="00D56E41"/>
    <w:rsid w:val="00D64167"/>
    <w:rsid w:val="00D66E86"/>
    <w:rsid w:val="00D76CBD"/>
    <w:rsid w:val="00D910F7"/>
    <w:rsid w:val="00D970BE"/>
    <w:rsid w:val="00DA2BAD"/>
    <w:rsid w:val="00DA46E7"/>
    <w:rsid w:val="00DA48BE"/>
    <w:rsid w:val="00DB1A2B"/>
    <w:rsid w:val="00DB21DB"/>
    <w:rsid w:val="00DB6CAB"/>
    <w:rsid w:val="00DB71E4"/>
    <w:rsid w:val="00DC09EC"/>
    <w:rsid w:val="00DC491E"/>
    <w:rsid w:val="00DC7CEE"/>
    <w:rsid w:val="00DD0DCC"/>
    <w:rsid w:val="00DD250B"/>
    <w:rsid w:val="00DD45FD"/>
    <w:rsid w:val="00DD64EF"/>
    <w:rsid w:val="00DE4490"/>
    <w:rsid w:val="00DE5922"/>
    <w:rsid w:val="00DE62FE"/>
    <w:rsid w:val="00DE67E5"/>
    <w:rsid w:val="00DF0B14"/>
    <w:rsid w:val="00DF3DFA"/>
    <w:rsid w:val="00E07750"/>
    <w:rsid w:val="00E23715"/>
    <w:rsid w:val="00E315D7"/>
    <w:rsid w:val="00E349FD"/>
    <w:rsid w:val="00E40253"/>
    <w:rsid w:val="00E43F44"/>
    <w:rsid w:val="00E44777"/>
    <w:rsid w:val="00E44BCC"/>
    <w:rsid w:val="00E51C63"/>
    <w:rsid w:val="00E52AF6"/>
    <w:rsid w:val="00E54244"/>
    <w:rsid w:val="00E62E70"/>
    <w:rsid w:val="00E64987"/>
    <w:rsid w:val="00E655FF"/>
    <w:rsid w:val="00E66E1C"/>
    <w:rsid w:val="00E735F5"/>
    <w:rsid w:val="00E822A0"/>
    <w:rsid w:val="00E8527E"/>
    <w:rsid w:val="00E90F6D"/>
    <w:rsid w:val="00EA017E"/>
    <w:rsid w:val="00EB39B0"/>
    <w:rsid w:val="00EB3FE3"/>
    <w:rsid w:val="00EB6BE4"/>
    <w:rsid w:val="00EE2A55"/>
    <w:rsid w:val="00EE37A6"/>
    <w:rsid w:val="00EF0FD3"/>
    <w:rsid w:val="00F02195"/>
    <w:rsid w:val="00F05205"/>
    <w:rsid w:val="00F063EB"/>
    <w:rsid w:val="00F0729E"/>
    <w:rsid w:val="00F2203D"/>
    <w:rsid w:val="00F22688"/>
    <w:rsid w:val="00F22AB1"/>
    <w:rsid w:val="00F23C5F"/>
    <w:rsid w:val="00F23FB4"/>
    <w:rsid w:val="00F24F3D"/>
    <w:rsid w:val="00F26308"/>
    <w:rsid w:val="00F319C6"/>
    <w:rsid w:val="00F4110C"/>
    <w:rsid w:val="00F4313F"/>
    <w:rsid w:val="00F46C21"/>
    <w:rsid w:val="00F51348"/>
    <w:rsid w:val="00F523E5"/>
    <w:rsid w:val="00F525F4"/>
    <w:rsid w:val="00F6441A"/>
    <w:rsid w:val="00F70876"/>
    <w:rsid w:val="00F77B43"/>
    <w:rsid w:val="00F801A8"/>
    <w:rsid w:val="00F864DF"/>
    <w:rsid w:val="00F93ADC"/>
    <w:rsid w:val="00FA1CC7"/>
    <w:rsid w:val="00FB250E"/>
    <w:rsid w:val="00FB5973"/>
    <w:rsid w:val="00FB7CBA"/>
    <w:rsid w:val="00FD0B71"/>
    <w:rsid w:val="00FD3311"/>
    <w:rsid w:val="00FD678F"/>
    <w:rsid w:val="00FD6805"/>
    <w:rsid w:val="00FE4934"/>
    <w:rsid w:val="00FE5180"/>
    <w:rsid w:val="00FE5431"/>
    <w:rsid w:val="00FE589F"/>
    <w:rsid w:val="00FE7DBF"/>
    <w:rsid w:val="00FF1203"/>
    <w:rsid w:val="00FF3C28"/>
    <w:rsid w:val="00FF3D21"/>
    <w:rsid w:val="00FF6903"/>
    <w:rsid w:val="00FF69B7"/>
    <w:rsid w:val="00FF79BF"/>
    <w:rsid w:val="3FA32F24"/>
    <w:rsid w:val="4E84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name="toc 2"/>
    <w:lsdException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仿宋" w:hAnsi="仿宋" w:eastAsia="仿宋" w:cs="Arial"/>
      <w:kern w:val="32"/>
      <w:sz w:val="32"/>
      <w:szCs w:val="32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numPr>
        <w:ilvl w:val="0"/>
        <w:numId w:val="1"/>
      </w:numPr>
      <w:spacing w:before="0" w:beforeLines="0" w:after="0" w:afterLines="0" w:line="240" w:lineRule="auto"/>
      <w:ind w:left="0" w:firstLine="200" w:firstLineChars="200"/>
      <w:jc w:val="both"/>
    </w:pPr>
    <w:rPr>
      <w:rFonts w:ascii="黑体" w:hAnsi="黑体" w:eastAsia="黑体" w:cs="黑体"/>
      <w:b w:val="0"/>
      <w:bCs w:val="0"/>
      <w:sz w:val="32"/>
      <w:szCs w:val="32"/>
    </w:rPr>
  </w:style>
  <w:style w:type="paragraph" w:styleId="5">
    <w:name w:val="heading 2"/>
    <w:basedOn w:val="2"/>
    <w:next w:val="1"/>
    <w:qFormat/>
    <w:uiPriority w:val="0"/>
    <w:pPr>
      <w:numPr>
        <w:ilvl w:val="1"/>
      </w:numPr>
      <w:ind w:left="0" w:firstLine="200"/>
      <w:outlineLvl w:val="1"/>
    </w:pPr>
    <w:rPr>
      <w:rFonts w:ascii="楷体" w:hAnsi="楷体" w:eastAsia="楷体" w:cs="楷体"/>
    </w:rPr>
  </w:style>
  <w:style w:type="paragraph" w:styleId="6">
    <w:name w:val="heading 3"/>
    <w:basedOn w:val="5"/>
    <w:next w:val="1"/>
    <w:qFormat/>
    <w:uiPriority w:val="0"/>
    <w:pPr>
      <w:numPr>
        <w:ilvl w:val="2"/>
      </w:numPr>
      <w:ind w:left="0" w:firstLine="200"/>
      <w:outlineLvl w:val="2"/>
    </w:pPr>
    <w:rPr>
      <w:rFonts w:ascii="仿宋" w:hAnsi="仿宋" w:eastAsia="仿宋" w:cs="仿宋"/>
      <w:bCs/>
    </w:rPr>
  </w:style>
  <w:style w:type="paragraph" w:styleId="7">
    <w:name w:val="heading 4"/>
    <w:basedOn w:val="6"/>
    <w:next w:val="1"/>
    <w:qFormat/>
    <w:uiPriority w:val="0"/>
    <w:pPr>
      <w:numPr>
        <w:ilvl w:val="3"/>
      </w:numPr>
      <w:ind w:left="0" w:firstLine="200"/>
      <w:outlineLvl w:val="3"/>
    </w:pPr>
    <w:rPr>
      <w:rFonts w:cs="Times New Roman"/>
      <w:bCs w:val="0"/>
    </w:rPr>
  </w:style>
  <w:style w:type="paragraph" w:styleId="8">
    <w:name w:val="heading 5"/>
    <w:basedOn w:val="7"/>
    <w:next w:val="1"/>
    <w:qFormat/>
    <w:uiPriority w:val="0"/>
    <w:pPr>
      <w:numPr>
        <w:ilvl w:val="4"/>
      </w:numPr>
      <w:ind w:left="0" w:firstLine="200"/>
      <w:outlineLvl w:val="4"/>
    </w:pPr>
    <w:rPr>
      <w:bCs/>
    </w:rPr>
  </w:style>
  <w:style w:type="paragraph" w:styleId="9">
    <w:name w:val="heading 6"/>
    <w:basedOn w:val="8"/>
    <w:next w:val="1"/>
    <w:qFormat/>
    <w:uiPriority w:val="0"/>
    <w:pPr>
      <w:numPr>
        <w:ilvl w:val="5"/>
      </w:numPr>
      <w:ind w:left="0" w:firstLine="200"/>
      <w:outlineLvl w:val="5"/>
    </w:pPr>
    <w:rPr>
      <w:bCs w:val="0"/>
    </w:rPr>
  </w:style>
  <w:style w:type="paragraph" w:styleId="10">
    <w:name w:val="heading 7"/>
    <w:basedOn w:val="9"/>
    <w:next w:val="1"/>
    <w:uiPriority w:val="0"/>
    <w:pPr>
      <w:numPr>
        <w:ilvl w:val="6"/>
      </w:numPr>
      <w:ind w:left="0" w:firstLine="200"/>
      <w:outlineLvl w:val="6"/>
    </w:pPr>
    <w:rPr>
      <w:bCs/>
    </w:rPr>
  </w:style>
  <w:style w:type="paragraph" w:styleId="11">
    <w:name w:val="heading 8"/>
    <w:basedOn w:val="10"/>
    <w:next w:val="1"/>
    <w:qFormat/>
    <w:uiPriority w:val="0"/>
    <w:pPr>
      <w:numPr>
        <w:ilvl w:val="7"/>
      </w:numPr>
      <w:ind w:left="0" w:firstLine="200"/>
      <w:outlineLvl w:val="7"/>
    </w:pPr>
  </w:style>
  <w:style w:type="paragraph" w:styleId="12">
    <w:name w:val="heading 9"/>
    <w:basedOn w:val="11"/>
    <w:next w:val="1"/>
    <w:qFormat/>
    <w:uiPriority w:val="0"/>
    <w:pPr>
      <w:numPr>
        <w:ilvl w:val="8"/>
      </w:numPr>
      <w:ind w:left="0" w:firstLine="200"/>
      <w:outlineLvl w:val="8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4"/>
    <w:qFormat/>
    <w:uiPriority w:val="0"/>
    <w:pPr>
      <w:keepNext/>
      <w:keepLines/>
      <w:spacing w:before="579" w:beforeLines="100" w:after="579" w:afterLines="100" w:line="640" w:lineRule="exact"/>
      <w:ind w:firstLine="0" w:firstLineChars="0"/>
      <w:jc w:val="center"/>
      <w:outlineLvl w:val="0"/>
    </w:pPr>
    <w:rPr>
      <w:rFonts w:ascii="宋体" w:hAnsi="宋体" w:eastAsia="宋体"/>
      <w:b/>
      <w:bCs/>
      <w:sz w:val="44"/>
      <w:szCs w:val="44"/>
    </w:rPr>
  </w:style>
  <w:style w:type="paragraph" w:customStyle="1" w:styleId="4">
    <w:name w:val="正文顶格"/>
    <w:basedOn w:val="1"/>
    <w:next w:val="1"/>
    <w:qFormat/>
    <w:uiPriority w:val="0"/>
    <w:pPr>
      <w:ind w:firstLine="0" w:firstLineChars="0"/>
    </w:pPr>
  </w:style>
  <w:style w:type="paragraph" w:styleId="13">
    <w:name w:val="toc 3"/>
    <w:basedOn w:val="1"/>
    <w:next w:val="1"/>
    <w:semiHidden/>
    <w:uiPriority w:val="0"/>
    <w:pPr>
      <w:ind w:left="550" w:leftChars="400" w:hanging="150" w:hangingChars="150"/>
    </w:pPr>
  </w:style>
  <w:style w:type="paragraph" w:styleId="14">
    <w:name w:val="Balloon Text"/>
    <w:basedOn w:val="1"/>
    <w:link w:val="52"/>
    <w:semiHidden/>
    <w:unhideWhenUsed/>
    <w:uiPriority w:val="0"/>
    <w:rPr>
      <w:sz w:val="18"/>
      <w:szCs w:val="18"/>
    </w:rPr>
  </w:style>
  <w:style w:type="paragraph" w:styleId="15">
    <w:name w:val="footer"/>
    <w:basedOn w:val="1"/>
    <w:link w:val="32"/>
    <w:uiPriority w:val="99"/>
    <w:pPr>
      <w:snapToGrid w:val="0"/>
      <w:ind w:left="100" w:leftChars="100" w:right="100" w:rightChars="100" w:firstLine="0" w:firstLineChars="0"/>
      <w:jc w:val="right"/>
    </w:pPr>
    <w:rPr>
      <w:rFonts w:ascii="宋体" w:eastAsia="宋体"/>
      <w:sz w:val="28"/>
      <w:szCs w:val="18"/>
    </w:rPr>
  </w:style>
  <w:style w:type="paragraph" w:styleId="16">
    <w:name w:val="header"/>
    <w:basedOn w:val="1"/>
    <w:uiPriority w:val="0"/>
    <w:pPr>
      <w:snapToGrid w:val="0"/>
      <w:spacing w:line="0" w:lineRule="atLeast"/>
      <w:ind w:firstLine="0" w:firstLineChars="0"/>
      <w:jc w:val="center"/>
    </w:pPr>
    <w:rPr>
      <w:sz w:val="2"/>
      <w:szCs w:val="10"/>
    </w:rPr>
  </w:style>
  <w:style w:type="paragraph" w:styleId="17">
    <w:name w:val="toc 1"/>
    <w:basedOn w:val="1"/>
    <w:next w:val="1"/>
    <w:semiHidden/>
    <w:qFormat/>
    <w:uiPriority w:val="0"/>
    <w:pPr>
      <w:ind w:left="300" w:hanging="300" w:hangingChars="300"/>
    </w:pPr>
  </w:style>
  <w:style w:type="paragraph" w:styleId="18">
    <w:name w:val="Subtitle"/>
    <w:basedOn w:val="3"/>
    <w:next w:val="4"/>
    <w:link w:val="46"/>
    <w:qFormat/>
    <w:uiPriority w:val="0"/>
    <w:pPr>
      <w:spacing w:before="100" w:after="100"/>
    </w:pPr>
    <w:rPr>
      <w:rFonts w:ascii="楷体" w:hAnsi="楷体" w:eastAsia="楷体" w:cs="楷体"/>
      <w:b w:val="0"/>
      <w:bCs w:val="0"/>
      <w:kern w:val="28"/>
      <w:sz w:val="32"/>
      <w:szCs w:val="32"/>
    </w:rPr>
  </w:style>
  <w:style w:type="paragraph" w:styleId="19">
    <w:name w:val="toc 2"/>
    <w:basedOn w:val="1"/>
    <w:next w:val="1"/>
    <w:semiHidden/>
    <w:uiPriority w:val="0"/>
    <w:pPr>
      <w:ind w:left="600" w:leftChars="200" w:hanging="400" w:hangingChars="400"/>
    </w:pPr>
  </w:style>
  <w:style w:type="table" w:styleId="21">
    <w:name w:val="Table Grid"/>
    <w:basedOn w:val="20"/>
    <w:qFormat/>
    <w:uiPriority w:val="0"/>
    <w:pPr>
      <w:jc w:val="center"/>
    </w:pPr>
    <w:rPr>
      <w:sz w:val="24"/>
      <w:szCs w:val="24"/>
    </w:rPr>
    <w:tblPr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rPr>
      <w:jc w:val="center"/>
    </w:trPr>
    <w:tcPr>
      <w:vAlign w:val="center"/>
    </w:tcPr>
    <w:tblStylePr w:type="firstRow">
      <w:pPr>
        <w:jc w:val="center"/>
      </w:pPr>
      <w:rPr>
        <w:rFonts w:ascii="Times New Roman" w:hAnsi="Times New Roman" w:eastAsia="宋体"/>
        <w:b/>
        <w:sz w:val="24"/>
      </w:rPr>
      <w:tblPr>
        <w:tblLayout w:type="fixed"/>
      </w:tblPr>
      <w:trPr>
        <w:tblHeader/>
      </w:trPr>
      <w:tcPr>
        <w:shd w:val="clear" w:color="auto" w:fill="B3B3B3"/>
      </w:tcPr>
    </w:tblStylePr>
    <w:tblStylePr w:type="firstCol">
      <w:pPr>
        <w:jc w:val="center"/>
      </w:pPr>
    </w:tblStylePr>
    <w:tblStylePr w:type="lastCol">
      <w:pPr>
        <w:jc w:val="center"/>
      </w:pPr>
    </w:tblStylePr>
  </w:style>
  <w:style w:type="character" w:styleId="23">
    <w:name w:val="Hyperlink"/>
    <w:uiPriority w:val="0"/>
    <w:rPr>
      <w:color w:val="0000FF"/>
      <w:u w:val="single"/>
    </w:rPr>
  </w:style>
  <w:style w:type="paragraph" w:customStyle="1" w:styleId="24">
    <w:name w:val="对象"/>
    <w:basedOn w:val="1"/>
    <w:uiPriority w:val="0"/>
    <w:pPr>
      <w:keepNext/>
      <w:keepLines/>
      <w:tabs>
        <w:tab w:val="left" w:pos="0"/>
        <w:tab w:val="center" w:pos="4144"/>
        <w:tab w:val="right" w:pos="8288"/>
      </w:tabs>
      <w:adjustRightInd w:val="0"/>
      <w:snapToGrid w:val="0"/>
      <w:ind w:firstLine="0" w:firstLineChars="0"/>
      <w:jc w:val="center"/>
    </w:pPr>
    <w:rPr>
      <w:sz w:val="28"/>
      <w:szCs w:val="21"/>
    </w:rPr>
  </w:style>
  <w:style w:type="paragraph" w:customStyle="1" w:styleId="25">
    <w:name w:val="注释"/>
    <w:basedOn w:val="1"/>
    <w:qFormat/>
    <w:uiPriority w:val="0"/>
    <w:pPr>
      <w:tabs>
        <w:tab w:val="center" w:pos="4424"/>
        <w:tab w:val="right" w:pos="8848"/>
      </w:tabs>
      <w:adjustRightInd w:val="0"/>
      <w:snapToGrid w:val="0"/>
      <w:ind w:left="400" w:hanging="400" w:hangingChars="400"/>
    </w:pPr>
    <w:rPr>
      <w:rFonts w:cs="仿宋"/>
      <w:sz w:val="24"/>
      <w:szCs w:val="24"/>
    </w:rPr>
  </w:style>
  <w:style w:type="paragraph" w:customStyle="1" w:styleId="26">
    <w:name w:val="横版注释"/>
    <w:basedOn w:val="25"/>
    <w:qFormat/>
    <w:uiPriority w:val="0"/>
    <w:pPr>
      <w:tabs>
        <w:tab w:val="center" w:pos="6379"/>
        <w:tab w:val="right" w:pos="12758"/>
        <w:tab w:val="clear" w:pos="4424"/>
        <w:tab w:val="clear" w:pos="8848"/>
      </w:tabs>
      <w:ind w:left="1087" w:hanging="1087"/>
    </w:pPr>
  </w:style>
  <w:style w:type="paragraph" w:customStyle="1" w:styleId="27">
    <w:name w:val="首页页眉"/>
    <w:basedOn w:val="16"/>
    <w:qFormat/>
    <w:uiPriority w:val="0"/>
  </w:style>
  <w:style w:type="paragraph" w:customStyle="1" w:styleId="28">
    <w:name w:val="发文机关署名（加盖印章）"/>
    <w:basedOn w:val="1"/>
    <w:next w:val="29"/>
    <w:qFormat/>
    <w:uiPriority w:val="0"/>
    <w:pPr>
      <w:ind w:left="1200" w:leftChars="1200" w:firstLine="0" w:firstLineChars="0"/>
      <w:jc w:val="center"/>
    </w:pPr>
  </w:style>
  <w:style w:type="paragraph" w:customStyle="1" w:styleId="29">
    <w:name w:val="成文日期（加盖印章）"/>
    <w:basedOn w:val="28"/>
    <w:next w:val="1"/>
    <w:qFormat/>
    <w:uiPriority w:val="0"/>
    <w:pPr>
      <w:ind w:right="400" w:rightChars="400"/>
      <w:jc w:val="right"/>
    </w:pPr>
  </w:style>
  <w:style w:type="paragraph" w:customStyle="1" w:styleId="30">
    <w:name w:val="红头"/>
    <w:basedOn w:val="27"/>
    <w:qFormat/>
    <w:uiPriority w:val="0"/>
    <w:pPr>
      <w:snapToGrid/>
      <w:spacing w:line="1560" w:lineRule="exact"/>
    </w:pPr>
    <w:rPr>
      <w:rFonts w:ascii="方正小标宋简体" w:hAnsi="方正小标宋简体" w:eastAsia="方正小标宋简体" w:cs="Times New Roman"/>
      <w:color w:val="FF0000"/>
      <w:spacing w:val="4"/>
      <w:w w:val="46"/>
      <w:kern w:val="0"/>
      <w:sz w:val="144"/>
      <w:szCs w:val="144"/>
    </w:rPr>
  </w:style>
  <w:style w:type="paragraph" w:customStyle="1" w:styleId="31">
    <w:name w:val="文头"/>
    <w:basedOn w:val="1"/>
    <w:next w:val="3"/>
    <w:qFormat/>
    <w:uiPriority w:val="0"/>
    <w:pPr>
      <w:tabs>
        <w:tab w:val="right" w:pos="8222"/>
      </w:tabs>
      <w:spacing w:before="870" w:beforeLines="200" w:after="217"/>
      <w:ind w:left="320" w:leftChars="100" w:right="320" w:rightChars="100" w:firstLine="0" w:firstLineChars="0"/>
    </w:pPr>
  </w:style>
  <w:style w:type="character" w:customStyle="1" w:styleId="32">
    <w:name w:val="页脚 字符"/>
    <w:basedOn w:val="22"/>
    <w:link w:val="15"/>
    <w:qFormat/>
    <w:uiPriority w:val="99"/>
    <w:rPr>
      <w:rFonts w:ascii="宋体" w:cs="Arial"/>
      <w:sz w:val="28"/>
      <w:szCs w:val="18"/>
    </w:rPr>
  </w:style>
  <w:style w:type="paragraph" w:customStyle="1" w:styleId="33">
    <w:name w:val="附件说明（无编号）"/>
    <w:basedOn w:val="1"/>
    <w:next w:val="28"/>
    <w:qFormat/>
    <w:uiPriority w:val="0"/>
    <w:pPr>
      <w:tabs>
        <w:tab w:val="left" w:pos="1896"/>
      </w:tabs>
      <w:ind w:left="500" w:leftChars="200" w:hanging="300" w:hangingChars="300"/>
    </w:pPr>
  </w:style>
  <w:style w:type="character" w:styleId="34">
    <w:name w:val="Placeholder Text"/>
    <w:basedOn w:val="22"/>
    <w:semiHidden/>
    <w:qFormat/>
    <w:uiPriority w:val="99"/>
    <w:rPr>
      <w:color w:val="808080"/>
    </w:rPr>
  </w:style>
  <w:style w:type="paragraph" w:customStyle="1" w:styleId="35">
    <w:name w:val="文尾"/>
    <w:basedOn w:val="4"/>
    <w:qFormat/>
    <w:uiPriority w:val="0"/>
    <w:pPr>
      <w:pBdr>
        <w:top w:val="single" w:color="auto" w:sz="8" w:space="1"/>
      </w:pBdr>
      <w:tabs>
        <w:tab w:val="left" w:pos="316"/>
        <w:tab w:val="right" w:pos="8532"/>
      </w:tabs>
      <w:kinsoku w:val="0"/>
      <w:overflowPunct w:val="0"/>
      <w:autoSpaceDE w:val="0"/>
      <w:autoSpaceDN w:val="0"/>
      <w:adjustRightInd w:val="0"/>
      <w:snapToGrid w:val="0"/>
      <w:ind w:left="1145" w:hanging="1145" w:hangingChars="415"/>
      <w:jc w:val="left"/>
    </w:pPr>
    <w:rPr>
      <w:sz w:val="28"/>
    </w:rPr>
  </w:style>
  <w:style w:type="paragraph" w:styleId="36">
    <w:name w:val="List Paragraph"/>
    <w:basedOn w:val="1"/>
    <w:qFormat/>
    <w:uiPriority w:val="34"/>
    <w:pPr>
      <w:ind w:firstLine="420"/>
    </w:pPr>
  </w:style>
  <w:style w:type="paragraph" w:customStyle="1" w:styleId="37">
    <w:name w:val="成文日期（短署名，不加盖印章）"/>
    <w:basedOn w:val="38"/>
    <w:next w:val="1"/>
    <w:qFormat/>
    <w:uiPriority w:val="0"/>
    <w:pPr>
      <w:ind w:left="1750" w:leftChars="1750"/>
      <w:jc w:val="center"/>
    </w:pPr>
  </w:style>
  <w:style w:type="paragraph" w:customStyle="1" w:styleId="38">
    <w:name w:val="成文日期（不加盖印章）"/>
    <w:basedOn w:val="29"/>
    <w:next w:val="1"/>
    <w:qFormat/>
    <w:uiPriority w:val="0"/>
    <w:pPr>
      <w:ind w:left="1520" w:leftChars="1520" w:right="200" w:rightChars="200"/>
      <w:jc w:val="both"/>
    </w:pPr>
  </w:style>
  <w:style w:type="paragraph" w:customStyle="1" w:styleId="39">
    <w:name w:val="发文机关署名（短署名，不加盖印章）"/>
    <w:basedOn w:val="40"/>
    <w:next w:val="37"/>
    <w:qFormat/>
    <w:uiPriority w:val="0"/>
    <w:pPr>
      <w:ind w:left="1550" w:leftChars="1550" w:right="0" w:rightChars="0"/>
      <w:jc w:val="both"/>
    </w:pPr>
  </w:style>
  <w:style w:type="paragraph" w:customStyle="1" w:styleId="40">
    <w:name w:val="发文机关署名（不加盖印章）"/>
    <w:basedOn w:val="28"/>
    <w:next w:val="38"/>
    <w:qFormat/>
    <w:uiPriority w:val="0"/>
    <w:pPr>
      <w:ind w:left="0" w:leftChars="0" w:right="200" w:rightChars="200"/>
      <w:jc w:val="right"/>
    </w:pPr>
  </w:style>
  <w:style w:type="paragraph" w:customStyle="1" w:styleId="41">
    <w:name w:val="份号、密级、紧急程度"/>
    <w:basedOn w:val="4"/>
    <w:qFormat/>
    <w:uiPriority w:val="0"/>
    <w:pPr>
      <w:spacing w:after="100" w:afterLines="100"/>
      <w:jc w:val="left"/>
    </w:pPr>
    <w:rPr>
      <w:rFonts w:ascii="黑体" w:hAnsi="黑体" w:eastAsia="黑体" w:cs="黑体"/>
    </w:rPr>
  </w:style>
  <w:style w:type="paragraph" w:customStyle="1" w:styleId="42">
    <w:name w:val="发文字号、签发人"/>
    <w:basedOn w:val="4"/>
    <w:qFormat/>
    <w:uiPriority w:val="0"/>
    <w:pPr>
      <w:pBdr>
        <w:bottom w:val="single" w:color="FF0000" w:sz="18" w:space="1"/>
      </w:pBdr>
      <w:tabs>
        <w:tab w:val="left" w:pos="320"/>
        <w:tab w:val="center" w:pos="4480"/>
        <w:tab w:val="right" w:pos="8640"/>
      </w:tabs>
    </w:pPr>
  </w:style>
  <w:style w:type="paragraph" w:customStyle="1" w:styleId="43">
    <w:name w:val="附件说明（有编号）"/>
    <w:basedOn w:val="33"/>
    <w:qFormat/>
    <w:uiPriority w:val="0"/>
    <w:pPr>
      <w:tabs>
        <w:tab w:val="left" w:pos="1580"/>
      </w:tabs>
      <w:ind w:left="1895" w:hanging="1263" w:hangingChars="400"/>
    </w:pPr>
  </w:style>
  <w:style w:type="paragraph" w:customStyle="1" w:styleId="44">
    <w:name w:val="附件编号"/>
    <w:basedOn w:val="4"/>
    <w:next w:val="1"/>
    <w:qFormat/>
    <w:uiPriority w:val="0"/>
    <w:pPr>
      <w:tabs>
        <w:tab w:val="center" w:pos="4424"/>
      </w:tabs>
    </w:pPr>
    <w:rPr>
      <w:rFonts w:ascii="黑体" w:hAnsi="黑体" w:eastAsia="黑体"/>
    </w:rPr>
  </w:style>
  <w:style w:type="table" w:customStyle="1" w:styleId="45">
    <w:name w:val="Grid Table Light"/>
    <w:basedOn w:val="20"/>
    <w:qFormat/>
    <w:uiPriority w:val="40"/>
    <w:pPr>
      <w:jc w:val="center"/>
    </w:pPr>
    <w:rPr>
      <w:rFonts w:ascii="仿宋" w:hAnsi="仿宋" w:eastAsia="仿宋" w:cs="仿宋"/>
      <w:sz w:val="28"/>
      <w:szCs w:val="28"/>
    </w:rPr>
    <w:tblPr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rPr>
      <w:jc w:val="center"/>
    </w:trPr>
    <w:tcPr>
      <w:tcMar>
        <w:top w:w="0" w:type="dxa"/>
        <w:left w:w="0" w:type="dxa"/>
        <w:bottom w:w="0" w:type="dxa"/>
        <w:right w:w="0" w:type="dxa"/>
      </w:tcMar>
      <w:vAlign w:val="center"/>
    </w:tcPr>
    <w:tblStylePr w:type="firstRow">
      <w:pPr>
        <w:jc w:val="center"/>
      </w:pPr>
      <w:rPr>
        <w:rFonts w:ascii="宋体" w:hAnsi="宋体" w:eastAsia="宋体" w:cs="宋体"/>
        <w:b/>
        <w:sz w:val="28"/>
        <w:szCs w:val="28"/>
      </w:rPr>
      <w:tcPr>
        <w:noWrap/>
      </w:tcPr>
    </w:tblStylePr>
  </w:style>
  <w:style w:type="character" w:customStyle="1" w:styleId="46">
    <w:name w:val="副标题 字符"/>
    <w:basedOn w:val="22"/>
    <w:link w:val="18"/>
    <w:qFormat/>
    <w:uiPriority w:val="0"/>
    <w:rPr>
      <w:rFonts w:ascii="楷体" w:hAnsi="楷体" w:eastAsia="楷体" w:cs="楷体"/>
      <w:kern w:val="28"/>
      <w:sz w:val="32"/>
      <w:szCs w:val="32"/>
    </w:rPr>
  </w:style>
  <w:style w:type="paragraph" w:customStyle="1" w:styleId="47">
    <w:name w:val="发文机关署名（短日期，短署名，不加盖印章）"/>
    <w:basedOn w:val="39"/>
    <w:next w:val="37"/>
    <w:qFormat/>
    <w:uiPriority w:val="0"/>
    <w:pPr>
      <w:ind w:left="1600" w:leftChars="1600"/>
    </w:pPr>
  </w:style>
  <w:style w:type="paragraph" w:customStyle="1" w:styleId="48">
    <w:name w:val="附件名称"/>
    <w:basedOn w:val="44"/>
    <w:next w:val="1"/>
    <w:qFormat/>
    <w:uiPriority w:val="0"/>
    <w:pPr>
      <w:jc w:val="center"/>
    </w:pPr>
    <w:rPr>
      <w:rFonts w:ascii="宋体" w:hAnsi="宋体" w:eastAsia="宋体" w:cs="宋体"/>
      <w:b/>
    </w:rPr>
  </w:style>
  <w:style w:type="table" w:customStyle="1" w:styleId="49">
    <w:name w:val="Grid Table 1 Light"/>
    <w:basedOn w:val="20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0">
    <w:name w:val="附件表格"/>
    <w:basedOn w:val="20"/>
    <w:uiPriority w:val="99"/>
    <w:pPr>
      <w:jc w:val="center"/>
    </w:pPr>
    <w:rPr>
      <w:sz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vAlign w:val="center"/>
    </w:tcPr>
    <w:tblStylePr w:type="firstRow">
      <w:pPr>
        <w:jc w:val="center"/>
      </w:pPr>
      <w:rPr>
        <w:rFonts w:ascii="宋体" w:hAnsi="宋体" w:eastAsia="宋体" w:cs="宋体"/>
        <w:b/>
        <w:sz w:val="28"/>
        <w:szCs w:val="28"/>
      </w:rPr>
    </w:tblStylePr>
    <w:tblStylePr w:type="lastRow">
      <w:rPr>
        <w:rFonts w:ascii="仿宋" w:hAnsi="仿宋" w:eastAsia="仿宋" w:cs="仿宋"/>
        <w:sz w:val="28"/>
        <w:szCs w:val="28"/>
      </w:rPr>
    </w:tblStylePr>
    <w:tblStylePr w:type="firstCol">
      <w:rPr>
        <w:rFonts w:ascii="仿宋" w:hAnsi="仿宋" w:eastAsia="仿宋" w:cs="仿宋"/>
        <w:sz w:val="28"/>
        <w:szCs w:val="28"/>
      </w:rPr>
    </w:tblStylePr>
    <w:tblStylePr w:type="lastCol">
      <w:rPr>
        <w:rFonts w:ascii="仿宋" w:hAnsi="仿宋" w:eastAsia="仿宋" w:cs="仿宋"/>
        <w:sz w:val="28"/>
        <w:szCs w:val="28"/>
      </w:rPr>
    </w:tblStylePr>
    <w:tblStylePr w:type="band1Vert">
      <w:rPr>
        <w:rFonts w:ascii="仿宋" w:hAnsi="仿宋" w:eastAsia="仿宋" w:cs="仿宋"/>
        <w:sz w:val="28"/>
        <w:szCs w:val="28"/>
      </w:rPr>
    </w:tblStylePr>
    <w:tblStylePr w:type="band2Vert">
      <w:rPr>
        <w:rFonts w:ascii="仿宋" w:hAnsi="仿宋" w:eastAsia="仿宋" w:cs="仿宋"/>
        <w:sz w:val="28"/>
        <w:szCs w:val="28"/>
      </w:rPr>
    </w:tblStylePr>
    <w:tblStylePr w:type="band1Horz">
      <w:rPr>
        <w:rFonts w:ascii="仿宋" w:hAnsi="仿宋" w:eastAsia="仿宋" w:cs="仿宋"/>
        <w:sz w:val="28"/>
        <w:szCs w:val="28"/>
      </w:rPr>
    </w:tblStylePr>
    <w:tblStylePr w:type="band2Horz">
      <w:rPr>
        <w:rFonts w:ascii="仿宋" w:hAnsi="仿宋" w:eastAsia="仿宋" w:cs="仿宋"/>
        <w:sz w:val="28"/>
        <w:szCs w:val="28"/>
      </w:rPr>
    </w:tblStylePr>
  </w:style>
  <w:style w:type="paragraph" w:customStyle="1" w:styleId="51">
    <w:name w:val="编号段落"/>
    <w:basedOn w:val="1"/>
    <w:qFormat/>
    <w:uiPriority w:val="0"/>
    <w:pPr>
      <w:numPr>
        <w:ilvl w:val="0"/>
        <w:numId w:val="2"/>
      </w:numPr>
      <w:ind w:firstLine="200"/>
    </w:pPr>
  </w:style>
  <w:style w:type="character" w:customStyle="1" w:styleId="52">
    <w:name w:val="批注框文本 字符"/>
    <w:basedOn w:val="22"/>
    <w:link w:val="14"/>
    <w:semiHidden/>
    <w:qFormat/>
    <w:uiPriority w:val="0"/>
    <w:rPr>
      <w:rFonts w:ascii="仿宋" w:hAnsi="仿宋" w:eastAsia="仿宋" w:cs="Arial"/>
      <w:kern w:val="3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glossaryDocument" Target="glossary/document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T\Documents\&#33258;&#23450;&#20041;%20Office%20&#27169;&#26495;\2020070103-&#31354;&#30333;&#27169;&#26495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84340628486442C3BD6FC05E7BE4598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627BB4F-E567-4DCD-8FCF-77F6EDF01D7E}"/>
      </w:docPartPr>
      <w:docPartBody>
        <w:p>
          <w:pPr>
            <w:pStyle w:val="5"/>
          </w:pPr>
          <w:r>
            <w:rPr>
              <w:rStyle w:val="4"/>
              <w:rFonts w:hint="eastAsia"/>
            </w:rPr>
            <w:t>[发布日期]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29D"/>
    <w:rsid w:val="0005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84340628486442C3BD6FC05E7BE4598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CoverPageProperties xmlns="http://schemas.microsoft.com/office/2006/coverPageProps">
  <PublishDate>2021-01-29T00:00:00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2020070103-空白模板.dotx</Template>
  <Manager>封  涛</Manager>
  <Company>沈阳市浑南区工业和信息化局</Company>
  <Pages>3</Pages>
  <Words>168</Words>
  <Characters>962</Characters>
  <Lines>8</Lines>
  <Paragraphs>2</Paragraphs>
  <TotalTime>23</TotalTime>
  <ScaleCrop>false</ScaleCrop>
  <LinksUpToDate>false</LinksUpToDate>
  <CharactersWithSpaces>1128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1</cp:category>
  <dcterms:created xsi:type="dcterms:W3CDTF">2021-01-29T08:39:00Z</dcterms:created>
  <dc:creator>宋弘毅</dc:creator>
  <cp:lastModifiedBy>JM</cp:lastModifiedBy>
  <cp:lastPrinted>2021-01-29T08:51:00Z</cp:lastPrinted>
  <dcterms:modified xsi:type="dcterms:W3CDTF">2022-02-23T08:11:09Z</dcterms:modified>
  <dc:title>浑南区工信局2020年度行政执法总体情况报告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