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460" w:lineRule="exact"/>
        <w:jc w:val="center"/>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沈阳市浑南区</w:t>
      </w:r>
      <w:r>
        <w:rPr>
          <w:rFonts w:ascii="Microsoft JhengHei" w:hAnsi="Microsoft JhengHei" w:eastAsia="Microsoft JhengHei" w:cs="Microsoft JhengHei"/>
          <w:spacing w:val="-2"/>
          <w:sz w:val="44"/>
          <w:szCs w:val="44"/>
        </w:rPr>
        <w:t>市场监督管理局</w:t>
      </w:r>
    </w:p>
    <w:p>
      <w:pPr>
        <w:spacing w:before="1" w:line="460" w:lineRule="exact"/>
        <w:ind w:firstLine="2637"/>
        <w:rPr>
          <w:rFonts w:ascii="Microsoft JhengHei" w:hAnsi="Microsoft JhengHei" w:eastAsia="Microsoft JhengHei" w:cs="Microsoft JhengHei"/>
          <w:sz w:val="44"/>
          <w:szCs w:val="44"/>
        </w:rPr>
      </w:pPr>
      <w:r>
        <w:rPr>
          <w:rFonts w:hint="eastAsia" w:ascii="宋体" w:hAnsi="宋体" w:eastAsia="宋体" w:cs="宋体"/>
          <w:spacing w:val="-2"/>
          <w:sz w:val="44"/>
          <w:szCs w:val="44"/>
        </w:rPr>
        <w:t>行政处罚决定书</w:t>
      </w:r>
    </w:p>
    <w:p>
      <w:pPr>
        <w:tabs>
          <w:tab w:val="left" w:pos="2725"/>
        </w:tabs>
        <w:spacing w:before="38" w:line="460" w:lineRule="exact"/>
        <w:jc w:val="center"/>
        <w:rPr>
          <w:rFonts w:ascii="仿宋" w:hAnsi="仿宋" w:eastAsia="仿宋" w:cs="仿宋"/>
          <w:sz w:val="32"/>
          <w:szCs w:val="32"/>
        </w:rPr>
      </w:pPr>
      <w:r>
        <w:rPr>
          <w:rFonts w:hint="eastAsia" w:ascii="仿宋" w:hAnsi="仿宋" w:eastAsia="仿宋" w:cs="仿宋"/>
          <w:spacing w:val="18"/>
          <w:sz w:val="32"/>
          <w:szCs w:val="32"/>
          <w:u w:val="single"/>
        </w:rPr>
        <w:t>沈浑南</w:t>
      </w:r>
      <w:r>
        <w:rPr>
          <w:rFonts w:ascii="仿宋" w:hAnsi="仿宋" w:eastAsia="仿宋" w:cs="仿宋"/>
          <w:spacing w:val="-7"/>
          <w:sz w:val="32"/>
          <w:szCs w:val="32"/>
        </w:rPr>
        <w:t>市监处罚</w:t>
      </w:r>
      <w:r>
        <w:rPr>
          <w:rFonts w:hint="eastAsia" w:ascii="仿宋" w:hAnsi="仿宋" w:eastAsia="仿宋" w:cs="仿宋"/>
          <w:spacing w:val="-7"/>
          <w:sz w:val="32"/>
          <w:szCs w:val="32"/>
          <w:u w:val="single"/>
        </w:rPr>
        <w:t>药</w:t>
      </w:r>
      <w:r>
        <w:rPr>
          <w:rFonts w:ascii="仿宋" w:hAnsi="仿宋" w:eastAsia="仿宋" w:cs="仿宋"/>
          <w:spacing w:val="-7"/>
          <w:sz w:val="32"/>
          <w:szCs w:val="32"/>
        </w:rPr>
        <w:t>〔</w:t>
      </w:r>
      <w:r>
        <w:rPr>
          <w:rFonts w:hint="eastAsia" w:ascii="仿宋" w:hAnsi="仿宋" w:eastAsia="仿宋" w:cs="仿宋"/>
          <w:spacing w:val="18"/>
          <w:sz w:val="32"/>
          <w:szCs w:val="32"/>
          <w:u w:val="single"/>
        </w:rPr>
        <w:t>2021</w:t>
      </w:r>
      <w:r>
        <w:rPr>
          <w:rFonts w:ascii="仿宋" w:hAnsi="仿宋" w:eastAsia="仿宋" w:cs="仿宋"/>
          <w:spacing w:val="-7"/>
          <w:sz w:val="32"/>
          <w:szCs w:val="32"/>
        </w:rPr>
        <w:t>〕</w:t>
      </w:r>
      <w:r>
        <w:rPr>
          <w:rFonts w:hint="eastAsia" w:ascii="仿宋" w:hAnsi="仿宋" w:eastAsia="仿宋" w:cs="仿宋"/>
          <w:spacing w:val="68"/>
          <w:sz w:val="32"/>
          <w:szCs w:val="32"/>
          <w:u w:val="single"/>
        </w:rPr>
        <w:t>040</w:t>
      </w:r>
      <w:r>
        <w:rPr>
          <w:rFonts w:ascii="仿宋" w:hAnsi="仿宋" w:eastAsia="仿宋" w:cs="仿宋"/>
          <w:spacing w:val="-7"/>
          <w:sz w:val="32"/>
          <w:szCs w:val="32"/>
        </w:rPr>
        <w:t>号</w:t>
      </w:r>
    </w:p>
    <w:p>
      <w:pPr>
        <w:widowControl w:val="0"/>
        <w:adjustRightInd/>
        <w:snapToGrid/>
        <w:spacing w:after="0" w:line="460" w:lineRule="exact"/>
        <w:ind w:firstLine="640" w:firstLineChars="200"/>
        <w:rPr>
          <w:rFonts w:ascii="仿宋" w:hAnsi="仿宋" w:eastAsia="仿宋"/>
          <w:sz w:val="32"/>
          <w:szCs w:val="32"/>
        </w:rPr>
      </w:pPr>
      <w:r>
        <w:rPr>
          <w:rFonts w:hint="eastAsia" w:ascii="仿宋" w:hAnsi="仿宋" w:eastAsia="仿宋"/>
          <w:sz w:val="32"/>
          <w:szCs w:val="32"/>
        </w:rPr>
        <w:t>当事人：辽宁嘉和大药房连锁有限公司浑南营城子分店（变更前为沈阳南塔大药房连锁有限公司营城子分店）</w:t>
      </w:r>
    </w:p>
    <w:p>
      <w:pPr>
        <w:widowControl w:val="0"/>
        <w:adjustRightInd/>
        <w:snapToGrid/>
        <w:spacing w:after="0" w:line="460" w:lineRule="exact"/>
        <w:ind w:firstLine="640" w:firstLineChars="200"/>
        <w:rPr>
          <w:rFonts w:ascii="仿宋" w:hAnsi="仿宋" w:eastAsia="仿宋" w:cs="仿宋"/>
          <w:kern w:val="2"/>
          <w:sz w:val="32"/>
          <w:szCs w:val="32"/>
        </w:rPr>
      </w:pPr>
      <w:r>
        <w:rPr>
          <w:rFonts w:ascii="仿宋" w:hAnsi="仿宋" w:eastAsia="仿宋" w:cs="仿宋"/>
          <w:kern w:val="2"/>
          <w:sz w:val="32"/>
          <w:szCs w:val="32"/>
        </w:rPr>
        <w:t>主体资格证照名称：</w:t>
      </w:r>
      <w:r>
        <w:rPr>
          <w:rFonts w:hint="eastAsia" w:ascii="仿宋" w:hAnsi="仿宋" w:eastAsia="仿宋" w:cs="仿宋"/>
          <w:kern w:val="2"/>
          <w:sz w:val="32"/>
          <w:szCs w:val="32"/>
        </w:rPr>
        <w:t>营业执照</w:t>
      </w:r>
    </w:p>
    <w:p>
      <w:pPr>
        <w:widowControl w:val="0"/>
        <w:adjustRightInd/>
        <w:snapToGrid/>
        <w:spacing w:after="0" w:line="460" w:lineRule="exact"/>
        <w:ind w:firstLine="640" w:firstLineChars="200"/>
        <w:rPr>
          <w:rFonts w:ascii="仿宋" w:hAnsi="仿宋" w:eastAsia="仿宋"/>
          <w:sz w:val="32"/>
          <w:szCs w:val="32"/>
        </w:rPr>
      </w:pPr>
      <w:r>
        <w:rPr>
          <w:rFonts w:hint="eastAsia" w:ascii="仿宋" w:hAnsi="仿宋" w:eastAsia="仿宋"/>
          <w:sz w:val="32"/>
          <w:szCs w:val="32"/>
        </w:rPr>
        <w:t>社会信用代码：91210112MA0P4CGKX3</w:t>
      </w:r>
    </w:p>
    <w:p>
      <w:pPr>
        <w:widowControl w:val="0"/>
        <w:adjustRightInd/>
        <w:snapToGrid/>
        <w:spacing w:after="0" w:line="460" w:lineRule="exact"/>
        <w:ind w:firstLine="640" w:firstLineChars="200"/>
        <w:rPr>
          <w:rFonts w:ascii="仿宋" w:hAnsi="仿宋" w:eastAsia="仿宋" w:cs="仿宋"/>
          <w:kern w:val="2"/>
          <w:sz w:val="32"/>
          <w:szCs w:val="32"/>
        </w:rPr>
      </w:pPr>
      <w:r>
        <w:rPr>
          <w:rFonts w:ascii="仿宋" w:hAnsi="仿宋" w:eastAsia="仿宋" w:cs="仿宋"/>
          <w:kern w:val="2"/>
          <w:sz w:val="32"/>
          <w:szCs w:val="32"/>
        </w:rPr>
        <w:t>住所（住址）：</w:t>
      </w:r>
      <w:r>
        <w:rPr>
          <w:rFonts w:hint="eastAsia" w:ascii="仿宋" w:hAnsi="仿宋" w:eastAsia="仿宋" w:cs="仿宋"/>
          <w:kern w:val="2"/>
          <w:sz w:val="32"/>
          <w:szCs w:val="32"/>
        </w:rPr>
        <w:t>沈阳市东陵区南塔街道后桑林子村</w:t>
      </w:r>
    </w:p>
    <w:p>
      <w:pPr>
        <w:widowControl w:val="0"/>
        <w:adjustRightInd/>
        <w:snapToGrid/>
        <w:spacing w:after="0" w:line="460" w:lineRule="exact"/>
        <w:ind w:firstLine="640" w:firstLineChars="200"/>
        <w:rPr>
          <w:rFonts w:ascii="仿宋" w:hAnsi="仿宋" w:eastAsia="仿宋"/>
          <w:sz w:val="32"/>
          <w:szCs w:val="32"/>
        </w:rPr>
      </w:pPr>
      <w:r>
        <w:rPr>
          <w:rFonts w:ascii="仿宋" w:hAnsi="仿宋" w:eastAsia="仿宋" w:cs="仿宋"/>
          <w:kern w:val="2"/>
          <w:sz w:val="32"/>
          <w:szCs w:val="32"/>
        </w:rPr>
        <w:t>法定代表人（负责人、经营者）：</w:t>
      </w:r>
      <w:r>
        <w:rPr>
          <w:rFonts w:hint="eastAsia" w:ascii="仿宋" w:hAnsi="仿宋" w:eastAsia="仿宋"/>
          <w:sz w:val="32"/>
          <w:szCs w:val="32"/>
        </w:rPr>
        <w:t>袁鹤嘉</w:t>
      </w:r>
    </w:p>
    <w:p>
      <w:pPr>
        <w:ind w:firstLine="630"/>
        <w:rPr>
          <w:rFonts w:asciiTheme="minorEastAsia" w:hAnsiTheme="minorEastAsia" w:eastAsiaTheme="minorEastAsia"/>
          <w:sz w:val="32"/>
          <w:szCs w:val="32"/>
        </w:rPr>
      </w:pPr>
      <w:bookmarkStart w:id="0" w:name="_GoBack"/>
      <w:bookmarkEnd w:id="0"/>
      <w:r>
        <w:rPr>
          <w:rFonts w:hint="eastAsia" w:asciiTheme="minorEastAsia" w:hAnsiTheme="minorEastAsia" w:eastAsiaTheme="minorEastAsia"/>
          <w:sz w:val="32"/>
          <w:szCs w:val="32"/>
        </w:rPr>
        <w:t>2021年7月14日，我局接到沈阳市市场监督管理局案件交办通知书【沈市监稽交字【2021】172号】，内容为</w:t>
      </w:r>
      <w:r>
        <w:rPr>
          <w:rFonts w:hint="eastAsia" w:cs="仿宋" w:asciiTheme="minorEastAsia" w:hAnsiTheme="minorEastAsia" w:eastAsiaTheme="minorEastAsia"/>
          <w:sz w:val="32"/>
          <w:szCs w:val="32"/>
        </w:rPr>
        <w:t>辽宁嘉和大药房连锁有限公司浑南营城子分店销售的“马来酸氨氯地平片”</w:t>
      </w:r>
      <w:r>
        <w:rPr>
          <w:rFonts w:hint="eastAsia" w:asciiTheme="minorEastAsia" w:hAnsiTheme="minorEastAsia" w:eastAsiaTheme="minorEastAsia"/>
          <w:sz w:val="32"/>
          <w:szCs w:val="32"/>
        </w:rPr>
        <w:t>（生产企业：陕西超群制药有限公司；规格：5mg X 14片；批号：181201）为劣药，辽宁嘉和大药房连锁有限公司浑南营城子分店是从辽宁北药百草医药有限公司购进的该批号劣药“马来酸氨氯地平片”，该药店涉嫌销售劣药，请结合实际情况，依法开展调查处理。</w:t>
      </w:r>
    </w:p>
    <w:p>
      <w:pPr>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2021年7月20日，执法人员石江坤、徐菲前往现场开展调查。检查中发现当事人销售的 “马来酸氨氯地平片”（生产企业：陕西超群制药有限公司；规格：5mg X 14片；批号：181201）正是从辽宁北药百草医药有限公司采购的，且已于2019年10月21日全部售完。当事人现场提供了该批药品的随货同行单等相关材料，但现场无法提供全部的材料，执法人员当场向当事人下达了《限期提供材料通知书》，限其5日内向我局提供全部相关材料及票据。</w:t>
      </w:r>
    </w:p>
    <w:p>
      <w:pPr>
        <w:spacing w:line="500" w:lineRule="exact"/>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sz w:val="32"/>
          <w:szCs w:val="32"/>
        </w:rPr>
        <w:t>当事人涉嫌销售劣药“马来酸氨氯地平片”，</w:t>
      </w:r>
      <w:r>
        <w:rPr>
          <w:rFonts w:hint="eastAsia" w:asciiTheme="minorEastAsia" w:hAnsiTheme="minorEastAsia" w:eastAsiaTheme="minorEastAsia"/>
          <w:color w:val="000000"/>
          <w:sz w:val="32"/>
          <w:szCs w:val="32"/>
        </w:rPr>
        <w:t>2021</w:t>
      </w:r>
      <w:r>
        <w:rPr>
          <w:rFonts w:hint="eastAsia" w:asciiTheme="minorEastAsia" w:hAnsiTheme="minorEastAsia" w:eastAsiaTheme="minorEastAsia"/>
          <w:sz w:val="32"/>
          <w:szCs w:val="32"/>
        </w:rPr>
        <w:t>年7月23日</w:t>
      </w:r>
      <w:r>
        <w:rPr>
          <w:rFonts w:hint="eastAsia" w:asciiTheme="minorEastAsia" w:hAnsiTheme="minorEastAsia" w:eastAsiaTheme="minorEastAsia"/>
          <w:color w:val="000000"/>
          <w:sz w:val="32"/>
          <w:szCs w:val="32"/>
        </w:rPr>
        <w:t>，经主管领导批准，对该单位</w:t>
      </w:r>
      <w:r>
        <w:rPr>
          <w:rFonts w:hint="eastAsia" w:asciiTheme="minorEastAsia" w:hAnsiTheme="minorEastAsia" w:eastAsiaTheme="minorEastAsia"/>
          <w:sz w:val="32"/>
          <w:szCs w:val="32"/>
        </w:rPr>
        <w:t>销售劣药“马来酸氨氯地平片”</w:t>
      </w:r>
      <w:r>
        <w:rPr>
          <w:rFonts w:hint="eastAsia" w:asciiTheme="minorEastAsia" w:hAnsiTheme="minorEastAsia" w:eastAsiaTheme="minorEastAsia"/>
          <w:color w:val="000000"/>
          <w:sz w:val="32"/>
          <w:szCs w:val="32"/>
        </w:rPr>
        <w:t>药品行为进行立案调查。并</w:t>
      </w:r>
      <w:r>
        <w:rPr>
          <w:rFonts w:hint="eastAsia" w:asciiTheme="minorEastAsia" w:hAnsiTheme="minorEastAsia" w:eastAsiaTheme="minorEastAsia"/>
          <w:sz w:val="32"/>
          <w:szCs w:val="32"/>
        </w:rPr>
        <w:t>向当事人下达了《询问通知书》，于2021年7月26日对当事人法人进行了询问并制作了询问调查笔录。</w:t>
      </w:r>
    </w:p>
    <w:p>
      <w:pPr>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调查认定的事实：经调查，当事人于2019年8月5日、2019年8月9日、2019年9月2日分三次从辽宁北药百草医药有限公司购进 “马来酸氨氯地平片”（批号：181201）。每次分别购进药品：5盒、5盒、10盒，共计20盒。每盒购进单价为15.50元，共计购进金额310.00元。当事人在2019年8月20日卖了4盒；2019年8月30日卖了1盒；2019年8月31日卖了2盒；2019年9月3日卖了2盒；2019年9月6日卖了2盒2019年10月1日卖了2盒；2019年10月4日卖了2盒；2019年10月12日卖了2盒；2019年10月21日卖了3盒；；合计销售20盒。每盒销售单价为16.00元，总计销售金额为320.00元。该药品的违法所得金额为10.00元。当事人提供了该药品的随货同行单及相关票据。</w:t>
      </w:r>
    </w:p>
    <w:p>
      <w:pPr>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上述事实主要有以下证据证明：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1.沈阳市市场监督管理局案件交办通知书【沈市监稽交字【2021】172号】，证明案件来源；</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2.当事人变更前营业执照、变更后营业执照复印件各一份、准予变更登记通知书复印件一份，证明当事人具备承担法律责任 你的合法主体资格；</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3.当事人变更前后《药品经营许可证》复印件、《药品经营质量管理规范认证证书》复印件各一份，证明当事人具有经营相关药品的合法资质；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4.辽宁北药百草医药有限公司的《营业执照》复印件、《药品经营许可证》复印件、《药品经营质量管理规范认证证书》复印件各一份，证明该公司具有销售相关药品的合法资质；</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5.当事人负责人身份证复印件一份，证明负责人袁鹤嘉具备接受调查等相关权限；</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现场笔录和询问笔录各一份、当事人进销货管理系统截图、发票、销售货物或者提供应税劳务、服务清单复印件三份、辽宁北药百草医药有限公司销售出库销售复核清单复印件三份，辽宁北药百草医药有限公司授权委托书复印件一份、药品质量保证协议书复印件一份、陕西超群制药有限公司检验报告书复印件一份，该药品价签一份证明当事人进销存货情况及购进该药品相关的资质材料、票据、进销货价格等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7.汕尾市食品药品检验所检验报告复印件2份，证明该批次的药品为劣药；</w:t>
      </w:r>
    </w:p>
    <w:p>
      <w:pPr>
        <w:pStyle w:val="13"/>
        <w:spacing w:line="500" w:lineRule="exact"/>
        <w:ind w:firstLine="640"/>
        <w:rPr>
          <w:rFonts w:cs="仿宋_GB2312" w:asciiTheme="minorEastAsia" w:hAnsiTheme="minorEastAsia" w:eastAsiaTheme="minorEastAsia"/>
          <w:sz w:val="32"/>
          <w:szCs w:val="32"/>
        </w:rPr>
      </w:pPr>
      <w:r>
        <w:rPr>
          <w:rFonts w:hint="eastAsia" w:asciiTheme="minorEastAsia" w:hAnsiTheme="minorEastAsia" w:eastAsiaTheme="minorEastAsia"/>
          <w:sz w:val="32"/>
          <w:szCs w:val="32"/>
        </w:rPr>
        <w:t>8.执法记录仪影像资料1份，</w:t>
      </w:r>
      <w:r>
        <w:rPr>
          <w:rFonts w:hint="eastAsia" w:cs="仿宋_GB2312" w:asciiTheme="minorEastAsia" w:hAnsiTheme="minorEastAsia" w:eastAsiaTheme="minorEastAsia"/>
          <w:sz w:val="32"/>
          <w:szCs w:val="32"/>
        </w:rPr>
        <w:t>证明执法人员到现场核实调查；</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2021年8月11日，</w:t>
      </w:r>
      <w:r>
        <w:rPr>
          <w:rFonts w:hint="eastAsia" w:cs="Times New Roman" w:asciiTheme="minorEastAsia" w:hAnsiTheme="minorEastAsia" w:eastAsiaTheme="minorEastAsia"/>
          <w:kern w:val="2"/>
          <w:sz w:val="32"/>
          <w:szCs w:val="32"/>
        </w:rPr>
        <w:t>本局向当事人送达了《行政处罚告知书》（沈浑南市监罚告药[2021]</w:t>
      </w:r>
      <w:r>
        <w:rPr>
          <w:rFonts w:hint="eastAsia" w:cs="仿宋_GB2312" w:asciiTheme="minorEastAsia" w:hAnsiTheme="minorEastAsia" w:eastAsiaTheme="minorEastAsia"/>
          <w:sz w:val="32"/>
          <w:szCs w:val="32"/>
        </w:rPr>
        <w:t>03-007</w:t>
      </w:r>
      <w:r>
        <w:rPr>
          <w:rFonts w:hint="eastAsia" w:cs="Times New Roman" w:asciiTheme="minorEastAsia" w:hAnsiTheme="minorEastAsia" w:eastAsiaTheme="minorEastAsia"/>
          <w:kern w:val="2"/>
          <w:sz w:val="32"/>
          <w:szCs w:val="32"/>
        </w:rPr>
        <w:t>号），</w:t>
      </w:r>
      <w:r>
        <w:rPr>
          <w:rFonts w:cs="仿宋" w:asciiTheme="minorEastAsia" w:hAnsiTheme="minorEastAsia" w:eastAsiaTheme="minorEastAsia"/>
          <w:kern w:val="2"/>
          <w:sz w:val="32"/>
          <w:szCs w:val="32"/>
        </w:rPr>
        <w:t>告知当事人拟作出的行政处罚内容及事实、理由、依据，并告知当事人依法享有陈述权、申辩权</w:t>
      </w:r>
      <w:r>
        <w:rPr>
          <w:rFonts w:hint="eastAsia" w:cs="仿宋" w:asciiTheme="minorEastAsia" w:hAnsiTheme="minorEastAsia" w:eastAsiaTheme="minorEastAsia"/>
          <w:kern w:val="2"/>
          <w:sz w:val="32"/>
          <w:szCs w:val="32"/>
        </w:rPr>
        <w:t>和</w:t>
      </w:r>
      <w:r>
        <w:rPr>
          <w:rFonts w:cs="仿宋" w:asciiTheme="minorEastAsia" w:hAnsiTheme="minorEastAsia" w:eastAsiaTheme="minorEastAsia"/>
          <w:kern w:val="2"/>
          <w:sz w:val="32"/>
          <w:szCs w:val="32"/>
        </w:rPr>
        <w:t>听证的权利。</w:t>
      </w:r>
      <w:r>
        <w:rPr>
          <w:rFonts w:hint="eastAsia" w:cs="仿宋" w:asciiTheme="minorEastAsia" w:hAnsiTheme="minorEastAsia" w:eastAsiaTheme="minorEastAsia"/>
          <w:kern w:val="2"/>
          <w:sz w:val="32"/>
          <w:szCs w:val="32"/>
        </w:rPr>
        <w:t>当事人在规定期限内未陈述、申辩理由和听证申请。</w:t>
      </w:r>
    </w:p>
    <w:p>
      <w:pPr>
        <w:ind w:left="630"/>
        <w:rPr>
          <w:rFonts w:asciiTheme="minorEastAsia" w:hAnsiTheme="minorEastAsia" w:eastAsiaTheme="minorEastAsia"/>
          <w:sz w:val="32"/>
          <w:szCs w:val="32"/>
        </w:rPr>
      </w:pPr>
      <w:r>
        <w:rPr>
          <w:rFonts w:hint="eastAsia" w:asciiTheme="minorEastAsia" w:hAnsiTheme="minorEastAsia" w:eastAsiaTheme="minorEastAsia"/>
          <w:sz w:val="32"/>
          <w:szCs w:val="32"/>
        </w:rPr>
        <w:t>本局认为，当事人销售劣药“马来酸氨氯地平片”（生</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产企业：陕西超群制药有限公司；规格：5mg X 14片；批号：181201）行为存在。根据《中华人民共和国药品管理法》</w:t>
      </w:r>
      <w:r>
        <w:rPr>
          <w:rFonts w:hint="eastAsia" w:ascii="宋体" w:hAnsi="宋体" w:cs="仿宋"/>
          <w:color w:val="231F20"/>
          <w:sz w:val="32"/>
          <w:szCs w:val="32"/>
        </w:rPr>
        <w:t>第九十八条第三款第七项的规定</w:t>
      </w:r>
      <w:r>
        <w:rPr>
          <w:rFonts w:hint="eastAsia" w:asciiTheme="minorEastAsia" w:hAnsiTheme="minorEastAsia" w:eastAsiaTheme="minorEastAsia"/>
          <w:sz w:val="32"/>
          <w:szCs w:val="32"/>
        </w:rPr>
        <w:t>，当事人涉嫌构成销售劣药“马来酸氨氯地平片”违法行为。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000000"/>
          <w:sz w:val="32"/>
          <w:szCs w:val="32"/>
        </w:rPr>
        <w:t>鉴于该单位2019年 8月5日、2019年 8月9日和2019年 9月2日分三次从辽宁北药百草医药有限公司购进</w:t>
      </w:r>
      <w:r>
        <w:rPr>
          <w:rFonts w:hint="eastAsia" w:asciiTheme="minorEastAsia" w:hAnsiTheme="minorEastAsia" w:eastAsiaTheme="minorEastAsia"/>
          <w:sz w:val="32"/>
          <w:szCs w:val="32"/>
        </w:rPr>
        <w:t>“马来酸氨氯地平片”。购进药品的随货同行单和相关资质票据齐全。并于2020年4月23日接到</w:t>
      </w:r>
      <w:r>
        <w:rPr>
          <w:rFonts w:hint="eastAsia" w:asciiTheme="minorEastAsia" w:hAnsiTheme="minorEastAsia" w:eastAsiaTheme="minorEastAsia"/>
          <w:color w:val="000000"/>
          <w:sz w:val="32"/>
          <w:szCs w:val="32"/>
        </w:rPr>
        <w:t>辽宁北药百草医药有限公司《药品召回通知单》后，立即对该药品进行召回。履行了召回职责。依据《中华人民共和国药品管理法实施条例》</w:t>
      </w:r>
      <w:r>
        <w:rPr>
          <w:rFonts w:cs="Arial" w:asciiTheme="minorEastAsia" w:hAnsiTheme="minorEastAsia" w:eastAsiaTheme="minorEastAsia"/>
          <w:b/>
          <w:bCs/>
          <w:color w:val="333333"/>
          <w:sz w:val="32"/>
          <w:szCs w:val="32"/>
          <w:shd w:val="clear" w:color="auto" w:fill="FFFFFF"/>
        </w:rPr>
        <w:t>第七十五条</w:t>
      </w:r>
      <w:r>
        <w:rPr>
          <w:rFonts w:cs="Arial" w:asciiTheme="minorEastAsia" w:hAnsiTheme="minorEastAsia" w:eastAsiaTheme="minorEastAsia"/>
          <w:color w:val="333333"/>
          <w:sz w:val="32"/>
          <w:szCs w:val="32"/>
          <w:shd w:val="clear" w:color="auto" w:fill="FFFFFF"/>
        </w:rPr>
        <w:t>药品经营企业、医疗机构未违反《药品管理法》和本条例的有关规定，并有充分证据证明其不知道所销售或者使用的药品是假药、劣药的，应当没收其销售或者使用的假药、劣药和违法所得；但是，可以免除其他行政处罚。</w:t>
      </w:r>
      <w:r>
        <w:rPr>
          <w:rFonts w:hint="eastAsia" w:asciiTheme="minorEastAsia" w:hAnsiTheme="minorEastAsia" w:eastAsiaTheme="minorEastAsia"/>
          <w:color w:val="000000"/>
          <w:sz w:val="32"/>
          <w:szCs w:val="32"/>
        </w:rPr>
        <w:t xml:space="preserve">                                                                                                                                                                                                                                                                                                                                                                            </w:t>
      </w:r>
    </w:p>
    <w:p>
      <w:pPr>
        <w:ind w:left="630"/>
        <w:rPr>
          <w:rFonts w:asciiTheme="minorEastAsia" w:hAnsiTheme="minorEastAsia" w:eastAsiaTheme="minorEastAsia"/>
          <w:sz w:val="32"/>
          <w:szCs w:val="32"/>
        </w:rPr>
      </w:pPr>
      <w:r>
        <w:rPr>
          <w:rFonts w:hint="eastAsia" w:asciiTheme="minorEastAsia" w:hAnsiTheme="minorEastAsia" w:eastAsiaTheme="minorEastAsia"/>
          <w:sz w:val="32"/>
          <w:szCs w:val="32"/>
        </w:rPr>
        <w:t>处理意见及依据：</w:t>
      </w:r>
    </w:p>
    <w:p>
      <w:pPr>
        <w:rPr>
          <w:rFonts w:asciiTheme="minorEastAsia" w:hAnsiTheme="minorEastAsia" w:eastAsiaTheme="minorEastAsia"/>
          <w:sz w:val="32"/>
          <w:szCs w:val="32"/>
        </w:rPr>
      </w:pPr>
      <w:r>
        <w:rPr>
          <w:rFonts w:hint="eastAsia" w:asciiTheme="minorEastAsia" w:hAnsiTheme="minorEastAsia" w:eastAsiaTheme="minorEastAsia"/>
          <w:color w:val="000000"/>
          <w:sz w:val="32"/>
          <w:szCs w:val="32"/>
        </w:rPr>
        <w:t>根据《中华人民共和国药品管理法实施条例》</w:t>
      </w:r>
      <w:r>
        <w:rPr>
          <w:rFonts w:cs="Arial" w:asciiTheme="minorEastAsia" w:hAnsiTheme="minorEastAsia" w:eastAsiaTheme="minorEastAsia"/>
          <w:b/>
          <w:bCs/>
          <w:color w:val="333333"/>
          <w:sz w:val="32"/>
          <w:szCs w:val="32"/>
          <w:shd w:val="clear" w:color="auto" w:fill="FFFFFF"/>
        </w:rPr>
        <w:t>第七十五条</w:t>
      </w:r>
      <w:r>
        <w:rPr>
          <w:rFonts w:hint="eastAsia" w:cs="Arial" w:asciiTheme="minorEastAsia" w:hAnsiTheme="minorEastAsia" w:eastAsiaTheme="minorEastAsia"/>
          <w:b/>
          <w:bCs/>
          <w:color w:val="333333"/>
          <w:sz w:val="32"/>
          <w:szCs w:val="32"/>
          <w:shd w:val="clear" w:color="auto" w:fill="FFFFFF"/>
        </w:rPr>
        <w:t>规</w:t>
      </w:r>
      <w:r>
        <w:rPr>
          <w:rFonts w:hint="eastAsia" w:cs="Arial" w:asciiTheme="minorEastAsia" w:hAnsiTheme="minorEastAsia" w:eastAsiaTheme="minorEastAsia"/>
          <w:b/>
          <w:bCs/>
          <w:color w:val="333333"/>
          <w:kern w:val="32"/>
          <w:sz w:val="32"/>
          <w:szCs w:val="32"/>
          <w:shd w:val="clear" w:color="auto" w:fill="FFFFFF"/>
        </w:rPr>
        <w:t>定，</w:t>
      </w:r>
      <w:r>
        <w:rPr>
          <w:rFonts w:hint="eastAsia" w:asciiTheme="minorEastAsia" w:hAnsiTheme="minorEastAsia" w:eastAsiaTheme="minorEastAsia"/>
          <w:kern w:val="32"/>
          <w:sz w:val="32"/>
          <w:szCs w:val="32"/>
        </w:rPr>
        <w:t>决定对当事人</w:t>
      </w:r>
      <w:r>
        <w:rPr>
          <w:rFonts w:hint="eastAsia" w:asciiTheme="minorEastAsia" w:hAnsiTheme="minorEastAsia" w:eastAsiaTheme="minorEastAsia"/>
          <w:sz w:val="32"/>
          <w:szCs w:val="32"/>
        </w:rPr>
        <w:t>做出以下处罚：</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没收违法所得10.00元。</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如不服本行政处罚决定，可以在收到本决定之日起60日内向沈阳市市场监督管理局或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                                </w:t>
      </w: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p>
    <w:p>
      <w:pPr>
        <w:widowControl w:val="0"/>
        <w:adjustRightInd/>
        <w:snapToGrid/>
        <w:spacing w:after="0" w:line="460" w:lineRule="exact"/>
        <w:ind w:firstLine="640" w:firstLineChars="2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                    沈阳市浑南区市场监督管理局    </w:t>
      </w:r>
    </w:p>
    <w:p>
      <w:pPr>
        <w:widowControl w:val="0"/>
        <w:adjustRightInd/>
        <w:snapToGrid/>
        <w:spacing w:after="0" w:line="460" w:lineRule="exact"/>
        <w:ind w:left="4798" w:leftChars="290" w:hanging="4160" w:hangingChars="130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                             （印 章）         </w:t>
      </w:r>
    </w:p>
    <w:p>
      <w:pPr>
        <w:widowControl w:val="0"/>
        <w:adjustRightInd/>
        <w:snapToGrid/>
        <w:spacing w:after="0" w:line="460" w:lineRule="exact"/>
        <w:ind w:firstLine="4640" w:firstLineChars="1450"/>
        <w:jc w:val="both"/>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 xml:space="preserve">2021年8月19日    </w:t>
      </w: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widowControl w:val="0"/>
        <w:adjustRightInd/>
        <w:snapToGrid/>
        <w:spacing w:after="0" w:line="460" w:lineRule="exact"/>
        <w:ind w:firstLine="640" w:firstLineChars="200"/>
        <w:jc w:val="both"/>
        <w:rPr>
          <w:rFonts w:ascii="仿宋_GB2312" w:hAnsi="仿宋" w:eastAsia="仿宋_GB2312" w:cs="仿宋"/>
          <w:kern w:val="2"/>
          <w:sz w:val="32"/>
          <w:szCs w:val="32"/>
        </w:rPr>
      </w:pPr>
    </w:p>
    <w:p>
      <w:pPr>
        <w:spacing w:before="105" w:line="183" w:lineRule="auto"/>
        <w:ind w:firstLine="403"/>
        <w:rPr>
          <w:rFonts w:ascii="仿宋_GB2312" w:hAnsi="仿宋" w:eastAsia="仿宋_GB2312" w:cs="仿宋"/>
          <w:kern w:val="2"/>
          <w:sz w:val="32"/>
          <w:szCs w:val="32"/>
        </w:rPr>
      </w:pPr>
      <w:r>
        <w:rPr>
          <w:rFonts w:ascii="黑体" w:hAnsi="黑体" w:eastAsia="黑体" w:cs="黑体"/>
          <w:color w:val="231F20"/>
          <w:spacing w:val="-31"/>
          <w:sz w:val="32"/>
          <w:szCs w:val="32"/>
        </w:rPr>
        <w:t>（市场监督管理部门将依法向社会公开行政处罚决定信息）</w:t>
      </w:r>
    </w:p>
    <w:p>
      <w:pPr>
        <w:spacing w:line="460" w:lineRule="exact"/>
        <w:rPr>
          <w:rFonts w:ascii="Microsoft JhengHei"/>
        </w:rPr>
      </w:pPr>
    </w:p>
    <w:p>
      <w:pPr>
        <w:spacing w:line="460"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cstate="print"/>
                    <a:stretch>
                      <a:fillRect/>
                    </a:stretch>
                  </pic:blipFill>
                  <pic:spPr>
                    <a:xfrm>
                      <a:off x="0" y="0"/>
                      <a:ext cx="5550535" cy="16509"/>
                    </a:xfrm>
                    <a:prstGeom prst="rect">
                      <a:avLst/>
                    </a:prstGeom>
                  </pic:spPr>
                </pic:pic>
              </a:graphicData>
            </a:graphic>
          </wp:inline>
        </w:drawing>
      </w:r>
    </w:p>
    <w:p>
      <w:pPr>
        <w:spacing w:before="106" w:line="460" w:lineRule="exact"/>
        <w:ind w:firstLine="231"/>
        <w:rPr>
          <w:rFonts w:eastAsia="仿宋"/>
        </w:rPr>
        <w:sectPr>
          <w:headerReference r:id="rId4" w:type="default"/>
          <w:footerReference r:id="rId5" w:type="default"/>
          <w:pgSz w:w="11906" w:h="16839"/>
          <w:pgMar w:top="400" w:right="1581" w:bottom="1126" w:left="1583" w:header="0" w:footer="929" w:gutter="0"/>
          <w:cols w:space="720" w:num="1"/>
        </w:sectPr>
      </w:pPr>
      <w:r>
        <w:rPr>
          <w:rFonts w:ascii="仿宋" w:hAnsi="仿宋" w:eastAsia="仿宋" w:cs="仿宋"/>
          <w:spacing w:val="-10"/>
          <w:sz w:val="32"/>
          <w:szCs w:val="32"/>
        </w:rPr>
        <w:t>本文书一式</w:t>
      </w:r>
      <w:r>
        <w:rPr>
          <w:rFonts w:hint="eastAsia" w:ascii="仿宋" w:hAnsi="仿宋" w:eastAsia="仿宋" w:cs="仿宋"/>
          <w:spacing w:val="6"/>
          <w:sz w:val="32"/>
          <w:szCs w:val="32"/>
        </w:rPr>
        <w:t>四</w:t>
      </w:r>
      <w:r>
        <w:rPr>
          <w:rFonts w:ascii="仿宋" w:hAnsi="仿宋" w:eastAsia="仿宋" w:cs="仿宋"/>
          <w:spacing w:val="-10"/>
          <w:sz w:val="32"/>
          <w:szCs w:val="32"/>
        </w:rPr>
        <w:t>份，</w:t>
      </w:r>
      <w:r>
        <w:rPr>
          <w:rFonts w:hint="eastAsia" w:ascii="仿宋" w:hAnsi="仿宋" w:eastAsia="仿宋" w:cs="仿宋"/>
          <w:spacing w:val="20"/>
          <w:sz w:val="32"/>
          <w:szCs w:val="32"/>
        </w:rPr>
        <w:t>一</w:t>
      </w:r>
      <w:r>
        <w:rPr>
          <w:rFonts w:ascii="仿宋" w:hAnsi="仿宋" w:eastAsia="仿宋" w:cs="仿宋"/>
          <w:spacing w:val="-10"/>
          <w:sz w:val="32"/>
          <w:szCs w:val="32"/>
        </w:rPr>
        <w:t>份送达，</w:t>
      </w:r>
      <w:r>
        <w:rPr>
          <w:rFonts w:hint="eastAsia" w:ascii="仿宋" w:hAnsi="仿宋" w:eastAsia="仿宋" w:cs="仿宋"/>
          <w:spacing w:val="-10"/>
          <w:sz w:val="32"/>
          <w:szCs w:val="32"/>
        </w:rPr>
        <w:t>二</w:t>
      </w:r>
      <w:r>
        <w:rPr>
          <w:rFonts w:ascii="仿宋" w:hAnsi="仿宋" w:eastAsia="仿宋" w:cs="仿宋"/>
          <w:spacing w:val="-10"/>
          <w:sz w:val="32"/>
          <w:szCs w:val="32"/>
        </w:rPr>
        <w:t>份归档，</w:t>
      </w:r>
      <w:r>
        <w:rPr>
          <w:rFonts w:hint="eastAsia" w:ascii="仿宋" w:hAnsi="仿宋" w:eastAsia="仿宋" w:cs="仿宋"/>
          <w:spacing w:val="3"/>
          <w:sz w:val="32"/>
          <w:szCs w:val="32"/>
        </w:rPr>
        <w:t>两份办案部门留存 。</w:t>
      </w:r>
    </w:p>
    <w:p>
      <w:pPr>
        <w:spacing w:line="460" w:lineRule="exac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7192"/>
    <w:rsid w:val="00085EB0"/>
    <w:rsid w:val="00095AC9"/>
    <w:rsid w:val="000F13C6"/>
    <w:rsid w:val="00114C98"/>
    <w:rsid w:val="00126A2B"/>
    <w:rsid w:val="00132C75"/>
    <w:rsid w:val="0018616E"/>
    <w:rsid w:val="00187398"/>
    <w:rsid w:val="00192573"/>
    <w:rsid w:val="002923F4"/>
    <w:rsid w:val="002C3C4A"/>
    <w:rsid w:val="00323B43"/>
    <w:rsid w:val="00327845"/>
    <w:rsid w:val="003972DC"/>
    <w:rsid w:val="003B220B"/>
    <w:rsid w:val="003C2DA4"/>
    <w:rsid w:val="003D37D8"/>
    <w:rsid w:val="00426133"/>
    <w:rsid w:val="004358AB"/>
    <w:rsid w:val="00464492"/>
    <w:rsid w:val="004951CD"/>
    <w:rsid w:val="004E0E45"/>
    <w:rsid w:val="00502797"/>
    <w:rsid w:val="00585C87"/>
    <w:rsid w:val="005E1586"/>
    <w:rsid w:val="006457F3"/>
    <w:rsid w:val="00653216"/>
    <w:rsid w:val="006E305F"/>
    <w:rsid w:val="00724434"/>
    <w:rsid w:val="007422AA"/>
    <w:rsid w:val="00776501"/>
    <w:rsid w:val="00792DF7"/>
    <w:rsid w:val="007B77AE"/>
    <w:rsid w:val="007D07E6"/>
    <w:rsid w:val="008132F5"/>
    <w:rsid w:val="008B7726"/>
    <w:rsid w:val="008C24C2"/>
    <w:rsid w:val="008E62E9"/>
    <w:rsid w:val="00911E16"/>
    <w:rsid w:val="009B54BF"/>
    <w:rsid w:val="00A42F5D"/>
    <w:rsid w:val="00A81DF7"/>
    <w:rsid w:val="00A8551C"/>
    <w:rsid w:val="00A93711"/>
    <w:rsid w:val="00B06674"/>
    <w:rsid w:val="00B25376"/>
    <w:rsid w:val="00B37945"/>
    <w:rsid w:val="00B76902"/>
    <w:rsid w:val="00C520B3"/>
    <w:rsid w:val="00CB11E9"/>
    <w:rsid w:val="00CB3FC2"/>
    <w:rsid w:val="00D31D50"/>
    <w:rsid w:val="00D6474B"/>
    <w:rsid w:val="00DA03D8"/>
    <w:rsid w:val="00DA1BED"/>
    <w:rsid w:val="00DE6C85"/>
    <w:rsid w:val="00E062C9"/>
    <w:rsid w:val="00E51F54"/>
    <w:rsid w:val="00E66EC3"/>
    <w:rsid w:val="00F14EFA"/>
    <w:rsid w:val="00FA45E2"/>
    <w:rsid w:val="00FB3DB6"/>
    <w:rsid w:val="02EF48B9"/>
    <w:rsid w:val="057973EC"/>
    <w:rsid w:val="178E75FA"/>
    <w:rsid w:val="2A190CCC"/>
    <w:rsid w:val="434A41A7"/>
    <w:rsid w:val="694130A0"/>
    <w:rsid w:val="73FC0287"/>
    <w:rsid w:val="745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table" w:customStyle="1" w:styleId="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rFonts w:ascii="Tahoma" w:hAnsi="Tahoma"/>
      <w:sz w:val="18"/>
      <w:szCs w:val="18"/>
    </w:rPr>
  </w:style>
  <w:style w:type="paragraph" w:customStyle="1" w:styleId="13">
    <w:name w:val="Table Paragraph"/>
    <w:basedOn w:val="1"/>
    <w:uiPriority w:val="0"/>
    <w:pPr>
      <w:widowControl w:val="0"/>
      <w:autoSpaceDE w:val="0"/>
      <w:autoSpaceDN w:val="0"/>
      <w:snapToGrid/>
      <w:spacing w:after="0"/>
    </w:pPr>
    <w:rPr>
      <w:rFonts w:ascii="Arial Unicode MS" w:hAnsi="Times New Roman" w:eastAsia="Arial Unicode MS" w:cs="Arial Unicode M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B699F-EC3B-4FC1-8869-FB2F09E77E0E}">
  <ds:schemaRefs/>
</ds:datastoreItem>
</file>

<file path=docProps/app.xml><?xml version="1.0" encoding="utf-8"?>
<Properties xmlns="http://schemas.openxmlformats.org/officeDocument/2006/extended-properties" xmlns:vt="http://schemas.openxmlformats.org/officeDocument/2006/docPropsVTypes">
  <Template>Normal</Template>
  <Pages>5</Pages>
  <Words>463</Words>
  <Characters>2644</Characters>
  <Lines>22</Lines>
  <Paragraphs>6</Paragraphs>
  <TotalTime>8</TotalTime>
  <ScaleCrop>false</ScaleCrop>
  <LinksUpToDate>false</LinksUpToDate>
  <CharactersWithSpaces>3101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2021-08-12T08:06:00Z</dcterms:created>
  <dc:creator>lenovo</dc:creator>
  <cp:lastModifiedBy>刘小➰粘</cp:lastModifiedBy>
  <cp:lastPrinted>2021-08-16T01:00:00Z</cp:lastPrinted>
  <dcterms:modified xsi:type="dcterms:W3CDTF">2021-08-25T02:21:46Z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BD3FBFDFEFC24E5794B906003F640956</vt:lpwstr>
  </property>
</Properties>
</file>