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460" w:lineRule="exact"/>
        <w:jc w:val="center"/>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rPr>
        <w:t>沈阳市浑南区</w:t>
      </w:r>
      <w:r>
        <w:rPr>
          <w:rFonts w:ascii="Microsoft JhengHei" w:hAnsi="Microsoft JhengHei" w:eastAsia="Microsoft JhengHei" w:cs="Microsoft JhengHei"/>
          <w:spacing w:val="-2"/>
          <w:sz w:val="44"/>
          <w:szCs w:val="44"/>
        </w:rPr>
        <w:t>市场监督管理局</w:t>
      </w:r>
    </w:p>
    <w:p>
      <w:pPr>
        <w:spacing w:before="1" w:line="460" w:lineRule="exact"/>
        <w:ind w:firstLine="2637"/>
        <w:rPr>
          <w:rFonts w:ascii="Microsoft JhengHei" w:hAnsi="Microsoft JhengHei" w:eastAsia="Microsoft JhengHei" w:cs="Microsoft JhengHei"/>
          <w:sz w:val="44"/>
          <w:szCs w:val="44"/>
        </w:rPr>
      </w:pPr>
      <w:r>
        <w:rPr>
          <w:rFonts w:hint="eastAsia" w:ascii="宋体" w:hAnsi="宋体" w:eastAsia="宋体" w:cs="宋体"/>
          <w:spacing w:val="-2"/>
          <w:sz w:val="44"/>
          <w:szCs w:val="44"/>
        </w:rPr>
        <w:t>行政处罚决定书</w:t>
      </w:r>
    </w:p>
    <w:p>
      <w:pPr>
        <w:tabs>
          <w:tab w:val="left" w:pos="2725"/>
        </w:tabs>
        <w:spacing w:before="38" w:line="460" w:lineRule="exact"/>
        <w:jc w:val="center"/>
        <w:rPr>
          <w:rFonts w:ascii="仿宋" w:hAnsi="仿宋" w:eastAsia="仿宋" w:cs="仿宋"/>
          <w:sz w:val="32"/>
          <w:szCs w:val="32"/>
        </w:rPr>
      </w:pPr>
      <w:r>
        <w:rPr>
          <w:rFonts w:hint="eastAsia" w:ascii="仿宋" w:hAnsi="仿宋" w:eastAsia="仿宋" w:cs="仿宋"/>
          <w:spacing w:val="18"/>
          <w:sz w:val="32"/>
          <w:szCs w:val="32"/>
          <w:u w:val="single"/>
        </w:rPr>
        <w:t>沈浑南</w:t>
      </w:r>
      <w:r>
        <w:rPr>
          <w:rFonts w:ascii="仿宋" w:hAnsi="仿宋" w:eastAsia="仿宋" w:cs="仿宋"/>
          <w:spacing w:val="-7"/>
          <w:sz w:val="32"/>
          <w:szCs w:val="32"/>
        </w:rPr>
        <w:t>市监处罚</w:t>
      </w:r>
      <w:r>
        <w:rPr>
          <w:rFonts w:hint="eastAsia" w:ascii="仿宋" w:hAnsi="仿宋" w:eastAsia="仿宋" w:cs="仿宋"/>
          <w:spacing w:val="-7"/>
          <w:sz w:val="32"/>
          <w:szCs w:val="32"/>
          <w:u w:val="single"/>
        </w:rPr>
        <w:t>药</w:t>
      </w:r>
      <w:r>
        <w:rPr>
          <w:rFonts w:ascii="仿宋" w:hAnsi="仿宋" w:eastAsia="仿宋" w:cs="仿宋"/>
          <w:spacing w:val="-7"/>
          <w:sz w:val="32"/>
          <w:szCs w:val="32"/>
        </w:rPr>
        <w:t>〔</w:t>
      </w:r>
      <w:r>
        <w:rPr>
          <w:rFonts w:hint="eastAsia" w:ascii="仿宋" w:hAnsi="仿宋" w:eastAsia="仿宋" w:cs="仿宋"/>
          <w:spacing w:val="18"/>
          <w:sz w:val="32"/>
          <w:szCs w:val="32"/>
          <w:u w:val="single"/>
        </w:rPr>
        <w:t>2021</w:t>
      </w:r>
      <w:r>
        <w:rPr>
          <w:rFonts w:ascii="仿宋" w:hAnsi="仿宋" w:eastAsia="仿宋" w:cs="仿宋"/>
          <w:spacing w:val="-7"/>
          <w:sz w:val="32"/>
          <w:szCs w:val="32"/>
        </w:rPr>
        <w:t>〕</w:t>
      </w:r>
      <w:r>
        <w:rPr>
          <w:rFonts w:hint="eastAsia" w:ascii="仿宋" w:hAnsi="仿宋" w:eastAsia="仿宋" w:cs="仿宋"/>
          <w:spacing w:val="68"/>
          <w:sz w:val="32"/>
          <w:szCs w:val="32"/>
          <w:u w:val="single"/>
        </w:rPr>
        <w:t>041</w:t>
      </w:r>
      <w:r>
        <w:rPr>
          <w:rFonts w:ascii="仿宋" w:hAnsi="仿宋" w:eastAsia="仿宋" w:cs="仿宋"/>
          <w:spacing w:val="-7"/>
          <w:sz w:val="32"/>
          <w:szCs w:val="32"/>
        </w:rPr>
        <w:t>号</w:t>
      </w:r>
    </w:p>
    <w:p>
      <w:pPr>
        <w:widowControl w:val="0"/>
        <w:adjustRightInd/>
        <w:snapToGrid/>
        <w:spacing w:after="0" w:line="460" w:lineRule="exact"/>
        <w:ind w:firstLine="640" w:firstLineChars="200"/>
        <w:rPr>
          <w:rFonts w:ascii="仿宋" w:hAnsi="仿宋" w:eastAsia="仿宋" w:cs="仿宋"/>
          <w:kern w:val="2"/>
          <w:sz w:val="32"/>
          <w:szCs w:val="32"/>
        </w:rPr>
      </w:pPr>
      <w:r>
        <w:rPr>
          <w:rFonts w:hint="eastAsia" w:ascii="仿宋" w:hAnsi="仿宋" w:eastAsia="仿宋"/>
          <w:sz w:val="32"/>
          <w:szCs w:val="32"/>
        </w:rPr>
        <w:t>当事人：沈阳鑫贸大药房深井子店</w:t>
      </w:r>
    </w:p>
    <w:p>
      <w:pPr>
        <w:widowControl w:val="0"/>
        <w:adjustRightInd/>
        <w:snapToGrid/>
        <w:spacing w:after="0" w:line="460" w:lineRule="exact"/>
        <w:ind w:firstLine="640" w:firstLineChars="200"/>
        <w:rPr>
          <w:rFonts w:ascii="仿宋" w:hAnsi="仿宋" w:eastAsia="仿宋" w:cs="仿宋"/>
          <w:kern w:val="2"/>
          <w:sz w:val="32"/>
          <w:szCs w:val="32"/>
        </w:rPr>
      </w:pPr>
      <w:r>
        <w:rPr>
          <w:rFonts w:ascii="仿宋" w:hAnsi="仿宋" w:eastAsia="仿宋" w:cs="仿宋"/>
          <w:kern w:val="2"/>
          <w:sz w:val="32"/>
          <w:szCs w:val="32"/>
        </w:rPr>
        <w:t>主体资格证照名称：</w:t>
      </w:r>
      <w:r>
        <w:rPr>
          <w:rFonts w:hint="eastAsia" w:ascii="仿宋" w:hAnsi="仿宋" w:eastAsia="仿宋" w:cs="仿宋"/>
          <w:kern w:val="2"/>
          <w:sz w:val="32"/>
          <w:szCs w:val="32"/>
        </w:rPr>
        <w:t>营业执照</w:t>
      </w:r>
    </w:p>
    <w:p>
      <w:pPr>
        <w:widowControl w:val="0"/>
        <w:adjustRightInd/>
        <w:snapToGrid/>
        <w:spacing w:after="0" w:line="460" w:lineRule="exact"/>
        <w:ind w:firstLine="640" w:firstLineChars="200"/>
        <w:rPr>
          <w:rFonts w:ascii="仿宋" w:hAnsi="仿宋" w:eastAsia="仿宋"/>
          <w:sz w:val="32"/>
          <w:szCs w:val="32"/>
        </w:rPr>
      </w:pPr>
      <w:r>
        <w:rPr>
          <w:rFonts w:hint="eastAsia" w:ascii="仿宋" w:hAnsi="仿宋" w:eastAsia="仿宋"/>
          <w:sz w:val="32"/>
          <w:szCs w:val="32"/>
        </w:rPr>
        <w:t>社会信用代码：91210112559979571N</w:t>
      </w:r>
    </w:p>
    <w:p>
      <w:pPr>
        <w:widowControl w:val="0"/>
        <w:adjustRightInd/>
        <w:snapToGrid/>
        <w:spacing w:after="0" w:line="460" w:lineRule="exact"/>
        <w:ind w:firstLine="640" w:firstLineChars="200"/>
        <w:rPr>
          <w:rFonts w:ascii="仿宋" w:hAnsi="仿宋" w:eastAsia="仿宋" w:cs="仿宋"/>
          <w:kern w:val="2"/>
          <w:sz w:val="32"/>
          <w:szCs w:val="32"/>
        </w:rPr>
      </w:pPr>
      <w:r>
        <w:rPr>
          <w:rFonts w:ascii="仿宋" w:hAnsi="仿宋" w:eastAsia="仿宋" w:cs="仿宋"/>
          <w:kern w:val="2"/>
          <w:sz w:val="32"/>
          <w:szCs w:val="32"/>
        </w:rPr>
        <w:t>住所（住址）：</w:t>
      </w:r>
      <w:r>
        <w:rPr>
          <w:rFonts w:hint="eastAsia" w:ascii="仿宋" w:hAnsi="仿宋" w:eastAsia="仿宋" w:cs="仿宋"/>
          <w:kern w:val="2"/>
          <w:sz w:val="32"/>
          <w:szCs w:val="32"/>
        </w:rPr>
        <w:t>辽宁省沈抚示范区深井子镇深井子村</w:t>
      </w:r>
    </w:p>
    <w:p>
      <w:pPr>
        <w:widowControl w:val="0"/>
        <w:adjustRightInd/>
        <w:snapToGrid/>
        <w:spacing w:after="0" w:line="460" w:lineRule="exact"/>
        <w:ind w:firstLine="640" w:firstLineChars="200"/>
        <w:rPr>
          <w:rFonts w:ascii="仿宋" w:hAnsi="仿宋" w:eastAsia="仿宋"/>
          <w:sz w:val="32"/>
          <w:szCs w:val="32"/>
        </w:rPr>
      </w:pPr>
      <w:r>
        <w:rPr>
          <w:rFonts w:ascii="仿宋" w:hAnsi="仿宋" w:eastAsia="仿宋" w:cs="仿宋"/>
          <w:kern w:val="2"/>
          <w:sz w:val="32"/>
          <w:szCs w:val="32"/>
        </w:rPr>
        <w:t>法定代表人（负责人、经营者）：</w:t>
      </w:r>
      <w:r>
        <w:rPr>
          <w:rFonts w:hint="eastAsia" w:ascii="仿宋" w:hAnsi="仿宋" w:eastAsia="仿宋"/>
          <w:sz w:val="32"/>
          <w:szCs w:val="32"/>
        </w:rPr>
        <w:t>黄瑶</w:t>
      </w:r>
    </w:p>
    <w:p>
      <w:pPr>
        <w:ind w:firstLine="630"/>
        <w:rPr>
          <w:rFonts w:asciiTheme="minorEastAsia" w:hAnsiTheme="minorEastAsia" w:eastAsiaTheme="minorEastAsia"/>
          <w:sz w:val="32"/>
          <w:szCs w:val="32"/>
        </w:rPr>
      </w:pPr>
      <w:bookmarkStart w:id="0" w:name="_GoBack"/>
      <w:bookmarkEnd w:id="0"/>
      <w:r>
        <w:rPr>
          <w:rFonts w:hint="eastAsia" w:asciiTheme="minorEastAsia" w:hAnsiTheme="minorEastAsia" w:eastAsiaTheme="minorEastAsia"/>
          <w:sz w:val="32"/>
          <w:szCs w:val="32"/>
        </w:rPr>
        <w:t>2021年7月14日，我局接到沈阳市市场监督管理局案件交办通知书【沈市监稽交字【2021】175号】，内容为沈阳鑫贸大药房深井子店</w:t>
      </w:r>
      <w:r>
        <w:rPr>
          <w:rFonts w:hint="eastAsia" w:cs="仿宋" w:asciiTheme="minorEastAsia" w:hAnsiTheme="minorEastAsia" w:eastAsiaTheme="minorEastAsia"/>
          <w:sz w:val="32"/>
          <w:szCs w:val="32"/>
        </w:rPr>
        <w:t>销售的“马来酸氨氯地平片”</w:t>
      </w:r>
      <w:r>
        <w:rPr>
          <w:rFonts w:hint="eastAsia" w:asciiTheme="minorEastAsia" w:hAnsiTheme="minorEastAsia" w:eastAsiaTheme="minorEastAsia"/>
          <w:sz w:val="32"/>
          <w:szCs w:val="32"/>
        </w:rPr>
        <w:t>（生产企业：陕西超群制药有限公司；规格：5mg X 14片；批号：181201）为劣药，沈阳鑫贸大药房深井子店是从辽宁北药百草医药有限公司购进的该批号劣药“马来酸氨氯地平片”，该药店涉嫌销售劣药，请结合实际情况，依法开展调查处理。</w:t>
      </w:r>
    </w:p>
    <w:p>
      <w:pPr>
        <w:ind w:firstLine="630"/>
        <w:rPr>
          <w:rFonts w:asciiTheme="minorEastAsia" w:hAnsiTheme="minorEastAsia" w:eastAsiaTheme="minorEastAsia"/>
          <w:sz w:val="32"/>
          <w:szCs w:val="32"/>
        </w:rPr>
      </w:pPr>
      <w:r>
        <w:rPr>
          <w:rFonts w:hint="eastAsia" w:asciiTheme="minorEastAsia" w:hAnsiTheme="minorEastAsia" w:eastAsiaTheme="minorEastAsia"/>
          <w:sz w:val="32"/>
          <w:szCs w:val="32"/>
        </w:rPr>
        <w:t>2021年7月16日，执法人员石江坤、徐菲前往现场开展调查。检查中发现当事人销售的 “马来酸氨氯地平片”（生产企业：陕西超群制药有限公司；规格：5mg X 14片；批号：181201）正是从辽宁北药百草医药有限公司采购的，且已于2019年9月10日全部售完。当事人现场提供了该批药品的随货同行单等相关材料，但现场无法提供全部的材料，执法人员当场向当事人下达了《限期提供材料通知书》，限其5日内向我局提供全部相关材料及票据。</w:t>
      </w:r>
    </w:p>
    <w:p>
      <w:pPr>
        <w:spacing w:line="500" w:lineRule="exact"/>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sz w:val="32"/>
          <w:szCs w:val="32"/>
        </w:rPr>
        <w:t>当事人涉嫌销售劣药“马来酸氨氯地平片”，经局领导研究决定，</w:t>
      </w:r>
      <w:r>
        <w:rPr>
          <w:rFonts w:hint="eastAsia" w:asciiTheme="minorEastAsia" w:hAnsiTheme="minorEastAsia" w:eastAsiaTheme="minorEastAsia"/>
          <w:color w:val="000000"/>
          <w:sz w:val="32"/>
          <w:szCs w:val="32"/>
        </w:rPr>
        <w:t>2021</w:t>
      </w:r>
      <w:r>
        <w:rPr>
          <w:rFonts w:hint="eastAsia" w:asciiTheme="minorEastAsia" w:hAnsiTheme="minorEastAsia" w:eastAsiaTheme="minorEastAsia"/>
          <w:sz w:val="32"/>
          <w:szCs w:val="32"/>
        </w:rPr>
        <w:t>年7月20日</w:t>
      </w:r>
      <w:r>
        <w:rPr>
          <w:rFonts w:hint="eastAsia" w:asciiTheme="minorEastAsia" w:hAnsiTheme="minorEastAsia" w:eastAsiaTheme="minorEastAsia"/>
          <w:color w:val="000000"/>
          <w:sz w:val="32"/>
          <w:szCs w:val="32"/>
        </w:rPr>
        <w:t>，经主管领导批准，对该单位</w:t>
      </w:r>
      <w:r>
        <w:rPr>
          <w:rFonts w:hint="eastAsia" w:asciiTheme="minorEastAsia" w:hAnsiTheme="minorEastAsia" w:eastAsiaTheme="minorEastAsia"/>
          <w:sz w:val="32"/>
          <w:szCs w:val="32"/>
        </w:rPr>
        <w:t>销售劣药“马来酸氨氯地平片”</w:t>
      </w:r>
      <w:r>
        <w:rPr>
          <w:rFonts w:hint="eastAsia" w:asciiTheme="minorEastAsia" w:hAnsiTheme="minorEastAsia" w:eastAsiaTheme="minorEastAsia"/>
          <w:color w:val="000000"/>
          <w:sz w:val="32"/>
          <w:szCs w:val="32"/>
        </w:rPr>
        <w:t>药品行为进行立案调查。并</w:t>
      </w:r>
      <w:r>
        <w:rPr>
          <w:rFonts w:hint="eastAsia" w:asciiTheme="minorEastAsia" w:hAnsiTheme="minorEastAsia" w:eastAsiaTheme="minorEastAsia"/>
          <w:sz w:val="32"/>
          <w:szCs w:val="32"/>
        </w:rPr>
        <w:t>向当事人下达了《询问通知书》，于2021年7月23日对当事人法人进行了询问并制作了询问调查笔录。</w:t>
      </w:r>
    </w:p>
    <w:p>
      <w:pPr>
        <w:ind w:firstLine="630"/>
        <w:rPr>
          <w:rFonts w:asciiTheme="minorEastAsia" w:hAnsiTheme="minorEastAsia" w:eastAsiaTheme="minorEastAsia"/>
          <w:sz w:val="32"/>
          <w:szCs w:val="32"/>
        </w:rPr>
      </w:pPr>
      <w:r>
        <w:rPr>
          <w:rFonts w:hint="eastAsia" w:asciiTheme="minorEastAsia" w:hAnsiTheme="minorEastAsia" w:eastAsiaTheme="minorEastAsia"/>
          <w:sz w:val="32"/>
          <w:szCs w:val="32"/>
        </w:rPr>
        <w:t>调查认定的事实：经调查，当事人于2019年8月13日从辽宁北药百草医药有限公司购进10盒“马来酸氨氯地平片”（批号：181201）均为劣药。每盒购进单价为15.50元，共计购进金额155.00元。当事人在2019年8月20日卖了2盒；2019年8月27日卖了1盒；2019年8月30日卖了3盒；2019年9月10日卖了4盒；合计10盒。每盒销售单价为16.50元，总计销售金额为165.00元。该药品的违法所得金额为10.00元。当事人提供了该药品的随货同行单及相关票据。</w:t>
      </w:r>
    </w:p>
    <w:p>
      <w:pPr>
        <w:ind w:firstLine="630"/>
        <w:rPr>
          <w:rFonts w:asciiTheme="minorEastAsia" w:hAnsiTheme="minorEastAsia" w:eastAsiaTheme="minorEastAsia"/>
          <w:sz w:val="32"/>
          <w:szCs w:val="32"/>
        </w:rPr>
      </w:pPr>
      <w:r>
        <w:rPr>
          <w:rFonts w:hint="eastAsia" w:asciiTheme="minorEastAsia" w:hAnsiTheme="minorEastAsia" w:eastAsiaTheme="minorEastAsia"/>
          <w:sz w:val="32"/>
          <w:szCs w:val="32"/>
        </w:rPr>
        <w:t>上述事实主要有以下证据证明：</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1.沈阳市市场监督管理局案件交办通知书【沈市监稽交字【2021】175号】，证明案件来源；</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2.当事人营业执照复印件一份，证明当事人具备承担法律责任的合法主体资格；</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3.当事人《药品经营许可证》复印件、《药品经营质量管理规范认证证书》复印件各一份，证明当事人具有经营相关药品的合法资质； </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4.辽宁北药百草医药有限公司的《营业执照》复印件、《药品经营许可证》复印件各一份，证明该公司具有销售相关药品的合法资质；</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5.当事人法人身份证复印件一份，证明法人黄瑶具备接受调查等相关权限；</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现场笔录和询问笔录各一份、当事人进销货管理系统截图5张、发票、销售货物或者提供应税劳务、服务清单复印件一份、辽宁北药百草医药有限公司销售出库销售复核清单复印件两份，辽宁北药百草医药有限公司授权委托书复印件一份、药品质量保证协议书复印件一份、陕西超群制药有限公司检验报告书复印件一份，该药品价签一个，证明当事人进销存货情况及购进该药品相关的资质材料、票据、进销货价格等情况；</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7.汕尾市食品药品检验所检验报告复印件2份，证明该批次的药品为劣药；</w:t>
      </w:r>
    </w:p>
    <w:p>
      <w:pPr>
        <w:pStyle w:val="13"/>
        <w:spacing w:line="500" w:lineRule="exact"/>
        <w:ind w:firstLine="640"/>
        <w:rPr>
          <w:rFonts w:cs="仿宋_GB2312" w:asciiTheme="minorEastAsia" w:hAnsiTheme="minorEastAsia" w:eastAsiaTheme="minorEastAsia"/>
          <w:sz w:val="32"/>
          <w:szCs w:val="32"/>
        </w:rPr>
      </w:pPr>
      <w:r>
        <w:rPr>
          <w:rFonts w:hint="eastAsia" w:asciiTheme="minorEastAsia" w:hAnsiTheme="minorEastAsia" w:eastAsiaTheme="minorEastAsia"/>
          <w:sz w:val="32"/>
          <w:szCs w:val="32"/>
        </w:rPr>
        <w:t>8.执法记录仪影像资料1份，</w:t>
      </w:r>
      <w:r>
        <w:rPr>
          <w:rFonts w:hint="eastAsia" w:cs="仿宋_GB2312" w:asciiTheme="minorEastAsia" w:hAnsiTheme="minorEastAsia" w:eastAsiaTheme="minorEastAsia"/>
          <w:sz w:val="32"/>
          <w:szCs w:val="32"/>
        </w:rPr>
        <w:t>证明执法人员到现场核实调查；</w:t>
      </w: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2021年8月11日，</w:t>
      </w:r>
      <w:r>
        <w:rPr>
          <w:rFonts w:hint="eastAsia" w:cs="Times New Roman" w:asciiTheme="minorEastAsia" w:hAnsiTheme="minorEastAsia" w:eastAsiaTheme="minorEastAsia"/>
          <w:kern w:val="2"/>
          <w:sz w:val="32"/>
          <w:szCs w:val="32"/>
        </w:rPr>
        <w:t>本局向当事人送达了《行政处罚告知书》（沈浑南市监罚告药[2021]</w:t>
      </w:r>
      <w:r>
        <w:rPr>
          <w:rFonts w:hint="eastAsia" w:cs="仿宋_GB2312" w:asciiTheme="minorEastAsia" w:hAnsiTheme="minorEastAsia" w:eastAsiaTheme="minorEastAsia"/>
          <w:sz w:val="32"/>
          <w:szCs w:val="32"/>
        </w:rPr>
        <w:t>03-006</w:t>
      </w:r>
      <w:r>
        <w:rPr>
          <w:rFonts w:hint="eastAsia" w:cs="Times New Roman" w:asciiTheme="minorEastAsia" w:hAnsiTheme="minorEastAsia" w:eastAsiaTheme="minorEastAsia"/>
          <w:kern w:val="2"/>
          <w:sz w:val="32"/>
          <w:szCs w:val="32"/>
        </w:rPr>
        <w:t>号），</w:t>
      </w:r>
      <w:r>
        <w:rPr>
          <w:rFonts w:cs="仿宋" w:asciiTheme="minorEastAsia" w:hAnsiTheme="minorEastAsia" w:eastAsiaTheme="minorEastAsia"/>
          <w:kern w:val="2"/>
          <w:sz w:val="32"/>
          <w:szCs w:val="32"/>
        </w:rPr>
        <w:t>告知当事人拟作出的行政处罚内容及事实、理由、依据，并告知当事人依法享有陈述权、申辩权</w:t>
      </w:r>
      <w:r>
        <w:rPr>
          <w:rFonts w:hint="eastAsia" w:cs="仿宋" w:asciiTheme="minorEastAsia" w:hAnsiTheme="minorEastAsia" w:eastAsiaTheme="minorEastAsia"/>
          <w:kern w:val="2"/>
          <w:sz w:val="32"/>
          <w:szCs w:val="32"/>
        </w:rPr>
        <w:t>和</w:t>
      </w:r>
      <w:r>
        <w:rPr>
          <w:rFonts w:cs="仿宋" w:asciiTheme="minorEastAsia" w:hAnsiTheme="minorEastAsia" w:eastAsiaTheme="minorEastAsia"/>
          <w:kern w:val="2"/>
          <w:sz w:val="32"/>
          <w:szCs w:val="32"/>
        </w:rPr>
        <w:t>听证的权利。</w:t>
      </w:r>
      <w:r>
        <w:rPr>
          <w:rFonts w:hint="eastAsia" w:cs="仿宋" w:asciiTheme="minorEastAsia" w:hAnsiTheme="minorEastAsia" w:eastAsiaTheme="minorEastAsia"/>
          <w:kern w:val="2"/>
          <w:sz w:val="32"/>
          <w:szCs w:val="32"/>
        </w:rPr>
        <w:t>当事人在规定期限内未陈述、申辩理由和听证申请。</w:t>
      </w:r>
    </w:p>
    <w:p>
      <w:pPr>
        <w:ind w:left="630"/>
        <w:rPr>
          <w:rFonts w:asciiTheme="minorEastAsia" w:hAnsiTheme="minorEastAsia" w:eastAsiaTheme="minorEastAsia"/>
          <w:sz w:val="32"/>
          <w:szCs w:val="32"/>
        </w:rPr>
      </w:pPr>
      <w:r>
        <w:rPr>
          <w:rFonts w:hint="eastAsia" w:asciiTheme="minorEastAsia" w:hAnsiTheme="minorEastAsia" w:eastAsiaTheme="minorEastAsia"/>
          <w:sz w:val="32"/>
          <w:szCs w:val="32"/>
        </w:rPr>
        <w:t>本局认为，当事人销售劣药“马来酸氨氯地平片”（生</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产企业：陕西超群制药有限公司；规格：5mg X 14片；批号：181201）行为存在。根据《中华人民共和国药品管理法》</w:t>
      </w:r>
      <w:r>
        <w:rPr>
          <w:rFonts w:hint="eastAsia" w:cs="仿宋" w:asciiTheme="minorEastAsia" w:hAnsiTheme="minorEastAsia" w:eastAsiaTheme="minorEastAsia"/>
          <w:color w:val="231F20"/>
          <w:sz w:val="32"/>
          <w:szCs w:val="32"/>
        </w:rPr>
        <w:t>第九十八条第三款第七项的规定</w:t>
      </w:r>
      <w:r>
        <w:rPr>
          <w:rFonts w:hint="eastAsia" w:asciiTheme="minorEastAsia" w:hAnsiTheme="minorEastAsia" w:eastAsiaTheme="minorEastAsia"/>
          <w:sz w:val="32"/>
          <w:szCs w:val="32"/>
        </w:rPr>
        <w:t>，当事人涉嫌构成销售劣药“马来酸氨氯地平片”违法行为。</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000000"/>
          <w:sz w:val="32"/>
          <w:szCs w:val="32"/>
        </w:rPr>
        <w:t>鉴于该单位2019年 8月13日，从辽宁北药百草医药有限公司购进</w:t>
      </w:r>
      <w:r>
        <w:rPr>
          <w:rFonts w:hint="eastAsia" w:asciiTheme="minorEastAsia" w:hAnsiTheme="minorEastAsia" w:eastAsiaTheme="minorEastAsia"/>
          <w:sz w:val="32"/>
          <w:szCs w:val="32"/>
        </w:rPr>
        <w:t>“马来酸氨氯地平片”的随货同行单和相关资质票据齐全。并于2020年4月23日接到</w:t>
      </w:r>
      <w:r>
        <w:rPr>
          <w:rFonts w:hint="eastAsia" w:asciiTheme="minorEastAsia" w:hAnsiTheme="minorEastAsia" w:eastAsiaTheme="minorEastAsia"/>
          <w:color w:val="000000"/>
          <w:sz w:val="32"/>
          <w:szCs w:val="32"/>
        </w:rPr>
        <w:t>辽宁北药百草医药有限公司《药品召回通知单》后，立即对该药品进行召回。履行了召回职责 。 依据《中华人民共和国药品管理法实施条例》</w:t>
      </w:r>
      <w:r>
        <w:rPr>
          <w:rFonts w:cs="Arial" w:asciiTheme="minorEastAsia" w:hAnsiTheme="minorEastAsia" w:eastAsiaTheme="minorEastAsia"/>
          <w:b/>
          <w:bCs/>
          <w:color w:val="333333"/>
          <w:sz w:val="32"/>
          <w:szCs w:val="32"/>
          <w:shd w:val="clear" w:color="auto" w:fill="FFFFFF"/>
        </w:rPr>
        <w:t>第七十五条</w:t>
      </w:r>
      <w:r>
        <w:rPr>
          <w:rFonts w:cs="Arial" w:asciiTheme="minorEastAsia" w:hAnsiTheme="minorEastAsia" w:eastAsiaTheme="minorEastAsia"/>
          <w:color w:val="333333"/>
          <w:sz w:val="32"/>
          <w:szCs w:val="32"/>
          <w:shd w:val="clear" w:color="auto" w:fill="FFFFFF"/>
        </w:rPr>
        <w:t>药品经营企业、医疗机构未违反《药品管理法》和本条例的有关规定，并有充分证据证明其不知道所销售或者使用的药品是假药、劣药的，应当没收其销售或者使用的假药、劣药和违法所得；但是，可以免除其他行政处罚。</w:t>
      </w:r>
      <w:r>
        <w:rPr>
          <w:rFonts w:hint="eastAsia" w:asciiTheme="minorEastAsia" w:hAnsiTheme="minorEastAsia" w:eastAsiaTheme="minorEastAsia"/>
          <w:color w:val="000000"/>
          <w:sz w:val="32"/>
          <w:szCs w:val="32"/>
        </w:rPr>
        <w:t xml:space="preserve">                                                                                                                                                                                                                                                                                                                                                                            </w:t>
      </w:r>
    </w:p>
    <w:p>
      <w:pPr>
        <w:ind w:left="630"/>
        <w:rPr>
          <w:rFonts w:asciiTheme="minorEastAsia" w:hAnsiTheme="minorEastAsia" w:eastAsiaTheme="minorEastAsia"/>
          <w:sz w:val="32"/>
          <w:szCs w:val="32"/>
        </w:rPr>
      </w:pPr>
      <w:r>
        <w:rPr>
          <w:rFonts w:hint="eastAsia" w:asciiTheme="minorEastAsia" w:hAnsiTheme="minorEastAsia" w:eastAsiaTheme="minorEastAsia"/>
          <w:sz w:val="32"/>
          <w:szCs w:val="32"/>
        </w:rPr>
        <w:t>处理意见及依据：</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根据《</w:t>
      </w:r>
      <w:r>
        <w:rPr>
          <w:rFonts w:hint="eastAsia" w:asciiTheme="minorEastAsia" w:hAnsiTheme="minorEastAsia" w:eastAsiaTheme="minorEastAsia"/>
          <w:color w:val="000000"/>
          <w:sz w:val="32"/>
          <w:szCs w:val="32"/>
        </w:rPr>
        <w:t>《中华人民共和国药品管理法实施条例》</w:t>
      </w:r>
      <w:r>
        <w:rPr>
          <w:rFonts w:cs="Arial" w:asciiTheme="minorEastAsia" w:hAnsiTheme="minorEastAsia" w:eastAsiaTheme="minorEastAsia"/>
          <w:b/>
          <w:bCs/>
          <w:color w:val="333333"/>
          <w:sz w:val="32"/>
          <w:szCs w:val="32"/>
          <w:shd w:val="clear" w:color="auto" w:fill="FFFFFF"/>
        </w:rPr>
        <w:t>第七十</w:t>
      </w:r>
      <w:r>
        <w:rPr>
          <w:rFonts w:cs="Arial" w:asciiTheme="minorEastAsia" w:hAnsiTheme="minorEastAsia" w:eastAsiaTheme="minorEastAsia"/>
          <w:b/>
          <w:bCs/>
          <w:color w:val="333333"/>
          <w:kern w:val="21"/>
          <w:sz w:val="32"/>
          <w:szCs w:val="32"/>
          <w:shd w:val="clear" w:color="auto" w:fill="FFFFFF"/>
        </w:rPr>
        <w:t>五条</w:t>
      </w:r>
      <w:r>
        <w:rPr>
          <w:rFonts w:hint="eastAsia" w:cs="Arial" w:asciiTheme="minorEastAsia" w:hAnsiTheme="minorEastAsia" w:eastAsiaTheme="minorEastAsia"/>
          <w:b/>
          <w:bCs/>
          <w:color w:val="333333"/>
          <w:kern w:val="21"/>
          <w:sz w:val="32"/>
          <w:szCs w:val="32"/>
          <w:shd w:val="clear" w:color="auto" w:fill="FFFFFF"/>
        </w:rPr>
        <w:t>的</w:t>
      </w:r>
      <w:r>
        <w:rPr>
          <w:rFonts w:hint="eastAsia" w:asciiTheme="minorEastAsia" w:hAnsiTheme="minorEastAsia" w:eastAsiaTheme="minorEastAsia"/>
          <w:kern w:val="21"/>
          <w:sz w:val="32"/>
          <w:szCs w:val="32"/>
        </w:rPr>
        <w:t>规定，决定对当事人</w:t>
      </w:r>
      <w:r>
        <w:rPr>
          <w:rFonts w:hint="eastAsia" w:asciiTheme="minorEastAsia" w:hAnsiTheme="minorEastAsia" w:eastAsiaTheme="minorEastAsia"/>
          <w:sz w:val="32"/>
          <w:szCs w:val="32"/>
        </w:rPr>
        <w:t>做出以下处罚：</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没收违法所得10.00元。</w:t>
      </w: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当事人应当自收到本处罚决定书之日起十五日内，到我局科技与财务科开具《辽宁省非税收入电子缴款通知书》，并将罚款缴至非税收入财政汇缴专户，帐户名称：辽宁省非税收入待解缴帐户。逾期不缴纳罚款，本局将根据《中华人民共和国行政处罚法》第五十一条第一款第（一）项、第（三）项的规定，每日按罚款数额的百分之三加处罚款并申请人民法院强制执行。</w:t>
      </w: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如不服本行政处罚决定，可以在收到本决定之日起60日内向沈阳市市场监督管理局或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 xml:space="preserve">                                </w:t>
      </w: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 xml:space="preserve">                    沈阳市浑南区市场监督管理局    </w:t>
      </w:r>
    </w:p>
    <w:p>
      <w:pPr>
        <w:widowControl w:val="0"/>
        <w:adjustRightInd/>
        <w:snapToGrid/>
        <w:spacing w:after="0" w:line="460" w:lineRule="exact"/>
        <w:ind w:left="4798" w:leftChars="290" w:hanging="4160" w:hangingChars="130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 xml:space="preserve">                             （印 章）         </w:t>
      </w:r>
    </w:p>
    <w:p>
      <w:pPr>
        <w:widowControl w:val="0"/>
        <w:adjustRightInd/>
        <w:snapToGrid/>
        <w:spacing w:after="0" w:line="460" w:lineRule="exact"/>
        <w:ind w:firstLine="4640" w:firstLineChars="145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 xml:space="preserve">2021年8月19日    </w:t>
      </w: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spacing w:before="105" w:line="183" w:lineRule="auto"/>
        <w:ind w:firstLine="403"/>
        <w:rPr>
          <w:rFonts w:ascii="仿宋_GB2312" w:hAnsi="仿宋" w:eastAsia="仿宋_GB2312" w:cs="仿宋"/>
          <w:kern w:val="2"/>
          <w:sz w:val="32"/>
          <w:szCs w:val="32"/>
        </w:rPr>
      </w:pPr>
      <w:r>
        <w:rPr>
          <w:rFonts w:ascii="黑体" w:hAnsi="黑体" w:eastAsia="黑体" w:cs="黑体"/>
          <w:color w:val="231F20"/>
          <w:spacing w:val="-31"/>
          <w:sz w:val="32"/>
          <w:szCs w:val="32"/>
        </w:rPr>
        <w:t>（市场监督管理部门将依法向社会公开行政处罚决定信息）</w:t>
      </w:r>
    </w:p>
    <w:p>
      <w:pPr>
        <w:spacing w:line="460" w:lineRule="exact"/>
        <w:rPr>
          <w:rFonts w:ascii="Microsoft JhengHei"/>
        </w:rPr>
      </w:pPr>
    </w:p>
    <w:p>
      <w:pPr>
        <w:spacing w:line="460"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cstate="print"/>
                    <a:stretch>
                      <a:fillRect/>
                    </a:stretch>
                  </pic:blipFill>
                  <pic:spPr>
                    <a:xfrm>
                      <a:off x="0" y="0"/>
                      <a:ext cx="5550535" cy="16509"/>
                    </a:xfrm>
                    <a:prstGeom prst="rect">
                      <a:avLst/>
                    </a:prstGeom>
                  </pic:spPr>
                </pic:pic>
              </a:graphicData>
            </a:graphic>
          </wp:inline>
        </w:drawing>
      </w:r>
    </w:p>
    <w:p>
      <w:pPr>
        <w:spacing w:before="106" w:line="460" w:lineRule="exact"/>
        <w:ind w:firstLine="231"/>
        <w:rPr>
          <w:rFonts w:eastAsia="仿宋"/>
        </w:rPr>
        <w:sectPr>
          <w:headerReference r:id="rId4" w:type="default"/>
          <w:footerReference r:id="rId5" w:type="default"/>
          <w:pgSz w:w="11906" w:h="16839"/>
          <w:pgMar w:top="400" w:right="1581" w:bottom="1126" w:left="1583" w:header="0" w:footer="929" w:gutter="0"/>
          <w:cols w:space="720" w:num="1"/>
        </w:sectPr>
      </w:pPr>
      <w:r>
        <w:rPr>
          <w:rFonts w:ascii="仿宋" w:hAnsi="仿宋" w:eastAsia="仿宋" w:cs="仿宋"/>
          <w:spacing w:val="-10"/>
          <w:sz w:val="32"/>
          <w:szCs w:val="32"/>
        </w:rPr>
        <w:t>本文书一式</w:t>
      </w:r>
      <w:r>
        <w:rPr>
          <w:rFonts w:hint="eastAsia" w:ascii="仿宋" w:hAnsi="仿宋" w:eastAsia="仿宋" w:cs="仿宋"/>
          <w:spacing w:val="6"/>
          <w:sz w:val="32"/>
          <w:szCs w:val="32"/>
        </w:rPr>
        <w:t>四</w:t>
      </w:r>
      <w:r>
        <w:rPr>
          <w:rFonts w:ascii="仿宋" w:hAnsi="仿宋" w:eastAsia="仿宋" w:cs="仿宋"/>
          <w:spacing w:val="-10"/>
          <w:sz w:val="32"/>
          <w:szCs w:val="32"/>
        </w:rPr>
        <w:t>份，</w:t>
      </w:r>
      <w:r>
        <w:rPr>
          <w:rFonts w:hint="eastAsia" w:ascii="仿宋" w:hAnsi="仿宋" w:eastAsia="仿宋" w:cs="仿宋"/>
          <w:spacing w:val="20"/>
          <w:sz w:val="32"/>
          <w:szCs w:val="32"/>
        </w:rPr>
        <w:t>一</w:t>
      </w:r>
      <w:r>
        <w:rPr>
          <w:rFonts w:ascii="仿宋" w:hAnsi="仿宋" w:eastAsia="仿宋" w:cs="仿宋"/>
          <w:spacing w:val="-10"/>
          <w:sz w:val="32"/>
          <w:szCs w:val="32"/>
        </w:rPr>
        <w:t>份送达，</w:t>
      </w:r>
      <w:r>
        <w:rPr>
          <w:rFonts w:hint="eastAsia" w:ascii="仿宋" w:hAnsi="仿宋" w:eastAsia="仿宋" w:cs="仿宋"/>
          <w:spacing w:val="-10"/>
          <w:sz w:val="32"/>
          <w:szCs w:val="32"/>
        </w:rPr>
        <w:t>二</w:t>
      </w:r>
      <w:r>
        <w:rPr>
          <w:rFonts w:ascii="仿宋" w:hAnsi="仿宋" w:eastAsia="仿宋" w:cs="仿宋"/>
          <w:spacing w:val="-10"/>
          <w:sz w:val="32"/>
          <w:szCs w:val="32"/>
        </w:rPr>
        <w:t>份归档，</w:t>
      </w:r>
      <w:r>
        <w:rPr>
          <w:rFonts w:hint="eastAsia" w:ascii="仿宋" w:hAnsi="仿宋" w:eastAsia="仿宋" w:cs="仿宋"/>
          <w:spacing w:val="3"/>
          <w:sz w:val="32"/>
          <w:szCs w:val="32"/>
        </w:rPr>
        <w:t>两份办案部门留存 。</w:t>
      </w:r>
    </w:p>
    <w:p>
      <w:pPr>
        <w:spacing w:line="460" w:lineRule="exac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400"/>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14C98"/>
    <w:rsid w:val="00126A2B"/>
    <w:rsid w:val="00132C75"/>
    <w:rsid w:val="0018616E"/>
    <w:rsid w:val="00187398"/>
    <w:rsid w:val="00192573"/>
    <w:rsid w:val="002923F4"/>
    <w:rsid w:val="002C3C4A"/>
    <w:rsid w:val="00323B43"/>
    <w:rsid w:val="00327845"/>
    <w:rsid w:val="003972DC"/>
    <w:rsid w:val="003C2DA4"/>
    <w:rsid w:val="003D37D8"/>
    <w:rsid w:val="00426133"/>
    <w:rsid w:val="004358AB"/>
    <w:rsid w:val="00464492"/>
    <w:rsid w:val="0049759C"/>
    <w:rsid w:val="004E0E45"/>
    <w:rsid w:val="00502797"/>
    <w:rsid w:val="00585C87"/>
    <w:rsid w:val="005E1586"/>
    <w:rsid w:val="006457F3"/>
    <w:rsid w:val="00653216"/>
    <w:rsid w:val="00724434"/>
    <w:rsid w:val="007422AA"/>
    <w:rsid w:val="00776501"/>
    <w:rsid w:val="00792DF7"/>
    <w:rsid w:val="007B77AE"/>
    <w:rsid w:val="008132F5"/>
    <w:rsid w:val="008B7726"/>
    <w:rsid w:val="008C24C2"/>
    <w:rsid w:val="008E62E9"/>
    <w:rsid w:val="00911E16"/>
    <w:rsid w:val="009B54BF"/>
    <w:rsid w:val="009F5A85"/>
    <w:rsid w:val="00A42F5D"/>
    <w:rsid w:val="00A81DF7"/>
    <w:rsid w:val="00A93711"/>
    <w:rsid w:val="00B06674"/>
    <w:rsid w:val="00B25376"/>
    <w:rsid w:val="00B37945"/>
    <w:rsid w:val="00B76902"/>
    <w:rsid w:val="00C520B3"/>
    <w:rsid w:val="00CB11E9"/>
    <w:rsid w:val="00D31D50"/>
    <w:rsid w:val="00D42A8C"/>
    <w:rsid w:val="00D6474B"/>
    <w:rsid w:val="00DA03D8"/>
    <w:rsid w:val="00DA1BED"/>
    <w:rsid w:val="00DE7CFB"/>
    <w:rsid w:val="00E062C9"/>
    <w:rsid w:val="00E157CC"/>
    <w:rsid w:val="00E43ACF"/>
    <w:rsid w:val="00E51F54"/>
    <w:rsid w:val="00E66EC3"/>
    <w:rsid w:val="00ED4F04"/>
    <w:rsid w:val="00FA45E2"/>
    <w:rsid w:val="00FB3DB6"/>
    <w:rsid w:val="02EF48B9"/>
    <w:rsid w:val="057973EC"/>
    <w:rsid w:val="178E75FA"/>
    <w:rsid w:val="268643FF"/>
    <w:rsid w:val="2A190CCC"/>
    <w:rsid w:val="434A41A7"/>
    <w:rsid w:val="73FC0287"/>
    <w:rsid w:val="745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pPr>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iPriority w:val="0"/>
    <w:pPr>
      <w:widowControl w:val="0"/>
      <w:adjustRightInd/>
      <w:snapToGrid/>
      <w:spacing w:before="100" w:beforeAutospacing="1" w:after="100" w:afterAutospacing="1"/>
    </w:pPr>
    <w:rPr>
      <w:rFonts w:ascii="Calibri" w:hAnsi="Calibri" w:eastAsia="宋体" w:cs="Times New Roman"/>
      <w:sz w:val="24"/>
      <w:szCs w:val="24"/>
    </w:rPr>
  </w:style>
  <w:style w:type="character" w:customStyle="1" w:styleId="8">
    <w:name w:val="页眉 Char"/>
    <w:basedOn w:val="7"/>
    <w:link w:val="4"/>
    <w:semiHidden/>
    <w:uiPriority w:val="99"/>
    <w:rPr>
      <w:rFonts w:ascii="Tahoma" w:hAnsi="Tahoma"/>
      <w:sz w:val="18"/>
      <w:szCs w:val="18"/>
    </w:rPr>
  </w:style>
  <w:style w:type="character" w:customStyle="1" w:styleId="9">
    <w:name w:val="页脚 Char"/>
    <w:basedOn w:val="7"/>
    <w:link w:val="3"/>
    <w:semiHidden/>
    <w:uiPriority w:val="99"/>
    <w:rPr>
      <w:rFonts w:ascii="Tahoma" w:hAnsi="Tahoma"/>
      <w:sz w:val="18"/>
      <w:szCs w:val="18"/>
    </w:rPr>
  </w:style>
  <w:style w:type="table" w:customStyle="1" w:styleId="10">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rFonts w:ascii="Tahoma" w:hAnsi="Tahoma"/>
      <w:sz w:val="18"/>
      <w:szCs w:val="18"/>
    </w:rPr>
  </w:style>
  <w:style w:type="paragraph" w:customStyle="1" w:styleId="13">
    <w:name w:val="Table Paragraph"/>
    <w:basedOn w:val="1"/>
    <w:uiPriority w:val="0"/>
    <w:pPr>
      <w:widowControl w:val="0"/>
      <w:autoSpaceDE w:val="0"/>
      <w:autoSpaceDN w:val="0"/>
      <w:snapToGrid/>
      <w:spacing w:after="0"/>
    </w:pPr>
    <w:rPr>
      <w:rFonts w:ascii="Arial Unicode MS" w:hAnsi="Times New Roman" w:eastAsia="Arial Unicode MS" w:cs="Arial Unicode MS"/>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62CEC-DE74-4EAE-A012-263AFDCE422D}">
  <ds:schemaRefs/>
</ds:datastoreItem>
</file>

<file path=docProps/app.xml><?xml version="1.0" encoding="utf-8"?>
<Properties xmlns="http://schemas.openxmlformats.org/officeDocument/2006/extended-properties" xmlns:vt="http://schemas.openxmlformats.org/officeDocument/2006/docPropsVTypes">
  <Template>Normal</Template>
  <Pages>5</Pages>
  <Words>429</Words>
  <Characters>2451</Characters>
  <Lines>20</Lines>
  <Paragraphs>5</Paragraphs>
  <TotalTime>7</TotalTime>
  <ScaleCrop>false</ScaleCrop>
  <LinksUpToDate>false</LinksUpToDate>
  <CharactersWithSpaces>2875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2021-08-12T07:59:00Z</dcterms:created>
  <dc:creator>lenovo</dc:creator>
  <cp:lastModifiedBy>刘小➰粘</cp:lastModifiedBy>
  <dcterms:modified xsi:type="dcterms:W3CDTF">2021-08-25T02:20:06Z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6319523BB80E4D118A93A26A0C8F61E6</vt:lpwstr>
  </property>
</Properties>
</file>