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附件2：</w:t>
      </w:r>
    </w:p>
    <w:p>
      <w:pPr>
        <w:spacing w:line="360" w:lineRule="exact"/>
        <w:ind w:firstLine="2237" w:firstLineChars="696"/>
        <w:rPr>
          <w:rFonts w:hint="eastAsia" w:ascii="宋体" w:hAnsi="宋体"/>
          <w:b/>
          <w:spacing w:val="-20"/>
          <w:kern w:val="32"/>
          <w:sz w:val="36"/>
          <w:szCs w:val="44"/>
        </w:rPr>
      </w:pPr>
      <w:r>
        <w:rPr>
          <w:rFonts w:hint="eastAsia" w:ascii="宋体" w:hAnsi="宋体"/>
          <w:b/>
          <w:spacing w:val="-20"/>
          <w:kern w:val="32"/>
          <w:sz w:val="36"/>
          <w:szCs w:val="44"/>
        </w:rPr>
        <w:t>20</w:t>
      </w:r>
      <w:r>
        <w:rPr>
          <w:rFonts w:hint="eastAsia" w:ascii="宋体" w:hAnsi="宋体"/>
          <w:b/>
          <w:spacing w:val="-20"/>
          <w:kern w:val="32"/>
          <w:sz w:val="36"/>
          <w:szCs w:val="44"/>
          <w:lang w:val="en-US" w:eastAsia="zh-CN"/>
        </w:rPr>
        <w:t>20</w:t>
      </w:r>
      <w:r>
        <w:rPr>
          <w:rFonts w:hint="eastAsia" w:ascii="宋体" w:hAnsi="宋体"/>
          <w:b/>
          <w:spacing w:val="-20"/>
          <w:kern w:val="32"/>
          <w:sz w:val="36"/>
          <w:szCs w:val="44"/>
        </w:rPr>
        <w:t>年浑南区政府性基金目录清单</w:t>
      </w:r>
    </w:p>
    <w:p>
      <w:pPr>
        <w:spacing w:line="360" w:lineRule="exact"/>
        <w:ind w:firstLine="2237" w:firstLineChars="696"/>
        <w:rPr>
          <w:rFonts w:hint="eastAsia" w:ascii="宋体" w:hAnsi="宋体"/>
          <w:b/>
          <w:spacing w:val="-20"/>
          <w:kern w:val="32"/>
          <w:sz w:val="36"/>
          <w:szCs w:val="44"/>
        </w:rPr>
      </w:pPr>
    </w:p>
    <w:tbl>
      <w:tblPr>
        <w:tblStyle w:val="2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276"/>
        <w:gridCol w:w="1559"/>
        <w:gridCol w:w="4503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eastAsia="仿宋_GB2312"/>
                <w:kern w:val="0"/>
                <w:sz w:val="18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eastAsia="仿宋_GB2312"/>
                <w:kern w:val="0"/>
                <w:sz w:val="18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</w:rPr>
              <w:t>项目名称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仿宋_GB2312"/>
                <w:kern w:val="0"/>
                <w:sz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  <w:lang w:eastAsia="zh-CN"/>
              </w:rPr>
              <w:t>管理方式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仿宋_GB2312"/>
                <w:kern w:val="0"/>
                <w:sz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  <w:lang w:eastAsia="zh-CN"/>
              </w:rPr>
              <w:t>政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20"/>
                <w:lang w:eastAsia="zh-CN"/>
              </w:rPr>
              <w:t>策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依 据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/>
                <w:kern w:val="0"/>
                <w:sz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  <w:lang w:eastAsia="zh-CN"/>
              </w:rPr>
              <w:t>征收部门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3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城市基础设施配套费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缴入国库</w:t>
            </w:r>
          </w:p>
        </w:tc>
        <w:tc>
          <w:tcPr>
            <w:tcW w:w="450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财综函〔2002〕3号，财税〔2019〕53号，辽财非〔2010〕950号，辽财综函〔2003〕133号，沈建委发〔1999〕93号。按财综〔2010〕54号文件规定，对中小学校“校舍安全工程”予以免征；按沈房发〔2014〕41号，对保障性住房免收；按沈委发〔2017〕29号，对工业及生产服务业投资项目免征；按财税〔2019〕53号规定，对易地扶贫搬迁项目免征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自然资源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3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残疾人就业保障金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缴入国库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《残疾人保障法》，财综〔2001〕16号，财税〔2015〕72号，财税〔2017〕18号，财税〔2018〕39号，省政府令第75号，辽政发〔2003〕23号，辽政发〔2006〕15号，辽财非〔2016〕415号，沈残联发〔2015〕50号，省人大常务委员会第67号公告（省第十二届人民代表大会常务委员会第三十三次会议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于2017年3月31日审议通过），残疾人就业保障金的安排残疾人就业的比例由1.7%降低到1.5%，并自2017年4月1日起执行。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税务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3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文化事业建设费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缴入国库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国发〔1996〕37号，国办发〔2006〕43号，财综〔2013〕102号，财文字〔1997〕243号，财预字〔1996〕469号，财税〔2016〕25号，财税〔2016〕60号，辽地税行〔1997〕205号，辽财预字〔1997〕348号，辽财教〔2007〕67号，辽财税〔2019〕229号。按辽财税〔2019〕229号文件规定，自2019年7月1日至2024年12月31日，对归属地方的文化事业建设费，按缴纳义务人应缴费额50%减征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税务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</w:trPr>
        <w:tc>
          <w:tcPr>
            <w:tcW w:w="3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教育费附加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缴入国库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《教育法》，国发〔1986〕50号、448号(国务院令第60号修订），国发明电〔1994〕2号、23号，财综函〔2003〕2号，国发〔2010〕35号，财税〔2010〕103号，财税〔2016〕12号，财税〔2019〕13号，财税〔2019〕21号，财税〔2019〕22号，辽教委字〔1993〕23号，辽地税行〔1998〕275号。按财综〔2010〕54号文件规定，对中小学校“校舍安全工程”予以免征；按沈房发〔2014〕41号，对保障性住房免收；按辽财税〔2019〕229号，对纳入产教融合型企业建设培育范围的试点企业抵免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税务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9" w:hRule="atLeast"/>
        </w:trPr>
        <w:tc>
          <w:tcPr>
            <w:tcW w:w="3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地方教育附加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缴入国库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《教育法》，财综〔2001〕58号，财综函〔2003〕2号、9号、10号、12号、13号、14号、15号、16号、18号，财综〔2004〕73号，财综函〔2005〕33号，财综〔2006〕2号、61号，财综函〔2006〕9号，财综函〔2007〕45号，财综函〔2008〕7号，财综函〔2010〕2号，财综函〔2010〕2号、3号、7号、8、11号、71号、72号、73号、75号、76号、78号、79号、80号，财综〔2010〕98号，财综函〔2011〕1号、2号、3号、4号、5号、6号、7号、8号、9号、10号、11号、12号、13号、15号、16号、17号、57号，财税〔2016〕12号，财税〔2018〕70号，财税〔2019〕13号，财税〔2019〕21号，财税〔2019〕22号，辽政发〔2011〕4号，辽财非〔2011〕694号，辽财非〔2011〕996号，辽财非〔2014〕219号。按财综〔2010〕54号文件规定，对中小学校“校舍安全工程”予以免征；按沈房发〔2014〕41号，对保障性住房免收；按辽财税〔2019〕229号，对纳入产教融合型企业建设培育范围的试点企业抵免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税务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51FAA"/>
    <w:rsid w:val="084D3F7C"/>
    <w:rsid w:val="7D95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2020-10-19T07:02:00Z</dcterms:created>
  <dc:creator>杨洋</dc:creator>
  <cp:lastModifiedBy>杨洋</cp:lastModifiedBy>
  <dcterms:modified xsi:type="dcterms:W3CDTF">2022-04-12T07:42:07Z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