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hint="eastAsia" w:ascii="仿宋" w:hAnsi="仿宋" w:eastAsia="仿宋" w:cs="仿宋"/>
          <w:b/>
          <w:bCs/>
          <w:sz w:val="44"/>
          <w:szCs w:val="44"/>
        </w:rPr>
      </w:pPr>
      <w:bookmarkStart w:id="0" w:name="_GoBack"/>
      <w:bookmarkEnd w:id="0"/>
      <w:r>
        <w:rPr>
          <w:rFonts w:hint="eastAsia" w:ascii="仿宋" w:hAnsi="仿宋" w:eastAsia="仿宋" w:cs="仿宋"/>
          <w:b/>
          <w:bCs/>
          <w:spacing w:val="-2"/>
          <w:sz w:val="44"/>
          <w:szCs w:val="44"/>
        </w:rPr>
        <w:t>沈阳市浑南区市场监督管理局</w:t>
      </w:r>
    </w:p>
    <w:p>
      <w:pPr>
        <w:spacing w:before="1" w:line="204" w:lineRule="auto"/>
        <w:ind w:firstLine="2637"/>
        <w:rPr>
          <w:rFonts w:hint="eastAsia" w:ascii="仿宋" w:hAnsi="仿宋" w:eastAsia="仿宋" w:cs="仿宋"/>
          <w:b/>
          <w:bCs/>
          <w:sz w:val="44"/>
          <w:szCs w:val="44"/>
        </w:rPr>
      </w:pPr>
      <w:r>
        <w:rPr>
          <w:rFonts w:hint="eastAsia" w:ascii="仿宋" w:hAnsi="仿宋" w:eastAsia="仿宋" w:cs="仿宋"/>
          <w:b/>
          <w:bCs/>
          <w:spacing w:val="-2"/>
          <w:sz w:val="44"/>
          <w:szCs w:val="44"/>
        </w:rPr>
        <w:t>行政处罚决定书</w:t>
      </w:r>
    </w:p>
    <w:p>
      <w:pPr>
        <w:tabs>
          <w:tab w:val="left" w:pos="2725"/>
        </w:tabs>
        <w:spacing w:before="38" w:line="360" w:lineRule="auto"/>
        <w:ind w:firstLine="2219"/>
        <w:rPr>
          <w:rFonts w:ascii="仿宋" w:hAnsi="仿宋" w:eastAsia="仿宋" w:cs="仿宋"/>
          <w:sz w:val="32"/>
          <w:szCs w:val="32"/>
        </w:rPr>
      </w:pPr>
      <w:r>
        <w:rPr>
          <w:rFonts w:hint="eastAsia" w:ascii="仿宋" w:hAnsi="仿宋" w:eastAsia="仿宋" w:cs="仿宋"/>
          <w:b/>
          <w:bCs/>
          <w:sz w:val="32"/>
          <w:szCs w:val="32"/>
        </w:rPr>
        <w:t>沈浑南</w:t>
      </w:r>
      <w:r>
        <w:rPr>
          <w:rFonts w:hint="eastAsia" w:ascii="仿宋" w:hAnsi="仿宋" w:eastAsia="仿宋" w:cs="仿宋"/>
          <w:b/>
          <w:bCs/>
          <w:spacing w:val="-7"/>
          <w:sz w:val="32"/>
          <w:szCs w:val="32"/>
        </w:rPr>
        <w:t>市监处罚〔2021〕053号</w:t>
      </w:r>
    </w:p>
    <w:p>
      <w:pPr>
        <w:keepNext w:val="0"/>
        <w:keepLines w:val="0"/>
        <w:pageBreakBefore w:val="0"/>
        <w:widowControl/>
        <w:kinsoku w:val="0"/>
        <w:wordWrap/>
        <w:overflowPunct/>
        <w:topLinePunct w:val="0"/>
        <w:autoSpaceDE w:val="0"/>
        <w:autoSpaceDN w:val="0"/>
        <w:bidi w:val="0"/>
        <w:adjustRightInd w:val="0"/>
        <w:snapToGrid w:val="0"/>
        <w:spacing w:before="104" w:line="360" w:lineRule="auto"/>
        <w:ind w:left="34" w:right="17" w:firstLine="34"/>
        <w:textAlignment w:val="baseline"/>
        <w:rPr>
          <w:rFonts w:hint="eastAsia" w:ascii="仿宋" w:hAnsi="仿宋" w:eastAsia="仿宋" w:cs="仿宋"/>
          <w:color w:val="231F20"/>
          <w:spacing w:val="1"/>
          <w:sz w:val="28"/>
          <w:szCs w:val="28"/>
          <w:u w:val="none"/>
          <w14:textOutline w14:w="5793" w14:cap="sq" w14:cmpd="sng">
            <w14:solidFill>
              <w14:srgbClr w14:val="231F20"/>
            </w14:solidFill>
            <w14:prstDash w14:val="solid"/>
            <w14:bevel/>
          </w14:textOutline>
        </w:rPr>
      </w:pPr>
      <w:r>
        <w:rPr>
          <w:rFonts w:hint="eastAsia" w:ascii="仿宋" w:hAnsi="仿宋" w:eastAsia="仿宋" w:cs="仿宋"/>
          <w:spacing w:val="0"/>
          <w:w w:val="89"/>
          <w:sz w:val="28"/>
          <w:szCs w:val="28"/>
        </w:rPr>
        <w:t>当事人：</w:t>
      </w:r>
      <w:r>
        <w:rPr>
          <w:rFonts w:hint="eastAsia" w:ascii="仿宋" w:hAnsi="仿宋" w:eastAsia="仿宋" w:cs="仿宋"/>
          <w:spacing w:val="0"/>
          <w:sz w:val="28"/>
          <w:szCs w:val="28"/>
          <w:u w:val="single" w:color="auto"/>
        </w:rPr>
        <w:t xml:space="preserve">  </w:t>
      </w:r>
      <w:r>
        <w:rPr>
          <w:rFonts w:hint="eastAsia" w:ascii="仿宋" w:hAnsi="仿宋" w:eastAsia="仿宋" w:cs="仿宋"/>
          <w:bCs/>
          <w:sz w:val="28"/>
          <w:szCs w:val="28"/>
          <w:u w:val="single"/>
        </w:rPr>
        <w:t>沈阳国御堂大药房有限公司浑河堡分公司</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主体资格证照名称：</w:t>
      </w:r>
      <w:r>
        <w:rPr>
          <w:rFonts w:hint="eastAsia" w:ascii="仿宋" w:hAnsi="仿宋" w:eastAsia="仿宋" w:cs="仿宋"/>
          <w:spacing w:val="0"/>
          <w:sz w:val="28"/>
          <w:szCs w:val="28"/>
          <w:u w:val="single" w:color="auto"/>
        </w:rPr>
        <w:t xml:space="preserve">  </w:t>
      </w:r>
      <w:r>
        <w:rPr>
          <w:rFonts w:hint="eastAsia" w:ascii="仿宋" w:hAnsi="仿宋" w:eastAsia="仿宋" w:cs="仿宋"/>
          <w:sz w:val="28"/>
          <w:szCs w:val="28"/>
          <w:u w:val="single"/>
        </w:rPr>
        <w:t>营业执照</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统一社会信用代码</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91210112MA0Y05642P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住所（住址</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 w:hAnsi="仿宋" w:eastAsia="仿宋" w:cs="仿宋"/>
          <w:bCs/>
          <w:sz w:val="28"/>
          <w:szCs w:val="28"/>
          <w:u w:val="single"/>
        </w:rPr>
        <w:t xml:space="preserve">辽宁省沈阳市浑南区祥二街10甲-1号6门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法定代表人（负责人、经营者</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u w:val="single" w:color="auto"/>
        </w:rPr>
        <w:t xml:space="preserve">  </w:t>
      </w:r>
      <w:r>
        <w:rPr>
          <w:rFonts w:hint="eastAsia" w:ascii="仿宋" w:hAnsi="仿宋" w:eastAsia="仿宋" w:cs="仿宋"/>
          <w:sz w:val="28"/>
          <w:szCs w:val="28"/>
          <w:u w:val="single"/>
        </w:rPr>
        <w:t>李霞</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u w:val="single" w:color="auto"/>
          <w:lang w:val="en-US" w:eastAsia="zh-CN"/>
        </w:rPr>
        <w:t xml:space="preserve">     </w:t>
      </w:r>
      <w:r>
        <w:rPr>
          <w:rFonts w:hint="eastAsia" w:ascii="仿宋" w:hAnsi="仿宋" w:eastAsia="仿宋" w:cs="仿宋"/>
          <w:spacing w:val="0"/>
          <w:sz w:val="28"/>
          <w:szCs w:val="28"/>
          <w:u w:val="single" w:color="auto"/>
        </w:rPr>
        <w:t xml:space="preserve">  </w:t>
      </w:r>
      <w:r>
        <w:rPr>
          <w:rFonts w:hint="eastAsia" w:ascii="仿宋" w:hAnsi="仿宋" w:eastAsia="仿宋" w:cs="仿宋"/>
          <w:spacing w:val="0"/>
          <w:sz w:val="28"/>
          <w:szCs w:val="28"/>
        </w:rPr>
        <w:t xml:space="preserve"> </w:t>
      </w:r>
    </w:p>
    <w:p>
      <w:pPr>
        <w:keepNext w:val="0"/>
        <w:keepLines w:val="0"/>
        <w:pageBreakBefore w:val="0"/>
        <w:widowControl/>
        <w:wordWrap/>
        <w:overflowPunct/>
        <w:topLinePunct w:val="0"/>
        <w:autoSpaceDE w:val="0"/>
        <w:autoSpaceDN w:val="0"/>
        <w:bidi w:val="0"/>
        <w:adjustRightIn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2021年7月20日，我局收到沈阳市市场局《案件交办通知书》沈市监稽交字【2021】169号交办案件。案件线索为沈阳国御堂大药房有限公司浑河堡分公司涉嫌销售劣药“马来酸氨氯地平片”（生产企业：陕西超群制药有限公司；规格：5mg X 14片；批号：181201）为劣药，沈阳国御堂大药房有限公司浑河堡分公司是从辽宁北药百草医药有限公司购进的该批号劣药“马来酸氨氯地平片”，该药店涉嫌销售劣药，请结合实际情况，依法开展调查处理</w:t>
      </w:r>
    </w:p>
    <w:p>
      <w:pPr>
        <w:keepNext w:val="0"/>
        <w:keepLines w:val="0"/>
        <w:pageBreakBefore w:val="0"/>
        <w:widowControl/>
        <w:wordWrap/>
        <w:overflowPunct/>
        <w:topLinePunct w:val="0"/>
        <w:autoSpaceDE w:val="0"/>
        <w:autoSpaceDN w:val="0"/>
        <w:bidi w:val="0"/>
        <w:adjustRightIn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2021年7月26日，我局执法人员对位于辽宁省沈阳市浑南区祥二街10甲-1号6门的沈阳国御堂大药房有限公司浑河堡分公司进行了现场检查。检查中发现当事人销售的 “马来酸氨氯地平片”（生产企业：陕西超群制药有限公司；规格：5mg X 14片；批号：181201）正是从辽宁北药百草医药有限公司采购的，且已于2020年2月27日全部售完。当事人现场提供了该批药品的随货同行单等相关材料，但现场无法提供全部的材料，执法人员当场向当事人下达了《限期提供材料通知书》，限其5日内向我局提供全部相关材料及票据。</w:t>
      </w:r>
    </w:p>
    <w:p>
      <w:pPr>
        <w:keepNext w:val="0"/>
        <w:keepLines w:val="0"/>
        <w:pageBreakBefore w:val="0"/>
        <w:widowControl/>
        <w:wordWrap/>
        <w:overflowPunct/>
        <w:topLinePunct w:val="0"/>
        <w:autoSpaceDE w:val="0"/>
        <w:autoSpaceDN w:val="0"/>
        <w:bidi w:val="0"/>
        <w:adjustRightIn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当事人涉嫌销售劣药“马来酸氨氯地平片”，2021年7月26日，经主管领导批准，对该单位销售劣药“马来酸氨氯地平片”药品行为进行立案调查。并向当事人下达了《询问通知书》，于2021年7月27日对当事人法人进行了询问并制作了询问调查笔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u w:val="single"/>
          <w:lang w:val="en-US" w:eastAsia="zh-CN"/>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经查，当事人于2019年7月12日,从辽宁北药百草医药有限公司购进 “马来酸氨氯地平片”（批号：181201）。购进药品：5盒,每盒购进单价为15.50元，共计购进金额77.50元。该药品的违法所得金额为1.5元。当事人提供了该药品的随货同行单及相关票据。</w:t>
      </w:r>
    </w:p>
    <w:p>
      <w:pPr>
        <w:keepNext w:val="0"/>
        <w:keepLines w:val="0"/>
        <w:pageBreakBefore w:val="0"/>
        <w:widowControl/>
        <w:wordWrap/>
        <w:overflowPunct/>
        <w:topLinePunct w:val="0"/>
        <w:autoSpaceDE w:val="0"/>
        <w:autoSpaceDN w:val="0"/>
        <w:bidi w:val="0"/>
        <w:adjustRightIn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上述事实，主要有以下证据证明：</w:t>
      </w:r>
    </w:p>
    <w:p>
      <w:pPr>
        <w:keepNext w:val="0"/>
        <w:keepLines w:val="0"/>
        <w:pageBreakBefore w:val="0"/>
        <w:widowControl/>
        <w:wordWrap/>
        <w:overflowPunct/>
        <w:topLinePunct w:val="0"/>
        <w:autoSpaceDE w:val="0"/>
        <w:autoSpaceDN w:val="0"/>
        <w:bidi w:val="0"/>
        <w:adjustRightInd w:val="0"/>
        <w:spacing w:line="360" w:lineRule="auto"/>
        <w:ind w:firstLine="601"/>
        <w:rPr>
          <w:rFonts w:hint="eastAsia" w:ascii="仿宋" w:hAnsi="仿宋" w:eastAsia="仿宋" w:cs="仿宋"/>
          <w:bCs/>
          <w:sz w:val="28"/>
          <w:szCs w:val="28"/>
        </w:rPr>
      </w:pPr>
      <w:r>
        <w:rPr>
          <w:rFonts w:hint="eastAsia" w:ascii="仿宋" w:hAnsi="仿宋" w:eastAsia="仿宋" w:cs="仿宋"/>
          <w:bCs/>
          <w:sz w:val="28"/>
          <w:szCs w:val="28"/>
        </w:rPr>
        <w:t>1.沈阳市市场监督管理局案件交办通知书【沈市监稽交字【2021】169号】，证明案件来源；</w:t>
      </w:r>
    </w:p>
    <w:p>
      <w:pPr>
        <w:keepNext w:val="0"/>
        <w:keepLines w:val="0"/>
        <w:pageBreakBefore w:val="0"/>
        <w:widowControl/>
        <w:wordWrap/>
        <w:overflowPunct/>
        <w:topLinePunct w:val="0"/>
        <w:autoSpaceDE w:val="0"/>
        <w:autoSpaceDN w:val="0"/>
        <w:bidi w:val="0"/>
        <w:adjustRightInd w:val="0"/>
        <w:spacing w:line="360" w:lineRule="auto"/>
        <w:ind w:firstLine="601"/>
        <w:rPr>
          <w:rFonts w:hint="eastAsia" w:ascii="仿宋" w:hAnsi="仿宋" w:eastAsia="仿宋" w:cs="仿宋"/>
          <w:bCs/>
          <w:sz w:val="28"/>
          <w:szCs w:val="28"/>
        </w:rPr>
      </w:pPr>
      <w:r>
        <w:rPr>
          <w:rFonts w:hint="eastAsia" w:ascii="仿宋" w:hAnsi="仿宋" w:eastAsia="仿宋" w:cs="仿宋"/>
          <w:bCs/>
          <w:sz w:val="28"/>
          <w:szCs w:val="28"/>
        </w:rPr>
        <w:t>2.当事人营业执照一份，证明当事人具备承担法律责任的合法主体资格；</w:t>
      </w:r>
    </w:p>
    <w:p>
      <w:pPr>
        <w:keepNext w:val="0"/>
        <w:keepLines w:val="0"/>
        <w:pageBreakBefore w:val="0"/>
        <w:widowControl/>
        <w:wordWrap/>
        <w:overflowPunct/>
        <w:topLinePunct w:val="0"/>
        <w:autoSpaceDE w:val="0"/>
        <w:autoSpaceDN w:val="0"/>
        <w:bidi w:val="0"/>
        <w:adjustRightInd w:val="0"/>
        <w:spacing w:line="360" w:lineRule="auto"/>
        <w:ind w:firstLine="601"/>
        <w:rPr>
          <w:rFonts w:hint="eastAsia" w:ascii="仿宋" w:hAnsi="仿宋" w:eastAsia="仿宋" w:cs="仿宋"/>
          <w:bCs/>
          <w:sz w:val="28"/>
          <w:szCs w:val="28"/>
        </w:rPr>
      </w:pPr>
      <w:r>
        <w:rPr>
          <w:rFonts w:hint="eastAsia" w:ascii="仿宋" w:hAnsi="仿宋" w:eastAsia="仿宋" w:cs="仿宋"/>
          <w:bCs/>
          <w:sz w:val="28"/>
          <w:szCs w:val="28"/>
        </w:rPr>
        <w:t xml:space="preserve">3.当事人《药品经营许可证》复印件、《药品经营质量管理规范认证证书》复印件各一份，证明当事人具有经营相关药品的合法资质； </w:t>
      </w:r>
    </w:p>
    <w:p>
      <w:pPr>
        <w:keepNext w:val="0"/>
        <w:keepLines w:val="0"/>
        <w:pageBreakBefore w:val="0"/>
        <w:widowControl/>
        <w:wordWrap/>
        <w:overflowPunct/>
        <w:topLinePunct w:val="0"/>
        <w:autoSpaceDE w:val="0"/>
        <w:autoSpaceDN w:val="0"/>
        <w:bidi w:val="0"/>
        <w:adjustRightInd w:val="0"/>
        <w:spacing w:line="360" w:lineRule="auto"/>
        <w:ind w:firstLine="601"/>
        <w:rPr>
          <w:rFonts w:hint="eastAsia" w:ascii="仿宋" w:hAnsi="仿宋" w:eastAsia="仿宋" w:cs="仿宋"/>
          <w:bCs/>
          <w:sz w:val="28"/>
          <w:szCs w:val="28"/>
        </w:rPr>
      </w:pPr>
      <w:r>
        <w:rPr>
          <w:rFonts w:hint="eastAsia" w:ascii="仿宋" w:hAnsi="仿宋" w:eastAsia="仿宋" w:cs="仿宋"/>
          <w:bCs/>
          <w:sz w:val="28"/>
          <w:szCs w:val="28"/>
        </w:rPr>
        <w:t>4.辽宁北药百草医药有限公司的《营业执照》复印件、《药品经营许可证》复印件、《药品经营质量管理规范认证证书》复印件各一份，证明该公司具有销售相关药品的合法资质；</w:t>
      </w:r>
    </w:p>
    <w:p>
      <w:pPr>
        <w:keepNext w:val="0"/>
        <w:keepLines w:val="0"/>
        <w:pageBreakBefore w:val="0"/>
        <w:widowControl/>
        <w:wordWrap/>
        <w:overflowPunct/>
        <w:topLinePunct w:val="0"/>
        <w:autoSpaceDE w:val="0"/>
        <w:autoSpaceDN w:val="0"/>
        <w:bidi w:val="0"/>
        <w:adjustRightInd w:val="0"/>
        <w:spacing w:line="360" w:lineRule="auto"/>
        <w:ind w:firstLine="601"/>
        <w:rPr>
          <w:rFonts w:hint="eastAsia" w:ascii="仿宋" w:hAnsi="仿宋" w:eastAsia="仿宋" w:cs="仿宋"/>
          <w:bCs/>
          <w:sz w:val="28"/>
          <w:szCs w:val="28"/>
        </w:rPr>
      </w:pPr>
      <w:r>
        <w:rPr>
          <w:rFonts w:hint="eastAsia" w:ascii="仿宋" w:hAnsi="仿宋" w:eastAsia="仿宋" w:cs="仿宋"/>
          <w:bCs/>
          <w:sz w:val="28"/>
          <w:szCs w:val="28"/>
        </w:rPr>
        <w:t>5.当事人负责人身份证复印件一份，证明负责人段成名具备接受调查等相关权限；</w:t>
      </w:r>
    </w:p>
    <w:p>
      <w:pPr>
        <w:keepNext w:val="0"/>
        <w:keepLines w:val="0"/>
        <w:pageBreakBefore w:val="0"/>
        <w:widowControl/>
        <w:wordWrap/>
        <w:overflowPunct/>
        <w:topLinePunct w:val="0"/>
        <w:autoSpaceDE w:val="0"/>
        <w:autoSpaceDN w:val="0"/>
        <w:bidi w:val="0"/>
        <w:adjustRightInd w:val="0"/>
        <w:spacing w:line="360" w:lineRule="auto"/>
        <w:ind w:firstLine="601"/>
        <w:rPr>
          <w:rFonts w:hint="eastAsia" w:ascii="仿宋" w:hAnsi="仿宋" w:eastAsia="仿宋" w:cs="仿宋"/>
          <w:bCs/>
          <w:sz w:val="28"/>
          <w:szCs w:val="28"/>
        </w:rPr>
      </w:pPr>
      <w:r>
        <w:rPr>
          <w:rFonts w:hint="eastAsia" w:ascii="仿宋" w:hAnsi="仿宋" w:eastAsia="仿宋" w:cs="仿宋"/>
          <w:bCs/>
          <w:sz w:val="28"/>
          <w:szCs w:val="28"/>
        </w:rPr>
        <w:t>6.现场笔录和询问笔录各一份、当事人进销货管理系统截图、发票、销售货物复印件六份、辽宁北药百草医药有限公司销售出库销售复核清单复印件六份，辽宁北药百草医药有限公司授权委托书复印件一份、药品质量保证协议书复印件一份、陕西超群制药有限公司检验报告书复印件一份，该药品价签一份证明当事人进销存货情况及购进该药品相关的资质材料、票据、进销货价格等情况；</w:t>
      </w:r>
    </w:p>
    <w:p>
      <w:pPr>
        <w:keepNext w:val="0"/>
        <w:keepLines w:val="0"/>
        <w:pageBreakBefore w:val="0"/>
        <w:widowControl/>
        <w:wordWrap/>
        <w:overflowPunct/>
        <w:topLinePunct w:val="0"/>
        <w:autoSpaceDE w:val="0"/>
        <w:autoSpaceDN w:val="0"/>
        <w:bidi w:val="0"/>
        <w:adjustRightInd w:val="0"/>
        <w:spacing w:line="360" w:lineRule="auto"/>
        <w:ind w:firstLine="601"/>
        <w:rPr>
          <w:rFonts w:hint="eastAsia" w:ascii="仿宋" w:hAnsi="仿宋" w:eastAsia="仿宋" w:cs="仿宋"/>
          <w:bCs/>
          <w:sz w:val="28"/>
          <w:szCs w:val="28"/>
        </w:rPr>
      </w:pPr>
      <w:r>
        <w:rPr>
          <w:rFonts w:hint="eastAsia" w:ascii="仿宋" w:hAnsi="仿宋" w:eastAsia="仿宋" w:cs="仿宋"/>
          <w:bCs/>
          <w:sz w:val="28"/>
          <w:szCs w:val="28"/>
        </w:rPr>
        <w:t>7.汕尾市食品药品检验所检验报告复印件2份，证明该批次的药品为劣药；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8"/>
          <w:szCs w:val="28"/>
          <w:u w:val="single"/>
          <w:lang w:val="en-US" w:eastAsia="zh-CN"/>
        </w:rPr>
      </w:pPr>
      <w:r>
        <w:rPr>
          <w:rFonts w:hint="eastAsia" w:ascii="仿宋" w:hAnsi="仿宋" w:eastAsia="仿宋" w:cs="仿宋"/>
          <w:bCs/>
          <w:sz w:val="28"/>
          <w:szCs w:val="28"/>
        </w:rPr>
        <w:t>8.执法记录现场照片两张，证明执法人员到现场核实调查；</w:t>
      </w:r>
    </w:p>
    <w:p>
      <w:pPr>
        <w:keepNext w:val="0"/>
        <w:keepLines w:val="0"/>
        <w:pageBreakBefore w:val="0"/>
        <w:widowControl/>
        <w:wordWrap/>
        <w:overflowPunct/>
        <w:topLinePunct w:val="0"/>
        <w:autoSpaceDE w:val="0"/>
        <w:autoSpaceDN w:val="0"/>
        <w:bidi w:val="0"/>
        <w:adjustRightInd w:val="0"/>
        <w:spacing w:line="360" w:lineRule="auto"/>
        <w:rPr>
          <w:rFonts w:hint="eastAsia" w:ascii="仿宋" w:hAnsi="仿宋" w:eastAsia="仿宋" w:cs="仿宋"/>
          <w:sz w:val="28"/>
          <w:szCs w:val="28"/>
        </w:rPr>
      </w:pPr>
      <w:r>
        <w:rPr>
          <w:rFonts w:hint="eastAsia" w:ascii="仿宋" w:hAnsi="仿宋" w:eastAsia="仿宋" w:cs="仿宋"/>
          <w:b/>
          <w:bCs/>
          <w:sz w:val="28"/>
          <w:szCs w:val="28"/>
          <w:u w:val="none"/>
          <w:lang w:val="en-US" w:eastAsia="zh-CN"/>
        </w:rPr>
        <w:t xml:space="preserve">    </w:t>
      </w:r>
      <w:r>
        <w:rPr>
          <w:rFonts w:hint="eastAsia" w:ascii="仿宋" w:hAnsi="仿宋" w:eastAsia="仿宋" w:cs="仿宋"/>
          <w:sz w:val="28"/>
          <w:szCs w:val="28"/>
        </w:rPr>
        <w:t>本局认为，当事人销售劣药“马来酸氨氯地平片”（生产企业：陕西超群制药有限公司；规格：5mg X 14片；批号：181201）行为存在。根据《中华人民共和国药品管理法》第九十八条第三款第七项的规定，当事人构成销售劣药“马来酸氨氯地平片”违法行为。</w:t>
      </w:r>
    </w:p>
    <w:p>
      <w:pPr>
        <w:keepNext w:val="0"/>
        <w:keepLines w:val="0"/>
        <w:pageBreakBefore w:val="0"/>
        <w:widowControl/>
        <w:tabs>
          <w:tab w:val="left" w:pos="5667"/>
        </w:tabs>
        <w:wordWrap/>
        <w:overflowPunct/>
        <w:topLinePunct w:val="0"/>
        <w:autoSpaceDE w:val="0"/>
        <w:autoSpaceDN w:val="0"/>
        <w:bidi w:val="0"/>
        <w:adjustRightInd w:val="0"/>
        <w:spacing w:before="104" w:line="360" w:lineRule="auto"/>
        <w:rPr>
          <w:rFonts w:hint="eastAsia" w:ascii="仿宋" w:hAnsi="仿宋" w:eastAsia="仿宋" w:cs="仿宋"/>
          <w:spacing w:val="1"/>
          <w:sz w:val="28"/>
          <w:szCs w:val="28"/>
        </w:rPr>
      </w:pPr>
      <w:r>
        <w:rPr>
          <w:rFonts w:hint="eastAsia" w:ascii="仿宋" w:hAnsi="仿宋" w:eastAsia="仿宋" w:cs="仿宋"/>
          <w:bCs/>
          <w:sz w:val="28"/>
          <w:szCs w:val="28"/>
        </w:rPr>
        <w:t>鉴于该单位于2019年7月12日,从辽宁北药百草医药有限公司购进 “马来酸氨氯地平片”（批号：181201）。购进药品的随货同行单和相关资质票据齐全。并于2020年4月23日接到辽宁北药百草医药有限公司《药品召回通知单》后，立即对该药品进行召回。履行了召回职责。依据《中华人民共和国药品管理法实施条例》第七十五条药品经营企业、医疗机构未违反《药品管理法》和本条例的有关规定，并有充分证据证明其不知道所销售或者使用的药品是假药、劣药的，应当没收其销售或者使用的假药、劣药和违</w:t>
      </w:r>
      <w:r>
        <w:rPr>
          <w:rFonts w:hint="eastAsia" w:ascii="仿宋" w:hAnsi="仿宋" w:eastAsia="仿宋" w:cs="仿宋"/>
          <w:spacing w:val="1"/>
          <w:sz w:val="28"/>
          <w:szCs w:val="28"/>
        </w:rPr>
        <w:t>综上，当事人上述行为违反了《中华人民共和国药品管理法》第九十八条,依据《中华人民共和国药品管理法实施条例》第七十五条规定 ，决定处罚如下：没收违法所得1.5元。</w:t>
      </w:r>
    </w:p>
    <w:p>
      <w:pPr>
        <w:pStyle w:val="2"/>
        <w:keepNext w:val="0"/>
        <w:keepLines w:val="0"/>
        <w:pageBreakBefore w:val="0"/>
        <w:widowControl/>
        <w:kinsoku/>
        <w:wordWrap/>
        <w:overflowPunct/>
        <w:topLinePunct w:val="0"/>
        <w:autoSpaceDE w:val="0"/>
        <w:autoSpaceDN w:val="0"/>
        <w:bidi w:val="0"/>
        <w:adjustRightInd w:val="0"/>
        <w:snapToGrid/>
        <w:spacing w:line="360" w:lineRule="auto"/>
        <w:ind w:firstLine="64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如不服本行政处罚决定，可以在收到本决定之日起60日内向沈阳市市场监督管理局或者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360" w:lineRule="auto"/>
        <w:ind w:right="861" w:firstLine="3808" w:firstLineChars="14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lang w:eastAsia="zh-CN"/>
        </w:rPr>
        <w:t>沈阳市浑南区</w:t>
      </w:r>
      <w:r>
        <w:rPr>
          <w:rFonts w:hint="eastAsia" w:ascii="仿宋" w:hAnsi="仿宋" w:eastAsia="仿宋" w:cs="仿宋"/>
          <w:spacing w:val="-4"/>
          <w:sz w:val="28"/>
          <w:szCs w:val="28"/>
        </w:rPr>
        <w:t>市场监督管理局</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104" w:line="360" w:lineRule="auto"/>
        <w:ind w:right="861" w:firstLine="5040" w:firstLineChars="1800"/>
        <w:textAlignment w:val="baseline"/>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pacing w:val="-30"/>
          <w:sz w:val="28"/>
          <w:szCs w:val="28"/>
        </w:rPr>
        <w:t>（</w:t>
      </w:r>
      <w:r>
        <w:rPr>
          <w:rFonts w:hint="eastAsia" w:ascii="仿宋" w:hAnsi="仿宋" w:eastAsia="仿宋" w:cs="仿宋"/>
          <w:spacing w:val="-65"/>
          <w:sz w:val="28"/>
          <w:szCs w:val="28"/>
        </w:rPr>
        <w:t xml:space="preserve"> </w:t>
      </w:r>
      <w:r>
        <w:rPr>
          <w:rFonts w:hint="eastAsia" w:ascii="仿宋" w:hAnsi="仿宋" w:eastAsia="仿宋" w:cs="仿宋"/>
          <w:spacing w:val="-30"/>
          <w:sz w:val="28"/>
          <w:szCs w:val="28"/>
        </w:rPr>
        <w:t>印</w:t>
      </w:r>
      <w:r>
        <w:rPr>
          <w:rFonts w:hint="eastAsia" w:ascii="仿宋" w:hAnsi="仿宋" w:eastAsia="仿宋" w:cs="仿宋"/>
          <w:spacing w:val="23"/>
          <w:sz w:val="28"/>
          <w:szCs w:val="28"/>
        </w:rPr>
        <w:t xml:space="preserve"> </w:t>
      </w:r>
      <w:r>
        <w:rPr>
          <w:rFonts w:hint="eastAsia" w:ascii="仿宋" w:hAnsi="仿宋" w:eastAsia="仿宋" w:cs="仿宋"/>
          <w:spacing w:val="-30"/>
          <w:sz w:val="28"/>
          <w:szCs w:val="28"/>
        </w:rPr>
        <w:t>章</w:t>
      </w:r>
      <w:r>
        <w:rPr>
          <w:rFonts w:hint="eastAsia" w:ascii="仿宋" w:hAnsi="仿宋" w:eastAsia="仿宋" w:cs="仿宋"/>
          <w:spacing w:val="-119"/>
          <w:sz w:val="28"/>
          <w:szCs w:val="28"/>
        </w:rPr>
        <w:t xml:space="preserve"> </w:t>
      </w:r>
      <w:r>
        <w:rPr>
          <w:rFonts w:hint="eastAsia" w:ascii="仿宋" w:hAnsi="仿宋" w:eastAsia="仿宋" w:cs="仿宋"/>
          <w:spacing w:val="-30"/>
          <w:sz w:val="28"/>
          <w:szCs w:val="28"/>
        </w:rPr>
        <w:t>）</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360" w:lineRule="auto"/>
        <w:ind w:firstLine="5208" w:firstLineChars="2100"/>
        <w:jc w:val="left"/>
        <w:textAlignment w:val="baseline"/>
        <w:rPr>
          <w:rFonts w:hint="eastAsia" w:ascii="仿宋" w:hAnsi="仿宋" w:eastAsia="仿宋" w:cs="仿宋"/>
          <w:spacing w:val="-16"/>
          <w:sz w:val="28"/>
          <w:szCs w:val="28"/>
        </w:rPr>
      </w:pPr>
      <w:r>
        <w:rPr>
          <w:rFonts w:hint="eastAsia" w:ascii="仿宋" w:hAnsi="仿宋" w:eastAsia="仿宋" w:cs="仿宋"/>
          <w:spacing w:val="-16"/>
          <w:sz w:val="28"/>
          <w:szCs w:val="28"/>
          <w:lang w:val="en-US" w:eastAsia="zh-CN"/>
        </w:rPr>
        <w:t>2021</w:t>
      </w:r>
      <w:r>
        <w:rPr>
          <w:rFonts w:hint="eastAsia" w:ascii="仿宋" w:hAnsi="仿宋" w:eastAsia="仿宋" w:cs="仿宋"/>
          <w:spacing w:val="-16"/>
          <w:sz w:val="28"/>
          <w:szCs w:val="28"/>
        </w:rPr>
        <w:t>年</w:t>
      </w:r>
      <w:r>
        <w:rPr>
          <w:rFonts w:hint="eastAsia" w:ascii="仿宋" w:hAnsi="仿宋" w:eastAsia="仿宋" w:cs="仿宋"/>
          <w:spacing w:val="10"/>
          <w:sz w:val="28"/>
          <w:szCs w:val="28"/>
          <w:lang w:val="en-US" w:eastAsia="zh-CN"/>
        </w:rPr>
        <w:t>9</w:t>
      </w:r>
      <w:r>
        <w:rPr>
          <w:rFonts w:hint="eastAsia" w:ascii="仿宋" w:hAnsi="仿宋" w:eastAsia="仿宋" w:cs="仿宋"/>
          <w:spacing w:val="-16"/>
          <w:sz w:val="28"/>
          <w:szCs w:val="28"/>
        </w:rPr>
        <w:t>月</w:t>
      </w:r>
      <w:r>
        <w:rPr>
          <w:rFonts w:hint="eastAsia" w:ascii="仿宋" w:hAnsi="仿宋" w:eastAsia="仿宋" w:cs="仿宋"/>
          <w:spacing w:val="24"/>
          <w:sz w:val="28"/>
          <w:szCs w:val="28"/>
          <w:lang w:val="en-US" w:eastAsia="zh-CN"/>
        </w:rPr>
        <w:t>22</w:t>
      </w:r>
      <w:r>
        <w:rPr>
          <w:rFonts w:hint="eastAsia" w:ascii="仿宋" w:hAnsi="仿宋" w:eastAsia="仿宋" w:cs="仿宋"/>
          <w:spacing w:val="-16"/>
          <w:sz w:val="28"/>
          <w:szCs w:val="28"/>
        </w:rPr>
        <w:t>日</w:t>
      </w: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840" w:firstLineChars="300"/>
        <w:jc w:val="left"/>
        <w:textAlignment w:val="baseline"/>
        <w:rPr>
          <w:rFonts w:ascii="黑体" w:hAnsi="黑体" w:eastAsia="黑体" w:cs="黑体"/>
          <w:color w:val="231F20"/>
          <w:spacing w:val="0"/>
          <w:sz w:val="28"/>
          <w:szCs w:val="28"/>
        </w:rPr>
      </w:pPr>
    </w:p>
    <w:p>
      <w:pPr>
        <w:keepNext w:val="0"/>
        <w:keepLines w:val="0"/>
        <w:pageBreakBefore w:val="0"/>
        <w:widowControl/>
        <w:tabs>
          <w:tab w:val="left" w:pos="2593"/>
        </w:tabs>
        <w:kinsoku w:val="0"/>
        <w:wordWrap/>
        <w:overflowPunct/>
        <w:topLinePunct w:val="0"/>
        <w:autoSpaceDE w:val="0"/>
        <w:autoSpaceDN w:val="0"/>
        <w:bidi w:val="0"/>
        <w:adjustRightInd w:val="0"/>
        <w:snapToGrid w:val="0"/>
        <w:spacing w:line="240" w:lineRule="atLeast"/>
        <w:ind w:firstLine="840" w:firstLineChars="300"/>
        <w:jc w:val="left"/>
        <w:textAlignment w:val="baseline"/>
        <w:rPr>
          <w:rFonts w:hint="eastAsia"/>
          <w:lang w:eastAsia="zh-CN"/>
        </w:rPr>
      </w:pPr>
      <w:r>
        <w:rPr>
          <w:rFonts w:ascii="黑体" w:hAnsi="黑体" w:eastAsia="黑体" w:cs="黑体"/>
          <w:color w:val="231F20"/>
          <w:spacing w:val="0"/>
          <w:sz w:val="28"/>
          <w:szCs w:val="28"/>
        </w:rPr>
        <w:t>（市场监督管理部门将依法向社会公开行政处罚决定信息）</w:t>
      </w:r>
    </w:p>
    <w:sectPr>
      <w:footerReference r:id="rId5" w:type="default"/>
      <w:pgSz w:w="11906" w:h="16838"/>
      <w:pgMar w:top="1043" w:right="1519" w:bottom="1043"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autoSpaceDE w:val="0"/>
      <w:autoSpaceDN w:val="0"/>
      <w:bidi w:val="0"/>
      <w:adjustRightInd w:val="0"/>
      <w:snapToGrid w:val="0"/>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3"/>
    </w:pPr>
    <w:r>
      <w:rPr>
        <w:rFonts w:ascii="仿宋" w:hAnsi="仿宋" w:eastAsia="仿宋" w:cs="仿宋"/>
        <w:spacing w:val="-10"/>
        <w:sz w:val="28"/>
        <w:szCs w:val="28"/>
      </w:rPr>
      <w:t>本文书一式</w:t>
    </w:r>
    <w:r>
      <w:rPr>
        <w:rFonts w:ascii="仿宋" w:hAnsi="仿宋" w:eastAsia="仿宋" w:cs="仿宋"/>
        <w:spacing w:val="6"/>
        <w:sz w:val="28"/>
        <w:szCs w:val="28"/>
        <w:u w:val="single" w:color="auto"/>
      </w:rPr>
      <w:t xml:space="preserve">    </w:t>
    </w:r>
    <w:r>
      <w:rPr>
        <w:rFonts w:ascii="仿宋" w:hAnsi="仿宋" w:eastAsia="仿宋" w:cs="仿宋"/>
        <w:spacing w:val="-10"/>
        <w:sz w:val="28"/>
        <w:szCs w:val="28"/>
      </w:rPr>
      <w:t>份，</w:t>
    </w:r>
    <w:r>
      <w:rPr>
        <w:rFonts w:ascii="仿宋" w:hAnsi="仿宋" w:eastAsia="仿宋" w:cs="仿宋"/>
        <w:spacing w:val="20"/>
        <w:sz w:val="28"/>
        <w:szCs w:val="28"/>
        <w:u w:val="single" w:color="auto"/>
      </w:rPr>
      <w:t xml:space="preserve">   </w:t>
    </w:r>
    <w:r>
      <w:rPr>
        <w:rFonts w:ascii="仿宋" w:hAnsi="仿宋" w:eastAsia="仿宋" w:cs="仿宋"/>
        <w:spacing w:val="-10"/>
        <w:sz w:val="28"/>
        <w:szCs w:val="28"/>
      </w:rPr>
      <w:t>份送达，一份归档，</w:t>
    </w:r>
    <w:r>
      <w:rPr>
        <w:rFonts w:ascii="仿宋" w:hAnsi="仿宋" w:eastAsia="仿宋" w:cs="仿宋"/>
        <w:spacing w:val="3"/>
        <w:sz w:val="28"/>
        <w:szCs w:val="28"/>
        <w:u w:val="single" w:color="auto"/>
      </w:rPr>
      <w:t xml:space="preserve">         </w:t>
    </w:r>
    <w:r>
      <w:rPr>
        <w:rFonts w:hint="eastAsia" w:ascii="仿宋" w:hAnsi="仿宋" w:eastAsia="仿宋" w:cs="仿宋"/>
        <w:spacing w:val="3"/>
        <w:sz w:val="28"/>
        <w:szCs w:val="28"/>
        <w:u w:val="single" w:color="auto"/>
        <w:lang w:val="en-US" w:eastAsia="zh-CN"/>
      </w:rPr>
      <w:t xml:space="preserve">             </w:t>
    </w:r>
    <w:r>
      <w:rPr>
        <w:rFonts w:ascii="仿宋" w:hAnsi="仿宋" w:eastAsia="仿宋" w:cs="仿宋"/>
        <w:spacing w:val="3"/>
        <w:sz w:val="28"/>
        <w:szCs w:val="28"/>
        <w:u w:val="single" w:color="auto"/>
      </w:rPr>
      <w:t xml:space="preserve">   </w:t>
    </w:r>
    <w:r>
      <w:rPr>
        <w:rFonts w:ascii="仿宋" w:hAnsi="仿宋" w:eastAsia="仿宋" w:cs="仿宋"/>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2158E"/>
    <w:rsid w:val="0CF36A19"/>
    <w:rsid w:val="19B2158E"/>
    <w:rsid w:val="26AA6814"/>
    <w:rsid w:val="2AB34515"/>
    <w:rsid w:val="370F1F05"/>
    <w:rsid w:val="3C726B01"/>
    <w:rsid w:val="64B30C20"/>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autoSpaceDE w:val="0"/>
      <w:autoSpaceDN w:val="0"/>
      <w:adjustRightInd w:val="0"/>
      <w:jc w:val="left"/>
    </w:pPr>
    <w:rPr>
      <w:rFonts w:ascii="Arial Unicode MS" w:hAnsi="Times New Roman" w:eastAsia="Arial Unicode MS" w:cs="Arial Unicode M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刘小➰粘</cp:lastModifiedBy>
  <dcterms:modified xsi:type="dcterms:W3CDTF">2021-09-30T01:07:58Z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1FB60E1B08AD4E1F957025A723E3D31B</vt:lpwstr>
  </property>
</Properties>
</file>