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479" w:type="pct"/>
        <w:tblInd w:w="-825" w:type="dxa"/>
        <w:shd w:val="clear" w:color="auto" w:fill="auto"/>
        <w:tblLayout w:type="autofit"/>
        <w:tblCellMar>
          <w:top w:w="0" w:type="dxa"/>
          <w:left w:w="0" w:type="dxa"/>
          <w:bottom w:w="0" w:type="dxa"/>
          <w:right w:w="0" w:type="dxa"/>
        </w:tblCellMar>
      </w:tblPr>
      <w:tblGrid>
        <w:gridCol w:w="665"/>
        <w:gridCol w:w="1459"/>
        <w:gridCol w:w="4605"/>
        <w:gridCol w:w="1367"/>
        <w:gridCol w:w="2161"/>
        <w:gridCol w:w="4004"/>
        <w:gridCol w:w="1067"/>
      </w:tblGrid>
      <w:tr>
        <w:tblPrEx>
          <w:shd w:val="clear" w:color="auto" w:fill="auto"/>
          <w:tblCellMar>
            <w:top w:w="0" w:type="dxa"/>
            <w:left w:w="0" w:type="dxa"/>
            <w:bottom w:w="0" w:type="dxa"/>
            <w:right w:w="0" w:type="dxa"/>
          </w:tblCellMar>
        </w:tblPrEx>
        <w:trPr>
          <w:trHeight w:val="1035" w:hRule="atLeast"/>
        </w:trPr>
        <w:tc>
          <w:tcPr>
            <w:tcW w:w="5000" w:type="pct"/>
            <w:gridSpan w:val="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ind w:firstLine="640" w:firstLineChars="200"/>
              <w:jc w:val="both"/>
              <w:textAlignment w:val="center"/>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bookmarkStart w:id="0" w:name="_GoBack"/>
            <w:r>
              <w:rPr>
                <w:rFonts w:hint="eastAsia" w:ascii="宋体" w:hAnsi="宋体" w:eastAsia="宋体" w:cs="宋体"/>
                <w:b/>
                <w:i w:val="0"/>
                <w:color w:val="000000"/>
                <w:kern w:val="0"/>
                <w:sz w:val="44"/>
                <w:szCs w:val="44"/>
                <w:u w:val="none"/>
                <w:lang w:val="en-US" w:eastAsia="zh-CN" w:bidi="ar"/>
              </w:rPr>
              <w:t>浑南区全民健身实施计划（2021-2025年）工作任务清单</w:t>
            </w:r>
            <w:bookmarkEnd w:id="0"/>
          </w:p>
        </w:tc>
      </w:tr>
      <w:tr>
        <w:tblPrEx>
          <w:shd w:val="clear" w:color="auto" w:fill="auto"/>
          <w:tblCellMar>
            <w:top w:w="0" w:type="dxa"/>
            <w:left w:w="0" w:type="dxa"/>
            <w:bottom w:w="0" w:type="dxa"/>
            <w:right w:w="0" w:type="dxa"/>
          </w:tblCellMar>
        </w:tblPrEx>
        <w:trPr>
          <w:trHeight w:val="749"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序号</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工作任务</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主要内容</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时间</w:t>
            </w:r>
            <w:r>
              <w:rPr>
                <w:rFonts w:hint="eastAsia" w:ascii="黑体" w:hAnsi="宋体" w:eastAsia="黑体" w:cs="黑体"/>
                <w:b/>
                <w:i w:val="0"/>
                <w:color w:val="000000"/>
                <w:kern w:val="0"/>
                <w:sz w:val="22"/>
                <w:szCs w:val="22"/>
                <w:u w:val="none"/>
                <w:lang w:val="en-US" w:eastAsia="zh-CN" w:bidi="ar"/>
              </w:rPr>
              <w:br w:type="textWrapping"/>
            </w:r>
            <w:r>
              <w:rPr>
                <w:rFonts w:hint="eastAsia" w:ascii="黑体" w:hAnsi="宋体" w:eastAsia="黑体" w:cs="黑体"/>
                <w:b/>
                <w:i w:val="0"/>
                <w:color w:val="000000"/>
                <w:kern w:val="0"/>
                <w:sz w:val="22"/>
                <w:szCs w:val="22"/>
                <w:u w:val="none"/>
                <w:lang w:val="en-US" w:eastAsia="zh-CN" w:bidi="ar"/>
              </w:rPr>
              <w:t>进度</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责任单位</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配合单位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888"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提升体育健身场地设施供给水平</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规划建设浑南区全民健身中心。</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区发改局、区财政局、区城建局、自然资源局浑南分局、浑南生态环境分局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人均体育场地面积达到4.5平方米以上。</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区体育局、各街道办事处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区财政局、自然资源局浑南分局、区城管局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逐年增加农村体育健身广场、智能化健身器材数量，促进公共体育资源均衡布局。</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区体育局、各街道办事处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34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推进智慧健身路径、智慧体育公园、智慧健身步道建设，重点推进奥林匹克公园、浑河南岸、棋盘山、莫子山、中央公园等体育休闲集聚区公共体育空间的打造。</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2025年底前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区体育局、各街道办事处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自然资源局浑南分局、区城管局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47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激发体育健身组织活力</w:t>
            </w:r>
          </w:p>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区级单项体育协会达到15个，各类体育俱乐部达到100个，健身站（点）达到350个以上。</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2025年底前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区体育局、各街道办事处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区民政局、区审批局、区市场监管局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05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47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发挥社会体育组织专业优势，推广体育运动，提升公共体育服务水平。每个协会每年举办1-2次形成规模、有影响力的大型活动。</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每年</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区体育局、各街道办事处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82"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47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激发体育健身组织活力</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经常参加体育锻炼人数比例达到58%，每周参加1次及以上体育锻炼的人数达到70%。</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区直机关工委、区总工会、团区委、区妇联</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79"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47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拓展全民健身服务线上供给渠道。</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每年</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2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强化科学健身指导服务</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建立更多群众身边的健身站点、体育俱乐部、健身指导站。街道建设综合文体站，设置文体活动室。社区配有专（兼）职体育工作人员。</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2023年前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区体育局、各街道办事处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区民政局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2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探索建立科学健身指导服务供给库，组建涵盖运动健康专家、体育教师、社会体育指导员、社会体育组织和体育健身服务类企业的供应名录库。</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2022年底前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区教育局、区卫健局、各街道办事处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14"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每千人拥有社会体育指导员达4.5人。</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每年培训社会体育指导员不少于200人。</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每年</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区体育局、各街道办事处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区教育局、区民族和宗教局、区残联等部门</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国民体质监测人数每年不少于300人。</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每年</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团区委、区教育局、各街道办事处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统筹推动各类人群体育健身运动发展</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保障学生每天校内、校外各1小时体育活动时间。</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区体育局、区教育局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8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为民族乡村配置安装健身器材、室外篮球场地和简易足球场地等体育设施。</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区体育局、相关街道办事处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区民族和宗教局、区城管局、自然资源局浑南分局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16</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组织举办有民族特色的健身活动。</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区民族和宗教局、区体育局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17</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统筹推动各类人群体育健身运动发展</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为社区、村屯养老服务机构安装适宜老年人使用的专用健身设施。</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区民政局、区体育局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18</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培养与发展为残疾人服务的体育教师和社会体育指导员，组织开展残疾人体育健身活动。</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区体育局、区残联</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759"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19</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为残疾人康复中心、养老中心配备康复类健身设施，促进残疾人身体康复。</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区卫健中心、区民政局、区体育局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组织开展职工体育竞赛活动。</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2022年前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区直机关工委、区体育局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区总工会、团区委、各街道办事处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479"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21</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开展丰富多彩的全民健身赛事活动</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持续做强山地马拉松、赛艇公开赛、武术之乡、马术锦标赛、风筝锦标赛等品牌系列赛。</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每年</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棋盘山企业服务局、市公安局浑南分局、区卫健局、区城管局、区应急管理局、相关街道办事处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84"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22</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推广线上赛事活动新模式。</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15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23</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举办马拉松、赛艇、武术、风筝、徒步等品牌赛事活动5场以上，群众性健身活动达100场次以上。</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每年</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棋盘山企业服务局、市公安局浑南分局、区卫健局、区城管局、区应急管理局、各街道办事处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2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24</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举办市民运动会和社区（村屯）运动会。</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区体育局、各街道办事处</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市公安局浑南分局、区卫健局、区城管局、区应急管理局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98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25</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保障措施</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建立健全全民健身会议机制。</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2021年底前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区委宣传部、区发改局、区教育局、区卫健局、区民政局、市公安局浑南分局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24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26</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将公共体育设施建设列入政府基本建设投资计划，将全民健身工作所需经费列入政府财政预算，并随着国民经济发展逐步增加。对重大公共体育基础设施建设项目和重大全民健身活动经费给予保障，把重点体育设施的运行、维护、管理资金列入财政预算。</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区发改局、区财政局</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134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27</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促进全民健身多元共治，逐步形成政府、社会、市场多方共同参与全民健身的局面，鼓励社会资本参与。</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792"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28</w:t>
            </w: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建立全民健身综合评价机制，开展第三方评估和社会满意度调查。</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2025年前</w:t>
            </w:r>
          </w:p>
        </w:tc>
        <w:tc>
          <w:tcPr>
            <w:tcW w:w="7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区体育局</w:t>
            </w:r>
          </w:p>
        </w:tc>
        <w:tc>
          <w:tcPr>
            <w:tcW w:w="1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各街道办事处</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270" w:hRule="atLeast"/>
        </w:trPr>
        <w:tc>
          <w:tcPr>
            <w:tcW w:w="21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2"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87A42"/>
    <w:rsid w:val="35D8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1"/>
    <w:qFormat/>
    <w:uiPriority w:val="0"/>
    <w:pPr>
      <w:ind w:firstLine="632" w:firstLineChars="200"/>
    </w:p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2021-12-27T01:23:00Z</dcterms:created>
  <dc:creator>杨洋</dc:creator>
  <cp:lastModifiedBy>杨洋</cp:lastModifiedBy>
  <dcterms:modified xsi:type="dcterms:W3CDTF">2021-12-27T01:23:36Z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9BC7F9538D904B3DA17AA7AA1EA5DA75</vt:lpwstr>
  </property>
</Properties>
</file>