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156"/>
        <w:gridCol w:w="405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eastAsia="zh-CN"/>
              </w:rPr>
              <w:t>沈阳奥林特电气线束有限公司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4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40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3〕东湖中队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号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190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2023-09-22T02:59:54Z</dcterms:created>
  <dc:creator>Administrator</dc:creator>
  <cp:lastModifiedBy>Administrator</cp:lastModifiedBy>
  <dcterms:modified xsi:type="dcterms:W3CDTF">2023-09-22T03:02:11Z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73DE7768C8614CE090B24C8AA16DE823_12</vt:lpwstr>
  </property>
</Properties>
</file>