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579" w:lineRule="exact"/>
        <w:rPr>
          <w:rFonts w:ascii="宋体" w:hAnsi="宋体"/>
          <w:color w:val="auto"/>
        </w:rPr>
      </w:pPr>
      <w:bookmarkStart w:id="0" w:name="_Toc985"/>
      <w:bookmarkStart w:id="1" w:name="_Toc48108950"/>
      <w:bookmarkStart w:id="2" w:name="_Toc10860"/>
    </w:p>
    <w:p>
      <w:pPr>
        <w:pStyle w:val="2"/>
        <w:spacing w:line="579" w:lineRule="exact"/>
        <w:rPr>
          <w:rFonts w:ascii="宋体" w:hAnsi="宋体"/>
          <w:color w:val="auto"/>
        </w:rPr>
      </w:pPr>
    </w:p>
    <w:p>
      <w:pPr>
        <w:snapToGrid w:val="0"/>
        <w:spacing w:line="800" w:lineRule="exact"/>
        <w:jc w:val="center"/>
        <w:rPr>
          <w:rFonts w:ascii="宋体" w:hAnsi="宋体" w:cs="宋体"/>
          <w:b/>
          <w:color w:val="auto"/>
          <w:sz w:val="44"/>
          <w:szCs w:val="44"/>
        </w:rPr>
      </w:pPr>
      <w:r>
        <w:rPr>
          <w:rFonts w:hint="eastAsia" w:ascii="宋体" w:hAnsi="宋体" w:cs="宋体"/>
          <w:b/>
          <w:color w:val="auto"/>
          <w:sz w:val="44"/>
          <w:szCs w:val="44"/>
        </w:rPr>
        <w:t>沈阳市浑南区国民经济和社会发展第十四个</w:t>
      </w:r>
    </w:p>
    <w:p>
      <w:pPr>
        <w:snapToGrid w:val="0"/>
        <w:spacing w:line="800" w:lineRule="exact"/>
        <w:jc w:val="center"/>
        <w:rPr>
          <w:rFonts w:ascii="宋体" w:hAnsi="宋体" w:cs="宋体"/>
          <w:b/>
          <w:color w:val="auto"/>
          <w:sz w:val="44"/>
          <w:szCs w:val="44"/>
        </w:rPr>
      </w:pPr>
      <w:r>
        <w:rPr>
          <w:rFonts w:hint="eastAsia" w:ascii="宋体" w:hAnsi="宋体" w:cs="宋体"/>
          <w:b/>
          <w:color w:val="auto"/>
          <w:sz w:val="44"/>
          <w:szCs w:val="44"/>
        </w:rPr>
        <w:t>五年规划和二〇三五年远景目标纲要</w:t>
      </w:r>
    </w:p>
    <w:p>
      <w:pPr>
        <w:spacing w:line="579" w:lineRule="exact"/>
        <w:jc w:val="center"/>
        <w:rPr>
          <w:rFonts w:ascii="仿宋_GB2312" w:hAnsi="宋体" w:eastAsia="仿宋_GB2312" w:cs="宋体"/>
          <w:b/>
          <w:color w:val="auto"/>
          <w:sz w:val="44"/>
          <w:szCs w:val="44"/>
        </w:rPr>
      </w:pPr>
    </w:p>
    <w:p>
      <w:pPr>
        <w:pStyle w:val="2"/>
        <w:rPr>
          <w:color w:val="auto"/>
        </w:rPr>
      </w:pPr>
    </w:p>
    <w:p>
      <w:pPr>
        <w:spacing w:line="579" w:lineRule="exact"/>
        <w:jc w:val="center"/>
        <w:rPr>
          <w:rFonts w:ascii="宋体" w:hAnsi="宋体" w:cs="仿宋"/>
          <w:b/>
          <w:color w:val="auto"/>
          <w:sz w:val="32"/>
          <w:szCs w:val="32"/>
        </w:rPr>
      </w:pPr>
    </w:p>
    <w:p>
      <w:pPr>
        <w:spacing w:line="579" w:lineRule="exact"/>
        <w:jc w:val="center"/>
        <w:rPr>
          <w:rFonts w:ascii="宋体" w:hAnsi="宋体" w:cs="仿宋"/>
          <w:b/>
          <w:color w:val="auto"/>
          <w:sz w:val="32"/>
          <w:szCs w:val="32"/>
        </w:rPr>
      </w:pPr>
    </w:p>
    <w:p>
      <w:pPr>
        <w:spacing w:line="579" w:lineRule="exact"/>
        <w:jc w:val="center"/>
        <w:rPr>
          <w:rFonts w:ascii="宋体" w:hAnsi="宋体" w:cs="仿宋"/>
          <w:b/>
          <w:color w:val="auto"/>
          <w:sz w:val="32"/>
          <w:szCs w:val="32"/>
        </w:rPr>
      </w:pPr>
    </w:p>
    <w:p>
      <w:pPr>
        <w:spacing w:line="579" w:lineRule="exact"/>
        <w:jc w:val="center"/>
        <w:rPr>
          <w:rFonts w:ascii="宋体" w:hAnsi="宋体" w:cs="仿宋"/>
          <w:b/>
          <w:color w:val="auto"/>
          <w:sz w:val="32"/>
          <w:szCs w:val="32"/>
        </w:rPr>
      </w:pPr>
    </w:p>
    <w:p>
      <w:pPr>
        <w:spacing w:line="579" w:lineRule="exact"/>
        <w:jc w:val="center"/>
        <w:rPr>
          <w:rFonts w:ascii="宋体" w:hAnsi="宋体" w:cs="仿宋"/>
          <w:b/>
          <w:color w:val="auto"/>
          <w:sz w:val="32"/>
          <w:szCs w:val="32"/>
        </w:rPr>
      </w:pPr>
    </w:p>
    <w:p>
      <w:pPr>
        <w:spacing w:line="579" w:lineRule="exact"/>
        <w:jc w:val="center"/>
        <w:rPr>
          <w:rFonts w:ascii="宋体" w:hAnsi="宋体" w:cs="仿宋"/>
          <w:b/>
          <w:color w:val="auto"/>
          <w:sz w:val="32"/>
          <w:szCs w:val="32"/>
        </w:rPr>
      </w:pPr>
    </w:p>
    <w:p>
      <w:pPr>
        <w:spacing w:line="579" w:lineRule="exact"/>
        <w:jc w:val="center"/>
        <w:rPr>
          <w:rFonts w:ascii="宋体" w:hAnsi="宋体" w:cs="仿宋"/>
          <w:b/>
          <w:color w:val="auto"/>
          <w:sz w:val="32"/>
          <w:szCs w:val="32"/>
        </w:rPr>
      </w:pPr>
    </w:p>
    <w:p>
      <w:pPr>
        <w:spacing w:line="579" w:lineRule="exact"/>
        <w:jc w:val="center"/>
        <w:rPr>
          <w:rFonts w:ascii="宋体" w:hAnsi="宋体" w:cs="仿宋"/>
          <w:b/>
          <w:color w:val="auto"/>
          <w:sz w:val="32"/>
          <w:szCs w:val="32"/>
        </w:rPr>
      </w:pPr>
    </w:p>
    <w:p>
      <w:pPr>
        <w:spacing w:line="579" w:lineRule="exact"/>
        <w:jc w:val="center"/>
        <w:rPr>
          <w:rFonts w:ascii="宋体" w:hAnsi="宋体" w:cs="仿宋"/>
          <w:b/>
          <w:color w:val="auto"/>
          <w:sz w:val="32"/>
          <w:szCs w:val="32"/>
        </w:rPr>
      </w:pPr>
    </w:p>
    <w:p>
      <w:pPr>
        <w:pStyle w:val="2"/>
        <w:rPr>
          <w:color w:val="auto"/>
        </w:rPr>
      </w:pPr>
    </w:p>
    <w:p>
      <w:pPr>
        <w:pStyle w:val="2"/>
        <w:rPr>
          <w:color w:val="auto"/>
        </w:rPr>
      </w:pPr>
    </w:p>
    <w:p>
      <w:pPr>
        <w:pStyle w:val="2"/>
        <w:rPr>
          <w:color w:val="auto"/>
        </w:rPr>
      </w:pPr>
    </w:p>
    <w:p>
      <w:pPr>
        <w:pStyle w:val="2"/>
        <w:ind w:left="0"/>
        <w:rPr>
          <w:color w:val="auto"/>
        </w:rPr>
      </w:pPr>
    </w:p>
    <w:p>
      <w:pPr>
        <w:spacing w:line="579" w:lineRule="exact"/>
        <w:rPr>
          <w:rFonts w:ascii="仿宋_GB2312" w:hAnsi="黑体" w:eastAsia="仿宋_GB2312" w:cs="仿宋"/>
          <w:b/>
          <w:color w:val="auto"/>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851" w:footer="992" w:gutter="0"/>
          <w:cols w:space="425" w:num="1"/>
          <w:titlePg/>
          <w:docGrid w:type="linesAndChars" w:linePitch="299" w:charSpace="2048"/>
        </w:sectPr>
      </w:pPr>
    </w:p>
    <w:p>
      <w:pPr>
        <w:pStyle w:val="2"/>
        <w:rPr>
          <w:color w:val="auto"/>
        </w:rPr>
      </w:pPr>
    </w:p>
    <w:p>
      <w:pPr>
        <w:spacing w:line="579" w:lineRule="exact"/>
        <w:jc w:val="center"/>
        <w:outlineLvl w:val="0"/>
        <w:rPr>
          <w:rFonts w:ascii="宋体" w:hAnsi="宋体" w:cs="宋体"/>
          <w:b/>
          <w:color w:val="auto"/>
          <w:sz w:val="44"/>
          <w:szCs w:val="44"/>
        </w:rPr>
        <w:sectPr>
          <w:footerReference r:id="rId10" w:type="first"/>
          <w:footerReference r:id="rId9" w:type="default"/>
          <w:pgSz w:w="11906" w:h="16838"/>
          <w:pgMar w:top="2098" w:right="1474" w:bottom="1985" w:left="1588" w:header="851" w:footer="992" w:gutter="0"/>
          <w:cols w:space="425" w:num="1"/>
          <w:titlePg/>
          <w:docGrid w:type="linesAndChars" w:linePitch="299" w:charSpace="2048"/>
        </w:sectPr>
      </w:pPr>
    </w:p>
    <w:sdt>
      <w:sdtPr>
        <w:rPr>
          <w:rFonts w:ascii="宋体" w:hAnsi="宋体" w:eastAsia="宋体" w:cs="Times New Roman"/>
          <w:color w:val="auto"/>
          <w:kern w:val="2"/>
          <w:sz w:val="21"/>
          <w:szCs w:val="24"/>
          <w:lang w:val="zh-CN"/>
        </w:rPr>
        <w:id w:val="1029843144"/>
        <w:docPartObj>
          <w:docPartGallery w:val="Table of Contents"/>
          <w:docPartUnique/>
        </w:docPartObj>
      </w:sdtPr>
      <w:sdtEndPr>
        <w:rPr>
          <w:rFonts w:ascii="宋体" w:hAnsi="宋体" w:eastAsia="宋体" w:cs="Times New Roman"/>
          <w:b/>
          <w:bCs/>
          <w:color w:val="auto"/>
          <w:kern w:val="2"/>
          <w:sz w:val="22"/>
          <w:szCs w:val="24"/>
          <w:lang w:val="zh-CN"/>
        </w:rPr>
      </w:sdtEndPr>
      <w:sdtContent>
        <w:p>
          <w:pPr>
            <w:pStyle w:val="26"/>
            <w:spacing w:beforeLines="100" w:afterLines="100" w:line="579" w:lineRule="exact"/>
            <w:jc w:val="center"/>
            <w:rPr>
              <w:rFonts w:ascii="楷体_GB2312" w:hAnsi="宋体" w:eastAsia="楷体_GB2312" w:cs="宋体"/>
              <w:b/>
              <w:color w:val="auto"/>
              <w:kern w:val="2"/>
              <w:sz w:val="44"/>
              <w:szCs w:val="44"/>
            </w:rPr>
          </w:pPr>
          <w:r>
            <w:rPr>
              <w:rFonts w:hint="eastAsia" w:ascii="楷体_GB2312" w:hAnsi="宋体" w:eastAsia="楷体_GB2312" w:cs="宋体"/>
              <w:b/>
              <w:color w:val="auto"/>
              <w:kern w:val="2"/>
              <w:sz w:val="44"/>
              <w:szCs w:val="44"/>
            </w:rPr>
            <w:t>目  录</w:t>
          </w:r>
        </w:p>
        <w:p>
          <w:pPr>
            <w:pStyle w:val="12"/>
            <w:spacing w:beforeLines="30" w:afterLines="30" w:line="420" w:lineRule="exact"/>
            <w:rPr>
              <w:rFonts w:ascii="楷体_GB2312" w:eastAsia="楷体_GB2312" w:hAnsiTheme="minorHAnsi" w:cstheme="minorBidi"/>
              <w:b w:val="0"/>
              <w:color w:val="auto"/>
              <w:sz w:val="22"/>
            </w:rPr>
          </w:pPr>
          <w:r>
            <w:rPr>
              <w:rFonts w:hint="eastAsia" w:ascii="楷体_GB2312" w:eastAsia="楷体_GB2312"/>
              <w:color w:val="auto"/>
              <w:sz w:val="32"/>
            </w:rPr>
            <w:fldChar w:fldCharType="begin"/>
          </w:r>
          <w:r>
            <w:rPr>
              <w:rFonts w:hint="eastAsia" w:ascii="楷体_GB2312" w:eastAsia="楷体_GB2312"/>
              <w:color w:val="auto"/>
              <w:sz w:val="32"/>
            </w:rPr>
            <w:instrText xml:space="preserve"> TOC \o "1-3" \h \z \u </w:instrText>
          </w:r>
          <w:r>
            <w:rPr>
              <w:rFonts w:hint="eastAsia" w:ascii="楷体_GB2312" w:eastAsia="楷体_GB2312"/>
              <w:color w:val="auto"/>
              <w:sz w:val="32"/>
            </w:rPr>
            <w:fldChar w:fldCharType="separate"/>
          </w:r>
          <w:r>
            <w:rPr>
              <w:color w:val="auto"/>
            </w:rPr>
            <w:fldChar w:fldCharType="begin"/>
          </w:r>
          <w:r>
            <w:rPr>
              <w:color w:val="auto"/>
            </w:rPr>
            <w:instrText xml:space="preserve"> HYPERLINK \l "_Toc59116886" </w:instrText>
          </w:r>
          <w:r>
            <w:rPr>
              <w:color w:val="auto"/>
            </w:rPr>
            <w:fldChar w:fldCharType="separate"/>
          </w:r>
          <w:r>
            <w:rPr>
              <w:rStyle w:val="20"/>
              <w:rFonts w:hint="eastAsia" w:ascii="楷体_GB2312" w:eastAsia="楷体_GB2312"/>
              <w:color w:val="auto"/>
              <w:sz w:val="32"/>
            </w:rPr>
            <w:t>第一章 规划背景</w:t>
          </w:r>
          <w:r>
            <w:rPr>
              <w:rFonts w:ascii="Times New Roman" w:hAnsi="Times New Roman" w:eastAsia="楷体_GB2312" w:cs="Times New Roman"/>
              <w:b w:val="0"/>
              <w:color w:val="auto"/>
              <w:sz w:val="32"/>
            </w:rPr>
            <w:tab/>
          </w:r>
          <w:r>
            <w:rPr>
              <w:rFonts w:ascii="Times New Roman" w:hAnsi="Times New Roman" w:eastAsia="楷体_GB2312" w:cs="Times New Roman"/>
              <w:b w:val="0"/>
              <w:color w:val="auto"/>
              <w:sz w:val="32"/>
            </w:rPr>
            <w:fldChar w:fldCharType="begin"/>
          </w:r>
          <w:r>
            <w:rPr>
              <w:rFonts w:ascii="Times New Roman" w:hAnsi="Times New Roman" w:eastAsia="楷体_GB2312" w:cs="Times New Roman"/>
              <w:b w:val="0"/>
              <w:color w:val="auto"/>
              <w:sz w:val="32"/>
            </w:rPr>
            <w:instrText xml:space="preserve"> PAGEREF _Toc59116886 \h </w:instrText>
          </w:r>
          <w:r>
            <w:rPr>
              <w:rFonts w:ascii="Times New Roman" w:hAnsi="Times New Roman" w:eastAsia="楷体_GB2312" w:cs="Times New Roman"/>
              <w:b w:val="0"/>
              <w:color w:val="auto"/>
              <w:sz w:val="32"/>
            </w:rPr>
            <w:fldChar w:fldCharType="separate"/>
          </w:r>
          <w:r>
            <w:rPr>
              <w:rFonts w:ascii="Times New Roman" w:hAnsi="Times New Roman" w:eastAsia="楷体_GB2312" w:cs="Times New Roman"/>
              <w:b w:val="0"/>
              <w:color w:val="auto"/>
              <w:sz w:val="32"/>
            </w:rPr>
            <w:t>1</w:t>
          </w:r>
          <w:r>
            <w:rPr>
              <w:rFonts w:ascii="Times New Roman" w:hAnsi="Times New Roman" w:eastAsia="楷体_GB2312" w:cs="Times New Roman"/>
              <w:b w:val="0"/>
              <w:color w:val="auto"/>
              <w:sz w:val="32"/>
            </w:rPr>
            <w:fldChar w:fldCharType="end"/>
          </w:r>
          <w:r>
            <w:rPr>
              <w:rFonts w:ascii="Times New Roman" w:hAnsi="Times New Roman" w:eastAsia="楷体_GB2312" w:cs="Times New Roman"/>
              <w:b w:val="0"/>
              <w:color w:val="auto"/>
              <w:sz w:val="32"/>
            </w:rPr>
            <w:fldChar w:fldCharType="end"/>
          </w:r>
        </w:p>
        <w:p>
          <w:pPr>
            <w:pStyle w:val="13"/>
            <w:tabs>
              <w:tab w:val="right" w:leader="dot" w:pos="8630"/>
            </w:tabs>
            <w:spacing w:line="420" w:lineRule="exact"/>
            <w:ind w:left="440"/>
            <w:rPr>
              <w:rFonts w:ascii="楷体_GB2312" w:eastAsia="楷体_GB2312" w:hAnsiTheme="minorHAnsi" w:cstheme="minorBidi"/>
              <w:color w:val="auto"/>
              <w:sz w:val="30"/>
              <w:szCs w:val="30"/>
            </w:rPr>
          </w:pPr>
          <w:r>
            <w:rPr>
              <w:color w:val="auto"/>
            </w:rPr>
            <w:fldChar w:fldCharType="begin"/>
          </w:r>
          <w:r>
            <w:rPr>
              <w:color w:val="auto"/>
            </w:rPr>
            <w:instrText xml:space="preserve"> HYPERLINK \l "_Toc59116887" </w:instrText>
          </w:r>
          <w:r>
            <w:rPr>
              <w:color w:val="auto"/>
            </w:rPr>
            <w:fldChar w:fldCharType="separate"/>
          </w:r>
          <w:r>
            <w:rPr>
              <w:rStyle w:val="20"/>
              <w:rFonts w:hint="eastAsia" w:ascii="楷体_GB2312" w:hAnsi="黑体" w:eastAsia="楷体_GB2312" w:cs="黑体"/>
              <w:bCs/>
              <w:color w:val="auto"/>
              <w:sz w:val="30"/>
              <w:szCs w:val="30"/>
            </w:rPr>
            <w:t>第一节 发展基础</w:t>
          </w:r>
          <w:r>
            <w:rPr>
              <w:rFonts w:eastAsia="楷体_GB2312"/>
              <w:color w:val="auto"/>
              <w:sz w:val="30"/>
              <w:szCs w:val="30"/>
            </w:rPr>
            <w:tab/>
          </w:r>
          <w:r>
            <w:rPr>
              <w:rFonts w:eastAsia="楷体_GB2312"/>
              <w:color w:val="auto"/>
              <w:sz w:val="30"/>
              <w:szCs w:val="30"/>
            </w:rPr>
            <w:fldChar w:fldCharType="begin"/>
          </w:r>
          <w:r>
            <w:rPr>
              <w:rFonts w:eastAsia="楷体_GB2312"/>
              <w:color w:val="auto"/>
              <w:sz w:val="30"/>
              <w:szCs w:val="30"/>
            </w:rPr>
            <w:instrText xml:space="preserve"> PAGEREF _Toc59116887 \h </w:instrText>
          </w:r>
          <w:r>
            <w:rPr>
              <w:rFonts w:eastAsia="楷体_GB2312"/>
              <w:color w:val="auto"/>
              <w:sz w:val="30"/>
              <w:szCs w:val="30"/>
            </w:rPr>
            <w:fldChar w:fldCharType="separate"/>
          </w:r>
          <w:r>
            <w:rPr>
              <w:rFonts w:eastAsia="楷体_GB2312"/>
              <w:color w:val="auto"/>
              <w:sz w:val="30"/>
              <w:szCs w:val="30"/>
            </w:rPr>
            <w:t>1</w:t>
          </w:r>
          <w:r>
            <w:rPr>
              <w:rFonts w:eastAsia="楷体_GB2312"/>
              <w:color w:val="auto"/>
              <w:sz w:val="30"/>
              <w:szCs w:val="30"/>
            </w:rPr>
            <w:fldChar w:fldCharType="end"/>
          </w:r>
          <w:r>
            <w:rPr>
              <w:rFonts w:eastAsia="楷体_GB2312"/>
              <w:color w:val="auto"/>
              <w:sz w:val="30"/>
              <w:szCs w:val="30"/>
            </w:rPr>
            <w:fldChar w:fldCharType="end"/>
          </w:r>
        </w:p>
        <w:p>
          <w:pPr>
            <w:pStyle w:val="13"/>
            <w:tabs>
              <w:tab w:val="right" w:leader="dot" w:pos="8630"/>
            </w:tabs>
            <w:spacing w:line="420" w:lineRule="exact"/>
            <w:ind w:left="440"/>
            <w:rPr>
              <w:rFonts w:ascii="楷体_GB2312" w:eastAsia="楷体_GB2312" w:hAnsiTheme="minorHAnsi" w:cstheme="minorBidi"/>
              <w:color w:val="auto"/>
              <w:sz w:val="30"/>
              <w:szCs w:val="30"/>
            </w:rPr>
          </w:pPr>
          <w:r>
            <w:rPr>
              <w:color w:val="auto"/>
            </w:rPr>
            <w:fldChar w:fldCharType="begin"/>
          </w:r>
          <w:r>
            <w:rPr>
              <w:color w:val="auto"/>
            </w:rPr>
            <w:instrText xml:space="preserve"> HYPERLINK \l "_Toc59116888" </w:instrText>
          </w:r>
          <w:r>
            <w:rPr>
              <w:color w:val="auto"/>
            </w:rPr>
            <w:fldChar w:fldCharType="separate"/>
          </w:r>
          <w:r>
            <w:rPr>
              <w:rStyle w:val="20"/>
              <w:rFonts w:hint="eastAsia" w:ascii="楷体_GB2312" w:hAnsi="黑体" w:eastAsia="楷体_GB2312" w:cs="黑体"/>
              <w:bCs/>
              <w:color w:val="auto"/>
              <w:sz w:val="30"/>
              <w:szCs w:val="30"/>
            </w:rPr>
            <w:t>第二节 存在问题</w:t>
          </w:r>
          <w:r>
            <w:rPr>
              <w:rFonts w:eastAsia="楷体_GB2312"/>
              <w:color w:val="auto"/>
              <w:sz w:val="30"/>
              <w:szCs w:val="30"/>
            </w:rPr>
            <w:tab/>
          </w:r>
          <w:r>
            <w:rPr>
              <w:rFonts w:eastAsia="楷体_GB2312"/>
              <w:color w:val="auto"/>
              <w:sz w:val="30"/>
              <w:szCs w:val="30"/>
            </w:rPr>
            <w:fldChar w:fldCharType="begin"/>
          </w:r>
          <w:r>
            <w:rPr>
              <w:rFonts w:eastAsia="楷体_GB2312"/>
              <w:color w:val="auto"/>
              <w:sz w:val="30"/>
              <w:szCs w:val="30"/>
            </w:rPr>
            <w:instrText xml:space="preserve"> PAGEREF _Toc59116888 \h </w:instrText>
          </w:r>
          <w:r>
            <w:rPr>
              <w:rFonts w:eastAsia="楷体_GB2312"/>
              <w:color w:val="auto"/>
              <w:sz w:val="30"/>
              <w:szCs w:val="30"/>
            </w:rPr>
            <w:fldChar w:fldCharType="separate"/>
          </w:r>
          <w:r>
            <w:rPr>
              <w:rFonts w:eastAsia="楷体_GB2312"/>
              <w:color w:val="auto"/>
              <w:sz w:val="30"/>
              <w:szCs w:val="30"/>
            </w:rPr>
            <w:t>9</w:t>
          </w:r>
          <w:r>
            <w:rPr>
              <w:rFonts w:eastAsia="楷体_GB2312"/>
              <w:color w:val="auto"/>
              <w:sz w:val="30"/>
              <w:szCs w:val="30"/>
            </w:rPr>
            <w:fldChar w:fldCharType="end"/>
          </w:r>
          <w:r>
            <w:rPr>
              <w:rFonts w:eastAsia="楷体_GB2312"/>
              <w:color w:val="auto"/>
              <w:sz w:val="30"/>
              <w:szCs w:val="30"/>
            </w:rPr>
            <w:fldChar w:fldCharType="end"/>
          </w:r>
        </w:p>
        <w:p>
          <w:pPr>
            <w:pStyle w:val="13"/>
            <w:tabs>
              <w:tab w:val="right" w:leader="dot" w:pos="8630"/>
            </w:tabs>
            <w:spacing w:line="420" w:lineRule="exact"/>
            <w:ind w:left="440"/>
            <w:rPr>
              <w:rFonts w:ascii="楷体_GB2312" w:eastAsia="楷体_GB2312" w:hAnsiTheme="minorHAnsi" w:cstheme="minorBidi"/>
              <w:color w:val="auto"/>
              <w:sz w:val="30"/>
              <w:szCs w:val="30"/>
            </w:rPr>
          </w:pPr>
          <w:r>
            <w:rPr>
              <w:color w:val="auto"/>
            </w:rPr>
            <w:fldChar w:fldCharType="begin"/>
          </w:r>
          <w:r>
            <w:rPr>
              <w:color w:val="auto"/>
            </w:rPr>
            <w:instrText xml:space="preserve"> HYPERLINK \l "_Toc59116889" </w:instrText>
          </w:r>
          <w:r>
            <w:rPr>
              <w:color w:val="auto"/>
            </w:rPr>
            <w:fldChar w:fldCharType="separate"/>
          </w:r>
          <w:r>
            <w:rPr>
              <w:rStyle w:val="20"/>
              <w:rFonts w:hint="eastAsia" w:ascii="楷体_GB2312" w:hAnsi="黑体" w:eastAsia="楷体_GB2312" w:cs="黑体"/>
              <w:bCs/>
              <w:color w:val="auto"/>
              <w:sz w:val="30"/>
              <w:szCs w:val="30"/>
            </w:rPr>
            <w:t>第三节 发展形势</w:t>
          </w:r>
          <w:r>
            <w:rPr>
              <w:rFonts w:eastAsia="楷体_GB2312"/>
              <w:color w:val="auto"/>
              <w:sz w:val="30"/>
              <w:szCs w:val="30"/>
            </w:rPr>
            <w:tab/>
          </w:r>
          <w:r>
            <w:rPr>
              <w:rFonts w:eastAsia="楷体_GB2312"/>
              <w:color w:val="auto"/>
              <w:sz w:val="30"/>
              <w:szCs w:val="30"/>
            </w:rPr>
            <w:fldChar w:fldCharType="begin"/>
          </w:r>
          <w:r>
            <w:rPr>
              <w:rFonts w:eastAsia="楷体_GB2312"/>
              <w:color w:val="auto"/>
              <w:sz w:val="30"/>
              <w:szCs w:val="30"/>
            </w:rPr>
            <w:instrText xml:space="preserve"> PAGEREF _Toc59116889 \h </w:instrText>
          </w:r>
          <w:r>
            <w:rPr>
              <w:rFonts w:eastAsia="楷体_GB2312"/>
              <w:color w:val="auto"/>
              <w:sz w:val="30"/>
              <w:szCs w:val="30"/>
            </w:rPr>
            <w:fldChar w:fldCharType="separate"/>
          </w:r>
          <w:r>
            <w:rPr>
              <w:rFonts w:eastAsia="楷体_GB2312"/>
              <w:color w:val="auto"/>
              <w:sz w:val="30"/>
              <w:szCs w:val="30"/>
            </w:rPr>
            <w:t>10</w:t>
          </w:r>
          <w:r>
            <w:rPr>
              <w:rFonts w:eastAsia="楷体_GB2312"/>
              <w:color w:val="auto"/>
              <w:sz w:val="30"/>
              <w:szCs w:val="30"/>
            </w:rPr>
            <w:fldChar w:fldCharType="end"/>
          </w:r>
          <w:r>
            <w:rPr>
              <w:rFonts w:eastAsia="楷体_GB2312"/>
              <w:color w:val="auto"/>
              <w:sz w:val="30"/>
              <w:szCs w:val="30"/>
            </w:rPr>
            <w:fldChar w:fldCharType="end"/>
          </w:r>
        </w:p>
        <w:p>
          <w:pPr>
            <w:pStyle w:val="12"/>
            <w:spacing w:beforeLines="30" w:afterLines="30" w:line="420" w:lineRule="exact"/>
            <w:rPr>
              <w:rStyle w:val="20"/>
              <w:color w:val="auto"/>
            </w:rPr>
          </w:pPr>
          <w:r>
            <w:rPr>
              <w:color w:val="auto"/>
            </w:rPr>
            <w:fldChar w:fldCharType="begin"/>
          </w:r>
          <w:r>
            <w:rPr>
              <w:color w:val="auto"/>
            </w:rPr>
            <w:instrText xml:space="preserve"> HYPERLINK \l "_Toc59116890" </w:instrText>
          </w:r>
          <w:r>
            <w:rPr>
              <w:color w:val="auto"/>
            </w:rPr>
            <w:fldChar w:fldCharType="separate"/>
          </w:r>
          <w:r>
            <w:rPr>
              <w:rStyle w:val="20"/>
              <w:rFonts w:hint="eastAsia" w:ascii="楷体_GB2312" w:eastAsia="楷体_GB2312"/>
              <w:color w:val="auto"/>
              <w:sz w:val="32"/>
            </w:rPr>
            <w:t>第二章 总体思路与目标</w:t>
          </w:r>
          <w:r>
            <w:rPr>
              <w:rStyle w:val="20"/>
              <w:rFonts w:ascii="Times New Roman" w:hAnsi="Times New Roman" w:cs="Times New Roman"/>
              <w:b w:val="0"/>
              <w:color w:val="auto"/>
            </w:rPr>
            <w:tab/>
          </w:r>
          <w:r>
            <w:rPr>
              <w:rStyle w:val="20"/>
              <w:rFonts w:ascii="Times New Roman" w:hAnsi="Times New Roman" w:cs="Times New Roman"/>
              <w:b w:val="0"/>
              <w:color w:val="auto"/>
            </w:rPr>
            <w:fldChar w:fldCharType="begin"/>
          </w:r>
          <w:r>
            <w:rPr>
              <w:rStyle w:val="20"/>
              <w:rFonts w:ascii="Times New Roman" w:hAnsi="Times New Roman" w:cs="Times New Roman"/>
              <w:b w:val="0"/>
              <w:color w:val="auto"/>
            </w:rPr>
            <w:instrText xml:space="preserve"> PAGEREF _Toc59116890 \h </w:instrText>
          </w:r>
          <w:r>
            <w:rPr>
              <w:rStyle w:val="20"/>
              <w:rFonts w:ascii="Times New Roman" w:hAnsi="Times New Roman" w:cs="Times New Roman"/>
              <w:b w:val="0"/>
              <w:color w:val="auto"/>
            </w:rPr>
            <w:fldChar w:fldCharType="separate"/>
          </w:r>
          <w:r>
            <w:rPr>
              <w:rStyle w:val="20"/>
              <w:rFonts w:ascii="Times New Roman" w:hAnsi="Times New Roman" w:cs="Times New Roman"/>
              <w:b w:val="0"/>
              <w:color w:val="auto"/>
            </w:rPr>
            <w:t>13</w:t>
          </w:r>
          <w:r>
            <w:rPr>
              <w:rStyle w:val="20"/>
              <w:rFonts w:ascii="Times New Roman" w:hAnsi="Times New Roman" w:cs="Times New Roman"/>
              <w:b w:val="0"/>
              <w:color w:val="auto"/>
            </w:rPr>
            <w:fldChar w:fldCharType="end"/>
          </w:r>
          <w:r>
            <w:rPr>
              <w:rStyle w:val="20"/>
              <w:rFonts w:ascii="Times New Roman" w:hAnsi="Times New Roman" w:cs="Times New Roman"/>
              <w:b w:val="0"/>
              <w:color w:val="auto"/>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"_Toc59116891" </w:instrText>
          </w:r>
          <w:r>
            <w:rPr>
              <w:color w:val="auto"/>
            </w:rPr>
            <w:fldChar w:fldCharType="separate"/>
          </w:r>
          <w:r>
            <w:rPr>
              <w:rStyle w:val="20"/>
              <w:rFonts w:hint="eastAsia" w:ascii="楷体_GB2312" w:hAnsi="黑体" w:eastAsia="楷体_GB2312" w:cs="黑体"/>
              <w:bCs/>
              <w:color w:val="auto"/>
              <w:sz w:val="30"/>
              <w:szCs w:val="30"/>
            </w:rPr>
            <w:t>第一节 指导思想</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_Toc59116891 \h </w:instrText>
          </w:r>
          <w:r>
            <w:rPr>
              <w:rStyle w:val="20"/>
              <w:rFonts w:hAnsi="黑体" w:cs="黑体"/>
              <w:bCs/>
              <w:color w:val="auto"/>
              <w:sz w:val="30"/>
              <w:szCs w:val="30"/>
            </w:rPr>
            <w:fldChar w:fldCharType="separate"/>
          </w:r>
          <w:r>
            <w:rPr>
              <w:rStyle w:val="20"/>
              <w:rFonts w:hAnsi="黑体" w:cs="黑体"/>
              <w:bCs/>
              <w:color w:val="auto"/>
              <w:sz w:val="30"/>
              <w:szCs w:val="30"/>
            </w:rPr>
            <w:t>13</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"_Toc59116892" </w:instrText>
          </w:r>
          <w:r>
            <w:rPr>
              <w:color w:val="auto"/>
            </w:rPr>
            <w:fldChar w:fldCharType="separate"/>
          </w:r>
          <w:r>
            <w:rPr>
              <w:rStyle w:val="20"/>
              <w:rFonts w:hint="eastAsia" w:ascii="楷体_GB2312" w:hAnsi="黑体" w:eastAsia="楷体_GB2312" w:cs="黑体"/>
              <w:bCs/>
              <w:color w:val="auto"/>
              <w:sz w:val="30"/>
              <w:szCs w:val="30"/>
            </w:rPr>
            <w:t>第二节 基本原则</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_Toc59116892 \h </w:instrText>
          </w:r>
          <w:r>
            <w:rPr>
              <w:rStyle w:val="20"/>
              <w:rFonts w:hAnsi="黑体" w:cs="黑体"/>
              <w:bCs/>
              <w:color w:val="auto"/>
              <w:sz w:val="30"/>
              <w:szCs w:val="30"/>
            </w:rPr>
            <w:fldChar w:fldCharType="separate"/>
          </w:r>
          <w:r>
            <w:rPr>
              <w:rStyle w:val="20"/>
              <w:rFonts w:hAnsi="黑体" w:cs="黑体"/>
              <w:bCs/>
              <w:color w:val="auto"/>
              <w:sz w:val="30"/>
              <w:szCs w:val="30"/>
            </w:rPr>
            <w:t>14</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"_Toc59116893" </w:instrText>
          </w:r>
          <w:r>
            <w:rPr>
              <w:color w:val="auto"/>
            </w:rPr>
            <w:fldChar w:fldCharType="separate"/>
          </w:r>
          <w:r>
            <w:rPr>
              <w:rStyle w:val="20"/>
              <w:rFonts w:hint="eastAsia" w:ascii="楷体_GB2312" w:hAnsi="黑体" w:eastAsia="楷体_GB2312" w:cs="黑体"/>
              <w:bCs/>
              <w:color w:val="auto"/>
              <w:sz w:val="30"/>
              <w:szCs w:val="30"/>
            </w:rPr>
            <w:t>第三节 发展思路</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_Toc59116893 \h </w:instrText>
          </w:r>
          <w:r>
            <w:rPr>
              <w:rStyle w:val="20"/>
              <w:rFonts w:hAnsi="黑体" w:cs="黑体"/>
              <w:bCs/>
              <w:color w:val="auto"/>
              <w:sz w:val="30"/>
              <w:szCs w:val="30"/>
            </w:rPr>
            <w:fldChar w:fldCharType="separate"/>
          </w:r>
          <w:r>
            <w:rPr>
              <w:rStyle w:val="20"/>
              <w:rFonts w:hAnsi="黑体" w:cs="黑体"/>
              <w:bCs/>
              <w:color w:val="auto"/>
              <w:sz w:val="30"/>
              <w:szCs w:val="30"/>
            </w:rPr>
            <w:t>15</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"_Toc59116894" </w:instrText>
          </w:r>
          <w:r>
            <w:rPr>
              <w:color w:val="auto"/>
            </w:rPr>
            <w:fldChar w:fldCharType="separate"/>
          </w:r>
          <w:r>
            <w:rPr>
              <w:rStyle w:val="20"/>
              <w:rFonts w:hint="eastAsia" w:ascii="楷体_GB2312" w:hAnsi="黑体" w:eastAsia="楷体_GB2312" w:cs="黑体"/>
              <w:bCs/>
              <w:color w:val="auto"/>
              <w:sz w:val="30"/>
              <w:szCs w:val="30"/>
            </w:rPr>
            <w:t>第四节 战略定位</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_Toc59116894 \h </w:instrText>
          </w:r>
          <w:r>
            <w:rPr>
              <w:rStyle w:val="20"/>
              <w:rFonts w:hAnsi="黑体" w:cs="黑体"/>
              <w:bCs/>
              <w:color w:val="auto"/>
              <w:sz w:val="30"/>
              <w:szCs w:val="30"/>
            </w:rPr>
            <w:fldChar w:fldCharType="separate"/>
          </w:r>
          <w:r>
            <w:rPr>
              <w:rStyle w:val="20"/>
              <w:rFonts w:hAnsi="黑体" w:cs="黑体"/>
              <w:bCs/>
              <w:color w:val="auto"/>
              <w:sz w:val="30"/>
              <w:szCs w:val="30"/>
            </w:rPr>
            <w:t>16</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"_Toc59116895" </w:instrText>
          </w:r>
          <w:r>
            <w:rPr>
              <w:color w:val="auto"/>
            </w:rPr>
            <w:fldChar w:fldCharType="separate"/>
          </w:r>
          <w:r>
            <w:rPr>
              <w:rStyle w:val="20"/>
              <w:rFonts w:hint="eastAsia" w:ascii="楷体_GB2312" w:hAnsi="黑体" w:eastAsia="楷体_GB2312" w:cs="黑体"/>
              <w:bCs/>
              <w:color w:val="auto"/>
              <w:sz w:val="30"/>
              <w:szCs w:val="30"/>
            </w:rPr>
            <w:t>第五节 发展目标</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_Toc59116895 \h </w:instrText>
          </w:r>
          <w:r>
            <w:rPr>
              <w:rStyle w:val="20"/>
              <w:rFonts w:hAnsi="黑体" w:cs="黑体"/>
              <w:bCs/>
              <w:color w:val="auto"/>
              <w:sz w:val="30"/>
              <w:szCs w:val="30"/>
            </w:rPr>
            <w:fldChar w:fldCharType="separate"/>
          </w:r>
          <w:r>
            <w:rPr>
              <w:rStyle w:val="20"/>
              <w:rFonts w:hAnsi="黑体" w:cs="黑体"/>
              <w:bCs/>
              <w:color w:val="auto"/>
              <w:sz w:val="30"/>
              <w:szCs w:val="30"/>
            </w:rPr>
            <w:t>18</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2"/>
            <w:spacing w:beforeLines="30" w:afterLines="30" w:line="420" w:lineRule="exact"/>
            <w:rPr>
              <w:rStyle w:val="20"/>
              <w:rFonts w:ascii="楷体_GB2312" w:eastAsia="楷体_GB2312"/>
              <w:color w:val="auto"/>
              <w:sz w:val="32"/>
              <w:szCs w:val="32"/>
            </w:rPr>
          </w:pPr>
          <w:r>
            <w:rPr>
              <w:color w:val="auto"/>
            </w:rPr>
            <w:fldChar w:fldCharType="begin"/>
          </w:r>
          <w:r>
            <w:rPr>
              <w:color w:val="auto"/>
            </w:rPr>
            <w:instrText xml:space="preserve"> HYPERLINK \l "_Toc59116896" </w:instrText>
          </w:r>
          <w:r>
            <w:rPr>
              <w:color w:val="auto"/>
            </w:rPr>
            <w:fldChar w:fldCharType="separate"/>
          </w:r>
          <w:r>
            <w:rPr>
              <w:rStyle w:val="20"/>
              <w:rFonts w:hint="eastAsia" w:ascii="楷体_GB2312" w:eastAsia="楷体_GB2312"/>
              <w:color w:val="auto"/>
              <w:sz w:val="32"/>
              <w:szCs w:val="32"/>
            </w:rPr>
            <w:t>第三章 空间布局与空间策略</w:t>
          </w:r>
          <w:r>
            <w:rPr>
              <w:rStyle w:val="20"/>
              <w:rFonts w:ascii="Times New Roman" w:hAnsi="Times New Roman" w:eastAsia="楷体_GB2312" w:cs="Times New Roman"/>
              <w:b w:val="0"/>
              <w:color w:val="auto"/>
              <w:sz w:val="32"/>
              <w:szCs w:val="32"/>
            </w:rPr>
            <w:tab/>
          </w:r>
          <w:r>
            <w:rPr>
              <w:rStyle w:val="20"/>
              <w:rFonts w:ascii="Times New Roman" w:hAnsi="Times New Roman" w:eastAsia="楷体_GB2312" w:cs="Times New Roman"/>
              <w:b w:val="0"/>
              <w:color w:val="auto"/>
              <w:sz w:val="32"/>
              <w:szCs w:val="32"/>
            </w:rPr>
            <w:fldChar w:fldCharType="begin"/>
          </w:r>
          <w:r>
            <w:rPr>
              <w:rStyle w:val="20"/>
              <w:rFonts w:ascii="Times New Roman" w:hAnsi="Times New Roman" w:eastAsia="楷体_GB2312" w:cs="Times New Roman"/>
              <w:b w:val="0"/>
              <w:color w:val="auto"/>
              <w:sz w:val="32"/>
              <w:szCs w:val="32"/>
            </w:rPr>
            <w:instrText xml:space="preserve"> PAGEREF _Toc59116896 \h </w:instrText>
          </w:r>
          <w:r>
            <w:rPr>
              <w:rStyle w:val="20"/>
              <w:rFonts w:ascii="Times New Roman" w:hAnsi="Times New Roman" w:eastAsia="楷体_GB2312" w:cs="Times New Roman"/>
              <w:b w:val="0"/>
              <w:color w:val="auto"/>
              <w:sz w:val="32"/>
              <w:szCs w:val="32"/>
            </w:rPr>
            <w:fldChar w:fldCharType="separate"/>
          </w:r>
          <w:r>
            <w:rPr>
              <w:rStyle w:val="20"/>
              <w:rFonts w:ascii="Times New Roman" w:hAnsi="Times New Roman" w:eastAsia="楷体_GB2312" w:cs="Times New Roman"/>
              <w:b w:val="0"/>
              <w:color w:val="auto"/>
              <w:sz w:val="32"/>
              <w:szCs w:val="32"/>
            </w:rPr>
            <w:t>24</w:t>
          </w:r>
          <w:r>
            <w:rPr>
              <w:rStyle w:val="20"/>
              <w:rFonts w:ascii="Times New Roman" w:hAnsi="Times New Roman" w:eastAsia="楷体_GB2312" w:cs="Times New Roman"/>
              <w:b w:val="0"/>
              <w:color w:val="auto"/>
              <w:sz w:val="32"/>
              <w:szCs w:val="32"/>
            </w:rPr>
            <w:fldChar w:fldCharType="end"/>
          </w:r>
          <w:r>
            <w:rPr>
              <w:rStyle w:val="20"/>
              <w:rFonts w:ascii="Times New Roman" w:hAnsi="Times New Roman" w:eastAsia="楷体_GB2312" w:cs="Times New Roman"/>
              <w:b w:val="0"/>
              <w:color w:val="auto"/>
              <w:sz w:val="32"/>
              <w:szCs w:val="32"/>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"_Toc59116897" </w:instrText>
          </w:r>
          <w:r>
            <w:rPr>
              <w:color w:val="auto"/>
            </w:rPr>
            <w:fldChar w:fldCharType="separate"/>
          </w:r>
          <w:r>
            <w:rPr>
              <w:rStyle w:val="20"/>
              <w:rFonts w:hint="eastAsia" w:ascii="楷体_GB2312" w:hAnsi="黑体" w:eastAsia="楷体_GB2312" w:cs="黑体"/>
              <w:bCs/>
              <w:color w:val="auto"/>
              <w:sz w:val="30"/>
              <w:szCs w:val="30"/>
            </w:rPr>
            <w:t>第一节 空间布局</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_Toc59116897 \h </w:instrText>
          </w:r>
          <w:r>
            <w:rPr>
              <w:rStyle w:val="20"/>
              <w:rFonts w:eastAsia="楷体_GB2312"/>
              <w:bCs/>
              <w:color w:val="auto"/>
              <w:sz w:val="30"/>
              <w:szCs w:val="30"/>
            </w:rPr>
            <w:fldChar w:fldCharType="separate"/>
          </w:r>
          <w:r>
            <w:rPr>
              <w:rStyle w:val="20"/>
              <w:rFonts w:eastAsia="楷体_GB2312"/>
              <w:bCs/>
              <w:color w:val="auto"/>
              <w:sz w:val="30"/>
              <w:szCs w:val="30"/>
            </w:rPr>
            <w:t>24</w:t>
          </w:r>
          <w:r>
            <w:rPr>
              <w:rStyle w:val="20"/>
              <w:rFonts w:eastAsia="楷体_GB2312"/>
              <w:bCs/>
              <w:color w:val="auto"/>
              <w:sz w:val="30"/>
              <w:szCs w:val="30"/>
            </w:rPr>
            <w:fldChar w:fldCharType="end"/>
          </w:r>
          <w:r>
            <w:rPr>
              <w:rStyle w:val="20"/>
              <w:rFonts w:eastAsia="楷体_GB2312"/>
              <w:bCs/>
              <w:color w:val="auto"/>
              <w:sz w:val="30"/>
              <w:szCs w:val="30"/>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"_Toc59116898" </w:instrText>
          </w:r>
          <w:r>
            <w:rPr>
              <w:color w:val="auto"/>
            </w:rPr>
            <w:fldChar w:fldCharType="separate"/>
          </w:r>
          <w:r>
            <w:rPr>
              <w:rStyle w:val="20"/>
              <w:rFonts w:hint="eastAsia" w:ascii="楷体_GB2312" w:hAnsi="黑体" w:eastAsia="楷体_GB2312" w:cs="黑体"/>
              <w:bCs/>
              <w:color w:val="auto"/>
              <w:sz w:val="30"/>
              <w:szCs w:val="30"/>
            </w:rPr>
            <w:t>第二节 空间策略</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_Toc59116898 \h </w:instrText>
          </w:r>
          <w:r>
            <w:rPr>
              <w:rStyle w:val="20"/>
              <w:rFonts w:eastAsia="楷体_GB2312"/>
              <w:bCs/>
              <w:color w:val="auto"/>
              <w:sz w:val="30"/>
              <w:szCs w:val="30"/>
            </w:rPr>
            <w:fldChar w:fldCharType="separate"/>
          </w:r>
          <w:r>
            <w:rPr>
              <w:rStyle w:val="20"/>
              <w:rFonts w:eastAsia="楷体_GB2312"/>
              <w:bCs/>
              <w:color w:val="auto"/>
              <w:sz w:val="30"/>
              <w:szCs w:val="30"/>
            </w:rPr>
            <w:t>29</w:t>
          </w:r>
          <w:r>
            <w:rPr>
              <w:rStyle w:val="20"/>
              <w:rFonts w:eastAsia="楷体_GB2312"/>
              <w:bCs/>
              <w:color w:val="auto"/>
              <w:sz w:val="30"/>
              <w:szCs w:val="30"/>
            </w:rPr>
            <w:fldChar w:fldCharType="end"/>
          </w:r>
          <w:r>
            <w:rPr>
              <w:rStyle w:val="20"/>
              <w:rFonts w:eastAsia="楷体_GB2312"/>
              <w:bCs/>
              <w:color w:val="auto"/>
              <w:sz w:val="30"/>
              <w:szCs w:val="30"/>
            </w:rPr>
            <w:fldChar w:fldCharType="end"/>
          </w:r>
        </w:p>
        <w:p>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"_Toc59116899" </w:instrText>
          </w:r>
          <w:r>
            <w:rPr>
              <w:color w:val="auto"/>
            </w:rPr>
            <w:fldChar w:fldCharType="separate"/>
          </w:r>
          <w:r>
            <w:rPr>
              <w:rStyle w:val="20"/>
              <w:rFonts w:hint="eastAsia" w:ascii="楷体_GB2312" w:eastAsia="楷体_GB2312"/>
              <w:color w:val="auto"/>
              <w:sz w:val="32"/>
            </w:rPr>
            <w:t>第四章 打造高能级战略平台</w:t>
          </w:r>
          <w:r>
            <w:rPr>
              <w:rFonts w:ascii="Times New Roman" w:hAnsi="Times New Roman" w:eastAsia="楷体_GB2312" w:cs="Times New Roman"/>
              <w:b w:val="0"/>
              <w:color w:val="auto"/>
              <w:sz w:val="32"/>
            </w:rPr>
            <w:tab/>
          </w:r>
          <w:r>
            <w:rPr>
              <w:rFonts w:ascii="Times New Roman" w:hAnsi="Times New Roman" w:eastAsia="楷体_GB2312" w:cs="Times New Roman"/>
              <w:b w:val="0"/>
              <w:color w:val="auto"/>
              <w:sz w:val="32"/>
            </w:rPr>
            <w:fldChar w:fldCharType="begin"/>
          </w:r>
          <w:r>
            <w:rPr>
              <w:rFonts w:ascii="Times New Roman" w:hAnsi="Times New Roman" w:eastAsia="楷体_GB2312" w:cs="Times New Roman"/>
              <w:b w:val="0"/>
              <w:color w:val="auto"/>
              <w:sz w:val="32"/>
            </w:rPr>
            <w:instrText xml:space="preserve"> PAGEREF _Toc59116899 \h </w:instrText>
          </w:r>
          <w:r>
            <w:rPr>
              <w:rFonts w:ascii="Times New Roman" w:hAnsi="Times New Roman" w:eastAsia="楷体_GB2312" w:cs="Times New Roman"/>
              <w:b w:val="0"/>
              <w:color w:val="auto"/>
              <w:sz w:val="32"/>
            </w:rPr>
            <w:fldChar w:fldCharType="separate"/>
          </w:r>
          <w:r>
            <w:rPr>
              <w:rFonts w:ascii="Times New Roman" w:hAnsi="Times New Roman" w:eastAsia="楷体_GB2312" w:cs="Times New Roman"/>
              <w:b w:val="0"/>
              <w:color w:val="auto"/>
              <w:sz w:val="32"/>
            </w:rPr>
            <w:t>33</w:t>
          </w:r>
          <w:r>
            <w:rPr>
              <w:rFonts w:ascii="Times New Roman" w:hAnsi="Times New Roman" w:eastAsia="楷体_GB2312" w:cs="Times New Roman"/>
              <w:b w:val="0"/>
              <w:color w:val="auto"/>
              <w:sz w:val="32"/>
            </w:rPr>
            <w:fldChar w:fldCharType="end"/>
          </w:r>
          <w:r>
            <w:rPr>
              <w:rFonts w:ascii="Times New Roman" w:hAnsi="Times New Roman" w:eastAsia="楷体_GB2312" w:cs="Times New Roman"/>
              <w:b w:val="0"/>
              <w:color w:val="auto"/>
              <w:sz w:val="32"/>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"_Toc59116900" </w:instrText>
          </w:r>
          <w:r>
            <w:rPr>
              <w:color w:val="auto"/>
            </w:rPr>
            <w:fldChar w:fldCharType="separate"/>
          </w:r>
          <w:r>
            <w:rPr>
              <w:rStyle w:val="20"/>
              <w:rFonts w:hint="eastAsia" w:ascii="楷体_GB2312" w:hAnsi="黑体" w:eastAsia="楷体_GB2312" w:cs="黑体"/>
              <w:bCs/>
              <w:color w:val="auto"/>
              <w:sz w:val="30"/>
              <w:szCs w:val="30"/>
            </w:rPr>
            <w:t>第一节 提速建设一流高新区</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_Toc59116900 \h </w:instrText>
          </w:r>
          <w:r>
            <w:rPr>
              <w:rStyle w:val="20"/>
              <w:rFonts w:hAnsi="黑体" w:cs="黑体"/>
              <w:bCs/>
              <w:color w:val="auto"/>
              <w:sz w:val="30"/>
              <w:szCs w:val="30"/>
            </w:rPr>
            <w:fldChar w:fldCharType="separate"/>
          </w:r>
          <w:r>
            <w:rPr>
              <w:rStyle w:val="20"/>
              <w:rFonts w:hAnsi="黑体" w:cs="黑体"/>
              <w:bCs/>
              <w:color w:val="auto"/>
              <w:sz w:val="30"/>
              <w:szCs w:val="30"/>
            </w:rPr>
            <w:t>33</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"_Toc59116901" </w:instrText>
          </w:r>
          <w:r>
            <w:rPr>
              <w:color w:val="auto"/>
            </w:rPr>
            <w:fldChar w:fldCharType="separate"/>
          </w:r>
          <w:r>
            <w:rPr>
              <w:rStyle w:val="20"/>
              <w:rFonts w:hint="eastAsia" w:ascii="楷体_GB2312" w:hAnsi="黑体" w:eastAsia="楷体_GB2312" w:cs="黑体"/>
              <w:bCs/>
              <w:color w:val="auto"/>
              <w:sz w:val="30"/>
              <w:szCs w:val="30"/>
            </w:rPr>
            <w:t>第二节 加快建设自贸区升级版</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_Toc59116901 \h </w:instrText>
          </w:r>
          <w:r>
            <w:rPr>
              <w:rStyle w:val="20"/>
              <w:rFonts w:hAnsi="黑体" w:cs="黑体"/>
              <w:bCs/>
              <w:color w:val="auto"/>
              <w:sz w:val="30"/>
              <w:szCs w:val="30"/>
            </w:rPr>
            <w:fldChar w:fldCharType="separate"/>
          </w:r>
          <w:r>
            <w:rPr>
              <w:rStyle w:val="20"/>
              <w:rFonts w:hAnsi="黑体" w:cs="黑体"/>
              <w:bCs/>
              <w:color w:val="auto"/>
              <w:sz w:val="30"/>
              <w:szCs w:val="30"/>
            </w:rPr>
            <w:t>35</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"_Toc59116902" </w:instrText>
          </w:r>
          <w:r>
            <w:rPr>
              <w:color w:val="auto"/>
            </w:rPr>
            <w:fldChar w:fldCharType="separate"/>
          </w:r>
          <w:r>
            <w:rPr>
              <w:rStyle w:val="20"/>
              <w:rFonts w:hint="eastAsia" w:ascii="楷体_GB2312" w:hAnsi="黑体" w:eastAsia="楷体_GB2312" w:cs="黑体"/>
              <w:bCs/>
              <w:color w:val="auto"/>
              <w:sz w:val="30"/>
              <w:szCs w:val="30"/>
            </w:rPr>
            <w:t>第三节 积极创建棋盘山国家级旅游度假区</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_Toc59116902 \h </w:instrText>
          </w:r>
          <w:r>
            <w:rPr>
              <w:rStyle w:val="20"/>
              <w:rFonts w:hAnsi="黑体" w:cs="黑体"/>
              <w:bCs/>
              <w:color w:val="auto"/>
              <w:sz w:val="30"/>
              <w:szCs w:val="30"/>
            </w:rPr>
            <w:fldChar w:fldCharType="separate"/>
          </w:r>
          <w:r>
            <w:rPr>
              <w:rStyle w:val="20"/>
              <w:rFonts w:hAnsi="黑体" w:cs="黑体"/>
              <w:bCs/>
              <w:color w:val="auto"/>
              <w:sz w:val="30"/>
              <w:szCs w:val="30"/>
            </w:rPr>
            <w:t>37</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"_Toc59116903" </w:instrText>
          </w:r>
          <w:r>
            <w:rPr>
              <w:color w:val="auto"/>
            </w:rPr>
            <w:fldChar w:fldCharType="separate"/>
          </w:r>
          <w:r>
            <w:rPr>
              <w:rStyle w:val="20"/>
              <w:rFonts w:hint="eastAsia" w:ascii="楷体_GB2312" w:eastAsia="楷体_GB2312"/>
              <w:color w:val="auto"/>
              <w:sz w:val="32"/>
            </w:rPr>
            <w:t>第五章 构建新经济产业体系</w:t>
          </w:r>
          <w:r>
            <w:rPr>
              <w:rFonts w:ascii="Times New Roman" w:hAnsi="Times New Roman" w:eastAsia="楷体_GB2312" w:cs="Times New Roman"/>
              <w:b w:val="0"/>
              <w:color w:val="auto"/>
              <w:sz w:val="32"/>
            </w:rPr>
            <w:tab/>
          </w:r>
          <w:r>
            <w:rPr>
              <w:rFonts w:ascii="Times New Roman" w:hAnsi="Times New Roman" w:eastAsia="楷体_GB2312" w:cs="Times New Roman"/>
              <w:b w:val="0"/>
              <w:color w:val="auto"/>
              <w:sz w:val="32"/>
            </w:rPr>
            <w:fldChar w:fldCharType="begin"/>
          </w:r>
          <w:r>
            <w:rPr>
              <w:rFonts w:ascii="Times New Roman" w:hAnsi="Times New Roman" w:eastAsia="楷体_GB2312" w:cs="Times New Roman"/>
              <w:b w:val="0"/>
              <w:color w:val="auto"/>
              <w:sz w:val="32"/>
            </w:rPr>
            <w:instrText xml:space="preserve"> PAGEREF _Toc59116903 \h </w:instrText>
          </w:r>
          <w:r>
            <w:rPr>
              <w:rFonts w:ascii="Times New Roman" w:hAnsi="Times New Roman" w:eastAsia="楷体_GB2312" w:cs="Times New Roman"/>
              <w:b w:val="0"/>
              <w:color w:val="auto"/>
              <w:sz w:val="32"/>
            </w:rPr>
            <w:fldChar w:fldCharType="separate"/>
          </w:r>
          <w:r>
            <w:rPr>
              <w:rFonts w:ascii="Times New Roman" w:hAnsi="Times New Roman" w:eastAsia="楷体_GB2312" w:cs="Times New Roman"/>
              <w:b w:val="0"/>
              <w:color w:val="auto"/>
              <w:sz w:val="32"/>
            </w:rPr>
            <w:t>40</w:t>
          </w:r>
          <w:r>
            <w:rPr>
              <w:rFonts w:ascii="Times New Roman" w:hAnsi="Times New Roman" w:eastAsia="楷体_GB2312" w:cs="Times New Roman"/>
              <w:b w:val="0"/>
              <w:color w:val="auto"/>
              <w:sz w:val="32"/>
            </w:rPr>
            <w:fldChar w:fldCharType="end"/>
          </w:r>
          <w:r>
            <w:rPr>
              <w:rFonts w:ascii="Times New Roman" w:hAnsi="Times New Roman" w:eastAsia="楷体_GB2312" w:cs="Times New Roman"/>
              <w:b w:val="0"/>
              <w:color w:val="auto"/>
              <w:sz w:val="32"/>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"_Toc59116904" </w:instrText>
          </w:r>
          <w:r>
            <w:rPr>
              <w:color w:val="auto"/>
            </w:rPr>
            <w:fldChar w:fldCharType="separate"/>
          </w:r>
          <w:r>
            <w:rPr>
              <w:rStyle w:val="20"/>
              <w:rFonts w:hint="eastAsia" w:ascii="楷体_GB2312" w:hAnsi="黑体" w:eastAsia="楷体_GB2312" w:cs="黑体"/>
              <w:bCs/>
              <w:color w:val="auto"/>
              <w:sz w:val="30"/>
              <w:szCs w:val="30"/>
            </w:rPr>
            <w:t>第一节 做大做强六个重点产业</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_Toc59116904 \h </w:instrText>
          </w:r>
          <w:r>
            <w:rPr>
              <w:rStyle w:val="20"/>
              <w:rFonts w:hAnsi="黑体" w:cs="黑体"/>
              <w:bCs/>
              <w:color w:val="auto"/>
              <w:sz w:val="30"/>
              <w:szCs w:val="30"/>
            </w:rPr>
            <w:fldChar w:fldCharType="separate"/>
          </w:r>
          <w:r>
            <w:rPr>
              <w:rStyle w:val="20"/>
              <w:rFonts w:hAnsi="黑体" w:cs="黑体"/>
              <w:bCs/>
              <w:color w:val="auto"/>
              <w:sz w:val="30"/>
              <w:szCs w:val="30"/>
            </w:rPr>
            <w:t>40</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8"/>
            <w:tabs>
              <w:tab w:val="right" w:leader="dot" w:pos="8630"/>
            </w:tabs>
            <w:spacing w:line="420" w:lineRule="exact"/>
            <w:ind w:left="880"/>
            <w:rPr>
              <w:rFonts w:ascii="楷体_GB2312" w:eastAsia="楷体_GB2312" w:hAnsiTheme="minorHAnsi" w:cstheme="minorBidi"/>
              <w:color w:val="auto"/>
              <w:sz w:val="30"/>
            </w:rPr>
          </w:pPr>
          <w:r>
            <w:rPr>
              <w:color w:val="auto"/>
            </w:rPr>
            <w:fldChar w:fldCharType="begin"/>
          </w:r>
          <w:r>
            <w:rPr>
              <w:color w:val="auto"/>
            </w:rPr>
            <w:instrText xml:space="preserve"> HYPERLINK \l "_Toc59116905" </w:instrText>
          </w:r>
          <w:r>
            <w:rPr>
              <w:color w:val="auto"/>
            </w:rPr>
            <w:fldChar w:fldCharType="separate"/>
          </w:r>
          <w:r>
            <w:rPr>
              <w:rStyle w:val="20"/>
              <w:rFonts w:hint="eastAsia" w:ascii="楷体_GB2312" w:hAnsi="黑体" w:eastAsia="楷体_GB2312" w:cs="仿宋_GB2312"/>
              <w:color w:val="auto"/>
              <w:sz w:val="30"/>
            </w:rPr>
            <w:t>1.发展壮大新一代信息技术产业</w:t>
          </w:r>
          <w:r>
            <w:rPr>
              <w:rFonts w:eastAsia="楷体_GB2312"/>
              <w:color w:val="auto"/>
              <w:sz w:val="30"/>
            </w:rPr>
            <w:tab/>
          </w:r>
          <w:r>
            <w:rPr>
              <w:rFonts w:eastAsia="楷体_GB2312"/>
              <w:color w:val="auto"/>
              <w:sz w:val="30"/>
            </w:rPr>
            <w:fldChar w:fldCharType="begin"/>
          </w:r>
          <w:r>
            <w:rPr>
              <w:rFonts w:eastAsia="楷体_GB2312"/>
              <w:color w:val="auto"/>
              <w:sz w:val="30"/>
            </w:rPr>
            <w:instrText xml:space="preserve"> PAGEREF _Toc59116905 \h </w:instrText>
          </w:r>
          <w:r>
            <w:rPr>
              <w:rFonts w:eastAsia="楷体_GB2312"/>
              <w:color w:val="auto"/>
              <w:sz w:val="30"/>
            </w:rPr>
            <w:fldChar w:fldCharType="separate"/>
          </w:r>
          <w:r>
            <w:rPr>
              <w:rFonts w:eastAsia="楷体_GB2312"/>
              <w:color w:val="auto"/>
              <w:sz w:val="30"/>
            </w:rPr>
            <w:t>40</w:t>
          </w:r>
          <w:r>
            <w:rPr>
              <w:rFonts w:eastAsia="楷体_GB2312"/>
              <w:color w:val="auto"/>
              <w:sz w:val="30"/>
            </w:rPr>
            <w:fldChar w:fldCharType="end"/>
          </w:r>
          <w:r>
            <w:rPr>
              <w:rFonts w:eastAsia="楷体_GB2312"/>
              <w:color w:val="auto"/>
              <w:sz w:val="30"/>
            </w:rPr>
            <w:fldChar w:fldCharType="end"/>
          </w:r>
        </w:p>
        <w:p>
          <w:pPr>
            <w:pStyle w:val="8"/>
            <w:tabs>
              <w:tab w:val="right" w:leader="dot" w:pos="8630"/>
            </w:tabs>
            <w:spacing w:line="420" w:lineRule="exact"/>
            <w:ind w:left="880"/>
            <w:rPr>
              <w:rFonts w:ascii="楷体_GB2312" w:eastAsia="楷体_GB2312" w:hAnsiTheme="minorHAnsi" w:cstheme="minorBidi"/>
              <w:color w:val="auto"/>
              <w:sz w:val="30"/>
            </w:rPr>
          </w:pPr>
          <w:r>
            <w:rPr>
              <w:color w:val="auto"/>
            </w:rPr>
            <w:fldChar w:fldCharType="begin"/>
          </w:r>
          <w:r>
            <w:rPr>
              <w:color w:val="auto"/>
            </w:rPr>
            <w:instrText xml:space="preserve"> HYPERLINK \l "_Toc59116906" </w:instrText>
          </w:r>
          <w:r>
            <w:rPr>
              <w:color w:val="auto"/>
            </w:rPr>
            <w:fldChar w:fldCharType="separate"/>
          </w:r>
          <w:r>
            <w:rPr>
              <w:rStyle w:val="20"/>
              <w:rFonts w:hint="eastAsia" w:ascii="楷体_GB2312" w:hAnsi="黑体" w:eastAsia="楷体_GB2312" w:cs="仿宋_GB2312"/>
              <w:color w:val="auto"/>
              <w:sz w:val="30"/>
            </w:rPr>
            <w:t>2.持续做强高端装备产业</w:t>
          </w:r>
          <w:r>
            <w:rPr>
              <w:rFonts w:eastAsia="楷体_GB2312"/>
              <w:color w:val="auto"/>
              <w:sz w:val="30"/>
            </w:rPr>
            <w:tab/>
          </w:r>
          <w:r>
            <w:rPr>
              <w:rFonts w:eastAsia="楷体_GB2312"/>
              <w:color w:val="auto"/>
              <w:sz w:val="30"/>
            </w:rPr>
            <w:fldChar w:fldCharType="begin"/>
          </w:r>
          <w:r>
            <w:rPr>
              <w:rFonts w:eastAsia="楷体_GB2312"/>
              <w:color w:val="auto"/>
              <w:sz w:val="30"/>
            </w:rPr>
            <w:instrText xml:space="preserve"> PAGEREF _Toc59116906 \h </w:instrText>
          </w:r>
          <w:r>
            <w:rPr>
              <w:rFonts w:eastAsia="楷体_GB2312"/>
              <w:color w:val="auto"/>
              <w:sz w:val="30"/>
            </w:rPr>
            <w:fldChar w:fldCharType="separate"/>
          </w:r>
          <w:r>
            <w:rPr>
              <w:rFonts w:eastAsia="楷体_GB2312"/>
              <w:color w:val="auto"/>
              <w:sz w:val="30"/>
            </w:rPr>
            <w:t>42</w:t>
          </w:r>
          <w:r>
            <w:rPr>
              <w:rFonts w:eastAsia="楷体_GB2312"/>
              <w:color w:val="auto"/>
              <w:sz w:val="30"/>
            </w:rPr>
            <w:fldChar w:fldCharType="end"/>
          </w:r>
          <w:r>
            <w:rPr>
              <w:rFonts w:eastAsia="楷体_GB2312"/>
              <w:color w:val="auto"/>
              <w:sz w:val="30"/>
            </w:rPr>
            <w:fldChar w:fldCharType="end"/>
          </w:r>
        </w:p>
        <w:p>
          <w:pPr>
            <w:pStyle w:val="8"/>
            <w:tabs>
              <w:tab w:val="right" w:leader="dot" w:pos="8630"/>
            </w:tabs>
            <w:spacing w:line="420" w:lineRule="exact"/>
            <w:ind w:left="880"/>
            <w:rPr>
              <w:rFonts w:ascii="楷体_GB2312" w:eastAsia="楷体_GB2312" w:hAnsiTheme="minorHAnsi" w:cstheme="minorBidi"/>
              <w:color w:val="auto"/>
              <w:sz w:val="30"/>
            </w:rPr>
          </w:pPr>
          <w:r>
            <w:rPr>
              <w:color w:val="auto"/>
            </w:rPr>
            <w:fldChar w:fldCharType="begin"/>
          </w:r>
          <w:r>
            <w:rPr>
              <w:color w:val="auto"/>
            </w:rPr>
            <w:instrText xml:space="preserve"> HYPERLINK \l "_Toc59116907" </w:instrText>
          </w:r>
          <w:r>
            <w:rPr>
              <w:color w:val="auto"/>
            </w:rPr>
            <w:fldChar w:fldCharType="separate"/>
          </w:r>
          <w:r>
            <w:rPr>
              <w:rStyle w:val="20"/>
              <w:rFonts w:hint="eastAsia" w:ascii="楷体_GB2312" w:hAnsi="黑体" w:eastAsia="楷体_GB2312" w:cs="仿宋_GB2312"/>
              <w:color w:val="auto"/>
              <w:sz w:val="30"/>
            </w:rPr>
            <w:t>3.加快发展新能源汽车产业</w:t>
          </w:r>
          <w:r>
            <w:rPr>
              <w:rFonts w:eastAsia="楷体_GB2312"/>
              <w:color w:val="auto"/>
              <w:sz w:val="30"/>
            </w:rPr>
            <w:tab/>
          </w:r>
          <w:r>
            <w:rPr>
              <w:rFonts w:eastAsia="楷体_GB2312"/>
              <w:color w:val="auto"/>
              <w:sz w:val="30"/>
            </w:rPr>
            <w:fldChar w:fldCharType="begin"/>
          </w:r>
          <w:r>
            <w:rPr>
              <w:rFonts w:eastAsia="楷体_GB2312"/>
              <w:color w:val="auto"/>
              <w:sz w:val="30"/>
            </w:rPr>
            <w:instrText xml:space="preserve"> PAGEREF _Toc59116907 \h </w:instrText>
          </w:r>
          <w:r>
            <w:rPr>
              <w:rFonts w:eastAsia="楷体_GB2312"/>
              <w:color w:val="auto"/>
              <w:sz w:val="30"/>
            </w:rPr>
            <w:fldChar w:fldCharType="separate"/>
          </w:r>
          <w:r>
            <w:rPr>
              <w:rFonts w:eastAsia="楷体_GB2312"/>
              <w:color w:val="auto"/>
              <w:sz w:val="30"/>
            </w:rPr>
            <w:t>43</w:t>
          </w:r>
          <w:r>
            <w:rPr>
              <w:rFonts w:eastAsia="楷体_GB2312"/>
              <w:color w:val="auto"/>
              <w:sz w:val="30"/>
            </w:rPr>
            <w:fldChar w:fldCharType="end"/>
          </w:r>
          <w:r>
            <w:rPr>
              <w:rFonts w:eastAsia="楷体_GB2312"/>
              <w:color w:val="auto"/>
              <w:sz w:val="30"/>
            </w:rPr>
            <w:fldChar w:fldCharType="end"/>
          </w:r>
        </w:p>
        <w:p>
          <w:pPr>
            <w:pStyle w:val="8"/>
            <w:tabs>
              <w:tab w:val="right" w:leader="dot" w:pos="8630"/>
            </w:tabs>
            <w:spacing w:line="420" w:lineRule="exact"/>
            <w:ind w:left="880"/>
            <w:rPr>
              <w:rFonts w:ascii="楷体_GB2312" w:eastAsia="楷体_GB2312" w:hAnsiTheme="minorHAnsi" w:cstheme="minorBidi"/>
              <w:color w:val="auto"/>
              <w:sz w:val="30"/>
            </w:rPr>
          </w:pPr>
          <w:r>
            <w:rPr>
              <w:color w:val="auto"/>
            </w:rPr>
            <w:fldChar w:fldCharType="begin"/>
          </w:r>
          <w:r>
            <w:rPr>
              <w:color w:val="auto"/>
            </w:rPr>
            <w:instrText xml:space="preserve"> HYPERLINK \l "_Toc59116908" </w:instrText>
          </w:r>
          <w:r>
            <w:rPr>
              <w:color w:val="auto"/>
            </w:rPr>
            <w:fldChar w:fldCharType="separate"/>
          </w:r>
          <w:r>
            <w:rPr>
              <w:rStyle w:val="20"/>
              <w:rFonts w:hint="eastAsia" w:ascii="楷体_GB2312" w:hAnsi="黑体" w:eastAsia="楷体_GB2312" w:cs="仿宋_GB2312"/>
              <w:color w:val="auto"/>
              <w:sz w:val="30"/>
            </w:rPr>
            <w:t>4.大力发展生命健康产业</w:t>
          </w:r>
          <w:r>
            <w:rPr>
              <w:rFonts w:eastAsia="楷体_GB2312"/>
              <w:color w:val="auto"/>
              <w:sz w:val="30"/>
            </w:rPr>
            <w:tab/>
          </w:r>
          <w:r>
            <w:rPr>
              <w:rFonts w:eastAsia="楷体_GB2312"/>
              <w:color w:val="auto"/>
              <w:sz w:val="30"/>
            </w:rPr>
            <w:fldChar w:fldCharType="begin"/>
          </w:r>
          <w:r>
            <w:rPr>
              <w:rFonts w:eastAsia="楷体_GB2312"/>
              <w:color w:val="auto"/>
              <w:sz w:val="30"/>
            </w:rPr>
            <w:instrText xml:space="preserve"> PAGEREF _Toc59116908 \h </w:instrText>
          </w:r>
          <w:r>
            <w:rPr>
              <w:rFonts w:eastAsia="楷体_GB2312"/>
              <w:color w:val="auto"/>
              <w:sz w:val="30"/>
            </w:rPr>
            <w:fldChar w:fldCharType="separate"/>
          </w:r>
          <w:r>
            <w:rPr>
              <w:rFonts w:eastAsia="楷体_GB2312"/>
              <w:color w:val="auto"/>
              <w:sz w:val="30"/>
            </w:rPr>
            <w:t>43</w:t>
          </w:r>
          <w:r>
            <w:rPr>
              <w:rFonts w:eastAsia="楷体_GB2312"/>
              <w:color w:val="auto"/>
              <w:sz w:val="30"/>
            </w:rPr>
            <w:fldChar w:fldCharType="end"/>
          </w:r>
          <w:r>
            <w:rPr>
              <w:rFonts w:eastAsia="楷体_GB2312"/>
              <w:color w:val="auto"/>
              <w:sz w:val="30"/>
            </w:rPr>
            <w:fldChar w:fldCharType="end"/>
          </w:r>
        </w:p>
        <w:p>
          <w:pPr>
            <w:pStyle w:val="8"/>
            <w:tabs>
              <w:tab w:val="right" w:leader="dot" w:pos="8630"/>
            </w:tabs>
            <w:spacing w:line="420" w:lineRule="exact"/>
            <w:ind w:left="880"/>
            <w:rPr>
              <w:rStyle w:val="20"/>
              <w:rFonts w:ascii="楷体_GB2312" w:hAnsi="黑体" w:eastAsia="楷体_GB2312" w:cs="仿宋_GB2312"/>
              <w:color w:val="auto"/>
              <w:sz w:val="30"/>
            </w:rPr>
          </w:pPr>
          <w:r>
            <w:rPr>
              <w:color w:val="auto"/>
            </w:rPr>
            <w:fldChar w:fldCharType="begin"/>
          </w:r>
          <w:r>
            <w:rPr>
              <w:color w:val="auto"/>
            </w:rPr>
            <w:instrText xml:space="preserve"> HYPERLINK \l "_Toc59116909" </w:instrText>
          </w:r>
          <w:r>
            <w:rPr>
              <w:color w:val="auto"/>
            </w:rPr>
            <w:fldChar w:fldCharType="separate"/>
          </w:r>
          <w:r>
            <w:rPr>
              <w:rStyle w:val="20"/>
              <w:rFonts w:hint="eastAsia" w:ascii="楷体_GB2312" w:hAnsi="黑体" w:eastAsia="楷体_GB2312" w:cs="仿宋_GB2312"/>
              <w:color w:val="auto"/>
              <w:sz w:val="30"/>
            </w:rPr>
            <w:t>5.整合发展文体休闲产业</w:t>
          </w:r>
          <w:r>
            <w:rPr>
              <w:rStyle w:val="20"/>
              <w:rFonts w:eastAsia="楷体_GB2312"/>
              <w:color w:val="auto"/>
              <w:sz w:val="30"/>
            </w:rPr>
            <w:tab/>
          </w:r>
          <w:r>
            <w:rPr>
              <w:rStyle w:val="20"/>
              <w:rFonts w:eastAsia="楷体_GB2312"/>
              <w:color w:val="auto"/>
              <w:sz w:val="30"/>
            </w:rPr>
            <w:fldChar w:fldCharType="begin"/>
          </w:r>
          <w:r>
            <w:rPr>
              <w:rStyle w:val="20"/>
              <w:rFonts w:eastAsia="楷体_GB2312"/>
              <w:color w:val="auto"/>
              <w:sz w:val="30"/>
            </w:rPr>
            <w:instrText xml:space="preserve"> PAGEREF _Toc59116909 \h </w:instrText>
          </w:r>
          <w:r>
            <w:rPr>
              <w:rStyle w:val="20"/>
              <w:rFonts w:eastAsia="楷体_GB2312"/>
              <w:color w:val="auto"/>
              <w:sz w:val="30"/>
            </w:rPr>
            <w:fldChar w:fldCharType="separate"/>
          </w:r>
          <w:r>
            <w:rPr>
              <w:rStyle w:val="20"/>
              <w:rFonts w:eastAsia="楷体_GB2312"/>
              <w:color w:val="auto"/>
              <w:sz w:val="30"/>
            </w:rPr>
            <w:t>44</w:t>
          </w:r>
          <w:r>
            <w:rPr>
              <w:rStyle w:val="20"/>
              <w:rFonts w:eastAsia="楷体_GB2312"/>
              <w:color w:val="auto"/>
              <w:sz w:val="30"/>
            </w:rPr>
            <w:fldChar w:fldCharType="end"/>
          </w:r>
          <w:r>
            <w:rPr>
              <w:rStyle w:val="20"/>
              <w:rFonts w:eastAsia="楷体_GB2312"/>
              <w:color w:val="auto"/>
              <w:sz w:val="30"/>
            </w:rPr>
            <w:fldChar w:fldCharType="end"/>
          </w:r>
        </w:p>
        <w:p>
          <w:pPr>
            <w:pStyle w:val="8"/>
            <w:tabs>
              <w:tab w:val="right" w:leader="dot" w:pos="8630"/>
            </w:tabs>
            <w:spacing w:line="420" w:lineRule="exact"/>
            <w:ind w:left="880"/>
            <w:rPr>
              <w:rStyle w:val="20"/>
              <w:rFonts w:ascii="楷体_GB2312" w:hAnsi="黑体" w:eastAsia="楷体_GB2312" w:cs="仿宋_GB2312"/>
              <w:color w:val="auto"/>
              <w:sz w:val="30"/>
            </w:rPr>
          </w:pPr>
          <w:r>
            <w:rPr>
              <w:color w:val="auto"/>
            </w:rPr>
            <w:fldChar w:fldCharType="begin"/>
          </w:r>
          <w:r>
            <w:rPr>
              <w:color w:val="auto"/>
            </w:rPr>
            <w:instrText xml:space="preserve"> HYPERLINK \l "_Toc59116910" </w:instrText>
          </w:r>
          <w:r>
            <w:rPr>
              <w:color w:val="auto"/>
            </w:rPr>
            <w:fldChar w:fldCharType="separate"/>
          </w:r>
          <w:r>
            <w:rPr>
              <w:rStyle w:val="20"/>
              <w:rFonts w:hint="eastAsia" w:ascii="楷体_GB2312" w:hAnsi="黑体" w:eastAsia="楷体_GB2312" w:cs="仿宋_GB2312"/>
              <w:color w:val="auto"/>
              <w:sz w:val="30"/>
            </w:rPr>
            <w:t>6.积极布局临空经济产业</w:t>
          </w:r>
          <w:r>
            <w:rPr>
              <w:rStyle w:val="20"/>
              <w:rFonts w:eastAsia="楷体_GB2312"/>
              <w:color w:val="auto"/>
              <w:sz w:val="30"/>
            </w:rPr>
            <w:tab/>
          </w:r>
          <w:r>
            <w:rPr>
              <w:rStyle w:val="20"/>
              <w:rFonts w:eastAsia="楷体_GB2312"/>
              <w:color w:val="auto"/>
              <w:sz w:val="30"/>
            </w:rPr>
            <w:fldChar w:fldCharType="begin"/>
          </w:r>
          <w:r>
            <w:rPr>
              <w:rStyle w:val="20"/>
              <w:rFonts w:eastAsia="楷体_GB2312"/>
              <w:color w:val="auto"/>
              <w:sz w:val="30"/>
            </w:rPr>
            <w:instrText xml:space="preserve"> PAGEREF _Toc59116910 \h </w:instrText>
          </w:r>
          <w:r>
            <w:rPr>
              <w:rStyle w:val="20"/>
              <w:rFonts w:eastAsia="楷体_GB2312"/>
              <w:color w:val="auto"/>
              <w:sz w:val="30"/>
            </w:rPr>
            <w:fldChar w:fldCharType="separate"/>
          </w:r>
          <w:r>
            <w:rPr>
              <w:rStyle w:val="20"/>
              <w:rFonts w:eastAsia="楷体_GB2312"/>
              <w:color w:val="auto"/>
              <w:sz w:val="30"/>
            </w:rPr>
            <w:t>46</w:t>
          </w:r>
          <w:r>
            <w:rPr>
              <w:rStyle w:val="20"/>
              <w:rFonts w:eastAsia="楷体_GB2312"/>
              <w:color w:val="auto"/>
              <w:sz w:val="30"/>
            </w:rPr>
            <w:fldChar w:fldCharType="end"/>
          </w:r>
          <w:r>
            <w:rPr>
              <w:rStyle w:val="20"/>
              <w:rFonts w:eastAsia="楷体_GB2312"/>
              <w:color w:val="auto"/>
              <w:sz w:val="30"/>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"_Toc59116911" </w:instrText>
          </w:r>
          <w:r>
            <w:rPr>
              <w:color w:val="auto"/>
            </w:rPr>
            <w:fldChar w:fldCharType="separate"/>
          </w:r>
          <w:r>
            <w:rPr>
              <w:rStyle w:val="20"/>
              <w:rFonts w:hint="eastAsia" w:ascii="楷体_GB2312" w:hAnsi="黑体" w:eastAsia="楷体_GB2312" w:cs="黑体"/>
              <w:bCs/>
              <w:color w:val="auto"/>
              <w:sz w:val="30"/>
              <w:szCs w:val="30"/>
            </w:rPr>
            <w:t>第二节 做特做精六个特色产业</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_Toc59116911 \h </w:instrText>
          </w:r>
          <w:r>
            <w:rPr>
              <w:rStyle w:val="20"/>
              <w:rFonts w:eastAsia="楷体_GB2312"/>
              <w:bCs/>
              <w:color w:val="auto"/>
              <w:sz w:val="30"/>
              <w:szCs w:val="30"/>
            </w:rPr>
            <w:fldChar w:fldCharType="separate"/>
          </w:r>
          <w:r>
            <w:rPr>
              <w:rStyle w:val="20"/>
              <w:rFonts w:eastAsia="楷体_GB2312"/>
              <w:bCs/>
              <w:color w:val="auto"/>
              <w:sz w:val="30"/>
              <w:szCs w:val="30"/>
            </w:rPr>
            <w:t>47</w:t>
          </w:r>
          <w:r>
            <w:rPr>
              <w:rStyle w:val="20"/>
              <w:rFonts w:eastAsia="楷体_GB2312"/>
              <w:bCs/>
              <w:color w:val="auto"/>
              <w:sz w:val="30"/>
              <w:szCs w:val="30"/>
            </w:rPr>
            <w:fldChar w:fldCharType="end"/>
          </w:r>
          <w:r>
            <w:rPr>
              <w:rStyle w:val="20"/>
              <w:rFonts w:eastAsia="楷体_GB2312"/>
              <w:bCs/>
              <w:color w:val="auto"/>
              <w:sz w:val="30"/>
              <w:szCs w:val="30"/>
            </w:rPr>
            <w:fldChar w:fldCharType="end"/>
          </w:r>
        </w:p>
        <w:p>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"_Toc59116912" </w:instrText>
          </w:r>
          <w:r>
            <w:rPr>
              <w:color w:val="auto"/>
            </w:rPr>
            <w:fldChar w:fldCharType="separate"/>
          </w:r>
          <w:r>
            <w:rPr>
              <w:rStyle w:val="20"/>
              <w:rFonts w:hint="eastAsia" w:ascii="楷体_GB2312" w:hAnsi="黑体" w:eastAsia="楷体_GB2312" w:cs="仿宋_GB2312"/>
              <w:color w:val="auto"/>
              <w:sz w:val="30"/>
            </w:rPr>
            <w:t>1.积极发展先进材料产业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_Toc59116912 \h </w:instrText>
          </w:r>
          <w:r>
            <w:rPr>
              <w:rStyle w:val="20"/>
              <w:rFonts w:hint="eastAsia" w:hAnsi="黑体" w:cs="仿宋_GB2312"/>
              <w:color w:val="auto"/>
              <w:sz w:val="30"/>
            </w:rPr>
            <w:fldChar w:fldCharType="separate"/>
          </w:r>
          <w:r>
            <w:rPr>
              <w:rStyle w:val="20"/>
              <w:rFonts w:hint="eastAsia" w:hAnsi="黑体" w:cs="仿宋_GB2312"/>
              <w:color w:val="auto"/>
              <w:sz w:val="30"/>
            </w:rPr>
            <w:t>47</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"_Toc59116913" </w:instrText>
          </w:r>
          <w:r>
            <w:rPr>
              <w:color w:val="auto"/>
            </w:rPr>
            <w:fldChar w:fldCharType="separate"/>
          </w:r>
          <w:r>
            <w:rPr>
              <w:rStyle w:val="20"/>
              <w:rFonts w:hint="eastAsia" w:ascii="楷体_GB2312" w:hAnsi="黑体" w:eastAsia="楷体_GB2312" w:cs="仿宋_GB2312"/>
              <w:color w:val="auto"/>
              <w:sz w:val="30"/>
            </w:rPr>
            <w:t>2.深化发展电子商务产业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_Toc59116913 \h </w:instrText>
          </w:r>
          <w:r>
            <w:rPr>
              <w:rStyle w:val="20"/>
              <w:rFonts w:hint="eastAsia" w:hAnsi="黑体" w:cs="仿宋_GB2312"/>
              <w:color w:val="auto"/>
              <w:sz w:val="30"/>
            </w:rPr>
            <w:fldChar w:fldCharType="separate"/>
          </w:r>
          <w:r>
            <w:rPr>
              <w:rStyle w:val="20"/>
              <w:rFonts w:hint="eastAsia" w:hAnsi="黑体" w:cs="仿宋_GB2312"/>
              <w:color w:val="auto"/>
              <w:sz w:val="30"/>
            </w:rPr>
            <w:t>48</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"_Toc59116914" </w:instrText>
          </w:r>
          <w:r>
            <w:rPr>
              <w:color w:val="auto"/>
            </w:rPr>
            <w:fldChar w:fldCharType="separate"/>
          </w:r>
          <w:r>
            <w:rPr>
              <w:rStyle w:val="20"/>
              <w:rFonts w:hint="eastAsia" w:ascii="楷体_GB2312" w:hAnsi="黑体" w:eastAsia="楷体_GB2312" w:cs="仿宋_GB2312"/>
              <w:color w:val="auto"/>
              <w:sz w:val="30"/>
            </w:rPr>
            <w:t>3.提速发展现代金融产业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_Toc59116914 \h </w:instrText>
          </w:r>
          <w:r>
            <w:rPr>
              <w:rStyle w:val="20"/>
              <w:rFonts w:hint="eastAsia" w:hAnsi="黑体" w:cs="仿宋_GB2312"/>
              <w:color w:val="auto"/>
              <w:sz w:val="30"/>
            </w:rPr>
            <w:fldChar w:fldCharType="separate"/>
          </w:r>
          <w:r>
            <w:rPr>
              <w:rStyle w:val="20"/>
              <w:rFonts w:hint="eastAsia" w:hAnsi="黑体" w:cs="仿宋_GB2312"/>
              <w:color w:val="auto"/>
              <w:sz w:val="30"/>
            </w:rPr>
            <w:t>48</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"_Toc59116915" </w:instrText>
          </w:r>
          <w:r>
            <w:rPr>
              <w:color w:val="auto"/>
            </w:rPr>
            <w:fldChar w:fldCharType="separate"/>
          </w:r>
          <w:r>
            <w:rPr>
              <w:rStyle w:val="20"/>
              <w:rFonts w:hint="eastAsia" w:ascii="楷体_GB2312" w:hAnsi="黑体" w:eastAsia="楷体_GB2312" w:cs="仿宋_GB2312"/>
              <w:color w:val="auto"/>
              <w:sz w:val="30"/>
            </w:rPr>
            <w:t>4.加快集聚高端商务商贸产业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_Toc59116915 \h </w:instrText>
          </w:r>
          <w:r>
            <w:rPr>
              <w:rStyle w:val="20"/>
              <w:rFonts w:hint="eastAsia" w:hAnsi="黑体" w:cs="仿宋_GB2312"/>
              <w:color w:val="auto"/>
              <w:sz w:val="30"/>
            </w:rPr>
            <w:fldChar w:fldCharType="separate"/>
          </w:r>
          <w:r>
            <w:rPr>
              <w:rStyle w:val="20"/>
              <w:rFonts w:hint="eastAsia" w:hAnsi="黑体" w:cs="仿宋_GB2312"/>
              <w:color w:val="auto"/>
              <w:sz w:val="30"/>
            </w:rPr>
            <w:t>49</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"_Toc59116916" </w:instrText>
          </w:r>
          <w:r>
            <w:rPr>
              <w:color w:val="auto"/>
            </w:rPr>
            <w:fldChar w:fldCharType="separate"/>
          </w:r>
          <w:r>
            <w:rPr>
              <w:rStyle w:val="20"/>
              <w:rFonts w:hint="eastAsia" w:ascii="楷体_GB2312" w:hAnsi="黑体" w:eastAsia="楷体_GB2312" w:cs="仿宋_GB2312"/>
              <w:color w:val="auto"/>
              <w:sz w:val="30"/>
            </w:rPr>
            <w:t>5.优化发展现代物流产业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_Toc59116916 \h </w:instrText>
          </w:r>
          <w:r>
            <w:rPr>
              <w:rStyle w:val="20"/>
              <w:rFonts w:hint="eastAsia" w:hAnsi="黑体" w:cs="仿宋_GB2312"/>
              <w:color w:val="auto"/>
              <w:sz w:val="30"/>
            </w:rPr>
            <w:fldChar w:fldCharType="separate"/>
          </w:r>
          <w:r>
            <w:rPr>
              <w:rStyle w:val="20"/>
              <w:rFonts w:hint="eastAsia" w:hAnsi="黑体" w:cs="仿宋_GB2312"/>
              <w:color w:val="auto"/>
              <w:sz w:val="30"/>
            </w:rPr>
            <w:t>50</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"_Toc59116917" </w:instrText>
          </w:r>
          <w:r>
            <w:rPr>
              <w:color w:val="auto"/>
            </w:rPr>
            <w:fldChar w:fldCharType="separate"/>
          </w:r>
          <w:r>
            <w:rPr>
              <w:rStyle w:val="20"/>
              <w:rFonts w:hint="eastAsia" w:ascii="楷体_GB2312" w:hAnsi="黑体" w:eastAsia="楷体_GB2312" w:cs="仿宋_GB2312"/>
              <w:color w:val="auto"/>
              <w:sz w:val="30"/>
            </w:rPr>
            <w:t>6.稳步发展现代都市农业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_Toc59116917 \h </w:instrText>
          </w:r>
          <w:r>
            <w:rPr>
              <w:rStyle w:val="20"/>
              <w:rFonts w:hint="eastAsia" w:hAnsi="黑体" w:cs="仿宋_GB2312"/>
              <w:color w:val="auto"/>
              <w:sz w:val="30"/>
            </w:rPr>
            <w:fldChar w:fldCharType="separate"/>
          </w:r>
          <w:r>
            <w:rPr>
              <w:rStyle w:val="20"/>
              <w:rFonts w:hint="eastAsia" w:hAnsi="黑体" w:cs="仿宋_GB2312"/>
              <w:color w:val="auto"/>
              <w:sz w:val="30"/>
            </w:rPr>
            <w:t>51</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"_Toc59116918" </w:instrText>
          </w:r>
          <w:r>
            <w:rPr>
              <w:color w:val="auto"/>
            </w:rPr>
            <w:fldChar w:fldCharType="separate"/>
          </w:r>
          <w:r>
            <w:rPr>
              <w:rStyle w:val="20"/>
              <w:rFonts w:hint="eastAsia" w:ascii="楷体_GB2312" w:hAnsi="黑体" w:eastAsia="楷体_GB2312" w:cs="黑体"/>
              <w:bCs/>
              <w:color w:val="auto"/>
              <w:sz w:val="30"/>
              <w:szCs w:val="30"/>
            </w:rPr>
            <w:t>第三节 超前布局三个未来产业</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_Toc59116918 \h </w:instrText>
          </w:r>
          <w:r>
            <w:rPr>
              <w:rStyle w:val="20"/>
              <w:rFonts w:hAnsi="黑体" w:cs="黑体"/>
              <w:bCs/>
              <w:color w:val="auto"/>
              <w:sz w:val="30"/>
              <w:szCs w:val="30"/>
            </w:rPr>
            <w:fldChar w:fldCharType="separate"/>
          </w:r>
          <w:r>
            <w:rPr>
              <w:rStyle w:val="20"/>
              <w:rFonts w:hAnsi="黑体" w:cs="黑体"/>
              <w:bCs/>
              <w:color w:val="auto"/>
              <w:sz w:val="30"/>
              <w:szCs w:val="30"/>
            </w:rPr>
            <w:t>51</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8"/>
            <w:tabs>
              <w:tab w:val="right" w:leader="dot" w:pos="8630"/>
            </w:tabs>
            <w:spacing w:line="420" w:lineRule="exact"/>
            <w:ind w:left="880"/>
            <w:rPr>
              <w:rStyle w:val="20"/>
              <w:rFonts w:ascii="楷体_GB2312" w:hAnsi="黑体" w:eastAsia="楷体_GB2312" w:cs="仿宋_GB2312"/>
              <w:color w:val="auto"/>
              <w:sz w:val="30"/>
            </w:rPr>
          </w:pPr>
          <w:r>
            <w:rPr>
              <w:color w:val="auto"/>
            </w:rPr>
            <w:fldChar w:fldCharType="begin"/>
          </w:r>
          <w:r>
            <w:rPr>
              <w:color w:val="auto"/>
            </w:rPr>
            <w:instrText xml:space="preserve"> HYPERLINK \l "_Toc59116919" </w:instrText>
          </w:r>
          <w:r>
            <w:rPr>
              <w:color w:val="auto"/>
            </w:rPr>
            <w:fldChar w:fldCharType="separate"/>
          </w:r>
          <w:r>
            <w:rPr>
              <w:rStyle w:val="20"/>
              <w:rFonts w:hint="eastAsia" w:ascii="楷体_GB2312" w:hAnsi="黑体" w:eastAsia="楷体_GB2312" w:cs="仿宋_GB2312"/>
              <w:color w:val="auto"/>
              <w:sz w:val="30"/>
            </w:rPr>
            <w:t>1.抢先布局未来城市产业</w:t>
          </w:r>
          <w:r>
            <w:rPr>
              <w:rStyle w:val="20"/>
              <w:rFonts w:eastAsia="楷体_GB2312"/>
              <w:color w:val="auto"/>
              <w:sz w:val="30"/>
            </w:rPr>
            <w:tab/>
          </w:r>
          <w:r>
            <w:rPr>
              <w:rStyle w:val="20"/>
              <w:rFonts w:eastAsia="楷体_GB2312"/>
              <w:color w:val="auto"/>
              <w:sz w:val="30"/>
            </w:rPr>
            <w:fldChar w:fldCharType="begin"/>
          </w:r>
          <w:r>
            <w:rPr>
              <w:rStyle w:val="20"/>
              <w:rFonts w:eastAsia="楷体_GB2312"/>
              <w:color w:val="auto"/>
              <w:sz w:val="30"/>
            </w:rPr>
            <w:instrText xml:space="preserve"> PAGEREF _Toc59116919 \h </w:instrText>
          </w:r>
          <w:r>
            <w:rPr>
              <w:rStyle w:val="20"/>
              <w:rFonts w:eastAsia="楷体_GB2312"/>
              <w:color w:val="auto"/>
              <w:sz w:val="30"/>
            </w:rPr>
            <w:fldChar w:fldCharType="separate"/>
          </w:r>
          <w:r>
            <w:rPr>
              <w:rStyle w:val="20"/>
              <w:rFonts w:eastAsia="楷体_GB2312"/>
              <w:color w:val="auto"/>
              <w:sz w:val="30"/>
            </w:rPr>
            <w:t>51</w:t>
          </w:r>
          <w:r>
            <w:rPr>
              <w:rStyle w:val="20"/>
              <w:rFonts w:eastAsia="楷体_GB2312"/>
              <w:color w:val="auto"/>
              <w:sz w:val="30"/>
            </w:rPr>
            <w:fldChar w:fldCharType="end"/>
          </w:r>
          <w:r>
            <w:rPr>
              <w:rStyle w:val="20"/>
              <w:rFonts w:eastAsia="楷体_GB2312"/>
              <w:color w:val="auto"/>
              <w:sz w:val="30"/>
            </w:rPr>
            <w:fldChar w:fldCharType="end"/>
          </w:r>
        </w:p>
        <w:p>
          <w:pPr>
            <w:pStyle w:val="8"/>
            <w:tabs>
              <w:tab w:val="right" w:leader="dot" w:pos="8630"/>
            </w:tabs>
            <w:spacing w:line="420" w:lineRule="exact"/>
            <w:ind w:left="880"/>
            <w:rPr>
              <w:rStyle w:val="20"/>
              <w:rFonts w:ascii="楷体_GB2312" w:hAnsi="黑体" w:eastAsia="楷体_GB2312" w:cs="仿宋_GB2312"/>
              <w:color w:val="auto"/>
              <w:sz w:val="30"/>
            </w:rPr>
          </w:pPr>
          <w:r>
            <w:rPr>
              <w:color w:val="auto"/>
            </w:rPr>
            <w:fldChar w:fldCharType="begin"/>
          </w:r>
          <w:r>
            <w:rPr>
              <w:color w:val="auto"/>
            </w:rPr>
            <w:instrText xml:space="preserve"> HYPERLINK \l "_Toc59116920" </w:instrText>
          </w:r>
          <w:r>
            <w:rPr>
              <w:color w:val="auto"/>
            </w:rPr>
            <w:fldChar w:fldCharType="separate"/>
          </w:r>
          <w:r>
            <w:rPr>
              <w:rStyle w:val="20"/>
              <w:rFonts w:hint="eastAsia" w:ascii="楷体_GB2312" w:hAnsi="黑体" w:eastAsia="楷体_GB2312" w:cs="仿宋_GB2312"/>
              <w:color w:val="auto"/>
              <w:sz w:val="30"/>
            </w:rPr>
            <w:t>2.积极培育未来信息技术产业</w:t>
          </w:r>
          <w:r>
            <w:rPr>
              <w:rStyle w:val="20"/>
              <w:rFonts w:eastAsia="楷体_GB2312"/>
              <w:color w:val="auto"/>
              <w:sz w:val="30"/>
            </w:rPr>
            <w:tab/>
          </w:r>
          <w:r>
            <w:rPr>
              <w:rStyle w:val="20"/>
              <w:rFonts w:eastAsia="楷体_GB2312"/>
              <w:color w:val="auto"/>
              <w:sz w:val="30"/>
            </w:rPr>
            <w:fldChar w:fldCharType="begin"/>
          </w:r>
          <w:r>
            <w:rPr>
              <w:rStyle w:val="20"/>
              <w:rFonts w:eastAsia="楷体_GB2312"/>
              <w:color w:val="auto"/>
              <w:sz w:val="30"/>
            </w:rPr>
            <w:instrText xml:space="preserve"> PAGEREF _Toc59116920 \h </w:instrText>
          </w:r>
          <w:r>
            <w:rPr>
              <w:rStyle w:val="20"/>
              <w:rFonts w:eastAsia="楷体_GB2312"/>
              <w:color w:val="auto"/>
              <w:sz w:val="30"/>
            </w:rPr>
            <w:fldChar w:fldCharType="separate"/>
          </w:r>
          <w:r>
            <w:rPr>
              <w:rStyle w:val="20"/>
              <w:rFonts w:eastAsia="楷体_GB2312"/>
              <w:color w:val="auto"/>
              <w:sz w:val="30"/>
            </w:rPr>
            <w:t>52</w:t>
          </w:r>
          <w:r>
            <w:rPr>
              <w:rStyle w:val="20"/>
              <w:rFonts w:eastAsia="楷体_GB2312"/>
              <w:color w:val="auto"/>
              <w:sz w:val="30"/>
            </w:rPr>
            <w:fldChar w:fldCharType="end"/>
          </w:r>
          <w:r>
            <w:rPr>
              <w:rStyle w:val="20"/>
              <w:rFonts w:eastAsia="楷体_GB2312"/>
              <w:color w:val="auto"/>
              <w:sz w:val="30"/>
            </w:rPr>
            <w:fldChar w:fldCharType="end"/>
          </w:r>
        </w:p>
        <w:p>
          <w:pPr>
            <w:pStyle w:val="8"/>
            <w:tabs>
              <w:tab w:val="right" w:leader="dot" w:pos="8630"/>
            </w:tabs>
            <w:spacing w:line="420" w:lineRule="exact"/>
            <w:ind w:left="880"/>
            <w:rPr>
              <w:rStyle w:val="20"/>
              <w:rFonts w:ascii="楷体_GB2312" w:hAnsi="黑体" w:eastAsia="楷体_GB2312" w:cs="仿宋_GB2312"/>
              <w:color w:val="auto"/>
              <w:sz w:val="30"/>
            </w:rPr>
          </w:pPr>
          <w:r>
            <w:rPr>
              <w:color w:val="auto"/>
            </w:rPr>
            <w:fldChar w:fldCharType="begin"/>
          </w:r>
          <w:r>
            <w:rPr>
              <w:color w:val="auto"/>
            </w:rPr>
            <w:instrText xml:space="preserve"> HYPERLINK \l "_Toc59116921" </w:instrText>
          </w:r>
          <w:r>
            <w:rPr>
              <w:color w:val="auto"/>
            </w:rPr>
            <w:fldChar w:fldCharType="separate"/>
          </w:r>
          <w:r>
            <w:rPr>
              <w:rStyle w:val="20"/>
              <w:rFonts w:hint="eastAsia" w:ascii="楷体_GB2312" w:hAnsi="黑体" w:eastAsia="楷体_GB2312" w:cs="仿宋_GB2312"/>
              <w:color w:val="auto"/>
              <w:sz w:val="30"/>
            </w:rPr>
            <w:t>3.延伸发展未来健康产业</w:t>
          </w:r>
          <w:r>
            <w:rPr>
              <w:rStyle w:val="20"/>
              <w:rFonts w:eastAsia="楷体_GB2312"/>
              <w:color w:val="auto"/>
              <w:sz w:val="30"/>
            </w:rPr>
            <w:tab/>
          </w:r>
          <w:r>
            <w:rPr>
              <w:rStyle w:val="20"/>
              <w:rFonts w:eastAsia="楷体_GB2312"/>
              <w:color w:val="auto"/>
              <w:sz w:val="30"/>
            </w:rPr>
            <w:fldChar w:fldCharType="begin"/>
          </w:r>
          <w:r>
            <w:rPr>
              <w:rStyle w:val="20"/>
              <w:rFonts w:eastAsia="楷体_GB2312"/>
              <w:color w:val="auto"/>
              <w:sz w:val="30"/>
            </w:rPr>
            <w:instrText xml:space="preserve"> PAGEREF _Toc59116921 \h </w:instrText>
          </w:r>
          <w:r>
            <w:rPr>
              <w:rStyle w:val="20"/>
              <w:rFonts w:eastAsia="楷体_GB2312"/>
              <w:color w:val="auto"/>
              <w:sz w:val="30"/>
            </w:rPr>
            <w:fldChar w:fldCharType="separate"/>
          </w:r>
          <w:r>
            <w:rPr>
              <w:rStyle w:val="20"/>
              <w:rFonts w:eastAsia="楷体_GB2312"/>
              <w:color w:val="auto"/>
              <w:sz w:val="30"/>
            </w:rPr>
            <w:t>53</w:t>
          </w:r>
          <w:r>
            <w:rPr>
              <w:rStyle w:val="20"/>
              <w:rFonts w:eastAsia="楷体_GB2312"/>
              <w:color w:val="auto"/>
              <w:sz w:val="30"/>
            </w:rPr>
            <w:fldChar w:fldCharType="end"/>
          </w:r>
          <w:r>
            <w:rPr>
              <w:rStyle w:val="20"/>
              <w:rFonts w:eastAsia="楷体_GB2312"/>
              <w:color w:val="auto"/>
              <w:sz w:val="30"/>
            </w:rPr>
            <w:fldChar w:fldCharType="end"/>
          </w:r>
        </w:p>
        <w:p>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"_Toc59116922" </w:instrText>
          </w:r>
          <w:r>
            <w:rPr>
              <w:color w:val="auto"/>
            </w:rPr>
            <w:fldChar w:fldCharType="separate"/>
          </w:r>
          <w:r>
            <w:rPr>
              <w:rStyle w:val="20"/>
              <w:rFonts w:hint="eastAsia" w:ascii="楷体_GB2312" w:eastAsia="楷体_GB2312"/>
              <w:color w:val="auto"/>
              <w:sz w:val="32"/>
            </w:rPr>
            <w:t>第六章 营造一流创新创业生态</w:t>
          </w:r>
          <w:r>
            <w:rPr>
              <w:rFonts w:ascii="Times New Roman" w:hAnsi="Times New Roman" w:eastAsia="楷体_GB2312" w:cs="Times New Roman"/>
              <w:b w:val="0"/>
              <w:color w:val="auto"/>
              <w:sz w:val="32"/>
            </w:rPr>
            <w:tab/>
          </w:r>
          <w:r>
            <w:rPr>
              <w:rFonts w:ascii="Times New Roman" w:hAnsi="Times New Roman" w:eastAsia="楷体_GB2312" w:cs="Times New Roman"/>
              <w:b w:val="0"/>
              <w:color w:val="auto"/>
              <w:sz w:val="32"/>
            </w:rPr>
            <w:fldChar w:fldCharType="begin"/>
          </w:r>
          <w:r>
            <w:rPr>
              <w:rFonts w:ascii="Times New Roman" w:hAnsi="Times New Roman" w:eastAsia="楷体_GB2312" w:cs="Times New Roman"/>
              <w:b w:val="0"/>
              <w:color w:val="auto"/>
              <w:sz w:val="32"/>
            </w:rPr>
            <w:instrText xml:space="preserve"> PAGEREF _Toc59116922 \h </w:instrText>
          </w:r>
          <w:r>
            <w:rPr>
              <w:rFonts w:ascii="Times New Roman" w:hAnsi="Times New Roman" w:eastAsia="楷体_GB2312" w:cs="Times New Roman"/>
              <w:b w:val="0"/>
              <w:color w:val="auto"/>
              <w:sz w:val="32"/>
            </w:rPr>
            <w:fldChar w:fldCharType="separate"/>
          </w:r>
          <w:r>
            <w:rPr>
              <w:rFonts w:ascii="Times New Roman" w:hAnsi="Times New Roman" w:eastAsia="楷体_GB2312" w:cs="Times New Roman"/>
              <w:b w:val="0"/>
              <w:color w:val="auto"/>
              <w:sz w:val="32"/>
            </w:rPr>
            <w:t>55</w:t>
          </w:r>
          <w:r>
            <w:rPr>
              <w:rFonts w:ascii="Times New Roman" w:hAnsi="Times New Roman" w:eastAsia="楷体_GB2312" w:cs="Times New Roman"/>
              <w:b w:val="0"/>
              <w:color w:val="auto"/>
              <w:sz w:val="32"/>
            </w:rPr>
            <w:fldChar w:fldCharType="end"/>
          </w:r>
          <w:r>
            <w:rPr>
              <w:rFonts w:ascii="Times New Roman" w:hAnsi="Times New Roman" w:eastAsia="楷体_GB2312" w:cs="Times New Roman"/>
              <w:b w:val="0"/>
              <w:color w:val="auto"/>
              <w:sz w:val="32"/>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"_Toc59116923" </w:instrText>
          </w:r>
          <w:r>
            <w:rPr>
              <w:color w:val="auto"/>
            </w:rPr>
            <w:fldChar w:fldCharType="separate"/>
          </w:r>
          <w:r>
            <w:rPr>
              <w:rStyle w:val="20"/>
              <w:rFonts w:hint="eastAsia" w:ascii="楷体_GB2312" w:hAnsi="黑体" w:eastAsia="楷体_GB2312" w:cs="黑体"/>
              <w:bCs/>
              <w:color w:val="auto"/>
              <w:sz w:val="30"/>
              <w:szCs w:val="30"/>
            </w:rPr>
            <w:t>第一节 全面提升自主创新能力</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_Toc59116923 \h </w:instrText>
          </w:r>
          <w:r>
            <w:rPr>
              <w:rStyle w:val="20"/>
              <w:rFonts w:eastAsia="楷体_GB2312"/>
              <w:bCs/>
              <w:color w:val="auto"/>
              <w:sz w:val="30"/>
              <w:szCs w:val="30"/>
            </w:rPr>
            <w:fldChar w:fldCharType="separate"/>
          </w:r>
          <w:r>
            <w:rPr>
              <w:rStyle w:val="20"/>
              <w:rFonts w:eastAsia="楷体_GB2312"/>
              <w:bCs/>
              <w:color w:val="auto"/>
              <w:sz w:val="30"/>
              <w:szCs w:val="30"/>
            </w:rPr>
            <w:t>55</w:t>
          </w:r>
          <w:r>
            <w:rPr>
              <w:rStyle w:val="20"/>
              <w:rFonts w:eastAsia="楷体_GB2312"/>
              <w:bCs/>
              <w:color w:val="auto"/>
              <w:sz w:val="30"/>
              <w:szCs w:val="30"/>
            </w:rPr>
            <w:fldChar w:fldCharType="end"/>
          </w:r>
          <w:r>
            <w:rPr>
              <w:rStyle w:val="20"/>
              <w:rFonts w:eastAsia="楷体_GB2312"/>
              <w:bCs/>
              <w:color w:val="auto"/>
              <w:sz w:val="30"/>
              <w:szCs w:val="30"/>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"_Toc59116924" </w:instrText>
          </w:r>
          <w:r>
            <w:rPr>
              <w:color w:val="auto"/>
            </w:rPr>
            <w:fldChar w:fldCharType="separate"/>
          </w:r>
          <w:r>
            <w:rPr>
              <w:rStyle w:val="20"/>
              <w:rFonts w:hint="eastAsia" w:ascii="楷体_GB2312" w:hAnsi="黑体" w:eastAsia="楷体_GB2312" w:cs="黑体"/>
              <w:bCs/>
              <w:color w:val="auto"/>
              <w:sz w:val="30"/>
              <w:szCs w:val="30"/>
            </w:rPr>
            <w:t>第二节 强化新经济企业梯度培育</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_Toc59116924 \h </w:instrText>
          </w:r>
          <w:r>
            <w:rPr>
              <w:rStyle w:val="20"/>
              <w:rFonts w:eastAsia="楷体_GB2312"/>
              <w:bCs/>
              <w:color w:val="auto"/>
              <w:sz w:val="30"/>
              <w:szCs w:val="30"/>
            </w:rPr>
            <w:fldChar w:fldCharType="separate"/>
          </w:r>
          <w:r>
            <w:rPr>
              <w:rStyle w:val="20"/>
              <w:rFonts w:eastAsia="楷体_GB2312"/>
              <w:bCs/>
              <w:color w:val="auto"/>
              <w:sz w:val="30"/>
              <w:szCs w:val="30"/>
            </w:rPr>
            <w:t>59</w:t>
          </w:r>
          <w:r>
            <w:rPr>
              <w:rStyle w:val="20"/>
              <w:rFonts w:eastAsia="楷体_GB2312"/>
              <w:bCs/>
              <w:color w:val="auto"/>
              <w:sz w:val="30"/>
              <w:szCs w:val="30"/>
            </w:rPr>
            <w:fldChar w:fldCharType="end"/>
          </w:r>
          <w:r>
            <w:rPr>
              <w:rStyle w:val="20"/>
              <w:rFonts w:eastAsia="楷体_GB2312"/>
              <w:bCs/>
              <w:color w:val="auto"/>
              <w:sz w:val="30"/>
              <w:szCs w:val="30"/>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"_Toc59116925" </w:instrText>
          </w:r>
          <w:r>
            <w:rPr>
              <w:color w:val="auto"/>
            </w:rPr>
            <w:fldChar w:fldCharType="separate"/>
          </w:r>
          <w:r>
            <w:rPr>
              <w:rStyle w:val="20"/>
              <w:rFonts w:hint="eastAsia" w:ascii="楷体_GB2312" w:hAnsi="黑体" w:eastAsia="楷体_GB2312" w:cs="黑体"/>
              <w:bCs/>
              <w:color w:val="auto"/>
              <w:sz w:val="30"/>
              <w:szCs w:val="30"/>
            </w:rPr>
            <w:t>第三节 开展新技术应用场景建设</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_Toc59116925 \h </w:instrText>
          </w:r>
          <w:r>
            <w:rPr>
              <w:rStyle w:val="20"/>
              <w:rFonts w:eastAsia="楷体_GB2312"/>
              <w:bCs/>
              <w:color w:val="auto"/>
              <w:sz w:val="30"/>
              <w:szCs w:val="30"/>
            </w:rPr>
            <w:fldChar w:fldCharType="separate"/>
          </w:r>
          <w:r>
            <w:rPr>
              <w:rStyle w:val="20"/>
              <w:rFonts w:eastAsia="楷体_GB2312"/>
              <w:bCs/>
              <w:color w:val="auto"/>
              <w:sz w:val="30"/>
              <w:szCs w:val="30"/>
            </w:rPr>
            <w:t>61</w:t>
          </w:r>
          <w:r>
            <w:rPr>
              <w:rStyle w:val="20"/>
              <w:rFonts w:eastAsia="楷体_GB2312"/>
              <w:bCs/>
              <w:color w:val="auto"/>
              <w:sz w:val="30"/>
              <w:szCs w:val="30"/>
            </w:rPr>
            <w:fldChar w:fldCharType="end"/>
          </w:r>
          <w:r>
            <w:rPr>
              <w:rStyle w:val="20"/>
              <w:rFonts w:eastAsia="楷体_GB2312"/>
              <w:bCs/>
              <w:color w:val="auto"/>
              <w:sz w:val="30"/>
              <w:szCs w:val="30"/>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"_Toc59116926" </w:instrText>
          </w:r>
          <w:r>
            <w:rPr>
              <w:color w:val="auto"/>
            </w:rPr>
            <w:fldChar w:fldCharType="separate"/>
          </w:r>
          <w:r>
            <w:rPr>
              <w:rStyle w:val="20"/>
              <w:rFonts w:hint="eastAsia" w:ascii="楷体_GB2312" w:hAnsi="黑体" w:eastAsia="楷体_GB2312" w:cs="黑体"/>
              <w:bCs/>
              <w:color w:val="auto"/>
              <w:sz w:val="30"/>
              <w:szCs w:val="30"/>
            </w:rPr>
            <w:t>第四节 推进孵化载体专业化发展</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_Toc59116926 \h </w:instrText>
          </w:r>
          <w:r>
            <w:rPr>
              <w:rStyle w:val="20"/>
              <w:rFonts w:eastAsia="楷体_GB2312"/>
              <w:bCs/>
              <w:color w:val="auto"/>
              <w:sz w:val="30"/>
              <w:szCs w:val="30"/>
            </w:rPr>
            <w:fldChar w:fldCharType="separate"/>
          </w:r>
          <w:r>
            <w:rPr>
              <w:rStyle w:val="20"/>
              <w:rFonts w:eastAsia="楷体_GB2312"/>
              <w:bCs/>
              <w:color w:val="auto"/>
              <w:sz w:val="30"/>
              <w:szCs w:val="30"/>
            </w:rPr>
            <w:t>63</w:t>
          </w:r>
          <w:r>
            <w:rPr>
              <w:rStyle w:val="20"/>
              <w:rFonts w:eastAsia="楷体_GB2312"/>
              <w:bCs/>
              <w:color w:val="auto"/>
              <w:sz w:val="30"/>
              <w:szCs w:val="30"/>
            </w:rPr>
            <w:fldChar w:fldCharType="end"/>
          </w:r>
          <w:r>
            <w:rPr>
              <w:rStyle w:val="20"/>
              <w:rFonts w:eastAsia="楷体_GB2312"/>
              <w:bCs/>
              <w:color w:val="auto"/>
              <w:sz w:val="30"/>
              <w:szCs w:val="30"/>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"_Toc59116927" </w:instrText>
          </w:r>
          <w:r>
            <w:rPr>
              <w:color w:val="auto"/>
            </w:rPr>
            <w:fldChar w:fldCharType="separate"/>
          </w:r>
          <w:r>
            <w:rPr>
              <w:rStyle w:val="20"/>
              <w:rFonts w:hint="eastAsia" w:ascii="楷体_GB2312" w:hAnsi="黑体" w:eastAsia="楷体_GB2312" w:cs="黑体"/>
              <w:bCs/>
              <w:color w:val="auto"/>
              <w:sz w:val="30"/>
              <w:szCs w:val="30"/>
            </w:rPr>
            <w:t>第五节 完善科技金融服务体系</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_Toc59116927 \h </w:instrText>
          </w:r>
          <w:r>
            <w:rPr>
              <w:rStyle w:val="20"/>
              <w:rFonts w:eastAsia="楷体_GB2312"/>
              <w:bCs/>
              <w:color w:val="auto"/>
              <w:sz w:val="30"/>
              <w:szCs w:val="30"/>
            </w:rPr>
            <w:fldChar w:fldCharType="separate"/>
          </w:r>
          <w:r>
            <w:rPr>
              <w:rStyle w:val="20"/>
              <w:rFonts w:eastAsia="楷体_GB2312"/>
              <w:bCs/>
              <w:color w:val="auto"/>
              <w:sz w:val="30"/>
              <w:szCs w:val="30"/>
            </w:rPr>
            <w:t>64</w:t>
          </w:r>
          <w:r>
            <w:rPr>
              <w:rStyle w:val="20"/>
              <w:rFonts w:eastAsia="楷体_GB2312"/>
              <w:bCs/>
              <w:color w:val="auto"/>
              <w:sz w:val="30"/>
              <w:szCs w:val="30"/>
            </w:rPr>
            <w:fldChar w:fldCharType="end"/>
          </w:r>
          <w:r>
            <w:rPr>
              <w:rStyle w:val="20"/>
              <w:rFonts w:eastAsia="楷体_GB2312"/>
              <w:bCs/>
              <w:color w:val="auto"/>
              <w:sz w:val="30"/>
              <w:szCs w:val="30"/>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"_Toc59116928" </w:instrText>
          </w:r>
          <w:r>
            <w:rPr>
              <w:color w:val="auto"/>
            </w:rPr>
            <w:fldChar w:fldCharType="separate"/>
          </w:r>
          <w:r>
            <w:rPr>
              <w:rStyle w:val="20"/>
              <w:rFonts w:hint="eastAsia" w:ascii="楷体_GB2312" w:hAnsi="黑体" w:eastAsia="楷体_GB2312" w:cs="黑体"/>
              <w:bCs/>
              <w:color w:val="auto"/>
              <w:sz w:val="30"/>
              <w:szCs w:val="30"/>
            </w:rPr>
            <w:t>第六节 营造人才“引留培用”环境</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_Toc59116928 \h </w:instrText>
          </w:r>
          <w:r>
            <w:rPr>
              <w:rStyle w:val="20"/>
              <w:rFonts w:eastAsia="楷体_GB2312"/>
              <w:bCs/>
              <w:color w:val="auto"/>
              <w:sz w:val="30"/>
              <w:szCs w:val="30"/>
            </w:rPr>
            <w:fldChar w:fldCharType="separate"/>
          </w:r>
          <w:r>
            <w:rPr>
              <w:rStyle w:val="20"/>
              <w:rFonts w:eastAsia="楷体_GB2312"/>
              <w:bCs/>
              <w:color w:val="auto"/>
              <w:sz w:val="30"/>
              <w:szCs w:val="30"/>
            </w:rPr>
            <w:t>65</w:t>
          </w:r>
          <w:r>
            <w:rPr>
              <w:rStyle w:val="20"/>
              <w:rFonts w:eastAsia="楷体_GB2312"/>
              <w:bCs/>
              <w:color w:val="auto"/>
              <w:sz w:val="30"/>
              <w:szCs w:val="30"/>
            </w:rPr>
            <w:fldChar w:fldCharType="end"/>
          </w:r>
          <w:r>
            <w:rPr>
              <w:rStyle w:val="20"/>
              <w:rFonts w:eastAsia="楷体_GB2312"/>
              <w:bCs/>
              <w:color w:val="auto"/>
              <w:sz w:val="30"/>
              <w:szCs w:val="30"/>
            </w:rPr>
            <w:fldChar w:fldCharType="end"/>
          </w:r>
        </w:p>
        <w:p>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"_Toc59116929" </w:instrText>
          </w:r>
          <w:r>
            <w:rPr>
              <w:color w:val="auto"/>
            </w:rPr>
            <w:fldChar w:fldCharType="separate"/>
          </w:r>
          <w:r>
            <w:rPr>
              <w:rStyle w:val="20"/>
              <w:rFonts w:hint="eastAsia" w:ascii="楷体_GB2312" w:eastAsia="楷体_GB2312"/>
              <w:color w:val="auto"/>
              <w:sz w:val="32"/>
            </w:rPr>
            <w:t>第七章 建设对外开放新前沿</w:t>
          </w:r>
          <w:r>
            <w:rPr>
              <w:rFonts w:ascii="Times New Roman" w:hAnsi="Times New Roman" w:eastAsia="楷体_GB2312" w:cs="Times New Roman"/>
              <w:b w:val="0"/>
              <w:color w:val="auto"/>
              <w:sz w:val="32"/>
            </w:rPr>
            <w:tab/>
          </w:r>
          <w:r>
            <w:rPr>
              <w:rFonts w:ascii="Times New Roman" w:hAnsi="Times New Roman" w:eastAsia="楷体_GB2312" w:cs="Times New Roman"/>
              <w:b w:val="0"/>
              <w:color w:val="auto"/>
              <w:sz w:val="32"/>
            </w:rPr>
            <w:fldChar w:fldCharType="begin"/>
          </w:r>
          <w:r>
            <w:rPr>
              <w:rFonts w:ascii="Times New Roman" w:hAnsi="Times New Roman" w:eastAsia="楷体_GB2312" w:cs="Times New Roman"/>
              <w:b w:val="0"/>
              <w:color w:val="auto"/>
              <w:sz w:val="32"/>
            </w:rPr>
            <w:instrText xml:space="preserve"> PAGEREF _Toc59116929 \h </w:instrText>
          </w:r>
          <w:r>
            <w:rPr>
              <w:rFonts w:ascii="Times New Roman" w:hAnsi="Times New Roman" w:eastAsia="楷体_GB2312" w:cs="Times New Roman"/>
              <w:b w:val="0"/>
              <w:color w:val="auto"/>
              <w:sz w:val="32"/>
            </w:rPr>
            <w:fldChar w:fldCharType="separate"/>
          </w:r>
          <w:r>
            <w:rPr>
              <w:rFonts w:ascii="Times New Roman" w:hAnsi="Times New Roman" w:eastAsia="楷体_GB2312" w:cs="Times New Roman"/>
              <w:b w:val="0"/>
              <w:color w:val="auto"/>
              <w:sz w:val="32"/>
            </w:rPr>
            <w:t>68</w:t>
          </w:r>
          <w:r>
            <w:rPr>
              <w:rFonts w:ascii="Times New Roman" w:hAnsi="Times New Roman" w:eastAsia="楷体_GB2312" w:cs="Times New Roman"/>
              <w:b w:val="0"/>
              <w:color w:val="auto"/>
              <w:sz w:val="32"/>
            </w:rPr>
            <w:fldChar w:fldCharType="end"/>
          </w:r>
          <w:r>
            <w:rPr>
              <w:rFonts w:ascii="Times New Roman" w:hAnsi="Times New Roman" w:eastAsia="楷体_GB2312" w:cs="Times New Roman"/>
              <w:b w:val="0"/>
              <w:color w:val="auto"/>
              <w:sz w:val="32"/>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"_Toc59116930" </w:instrText>
          </w:r>
          <w:r>
            <w:rPr>
              <w:color w:val="auto"/>
            </w:rPr>
            <w:fldChar w:fldCharType="separate"/>
          </w:r>
          <w:r>
            <w:rPr>
              <w:rStyle w:val="20"/>
              <w:rFonts w:hint="eastAsia" w:ascii="楷体_GB2312" w:hAnsi="黑体" w:eastAsia="楷体_GB2312" w:cs="黑体"/>
              <w:bCs/>
              <w:color w:val="auto"/>
              <w:sz w:val="30"/>
              <w:szCs w:val="30"/>
            </w:rPr>
            <w:t>第一节 实施产业生态精准招商</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_Toc59116930 \h </w:instrText>
          </w:r>
          <w:r>
            <w:rPr>
              <w:rStyle w:val="20"/>
              <w:rFonts w:eastAsia="楷体_GB2312"/>
              <w:bCs/>
              <w:color w:val="auto"/>
              <w:sz w:val="30"/>
              <w:szCs w:val="30"/>
            </w:rPr>
            <w:fldChar w:fldCharType="separate"/>
          </w:r>
          <w:r>
            <w:rPr>
              <w:rStyle w:val="20"/>
              <w:rFonts w:eastAsia="楷体_GB2312"/>
              <w:bCs/>
              <w:color w:val="auto"/>
              <w:sz w:val="30"/>
              <w:szCs w:val="30"/>
            </w:rPr>
            <w:t>68</w:t>
          </w:r>
          <w:r>
            <w:rPr>
              <w:rStyle w:val="20"/>
              <w:rFonts w:eastAsia="楷体_GB2312"/>
              <w:bCs/>
              <w:color w:val="auto"/>
              <w:sz w:val="30"/>
              <w:szCs w:val="30"/>
            </w:rPr>
            <w:fldChar w:fldCharType="end"/>
          </w:r>
          <w:r>
            <w:rPr>
              <w:rStyle w:val="20"/>
              <w:rFonts w:eastAsia="楷体_GB2312"/>
              <w:bCs/>
              <w:color w:val="auto"/>
              <w:sz w:val="30"/>
              <w:szCs w:val="30"/>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"_Toc59116931" </w:instrText>
          </w:r>
          <w:r>
            <w:rPr>
              <w:color w:val="auto"/>
            </w:rPr>
            <w:fldChar w:fldCharType="separate"/>
          </w:r>
          <w:r>
            <w:rPr>
              <w:rStyle w:val="20"/>
              <w:rFonts w:hint="eastAsia" w:ascii="楷体_GB2312" w:hAnsi="黑体" w:eastAsia="楷体_GB2312" w:cs="黑体"/>
              <w:bCs/>
              <w:color w:val="auto"/>
              <w:sz w:val="30"/>
              <w:szCs w:val="30"/>
            </w:rPr>
            <w:t>第二节 积极发展总部经济和楼宇经济</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_Toc59116931 \h </w:instrText>
          </w:r>
          <w:r>
            <w:rPr>
              <w:rStyle w:val="20"/>
              <w:rFonts w:eastAsia="楷体_GB2312"/>
              <w:bCs/>
              <w:color w:val="auto"/>
              <w:sz w:val="30"/>
              <w:szCs w:val="30"/>
            </w:rPr>
            <w:fldChar w:fldCharType="separate"/>
          </w:r>
          <w:r>
            <w:rPr>
              <w:rStyle w:val="20"/>
              <w:rFonts w:eastAsia="楷体_GB2312"/>
              <w:bCs/>
              <w:color w:val="auto"/>
              <w:sz w:val="30"/>
              <w:szCs w:val="30"/>
            </w:rPr>
            <w:t>70</w:t>
          </w:r>
          <w:r>
            <w:rPr>
              <w:rStyle w:val="20"/>
              <w:rFonts w:eastAsia="楷体_GB2312"/>
              <w:bCs/>
              <w:color w:val="auto"/>
              <w:sz w:val="30"/>
              <w:szCs w:val="30"/>
            </w:rPr>
            <w:fldChar w:fldCharType="end"/>
          </w:r>
          <w:r>
            <w:rPr>
              <w:rStyle w:val="20"/>
              <w:rFonts w:eastAsia="楷体_GB2312"/>
              <w:bCs/>
              <w:color w:val="auto"/>
              <w:sz w:val="30"/>
              <w:szCs w:val="30"/>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"_Toc59116932" </w:instrText>
          </w:r>
          <w:r>
            <w:rPr>
              <w:color w:val="auto"/>
            </w:rPr>
            <w:fldChar w:fldCharType="separate"/>
          </w:r>
          <w:r>
            <w:rPr>
              <w:rStyle w:val="20"/>
              <w:rFonts w:hint="eastAsia" w:ascii="楷体_GB2312" w:hAnsi="黑体" w:eastAsia="楷体_GB2312" w:cs="黑体"/>
              <w:bCs/>
              <w:color w:val="auto"/>
              <w:sz w:val="30"/>
              <w:szCs w:val="30"/>
            </w:rPr>
            <w:t>第三节 推进国际经贸开放合作</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_Toc59116932 \h </w:instrText>
          </w:r>
          <w:r>
            <w:rPr>
              <w:rStyle w:val="20"/>
              <w:rFonts w:eastAsia="楷体_GB2312"/>
              <w:bCs/>
              <w:color w:val="auto"/>
              <w:sz w:val="30"/>
              <w:szCs w:val="30"/>
            </w:rPr>
            <w:fldChar w:fldCharType="separate"/>
          </w:r>
          <w:r>
            <w:rPr>
              <w:rStyle w:val="20"/>
              <w:rFonts w:eastAsia="楷体_GB2312"/>
              <w:bCs/>
              <w:color w:val="auto"/>
              <w:sz w:val="30"/>
              <w:szCs w:val="30"/>
            </w:rPr>
            <w:t>71</w:t>
          </w:r>
          <w:r>
            <w:rPr>
              <w:rStyle w:val="20"/>
              <w:rFonts w:eastAsia="楷体_GB2312"/>
              <w:bCs/>
              <w:color w:val="auto"/>
              <w:sz w:val="30"/>
              <w:szCs w:val="30"/>
            </w:rPr>
            <w:fldChar w:fldCharType="end"/>
          </w:r>
          <w:r>
            <w:rPr>
              <w:rStyle w:val="20"/>
              <w:rFonts w:eastAsia="楷体_GB2312"/>
              <w:bCs/>
              <w:color w:val="auto"/>
              <w:sz w:val="30"/>
              <w:szCs w:val="30"/>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"_Toc59116933" </w:instrText>
          </w:r>
          <w:r>
            <w:rPr>
              <w:color w:val="auto"/>
            </w:rPr>
            <w:fldChar w:fldCharType="separate"/>
          </w:r>
          <w:r>
            <w:rPr>
              <w:rStyle w:val="20"/>
              <w:rFonts w:hint="eastAsia" w:ascii="楷体_GB2312" w:hAnsi="黑体" w:eastAsia="楷体_GB2312" w:cs="黑体"/>
              <w:bCs/>
              <w:color w:val="auto"/>
              <w:sz w:val="30"/>
              <w:szCs w:val="30"/>
            </w:rPr>
            <w:t>第四节 扩大区域经济合作</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_Toc59116933 \h </w:instrText>
          </w:r>
          <w:r>
            <w:rPr>
              <w:rStyle w:val="20"/>
              <w:rFonts w:eastAsia="楷体_GB2312"/>
              <w:bCs/>
              <w:color w:val="auto"/>
              <w:sz w:val="30"/>
              <w:szCs w:val="30"/>
            </w:rPr>
            <w:fldChar w:fldCharType="separate"/>
          </w:r>
          <w:r>
            <w:rPr>
              <w:rStyle w:val="20"/>
              <w:rFonts w:eastAsia="楷体_GB2312"/>
              <w:bCs/>
              <w:color w:val="auto"/>
              <w:sz w:val="30"/>
              <w:szCs w:val="30"/>
            </w:rPr>
            <w:t>73</w:t>
          </w:r>
          <w:r>
            <w:rPr>
              <w:rStyle w:val="20"/>
              <w:rFonts w:eastAsia="楷体_GB2312"/>
              <w:bCs/>
              <w:color w:val="auto"/>
              <w:sz w:val="30"/>
              <w:szCs w:val="30"/>
            </w:rPr>
            <w:fldChar w:fldCharType="end"/>
          </w:r>
          <w:r>
            <w:rPr>
              <w:rStyle w:val="20"/>
              <w:rFonts w:eastAsia="楷体_GB2312"/>
              <w:bCs/>
              <w:color w:val="auto"/>
              <w:sz w:val="30"/>
              <w:szCs w:val="30"/>
            </w:rPr>
            <w:fldChar w:fldCharType="end"/>
          </w:r>
        </w:p>
        <w:p>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"_Toc59116934" </w:instrText>
          </w:r>
          <w:r>
            <w:rPr>
              <w:color w:val="auto"/>
            </w:rPr>
            <w:fldChar w:fldCharType="separate"/>
          </w:r>
          <w:r>
            <w:rPr>
              <w:rStyle w:val="20"/>
              <w:rFonts w:hint="eastAsia" w:ascii="楷体_GB2312" w:eastAsia="楷体_GB2312"/>
              <w:color w:val="auto"/>
              <w:sz w:val="32"/>
            </w:rPr>
            <w:t>第八章 高水平推进城市建设</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_Toc59116934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76</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"_Toc59116935" </w:instrText>
          </w:r>
          <w:r>
            <w:rPr>
              <w:color w:val="auto"/>
            </w:rPr>
            <w:fldChar w:fldCharType="separate"/>
          </w:r>
          <w:r>
            <w:rPr>
              <w:rStyle w:val="20"/>
              <w:rFonts w:hint="eastAsia" w:ascii="楷体_GB2312" w:hAnsi="黑体" w:eastAsia="楷体_GB2312" w:cs="黑体"/>
              <w:bCs/>
              <w:color w:val="auto"/>
              <w:sz w:val="30"/>
              <w:szCs w:val="30"/>
            </w:rPr>
            <w:t>第一节 加强城市更新和建设顶层设计</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_Toc59116935 \h </w:instrText>
          </w:r>
          <w:r>
            <w:rPr>
              <w:rStyle w:val="20"/>
              <w:rFonts w:hAnsi="黑体" w:cs="黑体"/>
              <w:bCs/>
              <w:color w:val="auto"/>
              <w:sz w:val="30"/>
              <w:szCs w:val="30"/>
            </w:rPr>
            <w:fldChar w:fldCharType="separate"/>
          </w:r>
          <w:r>
            <w:rPr>
              <w:rStyle w:val="20"/>
              <w:rFonts w:hAnsi="黑体" w:cs="黑体"/>
              <w:bCs/>
              <w:color w:val="auto"/>
              <w:sz w:val="30"/>
              <w:szCs w:val="30"/>
            </w:rPr>
            <w:t>76</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"_Toc59116936" </w:instrText>
          </w:r>
          <w:r>
            <w:rPr>
              <w:color w:val="auto"/>
            </w:rPr>
            <w:fldChar w:fldCharType="separate"/>
          </w:r>
          <w:r>
            <w:rPr>
              <w:rStyle w:val="20"/>
              <w:rFonts w:hint="eastAsia" w:ascii="楷体_GB2312" w:hAnsi="黑体" w:eastAsia="楷体_GB2312" w:cs="黑体"/>
              <w:bCs/>
              <w:color w:val="auto"/>
              <w:sz w:val="30"/>
              <w:szCs w:val="30"/>
            </w:rPr>
            <w:t>第二节 科学有序开展城市更新工作</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_Toc59116936 \h </w:instrText>
          </w:r>
          <w:r>
            <w:rPr>
              <w:rStyle w:val="20"/>
              <w:rFonts w:hAnsi="黑体" w:cs="黑体"/>
              <w:bCs/>
              <w:color w:val="auto"/>
              <w:sz w:val="30"/>
              <w:szCs w:val="30"/>
            </w:rPr>
            <w:fldChar w:fldCharType="separate"/>
          </w:r>
          <w:r>
            <w:rPr>
              <w:rStyle w:val="20"/>
              <w:rFonts w:hAnsi="黑体" w:cs="黑体"/>
              <w:bCs/>
              <w:color w:val="auto"/>
              <w:sz w:val="30"/>
              <w:szCs w:val="30"/>
            </w:rPr>
            <w:t>78</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"_Toc59116937" </w:instrText>
          </w:r>
          <w:r>
            <w:rPr>
              <w:color w:val="auto"/>
            </w:rPr>
            <w:fldChar w:fldCharType="separate"/>
          </w:r>
          <w:r>
            <w:rPr>
              <w:rStyle w:val="20"/>
              <w:rFonts w:hint="eastAsia" w:ascii="楷体_GB2312" w:hAnsi="黑体" w:eastAsia="楷体_GB2312" w:cs="黑体"/>
              <w:bCs/>
              <w:color w:val="auto"/>
              <w:sz w:val="30"/>
              <w:szCs w:val="30"/>
            </w:rPr>
            <w:t>第三节 高标准建设城市基础设施</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_Toc59116937 \h </w:instrText>
          </w:r>
          <w:r>
            <w:rPr>
              <w:rStyle w:val="20"/>
              <w:rFonts w:hAnsi="黑体" w:cs="黑体"/>
              <w:bCs/>
              <w:color w:val="auto"/>
              <w:sz w:val="30"/>
              <w:szCs w:val="30"/>
            </w:rPr>
            <w:fldChar w:fldCharType="separate"/>
          </w:r>
          <w:r>
            <w:rPr>
              <w:rStyle w:val="20"/>
              <w:rFonts w:hAnsi="黑体" w:cs="黑体"/>
              <w:bCs/>
              <w:color w:val="auto"/>
              <w:sz w:val="30"/>
              <w:szCs w:val="30"/>
            </w:rPr>
            <w:t>79</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"_Toc59116938" </w:instrText>
          </w:r>
          <w:r>
            <w:rPr>
              <w:color w:val="auto"/>
            </w:rPr>
            <w:fldChar w:fldCharType="separate"/>
          </w:r>
          <w:r>
            <w:rPr>
              <w:rStyle w:val="20"/>
              <w:rFonts w:hint="eastAsia" w:ascii="楷体_GB2312" w:hAnsi="黑体" w:eastAsia="楷体_GB2312" w:cs="黑体"/>
              <w:bCs/>
              <w:color w:val="auto"/>
              <w:sz w:val="30"/>
              <w:szCs w:val="30"/>
            </w:rPr>
            <w:t>第四节 加强城市精细化管理</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_Toc59116938 \h </w:instrText>
          </w:r>
          <w:r>
            <w:rPr>
              <w:rStyle w:val="20"/>
              <w:rFonts w:hAnsi="黑体" w:cs="黑体"/>
              <w:bCs/>
              <w:color w:val="auto"/>
              <w:sz w:val="30"/>
              <w:szCs w:val="30"/>
            </w:rPr>
            <w:fldChar w:fldCharType="separate"/>
          </w:r>
          <w:r>
            <w:rPr>
              <w:rStyle w:val="20"/>
              <w:rFonts w:hAnsi="黑体" w:cs="黑体"/>
              <w:bCs/>
              <w:color w:val="auto"/>
              <w:sz w:val="30"/>
              <w:szCs w:val="30"/>
            </w:rPr>
            <w:t>83</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"_Toc59116939" </w:instrText>
          </w:r>
          <w:r>
            <w:rPr>
              <w:color w:val="auto"/>
            </w:rPr>
            <w:fldChar w:fldCharType="separate"/>
          </w:r>
          <w:r>
            <w:rPr>
              <w:rStyle w:val="20"/>
              <w:rFonts w:hint="eastAsia" w:ascii="楷体_GB2312" w:eastAsia="楷体_GB2312"/>
              <w:color w:val="auto"/>
              <w:sz w:val="32"/>
            </w:rPr>
            <w:t>第九章 提升社会民生保障能力</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_Toc59116939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85</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"_Toc59116940" </w:instrText>
          </w:r>
          <w:r>
            <w:rPr>
              <w:color w:val="auto"/>
            </w:rPr>
            <w:fldChar w:fldCharType="separate"/>
          </w:r>
          <w:r>
            <w:rPr>
              <w:rStyle w:val="20"/>
              <w:rFonts w:hint="eastAsia" w:ascii="楷体_GB2312" w:hAnsi="黑体" w:eastAsia="楷体_GB2312" w:cs="黑体"/>
              <w:bCs/>
              <w:color w:val="auto"/>
              <w:sz w:val="30"/>
              <w:szCs w:val="30"/>
            </w:rPr>
            <w:t>第一节 推进文体事业繁荣发展</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_Toc59116940 \h </w:instrText>
          </w:r>
          <w:r>
            <w:rPr>
              <w:rStyle w:val="20"/>
              <w:rFonts w:hAnsi="黑体" w:cs="黑体"/>
              <w:bCs/>
              <w:color w:val="auto"/>
              <w:sz w:val="30"/>
              <w:szCs w:val="30"/>
            </w:rPr>
            <w:fldChar w:fldCharType="separate"/>
          </w:r>
          <w:r>
            <w:rPr>
              <w:rStyle w:val="20"/>
              <w:rFonts w:hAnsi="黑体" w:cs="黑体"/>
              <w:bCs/>
              <w:color w:val="auto"/>
              <w:sz w:val="30"/>
              <w:szCs w:val="30"/>
            </w:rPr>
            <w:t>85</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"_Toc59116941" </w:instrText>
          </w:r>
          <w:r>
            <w:rPr>
              <w:color w:val="auto"/>
            </w:rPr>
            <w:fldChar w:fldCharType="separate"/>
          </w:r>
          <w:r>
            <w:rPr>
              <w:rStyle w:val="20"/>
              <w:rFonts w:hint="eastAsia" w:ascii="楷体_GB2312" w:hAnsi="黑体" w:eastAsia="楷体_GB2312" w:cs="黑体"/>
              <w:bCs/>
              <w:color w:val="auto"/>
              <w:sz w:val="30"/>
              <w:szCs w:val="30"/>
            </w:rPr>
            <w:t>第二节 促进教育优质均衡高速发展</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_Toc59116941 \h </w:instrText>
          </w:r>
          <w:r>
            <w:rPr>
              <w:rStyle w:val="20"/>
              <w:rFonts w:hAnsi="黑体" w:cs="黑体"/>
              <w:bCs/>
              <w:color w:val="auto"/>
              <w:sz w:val="30"/>
              <w:szCs w:val="30"/>
            </w:rPr>
            <w:fldChar w:fldCharType="separate"/>
          </w:r>
          <w:r>
            <w:rPr>
              <w:rStyle w:val="20"/>
              <w:rFonts w:hAnsi="黑体" w:cs="黑体"/>
              <w:bCs/>
              <w:color w:val="auto"/>
              <w:sz w:val="30"/>
              <w:szCs w:val="30"/>
            </w:rPr>
            <w:t>88</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"_Toc59116942" </w:instrText>
          </w:r>
          <w:r>
            <w:rPr>
              <w:color w:val="auto"/>
            </w:rPr>
            <w:fldChar w:fldCharType="separate"/>
          </w:r>
          <w:r>
            <w:rPr>
              <w:rStyle w:val="20"/>
              <w:rFonts w:hint="eastAsia" w:ascii="楷体_GB2312" w:hAnsi="黑体" w:eastAsia="楷体_GB2312" w:cs="黑体"/>
              <w:bCs/>
              <w:color w:val="auto"/>
              <w:sz w:val="30"/>
              <w:szCs w:val="30"/>
            </w:rPr>
            <w:t>第三节 全面提升医疗卫生水平</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_Toc59116942 \h </w:instrText>
          </w:r>
          <w:r>
            <w:rPr>
              <w:rStyle w:val="20"/>
              <w:rFonts w:hAnsi="黑体" w:cs="黑体"/>
              <w:bCs/>
              <w:color w:val="auto"/>
              <w:sz w:val="30"/>
              <w:szCs w:val="30"/>
            </w:rPr>
            <w:fldChar w:fldCharType="separate"/>
          </w:r>
          <w:r>
            <w:rPr>
              <w:rStyle w:val="20"/>
              <w:rFonts w:hAnsi="黑体" w:cs="黑体"/>
              <w:bCs/>
              <w:color w:val="auto"/>
              <w:sz w:val="30"/>
              <w:szCs w:val="30"/>
            </w:rPr>
            <w:t>90</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"_Toc59116943" </w:instrText>
          </w:r>
          <w:r>
            <w:rPr>
              <w:color w:val="auto"/>
            </w:rPr>
            <w:fldChar w:fldCharType="separate"/>
          </w:r>
          <w:r>
            <w:rPr>
              <w:rStyle w:val="20"/>
              <w:rFonts w:hint="eastAsia" w:ascii="楷体_GB2312" w:hAnsi="黑体" w:eastAsia="楷体_GB2312" w:cs="黑体"/>
              <w:bCs/>
              <w:color w:val="auto"/>
              <w:sz w:val="30"/>
              <w:szCs w:val="30"/>
            </w:rPr>
            <w:t>第四节 持续完善社会保障体系</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_Toc59116943 \h </w:instrText>
          </w:r>
          <w:r>
            <w:rPr>
              <w:rStyle w:val="20"/>
              <w:rFonts w:hAnsi="黑体" w:cs="黑体"/>
              <w:bCs/>
              <w:color w:val="auto"/>
              <w:sz w:val="30"/>
              <w:szCs w:val="30"/>
            </w:rPr>
            <w:fldChar w:fldCharType="separate"/>
          </w:r>
          <w:r>
            <w:rPr>
              <w:rStyle w:val="20"/>
              <w:rFonts w:hAnsi="黑体" w:cs="黑体"/>
              <w:bCs/>
              <w:color w:val="auto"/>
              <w:sz w:val="30"/>
              <w:szCs w:val="30"/>
            </w:rPr>
            <w:t>92</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"_Toc59116944" </w:instrText>
          </w:r>
          <w:r>
            <w:rPr>
              <w:color w:val="auto"/>
            </w:rPr>
            <w:fldChar w:fldCharType="separate"/>
          </w:r>
          <w:r>
            <w:rPr>
              <w:rStyle w:val="20"/>
              <w:rFonts w:hint="eastAsia" w:ascii="楷体_GB2312" w:hAnsi="黑体" w:eastAsia="楷体_GB2312" w:cs="黑体"/>
              <w:bCs/>
              <w:color w:val="auto"/>
              <w:sz w:val="30"/>
              <w:szCs w:val="30"/>
            </w:rPr>
            <w:t>第五节 积极促进就业创业</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_Toc59116944 \h </w:instrText>
          </w:r>
          <w:r>
            <w:rPr>
              <w:rStyle w:val="20"/>
              <w:rFonts w:hAnsi="黑体" w:cs="黑体"/>
              <w:bCs/>
              <w:color w:val="auto"/>
              <w:sz w:val="30"/>
              <w:szCs w:val="30"/>
            </w:rPr>
            <w:fldChar w:fldCharType="separate"/>
          </w:r>
          <w:r>
            <w:rPr>
              <w:rStyle w:val="20"/>
              <w:rFonts w:hAnsi="黑体" w:cs="黑体"/>
              <w:bCs/>
              <w:color w:val="auto"/>
              <w:sz w:val="30"/>
              <w:szCs w:val="30"/>
            </w:rPr>
            <w:t>94</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"_Toc59116945" </w:instrText>
          </w:r>
          <w:r>
            <w:rPr>
              <w:color w:val="auto"/>
            </w:rPr>
            <w:fldChar w:fldCharType="separate"/>
          </w:r>
          <w:r>
            <w:rPr>
              <w:rStyle w:val="20"/>
              <w:rFonts w:hint="eastAsia" w:ascii="楷体_GB2312" w:hAnsi="黑体" w:eastAsia="楷体_GB2312" w:cs="黑体"/>
              <w:bCs/>
              <w:color w:val="auto"/>
              <w:sz w:val="30"/>
              <w:szCs w:val="30"/>
            </w:rPr>
            <w:t>第六节 持续完善安全体系</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_Toc59116945 \h </w:instrText>
          </w:r>
          <w:r>
            <w:rPr>
              <w:rStyle w:val="20"/>
              <w:rFonts w:hAnsi="黑体" w:cs="黑体"/>
              <w:bCs/>
              <w:color w:val="auto"/>
              <w:sz w:val="30"/>
              <w:szCs w:val="30"/>
            </w:rPr>
            <w:fldChar w:fldCharType="separate"/>
          </w:r>
          <w:r>
            <w:rPr>
              <w:rStyle w:val="20"/>
              <w:rFonts w:hAnsi="黑体" w:cs="黑体"/>
              <w:bCs/>
              <w:color w:val="auto"/>
              <w:sz w:val="30"/>
              <w:szCs w:val="30"/>
            </w:rPr>
            <w:t>95</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"_Toc59116946" </w:instrText>
          </w:r>
          <w:r>
            <w:rPr>
              <w:color w:val="auto"/>
            </w:rPr>
            <w:fldChar w:fldCharType="separate"/>
          </w:r>
          <w:r>
            <w:rPr>
              <w:rStyle w:val="20"/>
              <w:rFonts w:hint="eastAsia" w:ascii="楷体_GB2312" w:eastAsia="楷体_GB2312"/>
              <w:color w:val="auto"/>
              <w:sz w:val="32"/>
            </w:rPr>
            <w:t>第十章 推进乡村振兴发展</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_Toc59116946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98</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"_Toc59116947" </w:instrText>
          </w:r>
          <w:r>
            <w:rPr>
              <w:color w:val="auto"/>
            </w:rPr>
            <w:fldChar w:fldCharType="separate"/>
          </w:r>
          <w:r>
            <w:rPr>
              <w:rStyle w:val="20"/>
              <w:rFonts w:hint="eastAsia" w:ascii="楷体_GB2312" w:hAnsi="黑体" w:eastAsia="楷体_GB2312" w:cs="黑体"/>
              <w:bCs/>
              <w:color w:val="auto"/>
              <w:sz w:val="30"/>
              <w:szCs w:val="30"/>
            </w:rPr>
            <w:t>第一节 加强乡村发展顶层设计</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_Toc59116947 \h </w:instrText>
          </w:r>
          <w:r>
            <w:rPr>
              <w:rStyle w:val="20"/>
              <w:rFonts w:hAnsi="黑体" w:cs="黑体"/>
              <w:bCs/>
              <w:color w:val="auto"/>
              <w:sz w:val="30"/>
              <w:szCs w:val="30"/>
            </w:rPr>
            <w:fldChar w:fldCharType="separate"/>
          </w:r>
          <w:r>
            <w:rPr>
              <w:rStyle w:val="20"/>
              <w:rFonts w:hAnsi="黑体" w:cs="黑体"/>
              <w:bCs/>
              <w:color w:val="auto"/>
              <w:sz w:val="30"/>
              <w:szCs w:val="30"/>
            </w:rPr>
            <w:t>98</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"_Toc59116948" </w:instrText>
          </w:r>
          <w:r>
            <w:rPr>
              <w:color w:val="auto"/>
            </w:rPr>
            <w:fldChar w:fldCharType="separate"/>
          </w:r>
          <w:r>
            <w:rPr>
              <w:rStyle w:val="20"/>
              <w:rFonts w:hint="eastAsia" w:ascii="楷体_GB2312" w:hAnsi="黑体" w:eastAsia="楷体_GB2312" w:cs="黑体"/>
              <w:bCs/>
              <w:color w:val="auto"/>
              <w:sz w:val="30"/>
              <w:szCs w:val="30"/>
            </w:rPr>
            <w:t>第二节 提升现代农业发展质量</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_Toc59116948 \h </w:instrText>
          </w:r>
          <w:r>
            <w:rPr>
              <w:rStyle w:val="20"/>
              <w:rFonts w:hAnsi="黑体" w:cs="黑体"/>
              <w:bCs/>
              <w:color w:val="auto"/>
              <w:sz w:val="30"/>
              <w:szCs w:val="30"/>
            </w:rPr>
            <w:fldChar w:fldCharType="separate"/>
          </w:r>
          <w:r>
            <w:rPr>
              <w:rStyle w:val="20"/>
              <w:rFonts w:hAnsi="黑体" w:cs="黑体"/>
              <w:bCs/>
              <w:color w:val="auto"/>
              <w:sz w:val="30"/>
              <w:szCs w:val="30"/>
            </w:rPr>
            <w:t>99</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"_Toc59116949" </w:instrText>
          </w:r>
          <w:r>
            <w:rPr>
              <w:color w:val="auto"/>
            </w:rPr>
            <w:fldChar w:fldCharType="separate"/>
          </w:r>
          <w:r>
            <w:rPr>
              <w:rStyle w:val="20"/>
              <w:rFonts w:hint="eastAsia" w:ascii="楷体_GB2312" w:hAnsi="黑体" w:eastAsia="楷体_GB2312" w:cs="黑体"/>
              <w:bCs/>
              <w:color w:val="auto"/>
              <w:sz w:val="30"/>
              <w:szCs w:val="30"/>
            </w:rPr>
            <w:t>第三节 提升乡村建设水平</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_Toc59116949 \h </w:instrText>
          </w:r>
          <w:r>
            <w:rPr>
              <w:rStyle w:val="20"/>
              <w:rFonts w:hAnsi="黑体" w:cs="黑体"/>
              <w:bCs/>
              <w:color w:val="auto"/>
              <w:sz w:val="30"/>
              <w:szCs w:val="30"/>
            </w:rPr>
            <w:fldChar w:fldCharType="separate"/>
          </w:r>
          <w:r>
            <w:rPr>
              <w:rStyle w:val="20"/>
              <w:rFonts w:hAnsi="黑体" w:cs="黑体"/>
              <w:bCs/>
              <w:color w:val="auto"/>
              <w:sz w:val="30"/>
              <w:szCs w:val="30"/>
            </w:rPr>
            <w:t>102</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"_Toc59116950" </w:instrText>
          </w:r>
          <w:r>
            <w:rPr>
              <w:color w:val="auto"/>
            </w:rPr>
            <w:fldChar w:fldCharType="separate"/>
          </w:r>
          <w:r>
            <w:rPr>
              <w:rStyle w:val="20"/>
              <w:rFonts w:hint="eastAsia" w:ascii="楷体_GB2312" w:hAnsi="黑体" w:eastAsia="楷体_GB2312" w:cs="黑体"/>
              <w:bCs/>
              <w:color w:val="auto"/>
              <w:sz w:val="30"/>
              <w:szCs w:val="30"/>
            </w:rPr>
            <w:t>第四节 深化农村综合改革</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_Toc59116950 \h </w:instrText>
          </w:r>
          <w:r>
            <w:rPr>
              <w:rStyle w:val="20"/>
              <w:rFonts w:hAnsi="黑体" w:cs="黑体"/>
              <w:bCs/>
              <w:color w:val="auto"/>
              <w:sz w:val="30"/>
              <w:szCs w:val="30"/>
            </w:rPr>
            <w:fldChar w:fldCharType="separate"/>
          </w:r>
          <w:r>
            <w:rPr>
              <w:rStyle w:val="20"/>
              <w:rFonts w:hAnsi="黑体" w:cs="黑体"/>
              <w:bCs/>
              <w:color w:val="auto"/>
              <w:sz w:val="30"/>
              <w:szCs w:val="30"/>
            </w:rPr>
            <w:t>103</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"_Toc59116951" </w:instrText>
          </w:r>
          <w:r>
            <w:rPr>
              <w:color w:val="auto"/>
            </w:rPr>
            <w:fldChar w:fldCharType="separate"/>
          </w:r>
          <w:r>
            <w:rPr>
              <w:rStyle w:val="20"/>
              <w:rFonts w:hint="eastAsia" w:ascii="楷体_GB2312" w:eastAsia="楷体_GB2312"/>
              <w:color w:val="auto"/>
              <w:sz w:val="32"/>
            </w:rPr>
            <w:t>第十一章 加强生态文明建设与环境保护</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_Toc59116951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106</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"_Toc59116952" </w:instrText>
          </w:r>
          <w:r>
            <w:rPr>
              <w:color w:val="auto"/>
            </w:rPr>
            <w:fldChar w:fldCharType="separate"/>
          </w:r>
          <w:r>
            <w:rPr>
              <w:rStyle w:val="20"/>
              <w:rFonts w:hint="eastAsia" w:ascii="楷体_GB2312" w:hAnsi="黑体" w:eastAsia="楷体_GB2312" w:cs="黑体"/>
              <w:bCs/>
              <w:color w:val="auto"/>
              <w:sz w:val="30"/>
              <w:szCs w:val="30"/>
            </w:rPr>
            <w:t>第一节 加强生态保护和修复</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_Toc59116952 \h </w:instrText>
          </w:r>
          <w:r>
            <w:rPr>
              <w:rStyle w:val="20"/>
              <w:rFonts w:hAnsi="黑体" w:cs="黑体"/>
              <w:bCs/>
              <w:color w:val="auto"/>
              <w:sz w:val="30"/>
              <w:szCs w:val="30"/>
            </w:rPr>
            <w:fldChar w:fldCharType="separate"/>
          </w:r>
          <w:r>
            <w:rPr>
              <w:rStyle w:val="20"/>
              <w:rFonts w:hAnsi="黑体" w:cs="黑体"/>
              <w:bCs/>
              <w:color w:val="auto"/>
              <w:sz w:val="30"/>
              <w:szCs w:val="30"/>
            </w:rPr>
            <w:t>106</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"_Toc59116953" </w:instrText>
          </w:r>
          <w:r>
            <w:rPr>
              <w:color w:val="auto"/>
            </w:rPr>
            <w:fldChar w:fldCharType="separate"/>
          </w:r>
          <w:r>
            <w:rPr>
              <w:rStyle w:val="20"/>
              <w:rFonts w:hint="eastAsia" w:ascii="楷体_GB2312" w:hAnsi="黑体" w:eastAsia="楷体_GB2312" w:cs="黑体"/>
              <w:bCs/>
              <w:color w:val="auto"/>
              <w:sz w:val="30"/>
              <w:szCs w:val="30"/>
            </w:rPr>
            <w:t>第二节 加强城乡环境综合治理</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_Toc59116953 \h </w:instrText>
          </w:r>
          <w:r>
            <w:rPr>
              <w:rStyle w:val="20"/>
              <w:rFonts w:hAnsi="黑体" w:cs="黑体"/>
              <w:bCs/>
              <w:color w:val="auto"/>
              <w:sz w:val="30"/>
              <w:szCs w:val="30"/>
            </w:rPr>
            <w:fldChar w:fldCharType="separate"/>
          </w:r>
          <w:r>
            <w:rPr>
              <w:rStyle w:val="20"/>
              <w:rFonts w:hAnsi="黑体" w:cs="黑体"/>
              <w:bCs/>
              <w:color w:val="auto"/>
              <w:sz w:val="30"/>
              <w:szCs w:val="30"/>
            </w:rPr>
            <w:t>108</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"_Toc59116954" </w:instrText>
          </w:r>
          <w:r>
            <w:rPr>
              <w:color w:val="auto"/>
            </w:rPr>
            <w:fldChar w:fldCharType="separate"/>
          </w:r>
          <w:r>
            <w:rPr>
              <w:rStyle w:val="20"/>
              <w:rFonts w:hint="eastAsia" w:ascii="楷体_GB2312" w:hAnsi="黑体" w:eastAsia="楷体_GB2312" w:cs="黑体"/>
              <w:bCs/>
              <w:color w:val="auto"/>
              <w:sz w:val="30"/>
              <w:szCs w:val="30"/>
            </w:rPr>
            <w:t>第三节 加快形成绿色发展方式</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_Toc59116954 \h </w:instrText>
          </w:r>
          <w:r>
            <w:rPr>
              <w:rStyle w:val="20"/>
              <w:rFonts w:hAnsi="黑体" w:cs="黑体"/>
              <w:bCs/>
              <w:color w:val="auto"/>
              <w:sz w:val="30"/>
              <w:szCs w:val="30"/>
            </w:rPr>
            <w:fldChar w:fldCharType="separate"/>
          </w:r>
          <w:r>
            <w:rPr>
              <w:rStyle w:val="20"/>
              <w:rFonts w:hAnsi="黑体" w:cs="黑体"/>
              <w:bCs/>
              <w:color w:val="auto"/>
              <w:sz w:val="30"/>
              <w:szCs w:val="30"/>
            </w:rPr>
            <w:t>110</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2"/>
            <w:spacing w:beforeLines="30" w:afterLines="30" w:line="420" w:lineRule="exact"/>
            <w:rPr>
              <w:rStyle w:val="20"/>
              <w:rFonts w:ascii="Times New Roman" w:hAnsi="黑体" w:cs="黑体"/>
              <w:bCs/>
              <w:color w:val="auto"/>
              <w:sz w:val="30"/>
              <w:szCs w:val="30"/>
            </w:rPr>
          </w:pPr>
          <w:r>
            <w:rPr>
              <w:color w:val="auto"/>
            </w:rPr>
            <w:fldChar w:fldCharType="begin"/>
          </w:r>
          <w:r>
            <w:rPr>
              <w:color w:val="auto"/>
            </w:rPr>
            <w:instrText xml:space="preserve"> HYPERLINK \l "_Toc59116955" </w:instrText>
          </w:r>
          <w:r>
            <w:rPr>
              <w:color w:val="auto"/>
            </w:rPr>
            <w:fldChar w:fldCharType="separate"/>
          </w:r>
          <w:r>
            <w:rPr>
              <w:rStyle w:val="20"/>
              <w:rFonts w:hint="eastAsia" w:ascii="楷体_GB2312" w:hAnsi="黑体" w:eastAsia="楷体_GB2312" w:cs="黑体"/>
              <w:bCs/>
              <w:color w:val="auto"/>
              <w:sz w:val="32"/>
              <w:szCs w:val="32"/>
            </w:rPr>
            <w:t>第十二章 优化营商环境和持续深化改革</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_Toc59116955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112</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"_Toc59116956" </w:instrText>
          </w:r>
          <w:r>
            <w:rPr>
              <w:color w:val="auto"/>
            </w:rPr>
            <w:fldChar w:fldCharType="separate"/>
          </w:r>
          <w:r>
            <w:rPr>
              <w:rStyle w:val="20"/>
              <w:rFonts w:hint="eastAsia" w:ascii="楷体_GB2312" w:hAnsi="黑体" w:eastAsia="楷体_GB2312" w:cs="黑体"/>
              <w:bCs/>
              <w:color w:val="auto"/>
              <w:sz w:val="30"/>
              <w:szCs w:val="30"/>
            </w:rPr>
            <w:t>第一节 全面优化营商环境</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_Toc59116956 \h </w:instrText>
          </w:r>
          <w:r>
            <w:rPr>
              <w:rStyle w:val="20"/>
              <w:rFonts w:hAnsi="黑体" w:cs="黑体"/>
              <w:bCs/>
              <w:color w:val="auto"/>
              <w:sz w:val="30"/>
              <w:szCs w:val="30"/>
            </w:rPr>
            <w:fldChar w:fldCharType="separate"/>
          </w:r>
          <w:r>
            <w:rPr>
              <w:rStyle w:val="20"/>
              <w:rFonts w:hAnsi="黑体" w:cs="黑体"/>
              <w:bCs/>
              <w:color w:val="auto"/>
              <w:sz w:val="30"/>
              <w:szCs w:val="30"/>
            </w:rPr>
            <w:t>112</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"_Toc59116957" </w:instrText>
          </w:r>
          <w:r>
            <w:rPr>
              <w:color w:val="auto"/>
            </w:rPr>
            <w:fldChar w:fldCharType="separate"/>
          </w:r>
          <w:r>
            <w:rPr>
              <w:rStyle w:val="20"/>
              <w:rFonts w:hint="eastAsia" w:ascii="楷体_GB2312" w:hAnsi="黑体" w:eastAsia="楷体_GB2312" w:cs="黑体"/>
              <w:bCs/>
              <w:color w:val="auto"/>
              <w:sz w:val="30"/>
              <w:szCs w:val="30"/>
            </w:rPr>
            <w:t>第二节 推进重点经济领域改革</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_Toc59116957 \h </w:instrText>
          </w:r>
          <w:r>
            <w:rPr>
              <w:rStyle w:val="20"/>
              <w:rFonts w:hAnsi="黑体" w:cs="黑体"/>
              <w:bCs/>
              <w:color w:val="auto"/>
              <w:sz w:val="30"/>
              <w:szCs w:val="30"/>
            </w:rPr>
            <w:fldChar w:fldCharType="separate"/>
          </w:r>
          <w:r>
            <w:rPr>
              <w:rStyle w:val="20"/>
              <w:rFonts w:hAnsi="黑体" w:cs="黑体"/>
              <w:bCs/>
              <w:color w:val="auto"/>
              <w:sz w:val="30"/>
              <w:szCs w:val="30"/>
            </w:rPr>
            <w:t>115</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"_Toc59116958" </w:instrText>
          </w:r>
          <w:r>
            <w:rPr>
              <w:color w:val="auto"/>
            </w:rPr>
            <w:fldChar w:fldCharType="separate"/>
          </w:r>
          <w:r>
            <w:rPr>
              <w:rStyle w:val="20"/>
              <w:rFonts w:hint="eastAsia" w:ascii="楷体_GB2312" w:hAnsi="黑体" w:eastAsia="楷体_GB2312" w:cs="黑体"/>
              <w:bCs/>
              <w:color w:val="auto"/>
              <w:sz w:val="30"/>
              <w:szCs w:val="30"/>
            </w:rPr>
            <w:t>第三节 推动社会治理改革</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_Toc59116958 \h </w:instrText>
          </w:r>
          <w:r>
            <w:rPr>
              <w:rStyle w:val="20"/>
              <w:rFonts w:hAnsi="黑体" w:cs="黑体"/>
              <w:bCs/>
              <w:color w:val="auto"/>
              <w:sz w:val="30"/>
              <w:szCs w:val="30"/>
            </w:rPr>
            <w:fldChar w:fldCharType="separate"/>
          </w:r>
          <w:r>
            <w:rPr>
              <w:rStyle w:val="20"/>
              <w:rFonts w:hAnsi="黑体" w:cs="黑体"/>
              <w:bCs/>
              <w:color w:val="auto"/>
              <w:sz w:val="30"/>
              <w:szCs w:val="30"/>
            </w:rPr>
            <w:t>117</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"_Toc59116959" </w:instrText>
          </w:r>
          <w:r>
            <w:rPr>
              <w:color w:val="auto"/>
            </w:rPr>
            <w:fldChar w:fldCharType="separate"/>
          </w:r>
          <w:r>
            <w:rPr>
              <w:rStyle w:val="20"/>
              <w:rFonts w:hint="eastAsia" w:ascii="楷体_GB2312" w:hAnsi="黑体" w:eastAsia="楷体_GB2312" w:cs="黑体"/>
              <w:bCs/>
              <w:color w:val="auto"/>
              <w:sz w:val="30"/>
              <w:szCs w:val="30"/>
            </w:rPr>
            <w:t>第四节 深化管理体制改革</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_Toc59116959 \h </w:instrText>
          </w:r>
          <w:r>
            <w:rPr>
              <w:rStyle w:val="20"/>
              <w:rFonts w:hAnsi="黑体" w:cs="黑体"/>
              <w:bCs/>
              <w:color w:val="auto"/>
              <w:sz w:val="30"/>
              <w:szCs w:val="30"/>
            </w:rPr>
            <w:fldChar w:fldCharType="separate"/>
          </w:r>
          <w:r>
            <w:rPr>
              <w:rStyle w:val="20"/>
              <w:rFonts w:hAnsi="黑体" w:cs="黑体"/>
              <w:bCs/>
              <w:color w:val="auto"/>
              <w:sz w:val="30"/>
              <w:szCs w:val="30"/>
            </w:rPr>
            <w:t>120</w:t>
          </w:r>
          <w:r>
            <w:rPr>
              <w:rStyle w:val="20"/>
              <w:rFonts w:hAnsi="黑体" w:cs="黑体"/>
              <w:bCs/>
              <w:color w:val="auto"/>
              <w:sz w:val="30"/>
              <w:szCs w:val="30"/>
            </w:rPr>
            <w:fldChar w:fldCharType="end"/>
          </w:r>
          <w:r>
            <w:rPr>
              <w:rStyle w:val="20"/>
              <w:rFonts w:hAnsi="黑体" w:cs="黑体"/>
              <w:bCs/>
              <w:color w:val="auto"/>
              <w:sz w:val="30"/>
              <w:szCs w:val="30"/>
            </w:rPr>
            <w:fldChar w:fldCharType="end"/>
          </w:r>
        </w:p>
        <w:p>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"_Toc59116960" </w:instrText>
          </w:r>
          <w:r>
            <w:rPr>
              <w:color w:val="auto"/>
            </w:rPr>
            <w:fldChar w:fldCharType="separate"/>
          </w:r>
          <w:r>
            <w:rPr>
              <w:rStyle w:val="20"/>
              <w:rFonts w:hint="eastAsia" w:ascii="楷体_GB2312" w:eastAsia="楷体_GB2312"/>
              <w:color w:val="auto"/>
              <w:sz w:val="32"/>
            </w:rPr>
            <w:t>第十三章 保障措施</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_Toc59116960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123</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"_Toc59116961" </w:instrText>
          </w:r>
          <w:r>
            <w:rPr>
              <w:color w:val="auto"/>
            </w:rPr>
            <w:fldChar w:fldCharType="separate"/>
          </w:r>
          <w:r>
            <w:rPr>
              <w:rStyle w:val="20"/>
              <w:rFonts w:hint="eastAsia" w:ascii="楷体_GB2312" w:hAnsi="黑体" w:eastAsia="楷体_GB2312" w:cs="黑体"/>
              <w:bCs/>
              <w:color w:val="auto"/>
              <w:sz w:val="30"/>
              <w:szCs w:val="30"/>
            </w:rPr>
            <w:t>第一节 加强党建引领</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_Toc59116961 \h </w:instrText>
          </w:r>
          <w:r>
            <w:rPr>
              <w:rStyle w:val="20"/>
              <w:rFonts w:eastAsia="楷体_GB2312"/>
              <w:bCs/>
              <w:color w:val="auto"/>
              <w:sz w:val="30"/>
              <w:szCs w:val="30"/>
            </w:rPr>
            <w:fldChar w:fldCharType="separate"/>
          </w:r>
          <w:r>
            <w:rPr>
              <w:rStyle w:val="20"/>
              <w:rFonts w:eastAsia="楷体_GB2312"/>
              <w:bCs/>
              <w:color w:val="auto"/>
              <w:sz w:val="30"/>
              <w:szCs w:val="30"/>
            </w:rPr>
            <w:t>123</w:t>
          </w:r>
          <w:r>
            <w:rPr>
              <w:rStyle w:val="20"/>
              <w:rFonts w:eastAsia="楷体_GB2312"/>
              <w:bCs/>
              <w:color w:val="auto"/>
              <w:sz w:val="30"/>
              <w:szCs w:val="30"/>
            </w:rPr>
            <w:fldChar w:fldCharType="end"/>
          </w:r>
          <w:r>
            <w:rPr>
              <w:rStyle w:val="20"/>
              <w:rFonts w:eastAsia="楷体_GB2312"/>
              <w:bCs/>
              <w:color w:val="auto"/>
              <w:sz w:val="30"/>
              <w:szCs w:val="30"/>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"_Toc59116962" </w:instrText>
          </w:r>
          <w:r>
            <w:rPr>
              <w:color w:val="auto"/>
            </w:rPr>
            <w:fldChar w:fldCharType="separate"/>
          </w:r>
          <w:r>
            <w:rPr>
              <w:rStyle w:val="20"/>
              <w:rFonts w:hint="eastAsia" w:ascii="楷体_GB2312" w:hAnsi="黑体" w:eastAsia="楷体_GB2312" w:cs="黑体"/>
              <w:bCs/>
              <w:color w:val="auto"/>
              <w:sz w:val="30"/>
              <w:szCs w:val="30"/>
            </w:rPr>
            <w:t>第二节 构建政策支持体系</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_Toc59116962 \h </w:instrText>
          </w:r>
          <w:r>
            <w:rPr>
              <w:rStyle w:val="20"/>
              <w:rFonts w:eastAsia="楷体_GB2312"/>
              <w:bCs/>
              <w:color w:val="auto"/>
              <w:sz w:val="30"/>
              <w:szCs w:val="30"/>
            </w:rPr>
            <w:fldChar w:fldCharType="separate"/>
          </w:r>
          <w:r>
            <w:rPr>
              <w:rStyle w:val="20"/>
              <w:rFonts w:eastAsia="楷体_GB2312"/>
              <w:bCs/>
              <w:color w:val="auto"/>
              <w:sz w:val="30"/>
              <w:szCs w:val="30"/>
            </w:rPr>
            <w:t>124</w:t>
          </w:r>
          <w:r>
            <w:rPr>
              <w:rStyle w:val="20"/>
              <w:rFonts w:eastAsia="楷体_GB2312"/>
              <w:bCs/>
              <w:color w:val="auto"/>
              <w:sz w:val="30"/>
              <w:szCs w:val="30"/>
            </w:rPr>
            <w:fldChar w:fldCharType="end"/>
          </w:r>
          <w:r>
            <w:rPr>
              <w:rStyle w:val="20"/>
              <w:rFonts w:eastAsia="楷体_GB2312"/>
              <w:bCs/>
              <w:color w:val="auto"/>
              <w:sz w:val="30"/>
              <w:szCs w:val="30"/>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"_Toc59116963" </w:instrText>
          </w:r>
          <w:r>
            <w:rPr>
              <w:color w:val="auto"/>
            </w:rPr>
            <w:fldChar w:fldCharType="separate"/>
          </w:r>
          <w:r>
            <w:rPr>
              <w:rStyle w:val="20"/>
              <w:rFonts w:hint="eastAsia" w:ascii="楷体_GB2312" w:hAnsi="黑体" w:eastAsia="楷体_GB2312" w:cs="黑体"/>
              <w:bCs/>
              <w:color w:val="auto"/>
              <w:sz w:val="30"/>
              <w:szCs w:val="30"/>
            </w:rPr>
            <w:t>第三节 有序推进规划实施</w:t>
          </w:r>
          <w:r>
            <w:rPr>
              <w:rStyle w:val="20"/>
              <w:rFonts w:hint="eastAsia" w:hAnsi="黑体" w:cs="黑体"/>
              <w:bCs/>
              <w:color w:val="auto"/>
              <w:sz w:val="30"/>
              <w:szCs w:val="30"/>
            </w:rPr>
            <w:tab/>
          </w:r>
          <w:r>
            <w:rPr>
              <w:rStyle w:val="20"/>
              <w:rFonts w:hint="eastAsia" w:hAnsi="黑体" w:cs="黑体"/>
              <w:bCs/>
              <w:color w:val="auto"/>
              <w:sz w:val="30"/>
              <w:szCs w:val="30"/>
            </w:rPr>
            <w:fldChar w:fldCharType="begin"/>
          </w:r>
          <w:r>
            <w:rPr>
              <w:rStyle w:val="20"/>
              <w:rFonts w:hint="eastAsia" w:hAnsi="黑体" w:cs="黑体"/>
              <w:bCs/>
              <w:color w:val="auto"/>
              <w:sz w:val="30"/>
              <w:szCs w:val="30"/>
            </w:rPr>
            <w:instrText xml:space="preserve"> PAGEREF _Toc59116963 \h </w:instrText>
          </w:r>
          <w:r>
            <w:rPr>
              <w:rStyle w:val="20"/>
              <w:rFonts w:hint="eastAsia" w:hAnsi="黑体" w:cs="黑体"/>
              <w:bCs/>
              <w:color w:val="auto"/>
              <w:sz w:val="30"/>
              <w:szCs w:val="30"/>
            </w:rPr>
            <w:fldChar w:fldCharType="separate"/>
          </w:r>
          <w:r>
            <w:rPr>
              <w:rStyle w:val="20"/>
              <w:rFonts w:hint="eastAsia" w:hAnsi="黑体" w:cs="黑体"/>
              <w:bCs/>
              <w:color w:val="auto"/>
              <w:sz w:val="30"/>
              <w:szCs w:val="30"/>
            </w:rPr>
            <w:t>124</w:t>
          </w:r>
          <w:r>
            <w:rPr>
              <w:rStyle w:val="20"/>
              <w:rFonts w:hint="eastAsia" w:hAnsi="黑体" w:cs="黑体"/>
              <w:bCs/>
              <w:color w:val="auto"/>
              <w:sz w:val="30"/>
              <w:szCs w:val="30"/>
            </w:rPr>
            <w:fldChar w:fldCharType="end"/>
          </w:r>
          <w:r>
            <w:rPr>
              <w:rStyle w:val="20"/>
              <w:rFonts w:hint="eastAsia" w:hAnsi="黑体" w:cs="黑体"/>
              <w:bCs/>
              <w:color w:val="auto"/>
              <w:sz w:val="30"/>
              <w:szCs w:val="30"/>
            </w:rPr>
            <w:fldChar w:fldCharType="end"/>
          </w:r>
        </w:p>
        <w:p>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"_Toc59116964" </w:instrText>
          </w:r>
          <w:r>
            <w:rPr>
              <w:color w:val="auto"/>
            </w:rPr>
            <w:fldChar w:fldCharType="separate"/>
          </w:r>
          <w:r>
            <w:rPr>
              <w:rStyle w:val="20"/>
              <w:rFonts w:hint="eastAsia" w:ascii="楷体_GB2312" w:hAnsi="黑体" w:eastAsia="楷体_GB2312" w:cs="黑体"/>
              <w:bCs/>
              <w:color w:val="auto"/>
              <w:sz w:val="30"/>
              <w:szCs w:val="30"/>
            </w:rPr>
            <w:t>第四节 强化规划实施动态评估</w:t>
          </w:r>
          <w:r>
            <w:rPr>
              <w:rStyle w:val="20"/>
              <w:rFonts w:hint="eastAsia" w:hAnsi="黑体" w:cs="黑体"/>
              <w:bCs/>
              <w:color w:val="auto"/>
              <w:sz w:val="30"/>
              <w:szCs w:val="30"/>
            </w:rPr>
            <w:tab/>
          </w:r>
          <w:r>
            <w:rPr>
              <w:rStyle w:val="20"/>
              <w:rFonts w:hint="eastAsia" w:hAnsi="黑体" w:cs="黑体"/>
              <w:bCs/>
              <w:color w:val="auto"/>
              <w:sz w:val="30"/>
              <w:szCs w:val="30"/>
            </w:rPr>
            <w:fldChar w:fldCharType="begin"/>
          </w:r>
          <w:r>
            <w:rPr>
              <w:rStyle w:val="20"/>
              <w:rFonts w:hint="eastAsia" w:hAnsi="黑体" w:cs="黑体"/>
              <w:bCs/>
              <w:color w:val="auto"/>
              <w:sz w:val="30"/>
              <w:szCs w:val="30"/>
            </w:rPr>
            <w:instrText xml:space="preserve"> PAGEREF _Toc59116964 \h </w:instrText>
          </w:r>
          <w:r>
            <w:rPr>
              <w:rStyle w:val="20"/>
              <w:rFonts w:hint="eastAsia" w:hAnsi="黑体" w:cs="黑体"/>
              <w:bCs/>
              <w:color w:val="auto"/>
              <w:sz w:val="30"/>
              <w:szCs w:val="30"/>
            </w:rPr>
            <w:fldChar w:fldCharType="separate"/>
          </w:r>
          <w:r>
            <w:rPr>
              <w:rStyle w:val="20"/>
              <w:rFonts w:hint="eastAsia" w:hAnsi="黑体" w:cs="黑体"/>
              <w:bCs/>
              <w:color w:val="auto"/>
              <w:sz w:val="30"/>
              <w:szCs w:val="30"/>
            </w:rPr>
            <w:t>125</w:t>
          </w:r>
          <w:r>
            <w:rPr>
              <w:rStyle w:val="20"/>
              <w:rFonts w:hint="eastAsia" w:hAnsi="黑体" w:cs="黑体"/>
              <w:bCs/>
              <w:color w:val="auto"/>
              <w:sz w:val="30"/>
              <w:szCs w:val="30"/>
            </w:rPr>
            <w:fldChar w:fldCharType="end"/>
          </w:r>
          <w:r>
            <w:rPr>
              <w:rStyle w:val="20"/>
              <w:rFonts w:hint="eastAsia" w:hAnsi="黑体" w:cs="黑体"/>
              <w:bCs/>
              <w:color w:val="auto"/>
              <w:sz w:val="30"/>
              <w:szCs w:val="30"/>
            </w:rPr>
            <w:fldChar w:fldCharType="end"/>
          </w:r>
        </w:p>
        <w:p>
          <w:pPr>
            <w:spacing w:line="420" w:lineRule="exact"/>
            <w:rPr>
              <w:rFonts w:ascii="宋体" w:hAnsi="宋体"/>
              <w:color w:val="auto"/>
              <w:sz w:val="22"/>
            </w:rPr>
          </w:pPr>
          <w:r>
            <w:rPr>
              <w:rFonts w:hint="eastAsia" w:ascii="楷体_GB2312" w:hAnsi="宋体" w:eastAsia="楷体_GB2312"/>
              <w:bCs/>
              <w:color w:val="auto"/>
              <w:sz w:val="22"/>
              <w:lang w:val="zh-CN"/>
            </w:rPr>
            <w:fldChar w:fldCharType="end"/>
          </w:r>
        </w:p>
      </w:sdtContent>
    </w:sdt>
    <w:p>
      <w:pPr>
        <w:spacing w:line="579" w:lineRule="exact"/>
        <w:rPr>
          <w:rFonts w:ascii="宋体" w:hAnsi="宋体"/>
          <w:color w:val="auto"/>
          <w:sz w:val="32"/>
          <w:szCs w:val="32"/>
        </w:rPr>
      </w:pPr>
    </w:p>
    <w:p>
      <w:pPr>
        <w:pStyle w:val="2"/>
        <w:rPr>
          <w:color w:val="auto"/>
        </w:rPr>
        <w:sectPr>
          <w:footerReference r:id="rId11" w:type="default"/>
          <w:footnotePr>
            <w:numFmt w:val="decimalEnclosedCircleChinese"/>
            <w:numRestart w:val="eachPage"/>
          </w:footnotePr>
          <w:pgSz w:w="11906" w:h="16838"/>
          <w:pgMar w:top="2098" w:right="1474" w:bottom="1985" w:left="1588" w:header="851" w:footer="737" w:gutter="0"/>
          <w:pgNumType w:fmt="upperRoman" w:start="1"/>
          <w:cols w:space="720" w:num="1"/>
          <w:docGrid w:type="linesAndChars" w:linePitch="299" w:charSpace="2048"/>
        </w:sectPr>
      </w:pPr>
    </w:p>
    <w:p>
      <w:pPr>
        <w:pStyle w:val="2"/>
        <w:rPr>
          <w:color w:val="auto"/>
        </w:rPr>
        <w:sectPr>
          <w:footerReference r:id="rId12" w:type="default"/>
          <w:footnotePr>
            <w:numFmt w:val="decimalEnclosedCircleChinese"/>
            <w:numRestart w:val="eachPage"/>
          </w:footnotePr>
          <w:pgSz w:w="11906" w:h="16838"/>
          <w:pgMar w:top="2098" w:right="1474" w:bottom="1985" w:left="1588" w:header="851" w:footer="737" w:gutter="0"/>
          <w:pgNumType w:fmt="upperRoman" w:start="1"/>
          <w:cols w:space="720" w:num="1"/>
          <w:docGrid w:type="linesAndChars" w:linePitch="299" w:charSpace="2048"/>
        </w:sect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四五”时期（2021-2025年）是我国全面建成小康社会、实现第一个百年奋斗目标之后，乘势而上开启全面建设社会主义现代化国家新征程、向第二个百年奋斗目标进军的第一个五年，我国将进入新发展阶段；是沈阳市加快推动国家中心城市建设、推进老工业基地全面振兴全方位振兴的关键时期。浑南区</w:t>
      </w:r>
      <w:r>
        <w:rPr>
          <w:rFonts w:hint="eastAsia" w:ascii="仿宋_GB2312" w:hAnsi="仿宋" w:eastAsia="仿宋_GB2312" w:cs="仿宋"/>
          <w:color w:val="auto"/>
          <w:sz w:val="32"/>
          <w:szCs w:val="32"/>
        </w:rPr>
        <w:t>经历了“十二五”时期城市建设、“十三五”时期产业筑基，“十四五”时期即将迎来跨跃发展爆发期。抢抓东北振兴发展、高新区高质量发展等政策机遇，充分发挥沈阳国家高新区、自贸区沈阳片区、自创区沈阳片区重要作用，科学谋划未来五年发展规划和2035年远景目标，对于打造沈阳国家中心城市建设引领区和区域高质量发展主引擎具有重要意义。</w:t>
      </w:r>
      <w:r>
        <w:rPr>
          <w:rFonts w:hint="eastAsia" w:ascii="仿宋_GB2312" w:hAnsi="仿宋_GB2312" w:eastAsia="仿宋_GB2312" w:cs="仿宋_GB2312"/>
          <w:color w:val="auto"/>
          <w:sz w:val="32"/>
          <w:szCs w:val="32"/>
        </w:rPr>
        <w:t>本规划主要阐明“十四五”时期的战略目标、主要任务和重要举措，是今后五年全区经济社会发展的宏伟蓝图，集中体现了区委、区政府的施政方针和战略意图，是各部门依法履行职责、编制年度计划和制定政策措施的重要依据，是全区人民共同奋斗的行动纲领。</w:t>
      </w:r>
    </w:p>
    <w:p>
      <w:pPr>
        <w:pStyle w:val="2"/>
        <w:spacing w:line="579" w:lineRule="exact"/>
        <w:ind w:left="102"/>
        <w:rPr>
          <w:color w:val="auto"/>
        </w:rPr>
      </w:pPr>
    </w:p>
    <w:p>
      <w:pPr>
        <w:pStyle w:val="31"/>
        <w:keepNext/>
        <w:numPr>
          <w:ilvl w:val="0"/>
          <w:numId w:val="1"/>
        </w:numPr>
        <w:spacing w:line="579" w:lineRule="exact"/>
        <w:ind w:firstLineChars="0"/>
        <w:jc w:val="center"/>
        <w:outlineLvl w:val="0"/>
        <w:rPr>
          <w:rFonts w:ascii="宋体" w:hAnsi="宋体" w:cs="宋体"/>
          <w:b/>
          <w:color w:val="auto"/>
          <w:sz w:val="44"/>
          <w:szCs w:val="44"/>
        </w:rPr>
      </w:pPr>
      <w:bookmarkStart w:id="3" w:name="_Toc59116886"/>
      <w:r>
        <w:rPr>
          <w:rFonts w:hint="eastAsia" w:ascii="宋体" w:hAnsi="宋体" w:cs="宋体"/>
          <w:b/>
          <w:color w:val="auto"/>
          <w:sz w:val="44"/>
          <w:szCs w:val="44"/>
        </w:rPr>
        <w:t>规划背景</w:t>
      </w:r>
      <w:bookmarkEnd w:id="0"/>
      <w:bookmarkEnd w:id="1"/>
      <w:bookmarkEnd w:id="2"/>
      <w:bookmarkEnd w:id="3"/>
      <w:bookmarkStart w:id="4" w:name="_Toc292811290"/>
    </w:p>
    <w:p>
      <w:pPr>
        <w:keepNext/>
        <w:spacing w:line="290" w:lineRule="exact"/>
        <w:outlineLvl w:val="0"/>
        <w:rPr>
          <w:rFonts w:ascii="宋体" w:hAnsi="宋体" w:cs="宋体"/>
          <w:b/>
          <w:color w:val="auto"/>
          <w:sz w:val="44"/>
          <w:szCs w:val="44"/>
        </w:rPr>
      </w:pPr>
    </w:p>
    <w:bookmarkEnd w:id="4"/>
    <w:p>
      <w:pPr>
        <w:pStyle w:val="31"/>
        <w:numPr>
          <w:ilvl w:val="0"/>
          <w:numId w:val="2"/>
        </w:numPr>
        <w:spacing w:line="579" w:lineRule="exact"/>
        <w:ind w:firstLineChars="0"/>
        <w:jc w:val="center"/>
        <w:outlineLvl w:val="1"/>
        <w:rPr>
          <w:rFonts w:ascii="黑体" w:hAnsi="黑体" w:eastAsia="黑体" w:cs="黑体"/>
          <w:bCs/>
          <w:color w:val="auto"/>
          <w:sz w:val="32"/>
          <w:szCs w:val="32"/>
        </w:rPr>
      </w:pPr>
      <w:bookmarkStart w:id="5" w:name="_Toc6087"/>
      <w:bookmarkStart w:id="6" w:name="_Toc59116887"/>
      <w:bookmarkStart w:id="7" w:name="_Toc48108951"/>
      <w:bookmarkStart w:id="8" w:name="_Toc20110"/>
      <w:r>
        <w:rPr>
          <w:rFonts w:hint="eastAsia" w:ascii="黑体" w:hAnsi="黑体" w:eastAsia="黑体" w:cs="黑体"/>
          <w:bCs/>
          <w:color w:val="auto"/>
          <w:sz w:val="32"/>
          <w:szCs w:val="32"/>
        </w:rPr>
        <w:t>发展基础</w:t>
      </w:r>
      <w:bookmarkEnd w:id="5"/>
      <w:bookmarkEnd w:id="6"/>
      <w:bookmarkEnd w:id="7"/>
      <w:bookmarkEnd w:id="8"/>
    </w:p>
    <w:p>
      <w:pPr>
        <w:spacing w:line="290" w:lineRule="exact"/>
        <w:outlineLvl w:val="1"/>
        <w:rPr>
          <w:rFonts w:ascii="黑体" w:hAnsi="黑体" w:eastAsia="黑体" w:cs="黑体"/>
          <w:bCs/>
          <w:color w:val="auto"/>
          <w:sz w:val="32"/>
          <w:szCs w:val="32"/>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“十三五”时期是浑南区砥砺奋进、跨越发展的五年。</w:t>
      </w:r>
      <w:r>
        <w:rPr>
          <w:rFonts w:hint="eastAsia" w:eastAsia="仿宋_GB2312"/>
          <w:color w:val="auto"/>
          <w:sz w:val="32"/>
          <w:szCs w:val="32"/>
        </w:rPr>
        <w:t>面对错综复杂的宏观环境、艰巨繁重的发展任务和突如其来的新冠肺炎疫情，在中央及省委、市委的坚强领导下，全区上下不忘初心、牢记使命，深入贯彻落实习近平总书记关于东北、辽宁振兴发展重要讲话和指示批示精神，务实进取、攻坚克难</w:t>
      </w:r>
      <w:r>
        <w:rPr>
          <w:rFonts w:hint="eastAsia" w:ascii="仿宋_GB2312" w:hAnsi="仿宋_GB2312" w:eastAsia="仿宋_GB2312" w:cs="仿宋_GB2312"/>
          <w:color w:val="auto"/>
          <w:sz w:val="32"/>
          <w:szCs w:val="32"/>
        </w:rPr>
        <w:t>，以“发展大浑南、支撑大沈阳”为目标，以深化创新改革为动力，以做大做强高新技术产业为抓手，经济综合实力全面提升，产业发展方向进一步明确，高端创新资源加速集聚，对外开放水平进一步提升，城市品质明显提高，社会民生持续改善，生态文明建设显著增强，体制机制改革全面深化，实现经济社会平稳健康发展。</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1.主要经济指标稳步增长，综合实力显著提升。</w:t>
      </w:r>
      <w:r>
        <w:rPr>
          <w:rFonts w:hint="eastAsia" w:ascii="仿宋_GB2312" w:hAnsi="仿宋_GB2312" w:eastAsia="仿宋_GB2312" w:cs="仿宋_GB2312"/>
          <w:color w:val="auto"/>
          <w:sz w:val="32"/>
          <w:szCs w:val="32"/>
        </w:rPr>
        <w:t>全区经济综合实力和可持续发展力稳步提升，主要经济指标增速高于市平均增速，对全市经济支撑作用不断增强，全区经济效益稳步提升。20</w:t>
      </w:r>
      <w:r>
        <w:rPr>
          <w:rFonts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rPr>
        <w:t>年全区地区生产总值</w:t>
      </w:r>
      <w:r>
        <w:rPr>
          <w:rFonts w:ascii="仿宋_GB2312" w:hAnsi="仿宋_GB2312" w:eastAsia="仿宋_GB2312" w:cs="仿宋_GB2312"/>
          <w:color w:val="auto"/>
          <w:sz w:val="32"/>
          <w:szCs w:val="32"/>
        </w:rPr>
        <w:t>57</w:t>
      </w:r>
      <w:r>
        <w:rPr>
          <w:rFonts w:hint="eastAsia" w:ascii="仿宋_GB2312" w:hAnsi="仿宋_GB2312" w:eastAsia="仿宋_GB2312" w:cs="仿宋_GB2312"/>
          <w:color w:val="auto"/>
          <w:sz w:val="32"/>
          <w:szCs w:val="32"/>
        </w:rPr>
        <w:t>9.1亿元，是2015年的1.3倍，年均增长5.2%。一般公共预算收入</w:t>
      </w:r>
      <w:r>
        <w:rPr>
          <w:rFonts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rPr>
        <w:t>4.8亿元，是2015年的1.</w:t>
      </w:r>
      <w:r>
        <w:rPr>
          <w:rFonts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rPr>
        <w:t>倍，年均增长6</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7%。社会消费品零售总额</w:t>
      </w:r>
      <w:r>
        <w:rPr>
          <w:rFonts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rPr>
        <w:t>71亿元，是2015年的2.7倍，年均增长</w:t>
      </w:r>
      <w:r>
        <w:rPr>
          <w:rFonts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t>2.3%。规上工业总产值506.6亿元，占全市比重</w:t>
      </w:r>
      <w:r>
        <w:rPr>
          <w:rFonts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rPr>
        <w:t>5%。固定资产投资</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31.5亿元，占全市比重</w:t>
      </w:r>
      <w:r>
        <w:rPr>
          <w:rFonts w:ascii="仿宋_GB2312" w:hAnsi="仿宋_GB2312" w:eastAsia="仿宋_GB2312" w:cs="仿宋_GB2312"/>
          <w:color w:val="auto"/>
          <w:sz w:val="32"/>
          <w:szCs w:val="32"/>
        </w:rPr>
        <w:t>16.</w:t>
      </w:r>
      <w:r>
        <w:rPr>
          <w:rFonts w:hint="eastAsia" w:ascii="仿宋_GB2312" w:hAnsi="仿宋_GB2312" w:eastAsia="仿宋_GB2312" w:cs="仿宋_GB2312"/>
          <w:color w:val="auto"/>
          <w:sz w:val="32"/>
          <w:szCs w:val="32"/>
        </w:rPr>
        <w:t>4%。税收收入占一般公共预算收入比重</w:t>
      </w:r>
      <w:r>
        <w:rPr>
          <w:rFonts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rPr>
        <w:t>0.9%，高于市平均水平9.2个百分点。2020年，高新区全国综合排名36位，“十三五”期间跃升8位。自由贸易试验区沈阳片区正式揭牌，国家自主创新示范区、国家双创示范基地、国家级生物医药和健康医疗创新产业集群获批。</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2.高新技术产业势头良好，三次产业协调推进。</w:t>
      </w:r>
      <w:r>
        <w:rPr>
          <w:rFonts w:hint="eastAsia" w:ascii="仿宋_GB2312" w:hAnsi="仿宋_GB2312" w:eastAsia="仿宋_GB2312" w:cs="仿宋_GB2312"/>
          <w:color w:val="auto"/>
          <w:sz w:val="32"/>
          <w:szCs w:val="32"/>
        </w:rPr>
        <w:t>产业定位和产业发展方向进一步清晰，主导产业优势日益突出，预计2</w:t>
      </w:r>
      <w:r>
        <w:rPr>
          <w:rFonts w:ascii="仿宋_GB2312" w:hAnsi="仿宋_GB2312" w:eastAsia="仿宋_GB2312" w:cs="仿宋_GB2312"/>
          <w:color w:val="auto"/>
          <w:sz w:val="32"/>
          <w:szCs w:val="32"/>
        </w:rPr>
        <w:t>020</w:t>
      </w:r>
      <w:r>
        <w:rPr>
          <w:rFonts w:hint="eastAsia" w:ascii="仿宋_GB2312" w:hAnsi="仿宋_GB2312" w:eastAsia="仿宋_GB2312" w:cs="仿宋_GB2312"/>
          <w:color w:val="auto"/>
          <w:sz w:val="32"/>
          <w:szCs w:val="32"/>
        </w:rPr>
        <w:t>年产业结构优化为</w:t>
      </w:r>
      <w:r>
        <w:rPr>
          <w:rFonts w:ascii="仿宋_GB2312" w:hAnsi="仿宋_GB2312" w:eastAsia="仿宋_GB2312" w:cs="仿宋_GB2312"/>
          <w:color w:val="auto"/>
          <w:sz w:val="32"/>
          <w:szCs w:val="32"/>
        </w:rPr>
        <w:t>1.1</w:t>
      </w:r>
      <w:r>
        <w:rPr>
          <w:rFonts w:hint="eastAsia" w:ascii="仿宋_GB2312" w:hAnsi="仿宋_GB2312" w:eastAsia="仿宋_GB2312" w:cs="仿宋_GB2312"/>
          <w:color w:val="auto"/>
          <w:sz w:val="32"/>
          <w:szCs w:val="32"/>
        </w:rPr>
        <w:t>:39.7:59.2。高新技术产业支撑作用增强，建成软件及系统集成、机器人、数字医疗设备、IC装备、民用航空、生物医药等一批全国重要高新技术产业化基地，IC装备、机器人、生物医药等新兴产业发展势头迅猛，产值年均增长2</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%以上。火炬统计企业R&amp;D投入占GDP比重达到</w:t>
      </w:r>
      <w:r>
        <w:rPr>
          <w:rFonts w:ascii="仿宋_GB2312" w:hAnsi="仿宋_GB2312" w:eastAsia="仿宋_GB2312" w:cs="仿宋_GB2312"/>
          <w:color w:val="auto"/>
          <w:sz w:val="32"/>
          <w:szCs w:val="32"/>
        </w:rPr>
        <w:t>5.68</w:t>
      </w:r>
      <w:r>
        <w:rPr>
          <w:rFonts w:hint="eastAsia" w:ascii="仿宋_GB2312" w:hAnsi="仿宋_GB2312" w:eastAsia="仿宋_GB2312" w:cs="仿宋_GB2312"/>
          <w:color w:val="auto"/>
          <w:sz w:val="32"/>
          <w:szCs w:val="32"/>
        </w:rPr>
        <w:t>%。现代服务业优势凸显，</w:t>
      </w:r>
      <w:r>
        <w:rPr>
          <w:rFonts w:ascii="仿宋_GB2312" w:hAnsi="仿宋_GB2312" w:eastAsia="仿宋_GB2312" w:cs="仿宋_GB2312"/>
          <w:color w:val="auto"/>
          <w:sz w:val="32"/>
          <w:szCs w:val="32"/>
        </w:rPr>
        <w:t>2020</w:t>
      </w:r>
      <w:r>
        <w:rPr>
          <w:rFonts w:hint="eastAsia" w:ascii="仿宋_GB2312" w:hAnsi="仿宋_GB2312" w:eastAsia="仿宋_GB2312" w:cs="仿宋_GB2312"/>
          <w:color w:val="auto"/>
          <w:sz w:val="32"/>
          <w:szCs w:val="32"/>
        </w:rPr>
        <w:t>年服务业增加值342.8亿元，服务业贡献率达60%以上。奥体商圈更加繁荣，行政中心、新南站商圈快速崛起，全区拥有2000㎡及以上大中型商业网点15家，商业网点总面积达到110万平方米。电子商务交易额达到800亿元，电子商务示范基地被评为“全国优秀电子商务园区20强”。金融服务能力明显提升，集聚各类金融及类金融机构784家，盛京基金小镇汇聚创投机构30家，上市企业达到7家。域内景区景点和旅游文化场馆40余家，A级景区17家，初步形成中央公园都市休闲、棋盘山生态旅游、东南山区农业观光的发展格局，“十三五”期间景区接待人数累计4</w:t>
      </w:r>
      <w:r>
        <w:rPr>
          <w:rFonts w:ascii="仿宋_GB2312" w:hAnsi="仿宋_GB2312" w:eastAsia="仿宋_GB2312" w:cs="仿宋_GB2312"/>
          <w:color w:val="auto"/>
          <w:sz w:val="32"/>
          <w:szCs w:val="32"/>
        </w:rPr>
        <w:t>882</w:t>
      </w:r>
      <w:r>
        <w:rPr>
          <w:rFonts w:hint="eastAsia" w:ascii="仿宋_GB2312" w:hAnsi="仿宋_GB2312" w:eastAsia="仿宋_GB2312" w:cs="仿宋_GB2312"/>
          <w:color w:val="auto"/>
          <w:sz w:val="32"/>
          <w:szCs w:val="32"/>
        </w:rPr>
        <w:t>万人次。体育休闲主导产业地位加强，连续三年承办国际马拉松，成功举办中国沈阳赛艇大师赛，综合保障辽篮CBA等精品赛事，获批国家体育产业示范基地。棋盘山国家级文化产业示范园区提档升级有序推进。粮食总产量稳定在</w:t>
      </w:r>
      <w:r>
        <w:rPr>
          <w:rFonts w:ascii="仿宋_GB2312" w:hAnsi="仿宋_GB2312" w:eastAsia="仿宋_GB2312" w:cs="仿宋_GB2312"/>
          <w:color w:val="auto"/>
          <w:sz w:val="32"/>
          <w:szCs w:val="32"/>
        </w:rPr>
        <w:t>18</w:t>
      </w:r>
      <w:r>
        <w:rPr>
          <w:rFonts w:hint="eastAsia" w:ascii="仿宋_GB2312" w:hAnsi="仿宋_GB2312" w:eastAsia="仿宋_GB2312" w:cs="仿宋_GB2312"/>
          <w:color w:val="auto"/>
          <w:sz w:val="32"/>
          <w:szCs w:val="32"/>
        </w:rPr>
        <w:t>万吨，高标准农田面积稳定在</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万亩左右，高附加值经济作物达3万亩，高标准打造农业园区、市级休闲农业点位近百个。</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3.创新资源加速汇聚，创新创业环境持续优化。</w:t>
      </w:r>
      <w:r>
        <w:rPr>
          <w:rFonts w:hint="eastAsia" w:ascii="仿宋_GB2312" w:hAnsi="仿宋_GB2312" w:eastAsia="仿宋_GB2312" w:cs="仿宋_GB2312"/>
          <w:color w:val="auto"/>
          <w:sz w:val="32"/>
          <w:szCs w:val="32"/>
        </w:rPr>
        <w:t>创新主体能级显著提升，创新链条逐步完善，科技成果转化体系逐步健全。全区市级及以上新型研发机构、重点实验室、企业技术中心等各类研发机构</w:t>
      </w:r>
      <w:r>
        <w:rPr>
          <w:rFonts w:ascii="仿宋_GB2312" w:hAnsi="仿宋_GB2312" w:eastAsia="仿宋_GB2312" w:cs="仿宋_GB2312"/>
          <w:color w:val="auto"/>
          <w:sz w:val="32"/>
          <w:szCs w:val="32"/>
        </w:rPr>
        <w:t>257</w:t>
      </w:r>
      <w:r>
        <w:rPr>
          <w:rFonts w:hint="eastAsia" w:ascii="仿宋_GB2312" w:hAnsi="仿宋_GB2312" w:eastAsia="仿宋_GB2312" w:cs="仿宋_GB2312"/>
          <w:color w:val="auto"/>
          <w:sz w:val="32"/>
          <w:szCs w:val="32"/>
        </w:rPr>
        <w:t>家，其中国家级</w:t>
      </w:r>
      <w:r>
        <w:rPr>
          <w:rFonts w:ascii="仿宋_GB2312" w:hAnsi="仿宋_GB2312" w:eastAsia="仿宋_GB2312" w:cs="仿宋_GB2312"/>
          <w:color w:val="auto"/>
          <w:sz w:val="32"/>
          <w:szCs w:val="32"/>
        </w:rPr>
        <w:t>10</w:t>
      </w:r>
      <w:r>
        <w:rPr>
          <w:rFonts w:hint="eastAsia" w:ascii="仿宋_GB2312" w:hAnsi="仿宋_GB2312" w:eastAsia="仿宋_GB2312" w:cs="仿宋_GB2312"/>
          <w:color w:val="auto"/>
          <w:sz w:val="32"/>
          <w:szCs w:val="32"/>
        </w:rPr>
        <w:t>家，省级2</w:t>
      </w:r>
      <w:r>
        <w:rPr>
          <w:rFonts w:ascii="仿宋_GB2312" w:hAnsi="仿宋_GB2312" w:eastAsia="仿宋_GB2312" w:cs="仿宋_GB2312"/>
          <w:color w:val="auto"/>
          <w:sz w:val="32"/>
          <w:szCs w:val="32"/>
        </w:rPr>
        <w:t>08</w:t>
      </w:r>
      <w:r>
        <w:rPr>
          <w:rFonts w:hint="eastAsia" w:ascii="仿宋_GB2312" w:hAnsi="仿宋_GB2312" w:eastAsia="仿宋_GB2312" w:cs="仿宋_GB2312"/>
          <w:color w:val="auto"/>
          <w:sz w:val="32"/>
          <w:szCs w:val="32"/>
        </w:rPr>
        <w:t>家。20</w:t>
      </w:r>
      <w:r>
        <w:rPr>
          <w:rFonts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rPr>
        <w:t>年科技型中小企业总数达</w:t>
      </w:r>
      <w:r>
        <w:rPr>
          <w:rFonts w:ascii="仿宋_GB2312" w:hAnsi="仿宋_GB2312" w:eastAsia="仿宋_GB2312" w:cs="仿宋_GB2312"/>
          <w:color w:val="auto"/>
          <w:sz w:val="32"/>
          <w:szCs w:val="32"/>
        </w:rPr>
        <w:t>1152</w:t>
      </w:r>
      <w:r>
        <w:rPr>
          <w:rFonts w:hint="eastAsia" w:ascii="仿宋_GB2312" w:hAnsi="仿宋_GB2312" w:eastAsia="仿宋_GB2312" w:cs="仿宋_GB2312"/>
          <w:color w:val="auto"/>
          <w:sz w:val="32"/>
          <w:szCs w:val="32"/>
        </w:rPr>
        <w:t>家。高新技术企业786家，是2</w:t>
      </w:r>
      <w:r>
        <w:rPr>
          <w:rFonts w:ascii="仿宋_GB2312" w:hAnsi="仿宋_GB2312" w:eastAsia="仿宋_GB2312" w:cs="仿宋_GB2312"/>
          <w:color w:val="auto"/>
          <w:sz w:val="32"/>
          <w:szCs w:val="32"/>
        </w:rPr>
        <w:t>015</w:t>
      </w:r>
      <w:r>
        <w:rPr>
          <w:rFonts w:hint="eastAsia" w:ascii="仿宋_GB2312" w:hAnsi="仿宋_GB2312" w:eastAsia="仿宋_GB2312" w:cs="仿宋_GB2312"/>
          <w:color w:val="auto"/>
          <w:sz w:val="32"/>
          <w:szCs w:val="32"/>
        </w:rPr>
        <w:t>年的5.8倍，净增加</w:t>
      </w:r>
      <w:r>
        <w:rPr>
          <w:rFonts w:ascii="仿宋_GB2312" w:hAnsi="仿宋_GB2312" w:eastAsia="仿宋_GB2312" w:cs="仿宋_GB2312"/>
          <w:color w:val="auto"/>
          <w:sz w:val="32"/>
          <w:szCs w:val="32"/>
        </w:rPr>
        <w:t>6</w:t>
      </w:r>
      <w:r>
        <w:rPr>
          <w:rFonts w:hint="eastAsia" w:ascii="仿宋_GB2312" w:hAnsi="仿宋_GB2312" w:eastAsia="仿宋_GB2312" w:cs="仿宋_GB2312"/>
          <w:color w:val="auto"/>
          <w:sz w:val="32"/>
          <w:szCs w:val="32"/>
        </w:rPr>
        <w:t>50家。瞪羚独角兽企业23家，居全省前列。积极推动区域综合性实验室创建国家实验室，沈阳材料科学国家研究中心、中科院机器人与智能制造创新研究院等一批重大创新平台建设进展顺利，沈阳浑南科技城建设稳步推进。建有院士工作站</w:t>
      </w:r>
      <w:r>
        <w:rPr>
          <w:rFonts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rPr>
        <w:t>个，博士后工作站14个，引进“兴辽英才”等高层次人才千余人。构建“众创空间—孵化器—加速器—产业园区”创新孵化链条，双创载体面积达到</w:t>
      </w:r>
      <w:r>
        <w:rPr>
          <w:rFonts w:ascii="仿宋_GB2312" w:hAnsi="仿宋_GB2312" w:eastAsia="仿宋_GB2312" w:cs="仿宋_GB2312"/>
          <w:color w:val="auto"/>
          <w:sz w:val="32"/>
          <w:szCs w:val="32"/>
        </w:rPr>
        <w:t>200</w:t>
      </w:r>
      <w:r>
        <w:rPr>
          <w:rFonts w:hint="eastAsia" w:ascii="仿宋_GB2312" w:hAnsi="仿宋_GB2312" w:eastAsia="仿宋_GB2312" w:cs="仿宋_GB2312"/>
          <w:color w:val="auto"/>
          <w:sz w:val="32"/>
          <w:szCs w:val="32"/>
        </w:rPr>
        <w:t>万平方米，在孵企业（项目）</w:t>
      </w:r>
      <w:r>
        <w:rPr>
          <w:rFonts w:ascii="仿宋_GB2312" w:hAnsi="仿宋_GB2312" w:eastAsia="仿宋_GB2312" w:cs="仿宋_GB2312"/>
          <w:color w:val="auto"/>
          <w:sz w:val="32"/>
          <w:szCs w:val="32"/>
        </w:rPr>
        <w:t>4000</w:t>
      </w:r>
      <w:r>
        <w:rPr>
          <w:rFonts w:hint="eastAsia" w:ascii="仿宋_GB2312" w:hAnsi="仿宋_GB2312" w:eastAsia="仿宋_GB2312" w:cs="仿宋_GB2312"/>
          <w:color w:val="auto"/>
          <w:sz w:val="32"/>
          <w:szCs w:val="32"/>
        </w:rPr>
        <w:t>余个，获批国家“科技资源支撑型”升级版双创载体，国家双创示范基地两个典型经验在全国推广。东北科技大市场服务合同交易额达到</w:t>
      </w:r>
      <w:r>
        <w:rPr>
          <w:rFonts w:ascii="仿宋_GB2312" w:hAnsi="仿宋_GB2312" w:eastAsia="仿宋_GB2312" w:cs="仿宋_GB2312"/>
          <w:color w:val="auto"/>
          <w:sz w:val="32"/>
          <w:szCs w:val="32"/>
        </w:rPr>
        <w:t>40.7</w:t>
      </w:r>
      <w:r>
        <w:rPr>
          <w:rFonts w:hint="eastAsia" w:ascii="仿宋_GB2312" w:hAnsi="仿宋_GB2312" w:eastAsia="仿宋_GB2312" w:cs="仿宋_GB2312"/>
          <w:color w:val="auto"/>
          <w:sz w:val="32"/>
          <w:szCs w:val="32"/>
        </w:rPr>
        <w:t>亿元，促进高校院所成果省内转化项目284项，开展协同创新200项。制定出台《沈阳高新区“产业促进政策20条”》、《浑南区促进金融业发展若干政策实施办法》等政策。在全市率先推出人才奖励政策，率先推出高校毕业生安居办法，为毕业生群体和高端人才提供政府公寓、人才安居用房1593套。</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4.对外开放纵深发展，开放型经济初显成效。</w:t>
      </w:r>
      <w:r>
        <w:rPr>
          <w:rFonts w:hint="eastAsia" w:ascii="仿宋_GB2312" w:hAnsi="仿宋_GB2312" w:eastAsia="仿宋_GB2312" w:cs="仿宋_GB2312"/>
          <w:color w:val="auto"/>
          <w:sz w:val="32"/>
          <w:szCs w:val="32"/>
        </w:rPr>
        <w:t>对外开放程度逐步加深，“十三五”期间出口总额累计342.4亿元，实际利用外资累计5.3亿美元。正威国际稀谷等</w:t>
      </w:r>
      <w:r>
        <w:rPr>
          <w:rFonts w:ascii="仿宋_GB2312" w:hAnsi="仿宋_GB2312" w:eastAsia="仿宋_GB2312" w:cs="仿宋_GB2312"/>
          <w:color w:val="auto"/>
          <w:sz w:val="32"/>
          <w:szCs w:val="32"/>
        </w:rPr>
        <w:t>300</w:t>
      </w:r>
      <w:r>
        <w:rPr>
          <w:rFonts w:hint="eastAsia" w:ascii="仿宋_GB2312" w:hAnsi="仿宋_GB2312" w:eastAsia="仿宋_GB2312" w:cs="仿宋_GB2312"/>
          <w:color w:val="auto"/>
          <w:sz w:val="32"/>
          <w:szCs w:val="32"/>
        </w:rPr>
        <w:t>余个产业项目落地，年度落地转化率75%以上。自贸区沈阳片区总体方案试验任务115项全部完成，累计形成4项全国推广制度创新成果、40项全省推广制度创新经验，累计注册企业1.8万户。综保区桃仙园区封关运行，进驻沈飞民机等企业120余家。跨境电商公共服务平台投入使用，保税进口1210模式和直购进口9610模式上线运行。主动融入“一带一路”全球化布局，与22个国家23家商协会签订战略合作协议，启动万科中日产业园、启迪中韩科技园等中外合作园区建设。全区外企总数达到362家，推动东软医疗、富创精密等20余家企业“走出去”。承接京沈对口合作项目59个，总投资达到400亿元，与中关村丰台园、朝阳园战略合作全面展开。与沈抚新区基础设施互联互通、产业协同互动态势正在形成。</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5.城市建设高质高效推进，城市品质持续升级。</w:t>
      </w:r>
      <w:r>
        <w:rPr>
          <w:rFonts w:hint="eastAsia" w:ascii="仿宋_GB2312" w:hAnsi="仿宋_GB2312" w:eastAsia="仿宋_GB2312" w:cs="仿宋_GB2312"/>
          <w:color w:val="auto"/>
          <w:sz w:val="32"/>
          <w:szCs w:val="32"/>
        </w:rPr>
        <w:t>城市基础设施建设不断完善，智慧城市建设全面启动。新建和改造国省干线公路1</w:t>
      </w:r>
      <w:r>
        <w:rPr>
          <w:rFonts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rPr>
        <w:t>公里、市政道路347公里、农村公路</w:t>
      </w:r>
      <w:r>
        <w:rPr>
          <w:rFonts w:ascii="仿宋_GB2312" w:hAnsi="仿宋_GB2312" w:eastAsia="仿宋_GB2312" w:cs="仿宋_GB2312"/>
          <w:color w:val="auto"/>
          <w:sz w:val="32"/>
          <w:szCs w:val="32"/>
        </w:rPr>
        <w:t>450</w:t>
      </w:r>
      <w:r>
        <w:rPr>
          <w:rFonts w:hint="eastAsia" w:ascii="仿宋_GB2312" w:hAnsi="仿宋_GB2312" w:eastAsia="仿宋_GB2312" w:cs="仿宋_GB2312"/>
          <w:color w:val="auto"/>
          <w:sz w:val="32"/>
          <w:szCs w:val="32"/>
        </w:rPr>
        <w:t>公里，有轨电车建设里程63公里，高铁新南站、桃仙机场T3航站楼等重大交通设施投入使用，城市综合交通体系基本形成。棋盘山、世博园、省图书馆等室内外关键场景和主城区道路5G网络覆盖，建设5G基站</w:t>
      </w:r>
      <w:r>
        <w:rPr>
          <w:rFonts w:ascii="仿宋_GB2312" w:hAnsi="仿宋_GB2312" w:eastAsia="仿宋_GB2312" w:cs="仿宋_GB2312"/>
          <w:color w:val="auto"/>
          <w:sz w:val="32"/>
          <w:szCs w:val="32"/>
        </w:rPr>
        <w:t>1050</w:t>
      </w:r>
      <w:r>
        <w:rPr>
          <w:rFonts w:hint="eastAsia" w:ascii="仿宋_GB2312" w:hAnsi="仿宋_GB2312" w:eastAsia="仿宋_GB2312" w:cs="仿宋_GB2312"/>
          <w:color w:val="auto"/>
          <w:sz w:val="32"/>
          <w:szCs w:val="32"/>
        </w:rPr>
        <w:t>个。“智慧教育”“云医院”“E社区”平台全区推广，社会治理综合指挥服务中心一期投入使用。持续完善村内道路、村庄绿化、照明设施等基础设施建设，硬化村内道路58公里，村庄绿化203亩，安装路灯1962盏。公共文化服务供给水平逐年提升，建成社区文体活动室183个，社区书屋44个，农家书屋68个；举办大型文化活动年均20余场，浑南之夏、文化惠民等活动年均100场次以上。李铁足球公园投入使用，城市书房莫子山店、炫彩喷泉、十里芳华等成为市民休闲新场所。</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6.社会民生持续发展，人民生活水平明显改善。</w:t>
      </w:r>
      <w:r>
        <w:rPr>
          <w:rFonts w:hint="eastAsia" w:ascii="仿宋_GB2312" w:hAnsi="仿宋_GB2312" w:eastAsia="仿宋_GB2312" w:cs="仿宋_GB2312"/>
          <w:color w:val="auto"/>
          <w:sz w:val="32"/>
          <w:szCs w:val="32"/>
        </w:rPr>
        <w:t>社会民生状况持续改善，公共服务日益健全，人民福祉大幅提升。城镇新增就业</w:t>
      </w:r>
      <w:r>
        <w:rPr>
          <w:rFonts w:ascii="仿宋_GB2312" w:hAnsi="仿宋_GB2312" w:eastAsia="仿宋_GB2312" w:cs="仿宋_GB2312"/>
          <w:color w:val="auto"/>
          <w:sz w:val="32"/>
          <w:szCs w:val="32"/>
        </w:rPr>
        <w:t>8000</w:t>
      </w:r>
      <w:r>
        <w:rPr>
          <w:rFonts w:hint="eastAsia" w:ascii="仿宋_GB2312" w:hAnsi="仿宋_GB2312" w:eastAsia="仿宋_GB2312" w:cs="仿宋_GB2312"/>
          <w:color w:val="auto"/>
          <w:sz w:val="32"/>
          <w:szCs w:val="32"/>
        </w:rPr>
        <w:t>人，登记失业率保持在</w:t>
      </w:r>
      <w:r>
        <w:rPr>
          <w:rFonts w:ascii="仿宋_GB2312" w:hAnsi="仿宋_GB2312" w:eastAsia="仿宋_GB2312" w:cs="仿宋_GB2312"/>
          <w:color w:val="auto"/>
          <w:sz w:val="32"/>
          <w:szCs w:val="32"/>
        </w:rPr>
        <w:t>3.1</w:t>
      </w:r>
      <w:r>
        <w:rPr>
          <w:rFonts w:hint="eastAsia" w:ascii="仿宋_GB2312" w:hAnsi="仿宋_GB2312" w:eastAsia="仿宋_GB2312" w:cs="仿宋_GB2312"/>
          <w:color w:val="auto"/>
          <w:sz w:val="32"/>
          <w:szCs w:val="32"/>
        </w:rPr>
        <w:t>%以内。城乡社保体系和救助体系日益完善，累计发放各类保障救助金2.</w:t>
      </w:r>
      <w:r>
        <w:rPr>
          <w:rFonts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rPr>
        <w:t>亿元，低保标准连年提升。养老事业持续改善, 建成区域性居家养老服务中心15个、社区养老服务站45个，每千名老人拥有养老床位</w:t>
      </w:r>
      <w:r>
        <w:rPr>
          <w:rFonts w:ascii="仿宋_GB2312" w:hAnsi="仿宋_GB2312" w:eastAsia="仿宋_GB2312" w:cs="仿宋_GB2312"/>
          <w:color w:val="auto"/>
          <w:sz w:val="32"/>
          <w:szCs w:val="32"/>
        </w:rPr>
        <w:t>80</w:t>
      </w:r>
      <w:r>
        <w:rPr>
          <w:rFonts w:hint="eastAsia" w:ascii="仿宋_GB2312" w:hAnsi="仿宋_GB2312" w:eastAsia="仿宋_GB2312" w:cs="仿宋_GB2312"/>
          <w:color w:val="auto"/>
          <w:sz w:val="32"/>
          <w:szCs w:val="32"/>
        </w:rPr>
        <w:t>个。全面实施《浑南区加快教育发展三年行动计划》，高标准建设中小学校及幼儿园16所，农村薄弱学校改造全面完成。引进北师大、省实验、本溪高中，实现名校资源从学前到高中全覆盖。“医联体”建设、医养结合、分级诊疗服务、卫生惠民持续深化，区域人口健康信息平台加快建设，签约家庭医生服务20.9万份，百姓健康获得感不断增强。中国医科大学附属第一医院浑南院区、东北国际医院建成并投入使用，农村医疗卫生短板加快补齐，基层卫生院和农村卫生室标准化建设全覆盖，李相卫生院被评为全国群众满意卫生院，每千人口执业（助理）医师数2.5人。成功获批国家级妇幼健康优质服务示范区、省级慢性病防控示范区。基层社会治理全面推进，城市社区服务设施覆盖率达到100%，农村社区服务设施覆盖率达到98.6%，“村民评理说事点”在全省率先实现全覆盖。扎实推进“平安浑南”建设，社会保持安全稳定。</w:t>
      </w:r>
      <w:r>
        <w:rPr>
          <w:rFonts w:ascii="仿宋_GB2312" w:hAnsi="仿宋_GB2312" w:eastAsia="仿宋_GB2312" w:cs="仿宋_GB2312"/>
          <w:color w:val="auto"/>
          <w:sz w:val="32"/>
          <w:szCs w:val="32"/>
        </w:rPr>
        <w:t>2020</w:t>
      </w:r>
      <w:r>
        <w:rPr>
          <w:rFonts w:hint="eastAsia" w:ascii="仿宋_GB2312" w:hAnsi="仿宋_GB2312" w:eastAsia="仿宋_GB2312" w:cs="仿宋_GB2312"/>
          <w:color w:val="auto"/>
          <w:sz w:val="32"/>
          <w:szCs w:val="32"/>
        </w:rPr>
        <w:t>年城镇居民人均可支配收入达到49896元，比2015年增长29.2%，年均增长</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.3%；农村居民人均可支配收入达到24878元，比2015年增长49.2%，年均增长</w:t>
      </w:r>
      <w:r>
        <w:rPr>
          <w:rFonts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rPr>
        <w:t>3%。</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7.环境保护成效显现，生态文明建设日益加强。</w:t>
      </w:r>
      <w:r>
        <w:rPr>
          <w:rFonts w:hint="eastAsia" w:ascii="仿宋_GB2312" w:hAnsi="仿宋_GB2312" w:eastAsia="仿宋_GB2312" w:cs="仿宋_GB2312"/>
          <w:color w:val="auto"/>
          <w:sz w:val="32"/>
          <w:szCs w:val="32"/>
        </w:rPr>
        <w:t>生态文明建设稳步推进，积极开展棋盘山风景区提质升级工程，全力推进“蓝天、碧水、净土”工程，加强城市绿化系统建设，城乡环境质量明显提高。棋盘山风景区4A级景区提质升级初见成效，编制完成《棋盘山风景名胜区生态保护与修复规划（2016-2030）》，完成七彩谷高标准生态修复面积1368亩，森林覆盖率达18.5%。持续完善景区服务配套设施，完成棋盘山国家级文化示范园区智能化管理服务平台建设。水、大气、土壤污染物整治工程有序进行，投入使用污水处理设施7座，完成4条河流黑臭水体治理，燃煤供暖企业脱硝改造和型煤推广处于全市前列，秸秆综合利用率达到90%以上，土壤污染防治扎实推进，危险废物管理全面加强。不断完善城市绿化格局，完成奥林匹克公园、邻里公园、朗明街公园等十余处公园绿地和20余条道路景观配套建设，新增及改造绿地160万平方米，获批“全国绿化模范单位”。农村人居环境持续改善，完成</w:t>
      </w:r>
      <w:r>
        <w:rPr>
          <w:rFonts w:ascii="仿宋_GB2312" w:hAnsi="仿宋_GB2312" w:eastAsia="仿宋_GB2312" w:cs="仿宋_GB2312"/>
          <w:color w:val="auto"/>
          <w:sz w:val="32"/>
          <w:szCs w:val="32"/>
        </w:rPr>
        <w:t>127</w:t>
      </w:r>
      <w:r>
        <w:rPr>
          <w:rFonts w:hint="eastAsia" w:ascii="仿宋_GB2312" w:hAnsi="仿宋_GB2312" w:eastAsia="仿宋_GB2312" w:cs="仿宋_GB2312"/>
          <w:color w:val="auto"/>
          <w:sz w:val="32"/>
          <w:szCs w:val="32"/>
        </w:rPr>
        <w:t>个整洁村、</w:t>
      </w:r>
      <w:r>
        <w:rPr>
          <w:rFonts w:ascii="仿宋_GB2312" w:hAnsi="仿宋_GB2312" w:eastAsia="仿宋_GB2312" w:cs="仿宋_GB2312"/>
          <w:color w:val="auto"/>
          <w:sz w:val="32"/>
          <w:szCs w:val="32"/>
        </w:rPr>
        <w:t>23</w:t>
      </w:r>
      <w:r>
        <w:rPr>
          <w:rFonts w:hint="eastAsia" w:ascii="仿宋_GB2312" w:hAnsi="仿宋_GB2312" w:eastAsia="仿宋_GB2312" w:cs="仿宋_GB2312"/>
          <w:color w:val="auto"/>
          <w:sz w:val="32"/>
          <w:szCs w:val="32"/>
        </w:rPr>
        <w:t>个美丽示范村建设，垃圾处置体系覆盖率实现100%，新建无害化厕所近1000座。第二次全国污染源普查顺利通过国家生态环境部验收。</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8.体制机制改革扎实推进，制度活力充分释放。</w:t>
      </w:r>
      <w:r>
        <w:rPr>
          <w:rFonts w:hint="eastAsia" w:ascii="仿宋_GB2312" w:hAnsi="仿宋_GB2312" w:eastAsia="仿宋_GB2312" w:cs="仿宋_GB2312"/>
          <w:color w:val="auto"/>
          <w:sz w:val="32"/>
          <w:szCs w:val="32"/>
        </w:rPr>
        <w:t>改革创新取得显著成效，营商环境改革深入推进，“管委会+公司”改革稳步开展，持续深化国企、农村、财政、事业单位等经济体制改革。全面创新改革试验17项先行先试任务全面完成，22条复制推广任务提前完成，“集成科技骨干力量打造前沿技术产业链股份联盟”改革举措入选全国第三批创新改革经验清单。国资国企改革不断深化，混合所有制改革稳步推进，在全市率先完成厂办大集体改革，国有“僵尸企业”处置率达到</w:t>
      </w:r>
      <w:r>
        <w:rPr>
          <w:rFonts w:ascii="仿宋_GB2312" w:hAnsi="仿宋_GB2312" w:eastAsia="仿宋_GB2312" w:cs="仿宋_GB2312"/>
          <w:color w:val="auto"/>
          <w:sz w:val="32"/>
          <w:szCs w:val="32"/>
        </w:rPr>
        <w:t>87.5</w:t>
      </w:r>
      <w:r>
        <w:rPr>
          <w:rFonts w:hint="eastAsia" w:ascii="仿宋_GB2312" w:hAnsi="仿宋_GB2312" w:eastAsia="仿宋_GB2312" w:cs="仿宋_GB2312"/>
          <w:color w:val="auto"/>
          <w:sz w:val="32"/>
          <w:szCs w:val="32"/>
        </w:rPr>
        <w:t>%。如期完成农村集体经济组织登记赋码和土地确权工作，流转土地3万余亩。全面推进财政资金审批流程、事前预算绩效管理、街道国库集中支付电子化改革，资金使用效率明显提升。推进事业单位改革，完成15家政府直属事业单位组建和3家经营性事业单位转企改制，机构精简率90.1%。全面推行“管委会+公司”运行机制改革，成立高新区发展投资控股集团，持续深化高新区人事、薪酬制度改革，实施全员竞聘上岗的干部任用机制。棋盘山完成经济发展、规划、执法、林草管理审批等职能整合，管委会挂牌运行，市旅游集团完成划转，为构建“大棋盘山”生态发展格局奠定基础。“放管服”改革深入推进，全面优化审批流程，全区行政审批事项100%实现“最多跑一次”，100%实现可网办，打造“浑南会客厅”，推行“0030”审批服务模式，完成“一枚印章管审批”创新改革，出台“4+</w:t>
      </w:r>
      <w:r>
        <w:rPr>
          <w:rFonts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rPr>
        <w:t>”营商政策，政务服务新体系初步形成，2</w:t>
      </w:r>
      <w:r>
        <w:rPr>
          <w:rFonts w:ascii="仿宋_GB2312" w:hAnsi="仿宋_GB2312" w:eastAsia="仿宋_GB2312" w:cs="仿宋_GB2312"/>
          <w:color w:val="auto"/>
          <w:sz w:val="32"/>
          <w:szCs w:val="32"/>
        </w:rPr>
        <w:t>020</w:t>
      </w:r>
      <w:r>
        <w:rPr>
          <w:rFonts w:hint="eastAsia" w:ascii="仿宋_GB2312" w:hAnsi="仿宋_GB2312" w:eastAsia="仿宋_GB2312" w:cs="仿宋_GB2312"/>
          <w:color w:val="auto"/>
          <w:sz w:val="32"/>
          <w:szCs w:val="32"/>
        </w:rPr>
        <w:t>年市场主体达到7.6万户，是2</w:t>
      </w:r>
      <w:r>
        <w:rPr>
          <w:rFonts w:ascii="仿宋_GB2312" w:hAnsi="仿宋_GB2312" w:eastAsia="仿宋_GB2312" w:cs="仿宋_GB2312"/>
          <w:color w:val="auto"/>
          <w:sz w:val="32"/>
          <w:szCs w:val="32"/>
        </w:rPr>
        <w:t>015</w:t>
      </w:r>
      <w:r>
        <w:rPr>
          <w:rFonts w:hint="eastAsia" w:ascii="仿宋_GB2312" w:hAnsi="仿宋_GB2312" w:eastAsia="仿宋_GB2312" w:cs="仿宋_GB2312"/>
          <w:color w:val="auto"/>
          <w:sz w:val="32"/>
          <w:szCs w:val="32"/>
        </w:rPr>
        <w:t>年的2.8倍。</w:t>
      </w:r>
    </w:p>
    <w:p>
      <w:pPr>
        <w:pStyle w:val="2"/>
        <w:spacing w:line="290" w:lineRule="exact"/>
        <w:ind w:left="102"/>
        <w:rPr>
          <w:color w:val="auto"/>
        </w:rPr>
      </w:pPr>
    </w:p>
    <w:p>
      <w:pPr>
        <w:pStyle w:val="31"/>
        <w:numPr>
          <w:ilvl w:val="0"/>
          <w:numId w:val="2"/>
        </w:numPr>
        <w:spacing w:line="579" w:lineRule="exact"/>
        <w:ind w:firstLineChars="0"/>
        <w:jc w:val="center"/>
        <w:outlineLvl w:val="1"/>
        <w:rPr>
          <w:rFonts w:ascii="黑体" w:hAnsi="黑体" w:eastAsia="黑体" w:cs="黑体"/>
          <w:bCs/>
          <w:color w:val="auto"/>
          <w:sz w:val="32"/>
          <w:szCs w:val="32"/>
        </w:rPr>
      </w:pPr>
      <w:bookmarkStart w:id="9" w:name="_Toc59116888"/>
      <w:r>
        <w:rPr>
          <w:rFonts w:hint="eastAsia" w:ascii="黑体" w:hAnsi="黑体" w:eastAsia="黑体" w:cs="黑体"/>
          <w:bCs/>
          <w:color w:val="auto"/>
          <w:sz w:val="32"/>
          <w:szCs w:val="32"/>
        </w:rPr>
        <w:t>存在问题</w:t>
      </w:r>
      <w:bookmarkEnd w:id="9"/>
    </w:p>
    <w:p>
      <w:pPr>
        <w:pStyle w:val="2"/>
        <w:spacing w:line="290" w:lineRule="exact"/>
        <w:ind w:left="1157"/>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“十三五”时期，全区经济社会发展实现高速发展，但在产业发展空间、产业竞争力、创新开放驱动效应、城市功能和社会治理等方面仍需优化提升。</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一是产业发展空间不足，优存量扩增量亟待加速。</w:t>
      </w:r>
      <w:r>
        <w:rPr>
          <w:rFonts w:hint="eastAsia" w:ascii="仿宋_GB2312" w:hAnsi="仿宋_GB2312" w:eastAsia="仿宋_GB2312" w:cs="仿宋_GB2312"/>
          <w:color w:val="auto"/>
          <w:sz w:val="32"/>
          <w:szCs w:val="32"/>
        </w:rPr>
        <w:t>产业空间仍需进一步优化，存在亟待盘活提升的闲置用地、低效用地和低端业态。产业空间扩容需提速，预留产业用地亟待补充，城市更新力度需加大。产业空间布局仍需进一步统筹谋划，部分区域产业发展还存在碎片化现象，部分产业链未形成集聚发展态势。</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二是产业竞争力需持续提升，产业链建设水平待加强。</w:t>
      </w:r>
      <w:r>
        <w:rPr>
          <w:rFonts w:hint="eastAsia" w:ascii="仿宋_GB2312" w:hAnsi="仿宋_GB2312" w:eastAsia="仿宋_GB2312" w:cs="仿宋_GB2312"/>
          <w:color w:val="auto"/>
          <w:sz w:val="32"/>
          <w:szCs w:val="32"/>
        </w:rPr>
        <w:t>产业规模亟需壮大，尚未形成千亿级优势产业。软件及信息技术、IC装备、机器人、眼健康、医疗装备等细分产业领域已形成一定优势，但具有衍生能力和上下游带动能力的平台化大企业较少，上下游配套企业相对缺乏。产业链精准招商工作需要进一步深化，对重点企业的场景、载体、金融、人才等要素保障需加强。</w:t>
      </w:r>
    </w:p>
    <w:p>
      <w:pPr>
        <w:spacing w:line="579" w:lineRule="exact"/>
        <w:ind w:firstLine="660" w:firstLineChars="200"/>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三是创新驱动有待深化，开放驱动效应仍需提升</w:t>
      </w:r>
      <w:r>
        <w:rPr>
          <w:rFonts w:hint="eastAsia" w:ascii="仿宋_GB2312" w:hAnsi="仿宋_GB2312" w:eastAsia="仿宋_GB2312" w:cs="仿宋_GB2312"/>
          <w:bCs/>
          <w:color w:val="auto"/>
          <w:sz w:val="32"/>
          <w:szCs w:val="32"/>
        </w:rPr>
        <w:t>。科技服务体系仍需完善，</w:t>
      </w:r>
      <w:r>
        <w:rPr>
          <w:rFonts w:hint="eastAsia" w:ascii="仿宋_GB2312" w:hAnsi="仿宋_GB2312" w:eastAsia="仿宋_GB2312" w:cs="仿宋_GB2312"/>
          <w:color w:val="auto"/>
          <w:sz w:val="32"/>
          <w:szCs w:val="32"/>
        </w:rPr>
        <w:t>科技成果就地转化不足，服务技术转化的中试环节、技术交易市场有待提升。高新技术企业数量增长快，但企业成长能力弱，规上限上企业占高新技术企业总数不足</w:t>
      </w:r>
      <w:r>
        <w:rPr>
          <w:rFonts w:ascii="仿宋_GB2312" w:hAnsi="仿宋_GB2312" w:eastAsia="仿宋_GB2312" w:cs="仿宋_GB2312"/>
          <w:color w:val="auto"/>
          <w:sz w:val="32"/>
          <w:szCs w:val="32"/>
        </w:rPr>
        <w:t>15</w:t>
      </w:r>
      <w:r>
        <w:rPr>
          <w:rFonts w:hint="eastAsia" w:ascii="仿宋_GB2312" w:hAnsi="仿宋_GB2312" w:eastAsia="仿宋_GB2312" w:cs="仿宋_GB2312"/>
          <w:color w:val="auto"/>
          <w:sz w:val="32"/>
          <w:szCs w:val="32"/>
        </w:rPr>
        <w:t>%。对外贸易增长乏力，利用外资水平和引进国际高端要素能力有待全面提升。自贸区制度创新与新经济发展结合不够紧密，制度创新的经济社会效应不显著。</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四是城市功能仍需完善，社会治理水平尚需提升。</w:t>
      </w:r>
      <w:r>
        <w:rPr>
          <w:rFonts w:hint="eastAsia" w:ascii="仿宋_GB2312" w:hAnsi="仿宋_GB2312" w:eastAsia="仿宋_GB2312" w:cs="仿宋_GB2312"/>
          <w:bCs/>
          <w:color w:val="auto"/>
          <w:sz w:val="32"/>
          <w:szCs w:val="32"/>
        </w:rPr>
        <w:t>城市重点区域基础设施建设需</w:t>
      </w:r>
      <w:r>
        <w:rPr>
          <w:rFonts w:hint="eastAsia" w:ascii="仿宋_GB2312" w:hAnsi="仿宋_GB2312" w:eastAsia="仿宋_GB2312" w:cs="仿宋_GB2312"/>
          <w:color w:val="auto"/>
          <w:sz w:val="32"/>
          <w:szCs w:val="32"/>
        </w:rPr>
        <w:t>加强，“新基建”超前布局不足，智慧城市建设水平和城市精细化管理水平需进一步提升。教育、医疗等公共服务供需缺口较大，未能完全满足人口增长需求。环境保护和生态文明建设需加大力度。行政区和高新区、自贸区、棋盘山等体制机制创新需进一步深化，营商环境需进一步优化提升。</w:t>
      </w:r>
    </w:p>
    <w:p>
      <w:pPr>
        <w:pStyle w:val="2"/>
        <w:spacing w:line="290" w:lineRule="exact"/>
        <w:ind w:left="102"/>
        <w:rPr>
          <w:color w:val="auto"/>
        </w:rPr>
      </w:pPr>
    </w:p>
    <w:p>
      <w:pPr>
        <w:pStyle w:val="31"/>
        <w:numPr>
          <w:ilvl w:val="0"/>
          <w:numId w:val="2"/>
        </w:numPr>
        <w:spacing w:line="579" w:lineRule="exact"/>
        <w:ind w:firstLineChars="0"/>
        <w:jc w:val="center"/>
        <w:outlineLvl w:val="1"/>
        <w:rPr>
          <w:rFonts w:ascii="黑体" w:hAnsi="黑体" w:eastAsia="黑体" w:cs="黑体"/>
          <w:bCs/>
          <w:color w:val="auto"/>
          <w:sz w:val="32"/>
          <w:szCs w:val="32"/>
        </w:rPr>
      </w:pPr>
      <w:bookmarkStart w:id="10" w:name="_Toc59116889"/>
      <w:r>
        <w:rPr>
          <w:rFonts w:hint="eastAsia" w:ascii="黑体" w:hAnsi="黑体" w:eastAsia="黑体" w:cs="黑体"/>
          <w:bCs/>
          <w:color w:val="auto"/>
          <w:sz w:val="32"/>
          <w:szCs w:val="32"/>
        </w:rPr>
        <w:t>发展形势</w:t>
      </w:r>
      <w:bookmarkEnd w:id="10"/>
    </w:p>
    <w:p>
      <w:pPr>
        <w:spacing w:line="290" w:lineRule="exact"/>
        <w:ind w:firstLine="660" w:firstLineChars="200"/>
        <w:rPr>
          <w:rFonts w:ascii="仿宋_GB2312" w:hAnsi="仿宋_GB2312" w:eastAsia="仿宋_GB2312" w:cs="仿宋_GB2312"/>
          <w:b/>
          <w:color w:val="auto"/>
          <w:sz w:val="32"/>
          <w:szCs w:val="32"/>
        </w:rPr>
      </w:pPr>
    </w:p>
    <w:p>
      <w:pPr>
        <w:spacing w:line="579" w:lineRule="exact"/>
        <w:ind w:firstLine="66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放眼国际</w:t>
      </w:r>
      <w:r>
        <w:rPr>
          <w:rFonts w:hint="eastAsia" w:ascii="仿宋_GB2312" w:hAnsi="仿宋_GB2312" w:eastAsia="仿宋_GB2312" w:cs="仿宋_GB2312"/>
          <w:color w:val="auto"/>
          <w:sz w:val="32"/>
          <w:szCs w:val="32"/>
        </w:rPr>
        <w:t>。世界正处于百年未有之大变局，国际环境日趋复杂，全球主要经济体经济增速全面放缓，发达经济体和新兴经济体经济治理出现多方面分歧，新冠肺炎疫情影响广泛深远，经济全球化遭遇逆流，全球配置产业链资源、全球要素流动受阻，“双循环”成为充分发挥国内市场优势、激发内生动力重要战略，通过创新驱动参与国内产业链内生构建及内生培育经济增长点至关重要。同时，全球新一轮科技革命呈加速趋势，以人工智能、生命科学等为代表的颠覆性技术将持续全面爆发，不断催生原创性新产业、新业态，营造创新创业生态成为经济持续健康发展关键，硬科技创业、瞪羚独角兽企业、场景等将成为主要手段。</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纵观国内</w:t>
      </w:r>
      <w:r>
        <w:rPr>
          <w:rFonts w:hint="eastAsia" w:ascii="仿宋_GB2312" w:hAnsi="仿宋_GB2312" w:eastAsia="仿宋_GB2312" w:cs="仿宋_GB2312"/>
          <w:color w:val="auto"/>
          <w:sz w:val="32"/>
          <w:szCs w:val="32"/>
        </w:rPr>
        <w:t>。发展环境也经历着深刻变化，我国经济已由高速增长阶段转向高质量发展阶段，社会主要矛盾已转化为人民日益增长的美好生活需要和不平衡不充分的发展之间的矛盾，人民对美好生活的要求不断提高。我国正在形成以国内大循环为主体、国内国际双循环相互促进的新发展格局，国内大循环活力日益强劲，供给体系对国内需求的适配性明显变化，形成需求牵引供给、供给创造需求的更高水平动态平衡。东北地区已开启全面振兴全方位振兴新阶段，正以新气象新担当新作为，对东北经济发展、社会进步、生态文明建设等各方面进行全面部署，逐步形成对国家重大战略的坚强支撑。</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关注沈阳</w:t>
      </w:r>
      <w:r>
        <w:rPr>
          <w:rFonts w:hint="eastAsia" w:ascii="仿宋_GB2312" w:hAnsi="仿宋_GB2312" w:eastAsia="仿宋_GB2312" w:cs="仿宋_GB2312"/>
          <w:color w:val="auto"/>
          <w:sz w:val="32"/>
          <w:szCs w:val="32"/>
        </w:rPr>
        <w:t>。沈阳新时代全面振兴全方位振兴取得新突破，开启努力建设国家中心城市新征程，为浑南</w:t>
      </w:r>
      <w:r>
        <w:rPr>
          <w:rFonts w:hint="eastAsia" w:ascii="仿宋_GB2312" w:hAnsi="仿宋" w:eastAsia="仿宋_GB2312" w:cs="仿宋"/>
          <w:color w:val="auto"/>
          <w:sz w:val="32"/>
          <w:szCs w:val="32"/>
        </w:rPr>
        <w:t>跨跃发展，以及高新区、自创区、自贸区、</w:t>
      </w:r>
      <w:r>
        <w:rPr>
          <w:rFonts w:hint="eastAsia" w:ascii="仿宋_GB2312" w:hAnsi="仿宋_GB2312" w:eastAsia="仿宋_GB2312" w:cs="仿宋_GB2312"/>
          <w:color w:val="auto"/>
          <w:sz w:val="32"/>
          <w:szCs w:val="32"/>
        </w:rPr>
        <w:t>棋盘山旅游度假区建设带来重大契机。辽宁提出加快构建“一圈一带两区”区域发展格局，沈阳正积极构建以沈阳为核心的现代化都市圈，为浑南扩大区域经济合作提供便利条件。沈阳市率先探索高质量发展试点试验，全面落实《中共中央国务院关于支持东北地区深化改革创新推动高质量发展意见》等系列文件，为区域高质量发展提供根本遵循和新的契机。全市积极构建未来产业体系，提出建设未来产业创新发展先行区、示范区和引领区，大力推动产业链与创新链深度融合，为我区高新技术产业和战略性新兴产业培育提供全方位保障。</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聚焦浑南</w:t>
      </w:r>
      <w:r>
        <w:rPr>
          <w:rFonts w:hint="eastAsia" w:ascii="仿宋_GB2312" w:hAnsi="仿宋_GB2312" w:eastAsia="仿宋_GB2312" w:cs="仿宋_GB2312"/>
          <w:color w:val="auto"/>
          <w:sz w:val="32"/>
          <w:szCs w:val="32"/>
        </w:rPr>
        <w:t>。综合研判外部形势，“十四五”期间，浑南</w:t>
      </w:r>
      <w:r>
        <w:rPr>
          <w:rFonts w:hint="eastAsia" w:eastAsia="仿宋_GB2312"/>
          <w:color w:val="auto"/>
          <w:sz w:val="32"/>
          <w:szCs w:val="32"/>
        </w:rPr>
        <w:t>全区上下必须胸怀中华民族伟大复兴战略全局和世界百年未有之大变局，更加深刻认识我国社会主要矛盾发生变化带来的新特征新要求，更加深刻认识错综复杂国际环境带来的新矛盾新挑战，牢牢把握</w:t>
      </w:r>
      <w:r>
        <w:rPr>
          <w:rFonts w:eastAsia="仿宋_GB2312"/>
          <w:color w:val="auto"/>
          <w:sz w:val="32"/>
          <w:szCs w:val="32"/>
        </w:rPr>
        <w:t>进入新发展阶段、贯彻新发展理念、构建新发展格局的丰富内涵和实践要求，</w:t>
      </w:r>
      <w:r>
        <w:rPr>
          <w:rFonts w:hint="eastAsia" w:eastAsia="仿宋_GB2312"/>
          <w:color w:val="auto"/>
          <w:sz w:val="32"/>
          <w:szCs w:val="32"/>
        </w:rPr>
        <w:t>增强机遇意识和风险意识，把握发展规律、顺应</w:t>
      </w:r>
      <w:r>
        <w:rPr>
          <w:rFonts w:eastAsia="仿宋_GB2312"/>
          <w:color w:val="auto"/>
          <w:sz w:val="32"/>
          <w:szCs w:val="32"/>
        </w:rPr>
        <w:t>发展大势</w:t>
      </w:r>
      <w:r>
        <w:rPr>
          <w:rFonts w:hint="eastAsia" w:ascii="仿宋_GB2312" w:hAnsi="仿宋_GB2312" w:eastAsia="仿宋_GB2312" w:cs="仿宋_GB2312"/>
          <w:color w:val="auto"/>
          <w:sz w:val="32"/>
          <w:szCs w:val="32"/>
        </w:rPr>
        <w:t>，重点依托高新区、自贸区、棋盘山旅游度假区等高能级战略平台，积极承接沈阳在建设国家中心城市中创新驱动、改革开放、营商环境、产业发展、城市建设等引领功能，抢抓政策机遇，积极培育壮大新经济、新业态，以新思路、新举措统筹推进全区实现高质量发展，成为全市全面振兴全方位振兴的中坚力量。</w:t>
      </w:r>
    </w:p>
    <w:p>
      <w:pPr>
        <w:keepNext/>
        <w:spacing w:line="579" w:lineRule="exact"/>
        <w:jc w:val="center"/>
        <w:outlineLvl w:val="0"/>
        <w:rPr>
          <w:rFonts w:ascii="宋体" w:hAnsi="宋体" w:cs="宋体"/>
          <w:b/>
          <w:color w:val="auto"/>
          <w:sz w:val="44"/>
          <w:szCs w:val="44"/>
        </w:rPr>
        <w:sectPr>
          <w:footerReference r:id="rId13" w:type="default"/>
          <w:pgSz w:w="11906" w:h="16838"/>
          <w:pgMar w:top="2098" w:right="1474" w:bottom="1985" w:left="1588" w:header="851" w:footer="992" w:gutter="0"/>
          <w:pgNumType w:start="1"/>
          <w:cols w:space="425" w:num="1"/>
          <w:docGrid w:type="linesAndChars" w:linePitch="299" w:charSpace="2048"/>
        </w:sectPr>
      </w:pPr>
      <w:bookmarkStart w:id="11" w:name="_Toc7386"/>
    </w:p>
    <w:p>
      <w:pPr>
        <w:pStyle w:val="31"/>
        <w:keepNext/>
        <w:numPr>
          <w:ilvl w:val="0"/>
          <w:numId w:val="1"/>
        </w:numPr>
        <w:spacing w:line="579" w:lineRule="exact"/>
        <w:ind w:firstLineChars="0"/>
        <w:jc w:val="center"/>
        <w:outlineLvl w:val="0"/>
        <w:rPr>
          <w:rFonts w:ascii="宋体" w:hAnsi="宋体" w:cs="宋体"/>
          <w:b/>
          <w:color w:val="auto"/>
          <w:sz w:val="44"/>
          <w:szCs w:val="44"/>
        </w:rPr>
      </w:pPr>
      <w:bookmarkStart w:id="12" w:name="_Toc59116890"/>
      <w:r>
        <w:rPr>
          <w:rFonts w:hint="eastAsia" w:ascii="宋体" w:hAnsi="宋体" w:cs="宋体"/>
          <w:b/>
          <w:color w:val="auto"/>
          <w:sz w:val="44"/>
          <w:szCs w:val="44"/>
        </w:rPr>
        <w:t>总体思路与目标</w:t>
      </w:r>
      <w:bookmarkEnd w:id="11"/>
      <w:bookmarkEnd w:id="12"/>
    </w:p>
    <w:p>
      <w:pPr>
        <w:pStyle w:val="2"/>
        <w:spacing w:line="290" w:lineRule="exact"/>
        <w:ind w:left="1587"/>
        <w:rPr>
          <w:color w:val="auto"/>
        </w:rPr>
      </w:pPr>
    </w:p>
    <w:p>
      <w:pPr>
        <w:pStyle w:val="31"/>
        <w:numPr>
          <w:ilvl w:val="0"/>
          <w:numId w:val="3"/>
        </w:numPr>
        <w:spacing w:line="579" w:lineRule="exact"/>
        <w:ind w:firstLineChars="0"/>
        <w:jc w:val="center"/>
        <w:outlineLvl w:val="1"/>
        <w:rPr>
          <w:rFonts w:ascii="黑体" w:hAnsi="黑体" w:eastAsia="黑体" w:cs="黑体"/>
          <w:bCs/>
          <w:color w:val="auto"/>
          <w:sz w:val="32"/>
          <w:szCs w:val="32"/>
        </w:rPr>
      </w:pPr>
      <w:bookmarkStart w:id="13" w:name="_Toc59116891"/>
      <w:bookmarkStart w:id="14" w:name="_Toc13956"/>
      <w:r>
        <w:rPr>
          <w:rFonts w:hint="eastAsia" w:ascii="黑体" w:hAnsi="黑体" w:eastAsia="黑体" w:cs="黑体"/>
          <w:bCs/>
          <w:color w:val="auto"/>
          <w:sz w:val="32"/>
          <w:szCs w:val="32"/>
        </w:rPr>
        <w:t>指导思想</w:t>
      </w:r>
      <w:bookmarkEnd w:id="13"/>
      <w:bookmarkEnd w:id="14"/>
    </w:p>
    <w:p>
      <w:pPr>
        <w:pStyle w:val="2"/>
        <w:spacing w:line="290" w:lineRule="exact"/>
        <w:ind w:left="1157"/>
        <w:rPr>
          <w:color w:val="auto"/>
        </w:rPr>
      </w:pPr>
    </w:p>
    <w:p>
      <w:pPr>
        <w:spacing w:line="579" w:lineRule="exact"/>
        <w:ind w:firstLine="660" w:firstLineChars="200"/>
        <w:rPr>
          <w:rFonts w:ascii="仿宋_GB2312" w:hAnsi="仿宋_GB2312" w:eastAsia="仿宋_GB2312" w:cs="仿宋_GB2312"/>
          <w:color w:val="auto"/>
          <w:sz w:val="32"/>
          <w:szCs w:val="32"/>
        </w:rPr>
      </w:pPr>
      <w:bookmarkStart w:id="15" w:name="_Hlk48825993"/>
      <w:r>
        <w:rPr>
          <w:rFonts w:hint="eastAsia" w:eastAsia="仿宋_GB2312"/>
          <w:color w:val="auto"/>
          <w:sz w:val="32"/>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深入落实习近平总书记关于东北、辽宁振兴发展的重要讲话和指示批示精神，全面贯彻党的基本理论、基本路线、基本方略，统筹推进“五位一体”总体布局，协调推进“四个全面”战略布局，坚定不移贯彻新发展理念，认真贯彻省委、市委要求部署，坚持稳中求进工作总基调</w:t>
      </w:r>
      <w:r>
        <w:rPr>
          <w:rFonts w:hint="eastAsia" w:ascii="仿宋_GB2312" w:hAnsi="仿宋_GB2312" w:eastAsia="仿宋_GB2312" w:cs="仿宋_GB2312"/>
          <w:color w:val="auto"/>
          <w:sz w:val="32"/>
          <w:szCs w:val="32"/>
        </w:rPr>
        <w:t>，以满足人民日益增长的美好生活需要为根本目的，以全面从严治党为保障，统筹发展和安全，立足维护国家“五大安全”的战略定位，聚焦补齐“四个短板”，扎实做好“六项重点工作”，深入落实“四个着力”“三个推进”，</w:t>
      </w:r>
      <w:bookmarkEnd w:id="15"/>
      <w:r>
        <w:rPr>
          <w:rFonts w:hint="eastAsia" w:ascii="仿宋_GB2312" w:hAnsi="仿宋_GB2312" w:eastAsia="仿宋_GB2312" w:cs="仿宋_GB2312"/>
          <w:color w:val="auto"/>
          <w:sz w:val="32"/>
          <w:szCs w:val="32"/>
        </w:rPr>
        <w:t>主动服务和积极融入新发展格局，</w:t>
      </w:r>
      <w:r>
        <w:rPr>
          <w:rFonts w:hint="eastAsia" w:ascii="仿宋_GB2312" w:hAnsi="仿宋_GB2312" w:eastAsia="仿宋_GB2312" w:cs="仿宋_GB2312"/>
          <w:color w:val="auto"/>
          <w:sz w:val="32"/>
          <w:szCs w:val="32"/>
          <w:lang w:eastAsia="zh-CN"/>
        </w:rPr>
        <w:t>推进国家治理体系和治理能力现代化</w:t>
      </w:r>
      <w:r>
        <w:rPr>
          <w:rFonts w:hint="eastAsia" w:ascii="仿宋_GB2312" w:hAnsi="仿宋_GB2312" w:eastAsia="仿宋_GB2312" w:cs="仿宋_GB2312"/>
          <w:color w:val="auto"/>
          <w:sz w:val="32"/>
          <w:szCs w:val="32"/>
        </w:rPr>
        <w:t>，围绕创新驱动高质量发展“一条主线”，强化高新区、自贸区“双轮驱动”，实施“一核两极三组团五板块”空间战略，打造高能级战略平台，构建新经济产业体系，营造一流创新创业生态，建设对外开放新前沿，推进城市高水平建设，提升社会民生保障能力，推动乡村振兴发展，加强生态文明建设，</w:t>
      </w:r>
      <w:bookmarkStart w:id="16" w:name="_Hlk56968887"/>
      <w:r>
        <w:rPr>
          <w:rFonts w:hint="eastAsia" w:ascii="仿宋_GB2312" w:hAnsi="仿宋_GB2312" w:eastAsia="仿宋_GB2312" w:cs="仿宋_GB2312"/>
          <w:color w:val="auto"/>
          <w:sz w:val="32"/>
          <w:szCs w:val="32"/>
        </w:rPr>
        <w:t>优化营商环境和持续深化改革，建设全域创新策源地、全域开放主门户、全域改革试验区、全域活力未来城</w:t>
      </w:r>
      <w:bookmarkEnd w:id="16"/>
      <w:r>
        <w:rPr>
          <w:rFonts w:hint="eastAsia" w:ascii="仿宋_GB2312" w:hAnsi="仿宋_GB2312" w:eastAsia="仿宋_GB2312" w:cs="仿宋_GB2312"/>
          <w:color w:val="auto"/>
          <w:sz w:val="32"/>
          <w:szCs w:val="32"/>
        </w:rPr>
        <w:t>，在创新驱动、改革开放、营商环境、产业发展、城市建设等各方面充分发挥引领作用，不断增强人民群众的获得感、幸福感、安全感，成为沈阳国家中心城市建设引领区和区域高质量发展主引擎，为全面建设社会主义现代化开好局、起好步贡献力量。</w:t>
      </w:r>
    </w:p>
    <w:p>
      <w:pPr>
        <w:pStyle w:val="2"/>
        <w:spacing w:line="290" w:lineRule="exact"/>
        <w:ind w:left="102"/>
        <w:rPr>
          <w:color w:val="auto"/>
        </w:rPr>
      </w:pPr>
    </w:p>
    <w:p>
      <w:pPr>
        <w:pStyle w:val="31"/>
        <w:numPr>
          <w:ilvl w:val="0"/>
          <w:numId w:val="3"/>
        </w:numPr>
        <w:spacing w:line="579" w:lineRule="exact"/>
        <w:ind w:firstLineChars="0"/>
        <w:jc w:val="center"/>
        <w:outlineLvl w:val="1"/>
        <w:rPr>
          <w:rFonts w:ascii="黑体" w:hAnsi="黑体" w:eastAsia="黑体" w:cs="黑体"/>
          <w:bCs/>
          <w:color w:val="auto"/>
          <w:sz w:val="32"/>
          <w:szCs w:val="32"/>
        </w:rPr>
      </w:pPr>
      <w:bookmarkStart w:id="17" w:name="_Toc59116892"/>
      <w:r>
        <w:rPr>
          <w:rFonts w:hint="eastAsia" w:ascii="黑体" w:hAnsi="黑体" w:eastAsia="黑体" w:cs="黑体"/>
          <w:bCs/>
          <w:color w:val="auto"/>
          <w:sz w:val="32"/>
          <w:szCs w:val="32"/>
        </w:rPr>
        <w:t>基本原则</w:t>
      </w:r>
      <w:bookmarkEnd w:id="17"/>
    </w:p>
    <w:p>
      <w:pPr>
        <w:pStyle w:val="2"/>
        <w:spacing w:line="290" w:lineRule="exact"/>
        <w:ind w:left="1157"/>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——坚持党的全面领导</w:t>
      </w:r>
      <w:r>
        <w:rPr>
          <w:rFonts w:hint="eastAsia" w:ascii="仿宋_GB2312" w:hAnsi="仿宋_GB2312" w:eastAsia="仿宋_GB2312" w:cs="仿宋_GB2312"/>
          <w:color w:val="auto"/>
          <w:sz w:val="32"/>
          <w:szCs w:val="32"/>
        </w:rPr>
        <w:t>。健全完善党领导经济社会发展的体制机制，不断提高贯彻新发展理念、构建新发展格局的能力和水平，为新时代全区高质量发展提供根本保证。</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——坚持以人民为中心。</w:t>
      </w:r>
      <w:r>
        <w:rPr>
          <w:rFonts w:hint="eastAsia" w:ascii="仿宋_GB2312" w:hAnsi="仿宋_GB2312" w:eastAsia="仿宋_GB2312" w:cs="仿宋_GB2312"/>
          <w:color w:val="auto"/>
          <w:sz w:val="32"/>
          <w:szCs w:val="32"/>
        </w:rPr>
        <w:t>牢牢把握共同富裕方向，把增进群众福祉、促进人的全面发展作为工作的出发点和落脚点，不断实现人民对美好生活的向往。</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——坚持新发展理念</w:t>
      </w:r>
      <w:r>
        <w:rPr>
          <w:rFonts w:hint="eastAsia" w:ascii="仿宋_GB2312" w:hAnsi="仿宋_GB2312" w:eastAsia="仿宋_GB2312" w:cs="仿宋_GB2312"/>
          <w:color w:val="auto"/>
          <w:sz w:val="32"/>
          <w:szCs w:val="32"/>
        </w:rPr>
        <w:t>。聚焦发展第一要务，推动质量变革、效率变革、动力变革，实现更高质量、更有效率、更加公平、更可持续、更为安全的发展。</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——坚持深化改革开放创新</w:t>
      </w:r>
      <w:r>
        <w:rPr>
          <w:rFonts w:hint="eastAsia" w:ascii="仿宋_GB2312" w:hAnsi="仿宋_GB2312" w:eastAsia="仿宋_GB2312" w:cs="仿宋_GB2312"/>
          <w:color w:val="auto"/>
          <w:sz w:val="32"/>
          <w:szCs w:val="32"/>
        </w:rPr>
        <w:t>。坚决破除各种体制机制障碍，广泛汇聚资本和资源，大力推动以科技创新为核心的全面创新，持续增强发展动力和活力。</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——坚持系统观念</w:t>
      </w:r>
      <w:r>
        <w:rPr>
          <w:rFonts w:hint="eastAsia" w:ascii="仿宋_GB2312" w:hAnsi="仿宋_GB2312" w:eastAsia="仿宋_GB2312" w:cs="仿宋_GB2312"/>
          <w:color w:val="auto"/>
          <w:sz w:val="32"/>
          <w:szCs w:val="32"/>
        </w:rPr>
        <w:t>。处理好发展与安全、守正与创新、秩序与活力的关系，系统解决发展中的矛盾和问题，实现发展质量、结构、规模、速度、效益、安全相统一。</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——坚持瞄准目标、久久为功</w:t>
      </w:r>
      <w:r>
        <w:rPr>
          <w:rFonts w:hint="eastAsia" w:ascii="仿宋_GB2312" w:hAnsi="仿宋_GB2312" w:eastAsia="仿宋_GB2312" w:cs="仿宋_GB2312"/>
          <w:color w:val="auto"/>
          <w:sz w:val="32"/>
          <w:szCs w:val="32"/>
        </w:rPr>
        <w:t>。坚持打基础利长远，始终保持战略定力，凝聚奋进力量，发扬斗争精神，扎扎实实把浑南的事情办好。</w:t>
      </w:r>
    </w:p>
    <w:p>
      <w:pPr>
        <w:pStyle w:val="2"/>
        <w:spacing w:line="290" w:lineRule="exact"/>
        <w:ind w:left="102"/>
        <w:rPr>
          <w:color w:val="auto"/>
        </w:rPr>
      </w:pPr>
    </w:p>
    <w:p>
      <w:pPr>
        <w:pStyle w:val="31"/>
        <w:numPr>
          <w:ilvl w:val="0"/>
          <w:numId w:val="3"/>
        </w:numPr>
        <w:spacing w:line="579" w:lineRule="exact"/>
        <w:ind w:firstLineChars="0"/>
        <w:jc w:val="center"/>
        <w:outlineLvl w:val="1"/>
        <w:rPr>
          <w:rFonts w:ascii="黑体" w:hAnsi="黑体" w:eastAsia="黑体" w:cs="黑体"/>
          <w:bCs/>
          <w:color w:val="auto"/>
          <w:sz w:val="32"/>
          <w:szCs w:val="32"/>
        </w:rPr>
      </w:pPr>
      <w:bookmarkStart w:id="18" w:name="_Toc19833"/>
      <w:bookmarkStart w:id="19" w:name="_Toc59116893"/>
      <w:r>
        <w:rPr>
          <w:rFonts w:hint="eastAsia" w:ascii="黑体" w:hAnsi="黑体" w:eastAsia="黑体" w:cs="黑体"/>
          <w:bCs/>
          <w:color w:val="auto"/>
          <w:sz w:val="32"/>
          <w:szCs w:val="32"/>
        </w:rPr>
        <w:t>发展</w:t>
      </w:r>
      <w:bookmarkEnd w:id="18"/>
      <w:r>
        <w:rPr>
          <w:rFonts w:hint="eastAsia" w:ascii="黑体" w:hAnsi="黑体" w:eastAsia="黑体" w:cs="黑体"/>
          <w:bCs/>
          <w:color w:val="auto"/>
          <w:sz w:val="32"/>
          <w:szCs w:val="32"/>
        </w:rPr>
        <w:t>思路</w:t>
      </w:r>
      <w:bookmarkEnd w:id="19"/>
    </w:p>
    <w:p>
      <w:pPr>
        <w:pStyle w:val="2"/>
        <w:spacing w:line="290" w:lineRule="exact"/>
        <w:ind w:left="1157"/>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——创新驱动高质量发展“一条主线”</w:t>
      </w:r>
      <w:r>
        <w:rPr>
          <w:rFonts w:hint="eastAsia" w:ascii="仿宋_GB2312" w:hAnsi="仿宋_GB2312" w:eastAsia="仿宋_GB2312" w:cs="仿宋_GB2312"/>
          <w:color w:val="auto"/>
          <w:sz w:val="32"/>
          <w:szCs w:val="32"/>
        </w:rPr>
        <w:t>。</w:t>
      </w:r>
      <w:bookmarkStart w:id="20" w:name="_Hlk56968926"/>
      <w:r>
        <w:rPr>
          <w:rFonts w:hint="eastAsia" w:ascii="仿宋_GB2312" w:hAnsi="仿宋_GB2312" w:eastAsia="仿宋_GB2312" w:cs="仿宋_GB2312"/>
          <w:color w:val="auto"/>
          <w:sz w:val="32"/>
          <w:szCs w:val="32"/>
        </w:rPr>
        <w:t>立足产业发展、城市建设等现有基础，把握“双循环”新发展格局，抢抓东北全面振兴全方位振兴机遇，担负高新区和自贸区新经济发展和制度创新、沈阳国家中心城市建设引领区使命，将创新驱动高质量发展理念贯彻到经济社会各领域，推动科技创新与制度创新、管理创新、商业模式创新、业态创新和文化创新相结合，实现营商环境、产业发展、创新创业、开放合作、城市建设、社会民生、乡村振兴、生态文明、体制机制等创新引领，驱动浑南区全面实现高质量发展。</w:t>
      </w:r>
    </w:p>
    <w:bookmarkEnd w:id="20"/>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——双轮驱动。</w:t>
      </w:r>
      <w:bookmarkStart w:id="21" w:name="_Hlk56968940"/>
      <w:r>
        <w:rPr>
          <w:rFonts w:hint="eastAsia" w:ascii="仿宋_GB2312" w:hAnsi="仿宋_GB2312" w:eastAsia="仿宋_GB2312" w:cs="仿宋_GB2312"/>
          <w:b/>
          <w:bCs/>
          <w:color w:val="auto"/>
          <w:sz w:val="32"/>
          <w:szCs w:val="32"/>
        </w:rPr>
        <w:t>高新区驱动，</w:t>
      </w:r>
      <w:r>
        <w:rPr>
          <w:rFonts w:hint="eastAsia" w:ascii="仿宋_GB2312" w:hAnsi="仿宋_GB2312" w:eastAsia="仿宋_GB2312" w:cs="仿宋_GB2312"/>
          <w:color w:val="auto"/>
          <w:sz w:val="32"/>
          <w:szCs w:val="32"/>
        </w:rPr>
        <w:t>即依托高新区和自创区高新技术产业基础及创新创业生态，吸引顶尖创新要素、头部科技企业、高层次人才落户浑南，全面带动全区经济、社会发展，提升城市活力和人口素质，推动浑南区实现创新驱动发展及高质量发展，成为沈阳建设综合性科学中心核心支柱。</w:t>
      </w:r>
      <w:r>
        <w:rPr>
          <w:rFonts w:hint="eastAsia" w:ascii="仿宋_GB2312" w:hAnsi="仿宋_GB2312" w:eastAsia="仿宋_GB2312" w:cs="仿宋_GB2312"/>
          <w:b/>
          <w:bCs/>
          <w:color w:val="auto"/>
          <w:sz w:val="32"/>
          <w:szCs w:val="32"/>
        </w:rPr>
        <w:t>自贸区驱动，</w:t>
      </w:r>
      <w:r>
        <w:rPr>
          <w:rFonts w:hint="eastAsia" w:ascii="仿宋_GB2312" w:hAnsi="仿宋_GB2312" w:eastAsia="仿宋_GB2312" w:cs="仿宋_GB2312"/>
          <w:color w:val="auto"/>
          <w:sz w:val="32"/>
          <w:szCs w:val="32"/>
        </w:rPr>
        <w:t>即充分发挥自贸区改革开放先行者作用，建设国际化营商环境，加强培育保税制造、口岸经济、跨境电商、保税医疗等新业态，助力全区乃至沈阳都市圈扩大对外开放，加速创新要素资源跨境流动，成为引领区域高水平高层次开放门户枢纽，形成内外联动开放发展的新局面。</w:t>
      </w:r>
      <w:bookmarkEnd w:id="21"/>
    </w:p>
    <w:p>
      <w:pPr>
        <w:pStyle w:val="2"/>
        <w:spacing w:line="290" w:lineRule="exact"/>
        <w:ind w:left="102"/>
        <w:rPr>
          <w:color w:val="auto"/>
        </w:rPr>
      </w:pPr>
    </w:p>
    <w:p>
      <w:pPr>
        <w:pStyle w:val="31"/>
        <w:numPr>
          <w:ilvl w:val="0"/>
          <w:numId w:val="3"/>
        </w:numPr>
        <w:spacing w:line="579" w:lineRule="exact"/>
        <w:ind w:firstLineChars="0"/>
        <w:jc w:val="center"/>
        <w:outlineLvl w:val="1"/>
        <w:rPr>
          <w:rFonts w:ascii="黑体" w:hAnsi="黑体" w:eastAsia="黑体" w:cs="黑体"/>
          <w:bCs/>
          <w:color w:val="auto"/>
          <w:sz w:val="32"/>
          <w:szCs w:val="32"/>
        </w:rPr>
      </w:pPr>
      <w:bookmarkStart w:id="22" w:name="_Toc8753"/>
      <w:bookmarkStart w:id="23" w:name="_Toc59116894"/>
      <w:r>
        <w:rPr>
          <w:rFonts w:hint="eastAsia" w:ascii="黑体" w:hAnsi="黑体" w:eastAsia="黑体" w:cs="黑体"/>
          <w:bCs/>
          <w:color w:val="auto"/>
          <w:sz w:val="32"/>
          <w:szCs w:val="32"/>
        </w:rPr>
        <w:t>战略定位</w:t>
      </w:r>
      <w:bookmarkEnd w:id="22"/>
      <w:bookmarkEnd w:id="23"/>
    </w:p>
    <w:p>
      <w:pPr>
        <w:pStyle w:val="2"/>
        <w:spacing w:line="290" w:lineRule="exact"/>
        <w:ind w:left="102"/>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“十四五”时期，浑南区继续提升区域能级和城市品质，</w:t>
      </w:r>
      <w:bookmarkStart w:id="24" w:name="_Hlk56968976"/>
      <w:r>
        <w:rPr>
          <w:rFonts w:hint="eastAsia" w:ascii="仿宋_GB2312" w:hAnsi="仿宋_GB2312" w:eastAsia="仿宋_GB2312" w:cs="仿宋_GB2312"/>
          <w:color w:val="auto"/>
          <w:sz w:val="32"/>
          <w:szCs w:val="32"/>
        </w:rPr>
        <w:t>建设全域创新策源地、全域开放主门户、全域改革试验区、全域活力未来城</w:t>
      </w:r>
      <w:bookmarkEnd w:id="24"/>
      <w:r>
        <w:rPr>
          <w:rFonts w:hint="eastAsia" w:ascii="仿宋_GB2312" w:hAnsi="仿宋_GB2312" w:eastAsia="仿宋_GB2312" w:cs="仿宋_GB2312"/>
          <w:color w:val="auto"/>
          <w:sz w:val="32"/>
          <w:szCs w:val="32"/>
        </w:rPr>
        <w:t>，在创新驱动、改革开放、营商环境、产业发展、城市建设等各方面实现引领，成为沈阳国家中心城市建设引领区和区域高质量发展主引擎。</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——全域创新策源地。</w:t>
      </w:r>
      <w:r>
        <w:rPr>
          <w:rFonts w:hint="eastAsia" w:ascii="仿宋_GB2312" w:hAnsi="仿宋_GB2312" w:eastAsia="仿宋_GB2312" w:cs="仿宋_GB2312"/>
          <w:color w:val="auto"/>
          <w:sz w:val="32"/>
          <w:szCs w:val="32"/>
        </w:rPr>
        <w:t>以国家创新驱动发展战略为指引，推动创新理念融入到各领域，实现全域创新驱动发展。重点依托高新区，按照国家对高新区高质量发展要求，以“发展高科技、实现产业化”为主攻方向，营造良好创新创业生态，成为引领全市创新驱动发展重要策源地。围绕全市重点产业链部署创新链，加强布局国家实验室等重点创新平台，加快关键核心技术攻关，提升全市产业发展现代化水平和自主创新能力。围绕创新链布局产业链，加强培育具有竞争力创新型企业和智能经济产业集群，形成发展新动能。积极推动数字产业化、产业数字化、数据价值化，实现数字经济与城市建设、社会治理、乡村振兴、生态环境保护等全面融合创新。</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——全域开放主门户。</w:t>
      </w:r>
      <w:r>
        <w:rPr>
          <w:rFonts w:hint="eastAsia" w:ascii="仿宋_GB2312" w:hAnsi="仿宋_GB2312" w:eastAsia="仿宋_GB2312" w:cs="仿宋_GB2312"/>
          <w:color w:val="auto"/>
          <w:sz w:val="32"/>
          <w:szCs w:val="32"/>
        </w:rPr>
        <w:t>以自贸区和临空经济区建设为重点，推动贸易、投资、产业发展、文化教育等多领域开放合作，成为多领域全市开放主门户。紧抓辽宁“一带一路”综合试验区、中国-中东欧“17+1”经贸合作示范区建设机遇，积极融入国内国际“双循环”，对标国际高水平经贸规则，探索建设内陆型自由贸易港，打造升级版自贸区和高水平综合保税区，全面助力沈阳都市圈及东北地区引进国际化高端要素、推动装备制造业转型升级、提升园区对外开放水平。依托空陆双港及腹地建设临空经济区，提升对外交通便捷度及外向型经济承载能力。</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——全域改革试验区。</w:t>
      </w:r>
      <w:r>
        <w:rPr>
          <w:rFonts w:hint="eastAsia" w:ascii="仿宋_GB2312" w:hAnsi="仿宋_GB2312" w:eastAsia="仿宋_GB2312" w:cs="仿宋_GB2312"/>
          <w:color w:val="auto"/>
          <w:sz w:val="32"/>
          <w:szCs w:val="32"/>
        </w:rPr>
        <w:t>把全面深化改革作为全区高质量发展重要突破口，继续深化营商环境、经济体制、社会治理、管理体制、农业农村等全方位改革，向改革要空间、要动力、要活力。统筹推进审批流程、营商成本、法治环境、新经济治理体系、自贸区制度创新、土地要素、国资国企、大数据+社会治理、社会共治共享、管委会+公司、行政管理体制等重点领域改革，增强制度创新靶向性、系统性和集成性，超前部署改革创新任务，深入开展首创性、差别化改革探索，形成可复制、可推广经验。</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w:t>
      </w:r>
      <w:bookmarkStart w:id="25" w:name="_Hlk55110892"/>
      <w:r>
        <w:rPr>
          <w:rFonts w:hint="eastAsia" w:ascii="仿宋_GB2312" w:hAnsi="仿宋_GB2312" w:eastAsia="仿宋_GB2312" w:cs="仿宋_GB2312"/>
          <w:b/>
          <w:bCs/>
          <w:color w:val="auto"/>
          <w:sz w:val="32"/>
          <w:szCs w:val="32"/>
        </w:rPr>
        <w:t>全域活力未来城</w:t>
      </w:r>
      <w:bookmarkEnd w:id="25"/>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color w:val="auto"/>
          <w:sz w:val="32"/>
          <w:szCs w:val="32"/>
        </w:rPr>
        <w:t>满足产业人才、城乡居民对智慧便捷生活、品味文化、亲近自然需要，打造智慧现代、幸福和谐、丰富多彩、城乡统筹、青山碧水、蓝天净土的高品质生活居住环境，全域建设充满活力的未来城市。超前布局城市基础设施，充分利用5G、大数据、人工智能等先进技术手段，提升城市精细化管理水平，建设智能泛在的全场景智慧城市。利用“文化+”赋能提升城市发展活力，全面提升教育、医疗、养老等公共服务质量。有序</w:t>
      </w:r>
      <w:r>
        <w:rPr>
          <w:rFonts w:hint="eastAsia" w:eastAsia="仿宋_GB2312" w:cs="仿宋_GB2312"/>
          <w:color w:val="auto"/>
          <w:sz w:val="32"/>
          <w:szCs w:val="32"/>
        </w:rPr>
        <w:t>推进全域城镇化，</w:t>
      </w:r>
      <w:r>
        <w:rPr>
          <w:rFonts w:hint="eastAsia" w:ascii="仿宋_GB2312" w:hAnsi="仿宋_GB2312" w:eastAsia="仿宋_GB2312" w:cs="仿宋_GB2312"/>
          <w:color w:val="auto"/>
          <w:sz w:val="32"/>
          <w:szCs w:val="32"/>
        </w:rPr>
        <w:t>加快补齐农村基础设施和公共服务短板，实现城乡协同可持续一体化发展。牢记“绿水青山就是金山银山”发展理念，积极推进生态文明建设与城乡环境综合治理。</w:t>
      </w:r>
    </w:p>
    <w:p>
      <w:pPr>
        <w:pStyle w:val="2"/>
        <w:spacing w:line="290" w:lineRule="exact"/>
        <w:ind w:left="102"/>
        <w:rPr>
          <w:color w:val="auto"/>
        </w:rPr>
      </w:pPr>
    </w:p>
    <w:p>
      <w:pPr>
        <w:pStyle w:val="31"/>
        <w:numPr>
          <w:ilvl w:val="0"/>
          <w:numId w:val="3"/>
        </w:numPr>
        <w:spacing w:line="579" w:lineRule="exact"/>
        <w:ind w:firstLineChars="0"/>
        <w:jc w:val="center"/>
        <w:outlineLvl w:val="1"/>
        <w:rPr>
          <w:rFonts w:ascii="黑体" w:hAnsi="黑体" w:eastAsia="黑体" w:cs="黑体"/>
          <w:bCs/>
          <w:color w:val="auto"/>
          <w:sz w:val="32"/>
          <w:szCs w:val="32"/>
        </w:rPr>
      </w:pPr>
      <w:bookmarkStart w:id="26" w:name="_Toc59116895"/>
      <w:bookmarkStart w:id="27" w:name="_Toc18160"/>
      <w:r>
        <w:rPr>
          <w:rFonts w:hint="eastAsia" w:ascii="黑体" w:hAnsi="黑体" w:eastAsia="黑体" w:cs="黑体"/>
          <w:bCs/>
          <w:color w:val="auto"/>
          <w:sz w:val="32"/>
          <w:szCs w:val="32"/>
        </w:rPr>
        <w:t>发展目标</w:t>
      </w:r>
      <w:bookmarkEnd w:id="26"/>
      <w:bookmarkEnd w:id="27"/>
    </w:p>
    <w:p>
      <w:pPr>
        <w:pStyle w:val="2"/>
        <w:spacing w:line="290" w:lineRule="exact"/>
        <w:ind w:left="102"/>
        <w:rPr>
          <w:color w:val="auto"/>
        </w:rPr>
      </w:pPr>
    </w:p>
    <w:p>
      <w:pPr>
        <w:pStyle w:val="23"/>
        <w:widowControl w:val="0"/>
        <w:spacing w:line="579" w:lineRule="exact"/>
        <w:ind w:firstLine="663"/>
        <w:rPr>
          <w:rFonts w:hAnsi="仿宋_GB2312" w:cs="仿宋_GB2312"/>
          <w:color w:val="auto"/>
          <w:kern w:val="0"/>
          <w:szCs w:val="24"/>
        </w:rPr>
      </w:pPr>
      <w:r>
        <w:rPr>
          <w:rFonts w:hint="eastAsia" w:hAnsi="仿宋_GB2312" w:cs="仿宋_GB2312"/>
          <w:b/>
          <w:bCs/>
          <w:color w:val="auto"/>
          <w:kern w:val="0"/>
          <w:szCs w:val="24"/>
        </w:rPr>
        <w:t>2</w:t>
      </w:r>
      <w:r>
        <w:rPr>
          <w:rFonts w:hAnsi="仿宋_GB2312" w:cs="仿宋_GB2312"/>
          <w:b/>
          <w:bCs/>
          <w:color w:val="auto"/>
          <w:kern w:val="0"/>
          <w:szCs w:val="24"/>
        </w:rPr>
        <w:t>035</w:t>
      </w:r>
      <w:r>
        <w:rPr>
          <w:rFonts w:hint="eastAsia" w:hAnsi="仿宋_GB2312" w:cs="仿宋_GB2312"/>
          <w:b/>
          <w:bCs/>
          <w:color w:val="auto"/>
          <w:kern w:val="0"/>
          <w:szCs w:val="24"/>
        </w:rPr>
        <w:t>年远景目标</w:t>
      </w:r>
      <w:r>
        <w:rPr>
          <w:rFonts w:hint="eastAsia" w:hAnsi="仿宋_GB2312" w:cs="仿宋_GB2312"/>
          <w:color w:val="auto"/>
          <w:kern w:val="0"/>
          <w:szCs w:val="24"/>
        </w:rPr>
        <w:t>。沈阳国家中心城市建设引领区辐射力、带动力、影响力更加凸显，率先基本实现社会主义现代化。全区综合实力大幅跃升，经济总量迈上新台阶，对外开放水平持续提高，形成链条完整、竞争力较强的产业链集群，全面建成以新经济为核心的现代化产业体系，成为全市核心增长极，为创新沈阳、数字沈阳、智造强市建设提供重要支撑，助力沈阳现代化都市圈加快形成。</w:t>
      </w:r>
      <w:r>
        <w:rPr>
          <w:rFonts w:ascii="Times New Roman"/>
          <w:color w:val="auto"/>
        </w:rPr>
        <w:t>各项社会事业蓬勃发展，</w:t>
      </w:r>
      <w:r>
        <w:rPr>
          <w:rFonts w:hint="eastAsia" w:ascii="Times New Roman"/>
          <w:color w:val="auto"/>
        </w:rPr>
        <w:t>公共服务供给优质高效，</w:t>
      </w:r>
      <w:r>
        <w:rPr>
          <w:rFonts w:ascii="Times New Roman"/>
          <w:color w:val="auto"/>
        </w:rPr>
        <w:t>市民素质和社会文明程度不断提高</w:t>
      </w:r>
      <w:r>
        <w:rPr>
          <w:rFonts w:hint="eastAsia" w:ascii="Times New Roman"/>
          <w:color w:val="auto"/>
        </w:rPr>
        <w:t>；各方面制度更加完善，法治建设</w:t>
      </w:r>
      <w:r>
        <w:rPr>
          <w:rFonts w:ascii="Times New Roman"/>
          <w:color w:val="auto"/>
        </w:rPr>
        <w:t>、平安建设达到更高水平，治理体系和治理能力现代化基本实现</w:t>
      </w:r>
      <w:r>
        <w:rPr>
          <w:rFonts w:hint="eastAsia" w:ascii="Times New Roman"/>
          <w:color w:val="auto"/>
        </w:rPr>
        <w:t>；生态环境建设取得重大成效，绿色生产生活方式广泛形成；城乡发展</w:t>
      </w:r>
      <w:r>
        <w:rPr>
          <w:rFonts w:ascii="Times New Roman"/>
          <w:color w:val="auto"/>
        </w:rPr>
        <w:t>差距和</w:t>
      </w:r>
      <w:r>
        <w:rPr>
          <w:rFonts w:hint="eastAsia" w:ascii="Times New Roman"/>
          <w:color w:val="auto"/>
        </w:rPr>
        <w:t>居民生活水平差距</w:t>
      </w:r>
      <w:r>
        <w:rPr>
          <w:rFonts w:ascii="Times New Roman"/>
          <w:color w:val="auto"/>
        </w:rPr>
        <w:t>显著缩小，城乡</w:t>
      </w:r>
      <w:r>
        <w:rPr>
          <w:rFonts w:hint="eastAsia" w:ascii="Times New Roman"/>
          <w:color w:val="auto"/>
        </w:rPr>
        <w:t>居民</w:t>
      </w:r>
      <w:r>
        <w:rPr>
          <w:rFonts w:ascii="Times New Roman"/>
          <w:color w:val="auto"/>
        </w:rPr>
        <w:t>人均收入水平不断提高，人民群众生活更加美好，人的全面发展、全体人民共同富裕取得新成效</w:t>
      </w:r>
      <w:r>
        <w:rPr>
          <w:rFonts w:hint="eastAsia" w:hAnsi="仿宋_GB2312" w:cs="仿宋_GB2312"/>
          <w:color w:val="auto"/>
          <w:kern w:val="0"/>
          <w:szCs w:val="24"/>
        </w:rPr>
        <w:t>。</w:t>
      </w:r>
    </w:p>
    <w:p>
      <w:pPr>
        <w:pStyle w:val="23"/>
        <w:widowControl w:val="0"/>
        <w:spacing w:line="579" w:lineRule="exact"/>
        <w:ind w:firstLine="663"/>
        <w:rPr>
          <w:rFonts w:hAnsi="仿宋_GB2312" w:cs="仿宋_GB2312"/>
          <w:color w:val="auto"/>
          <w:kern w:val="0"/>
          <w:szCs w:val="24"/>
        </w:rPr>
      </w:pPr>
      <w:r>
        <w:rPr>
          <w:rFonts w:hint="eastAsia" w:hAnsi="仿宋_GB2312" w:cs="仿宋_GB2312"/>
          <w:b/>
          <w:bCs/>
          <w:color w:val="auto"/>
          <w:kern w:val="0"/>
          <w:szCs w:val="24"/>
        </w:rPr>
        <w:t>“十四五”时期发展目标</w:t>
      </w:r>
      <w:r>
        <w:rPr>
          <w:rFonts w:hint="eastAsia" w:hAnsi="仿宋_GB2312" w:cs="仿宋_GB2312"/>
          <w:color w:val="auto"/>
          <w:kern w:val="0"/>
          <w:szCs w:val="24"/>
        </w:rPr>
        <w:t>。综合实力全市领先，新经济新业态引领发展，创新创业生态不断优化，开放合作取得显著成效，城乡建设和管理水平持续升级，民生保障和治理水平全面提高，生态环境更加绿色宜居，营商环境建设和全面深化改革取得重大进展，沈阳国家中心城市建设引领区辐射带动作用不断增强。到2025年，全区地区生产总值达到1</w:t>
      </w:r>
      <w:r>
        <w:rPr>
          <w:rFonts w:hAnsi="仿宋_GB2312" w:cs="仿宋_GB2312"/>
          <w:color w:val="auto"/>
          <w:kern w:val="0"/>
          <w:szCs w:val="24"/>
        </w:rPr>
        <w:t>0</w:t>
      </w:r>
      <w:r>
        <w:rPr>
          <w:rFonts w:hint="eastAsia" w:hAnsi="仿宋_GB2312" w:cs="仿宋_GB2312"/>
          <w:color w:val="auto"/>
          <w:kern w:val="0"/>
          <w:szCs w:val="24"/>
        </w:rPr>
        <w:t>00亿元，年均增长</w:t>
      </w:r>
      <w:r>
        <w:rPr>
          <w:rFonts w:hAnsi="仿宋_GB2312" w:cs="仿宋_GB2312"/>
          <w:color w:val="auto"/>
          <w:kern w:val="0"/>
          <w:szCs w:val="24"/>
        </w:rPr>
        <w:t>8</w:t>
      </w:r>
      <w:r>
        <w:rPr>
          <w:rFonts w:hint="eastAsia" w:hAnsi="仿宋_GB2312" w:cs="仿宋_GB2312"/>
          <w:color w:val="auto"/>
          <w:kern w:val="0"/>
          <w:szCs w:val="24"/>
        </w:rPr>
        <w:t>.5%左右；一般公共预算收入达到</w:t>
      </w:r>
      <w:r>
        <w:rPr>
          <w:rFonts w:hAnsi="仿宋_GB2312" w:cs="仿宋_GB2312"/>
          <w:color w:val="auto"/>
          <w:kern w:val="0"/>
          <w:szCs w:val="24"/>
        </w:rPr>
        <w:t>140</w:t>
      </w:r>
      <w:r>
        <w:rPr>
          <w:rFonts w:hint="eastAsia" w:hAnsi="仿宋_GB2312" w:cs="仿宋_GB2312"/>
          <w:color w:val="auto"/>
          <w:kern w:val="0"/>
          <w:szCs w:val="24"/>
        </w:rPr>
        <w:t>亿元，年均增长</w:t>
      </w:r>
      <w:r>
        <w:rPr>
          <w:rFonts w:hAnsi="仿宋_GB2312" w:cs="仿宋_GB2312"/>
          <w:color w:val="auto"/>
          <w:kern w:val="0"/>
          <w:szCs w:val="24"/>
        </w:rPr>
        <w:t>8.5</w:t>
      </w:r>
      <w:r>
        <w:rPr>
          <w:rFonts w:hint="eastAsia" w:hAnsi="仿宋_GB2312" w:cs="仿宋_GB2312"/>
          <w:color w:val="auto"/>
          <w:kern w:val="0"/>
          <w:szCs w:val="24"/>
        </w:rPr>
        <w:t>%左右；固定资产投资达到6</w:t>
      </w:r>
      <w:r>
        <w:rPr>
          <w:rFonts w:hAnsi="仿宋_GB2312" w:cs="仿宋_GB2312"/>
          <w:color w:val="auto"/>
          <w:kern w:val="0"/>
          <w:szCs w:val="24"/>
        </w:rPr>
        <w:t>36</w:t>
      </w:r>
      <w:r>
        <w:rPr>
          <w:rFonts w:hint="eastAsia" w:hAnsi="仿宋_GB2312" w:cs="仿宋_GB2312"/>
          <w:color w:val="auto"/>
          <w:kern w:val="0"/>
          <w:szCs w:val="24"/>
        </w:rPr>
        <w:t>亿元，年均增长</w:t>
      </w:r>
      <w:r>
        <w:rPr>
          <w:rFonts w:hAnsi="仿宋_GB2312" w:cs="仿宋_GB2312"/>
          <w:color w:val="auto"/>
          <w:kern w:val="0"/>
          <w:szCs w:val="24"/>
        </w:rPr>
        <w:t>15</w:t>
      </w:r>
      <w:r>
        <w:rPr>
          <w:rFonts w:hint="eastAsia" w:hAnsi="仿宋_GB2312" w:cs="仿宋_GB2312"/>
          <w:color w:val="auto"/>
          <w:kern w:val="0"/>
          <w:szCs w:val="24"/>
        </w:rPr>
        <w:t>%左右；规上工业总产值达到</w:t>
      </w:r>
      <w:r>
        <w:rPr>
          <w:rFonts w:hAnsi="仿宋_GB2312" w:cs="仿宋_GB2312"/>
          <w:color w:val="auto"/>
          <w:kern w:val="0"/>
          <w:szCs w:val="24"/>
        </w:rPr>
        <w:t>1230</w:t>
      </w:r>
      <w:r>
        <w:rPr>
          <w:rFonts w:hint="eastAsia" w:hAnsi="仿宋_GB2312" w:cs="仿宋_GB2312"/>
          <w:color w:val="auto"/>
          <w:kern w:val="0"/>
          <w:szCs w:val="24"/>
        </w:rPr>
        <w:t>亿元，年均增长19%左右；社会消费品零售总额达到</w:t>
      </w:r>
      <w:r>
        <w:rPr>
          <w:rFonts w:hAnsi="仿宋_GB2312" w:cs="仿宋_GB2312"/>
          <w:color w:val="auto"/>
          <w:kern w:val="0"/>
          <w:szCs w:val="24"/>
        </w:rPr>
        <w:t>1000</w:t>
      </w:r>
      <w:r>
        <w:rPr>
          <w:rFonts w:hint="eastAsia" w:hAnsi="仿宋_GB2312" w:cs="仿宋_GB2312"/>
          <w:color w:val="auto"/>
          <w:kern w:val="0"/>
          <w:szCs w:val="24"/>
        </w:rPr>
        <w:t>亿元，年均增长16%左右。</w:t>
      </w:r>
    </w:p>
    <w:p>
      <w:pPr>
        <w:pStyle w:val="23"/>
        <w:widowControl w:val="0"/>
        <w:spacing w:line="579" w:lineRule="exact"/>
        <w:ind w:firstLine="663"/>
        <w:rPr>
          <w:rFonts w:hAnsi="仿宋_GB2312" w:cs="仿宋_GB2312"/>
          <w:color w:val="auto"/>
          <w:kern w:val="0"/>
          <w:szCs w:val="24"/>
        </w:rPr>
      </w:pPr>
      <w:r>
        <w:rPr>
          <w:rFonts w:hint="eastAsia" w:hAnsi="仿宋_GB2312" w:cs="仿宋_GB2312"/>
          <w:b/>
          <w:color w:val="auto"/>
          <w:kern w:val="0"/>
          <w:szCs w:val="24"/>
        </w:rPr>
        <w:t>——新经济新业态引领发展。</w:t>
      </w:r>
      <w:r>
        <w:rPr>
          <w:rFonts w:hint="eastAsia" w:hAnsi="仿宋_GB2312" w:cs="仿宋_GB2312"/>
          <w:color w:val="auto"/>
          <w:kern w:val="0"/>
          <w:szCs w:val="24"/>
        </w:rPr>
        <w:t>以智能经济为核心的新经济新业态蓬勃发展，以战略性新兴产业为主的重点产业发展壮大，特色产业优势凸显，未来产业实现突破，数字经济水平全面提升，成为数字沈阳有力支撑，形成高新技术产业带动、文商旅农商旅多元融合发展新格局。战略性新兴产业产值占规模以上工业总产值比重</w:t>
      </w:r>
      <w:r>
        <w:rPr>
          <w:rFonts w:hAnsi="仿宋_GB2312" w:cs="仿宋_GB2312"/>
          <w:color w:val="auto"/>
          <w:kern w:val="0"/>
          <w:szCs w:val="24"/>
        </w:rPr>
        <w:t>60</w:t>
      </w:r>
      <w:r>
        <w:rPr>
          <w:rFonts w:hint="eastAsia" w:hAnsi="仿宋_GB2312" w:cs="仿宋_GB2312"/>
          <w:color w:val="auto"/>
          <w:kern w:val="0"/>
          <w:szCs w:val="24"/>
        </w:rPr>
        <w:t>%以上，</w:t>
      </w:r>
      <w:r>
        <w:rPr>
          <w:rFonts w:hint="eastAsia" w:hAnsi="仿宋_GB2312" w:cs="仿宋_GB2312"/>
          <w:color w:val="auto"/>
        </w:rPr>
        <w:t>高新技术产品产值占规上工业总产值比重70%以上。</w:t>
      </w:r>
    </w:p>
    <w:p>
      <w:pPr>
        <w:spacing w:line="579" w:lineRule="exact"/>
        <w:ind w:firstLine="660" w:firstLineChars="200"/>
        <w:rPr>
          <w:rFonts w:ascii="仿宋_GB2312" w:hAnsi="仿宋_GB2312" w:eastAsia="仿宋_GB2312" w:cs="仿宋_GB2312"/>
          <w:color w:val="auto"/>
          <w:kern w:val="0"/>
          <w:sz w:val="32"/>
        </w:rPr>
      </w:pPr>
      <w:r>
        <w:rPr>
          <w:rFonts w:hint="eastAsia" w:ascii="仿宋_GB2312" w:hAnsi="仿宋_GB2312" w:eastAsia="仿宋_GB2312" w:cs="仿宋_GB2312"/>
          <w:b/>
          <w:bCs/>
          <w:color w:val="auto"/>
          <w:kern w:val="0"/>
          <w:sz w:val="32"/>
        </w:rPr>
        <w:t>——创新创业生态不断优化。</w:t>
      </w:r>
      <w:r>
        <w:rPr>
          <w:rFonts w:hint="eastAsia" w:ascii="仿宋_GB2312" w:hAnsi="仿宋_GB2312" w:eastAsia="仿宋_GB2312" w:cs="仿宋_GB2312"/>
          <w:color w:val="auto"/>
          <w:kern w:val="0"/>
          <w:sz w:val="32"/>
        </w:rPr>
        <w:t>自主创新能力持续提升，新经济企业进一步集聚，涌现更多的高潜力、高成长、高价值企业，人才集聚力和创造力全面提升，创新创业环境不断优化，建成具有较强辐射带动力的区域科技创新中心。</w:t>
      </w:r>
      <w:r>
        <w:rPr>
          <w:rFonts w:hint="eastAsia" w:ascii="仿宋_GB2312" w:hAnsi="仿宋_GB2312" w:eastAsia="仿宋_GB2312" w:cs="仿宋_GB2312"/>
          <w:color w:val="auto"/>
          <w:sz w:val="32"/>
          <w:szCs w:val="32"/>
        </w:rPr>
        <w:t>火炬统计企业R＆D经费投入占GDP比重7%以上</w:t>
      </w:r>
      <w:r>
        <w:rPr>
          <w:rFonts w:hint="eastAsia" w:ascii="仿宋_GB2312" w:hAnsi="仿宋_GB2312" w:eastAsia="仿宋_GB2312" w:cs="仿宋_GB2312"/>
          <w:color w:val="auto"/>
          <w:kern w:val="0"/>
          <w:sz w:val="32"/>
        </w:rPr>
        <w:t>，国家级各类重大创新平台达到22个，高新技术企业达到</w:t>
      </w:r>
      <w:r>
        <w:rPr>
          <w:rFonts w:ascii="仿宋_GB2312" w:hAnsi="仿宋_GB2312" w:eastAsia="仿宋_GB2312" w:cs="仿宋_GB2312"/>
          <w:color w:val="auto"/>
          <w:kern w:val="0"/>
          <w:sz w:val="32"/>
        </w:rPr>
        <w:t>20</w:t>
      </w:r>
      <w:r>
        <w:rPr>
          <w:rFonts w:hint="eastAsia" w:ascii="仿宋_GB2312" w:hAnsi="仿宋_GB2312" w:eastAsia="仿宋_GB2312" w:cs="仿宋_GB2312"/>
          <w:color w:val="auto"/>
          <w:kern w:val="0"/>
          <w:sz w:val="32"/>
        </w:rPr>
        <w:t>00家。</w:t>
      </w:r>
    </w:p>
    <w:p>
      <w:pPr>
        <w:pStyle w:val="23"/>
        <w:widowControl w:val="0"/>
        <w:spacing w:line="579" w:lineRule="exact"/>
        <w:ind w:firstLine="663"/>
        <w:rPr>
          <w:rFonts w:hAnsi="仿宋_GB2312" w:cs="仿宋_GB2312"/>
          <w:color w:val="auto"/>
          <w:kern w:val="0"/>
          <w:szCs w:val="24"/>
        </w:rPr>
      </w:pPr>
      <w:r>
        <w:rPr>
          <w:rFonts w:hint="eastAsia" w:hAnsi="仿宋_GB2312" w:cs="仿宋_GB2312"/>
          <w:b/>
          <w:color w:val="auto"/>
          <w:kern w:val="0"/>
          <w:szCs w:val="24"/>
        </w:rPr>
        <w:t>——开放合作取得显著成效。</w:t>
      </w:r>
      <w:r>
        <w:rPr>
          <w:rFonts w:hint="eastAsia" w:hAnsi="仿宋_GB2312" w:cs="仿宋_GB2312"/>
          <w:color w:val="auto"/>
          <w:kern w:val="0"/>
          <w:szCs w:val="24"/>
        </w:rPr>
        <w:t>国际化水平不断提升，开放型经济水平显著增强，与东北亚和欧洲国家经贸合作更加深入，国际要素持续流入，自贸区提质升级发展，京沈等对口合作成效明显。</w:t>
      </w:r>
      <w:r>
        <w:rPr>
          <w:rFonts w:hint="eastAsia" w:hAnsi="仿宋_GB2312" w:cs="仿宋_GB2312"/>
          <w:color w:val="auto"/>
        </w:rPr>
        <w:t>到2025年，实际利用外资达到</w:t>
      </w:r>
      <w:r>
        <w:rPr>
          <w:rFonts w:hAnsi="仿宋_GB2312" w:cs="仿宋_GB2312"/>
          <w:color w:val="auto"/>
        </w:rPr>
        <w:t>3</w:t>
      </w:r>
      <w:r>
        <w:rPr>
          <w:rFonts w:hint="eastAsia" w:hAnsi="仿宋_GB2312" w:cs="仿宋_GB2312"/>
          <w:color w:val="auto"/>
        </w:rPr>
        <w:t>亿美元，进出口总额达到</w:t>
      </w:r>
      <w:r>
        <w:rPr>
          <w:rFonts w:hAnsi="仿宋_GB2312" w:cs="仿宋_GB2312"/>
          <w:color w:val="auto"/>
        </w:rPr>
        <w:t>215</w:t>
      </w:r>
      <w:r>
        <w:rPr>
          <w:rFonts w:hint="eastAsia" w:hAnsi="仿宋_GB2312" w:cs="仿宋_GB2312"/>
          <w:color w:val="auto"/>
        </w:rPr>
        <w:t>亿元。</w:t>
      </w:r>
    </w:p>
    <w:p>
      <w:pPr>
        <w:pStyle w:val="23"/>
        <w:widowControl w:val="0"/>
        <w:spacing w:line="579" w:lineRule="exact"/>
        <w:ind w:firstLine="663"/>
        <w:rPr>
          <w:rFonts w:cs="仿宋_GB2312"/>
          <w:color w:val="auto"/>
        </w:rPr>
      </w:pPr>
      <w:r>
        <w:rPr>
          <w:rFonts w:hint="eastAsia" w:hAnsi="仿宋_GB2312" w:cs="仿宋_GB2312"/>
          <w:b/>
          <w:color w:val="auto"/>
          <w:kern w:val="0"/>
          <w:szCs w:val="24"/>
        </w:rPr>
        <w:t>——城乡建设和管理水平持续升级。</w:t>
      </w:r>
      <w:r>
        <w:rPr>
          <w:rFonts w:hint="eastAsia" w:hAnsi="仿宋_GB2312" w:cs="仿宋_GB2312"/>
          <w:bCs/>
          <w:color w:val="auto"/>
          <w:kern w:val="0"/>
          <w:szCs w:val="24"/>
        </w:rPr>
        <w:t>规划引领作用不断增强，</w:t>
      </w:r>
      <w:r>
        <w:rPr>
          <w:rFonts w:hint="eastAsia" w:hAnsi="仿宋_GB2312" w:cs="仿宋_GB2312"/>
          <w:color w:val="auto"/>
          <w:kern w:val="0"/>
          <w:szCs w:val="24"/>
        </w:rPr>
        <w:t>基础设施建设更加完备，土地利用效率显著提高，城市智能化精细化管理水平进一步提高，</w:t>
      </w:r>
      <w:r>
        <w:rPr>
          <w:rFonts w:hint="eastAsia" w:cs="仿宋_GB2312"/>
          <w:color w:val="auto"/>
        </w:rPr>
        <w:t>全域城镇化有序推进，水、电、气、热等基础设施实现向农村无差别延伸，城乡</w:t>
      </w:r>
      <w:r>
        <w:rPr>
          <w:rFonts w:hint="eastAsia" w:hAnsi="仿宋_GB2312" w:cs="仿宋_GB2312"/>
          <w:color w:val="auto"/>
          <w:kern w:val="0"/>
          <w:szCs w:val="24"/>
        </w:rPr>
        <w:t>综合承载力全面提升。</w:t>
      </w:r>
    </w:p>
    <w:p>
      <w:pPr>
        <w:pStyle w:val="23"/>
        <w:widowControl w:val="0"/>
        <w:spacing w:line="579" w:lineRule="exact"/>
        <w:ind w:firstLine="663"/>
        <w:rPr>
          <w:rFonts w:hAnsi="仿宋_GB2312" w:cs="仿宋_GB2312"/>
          <w:color w:val="auto"/>
          <w:kern w:val="0"/>
          <w:szCs w:val="24"/>
        </w:rPr>
      </w:pPr>
      <w:r>
        <w:rPr>
          <w:rFonts w:hint="eastAsia" w:hAnsi="仿宋_GB2312" w:cs="仿宋_GB2312"/>
          <w:b/>
          <w:color w:val="auto"/>
          <w:kern w:val="0"/>
          <w:szCs w:val="24"/>
        </w:rPr>
        <w:t>——民生保障和治理水平全面提高。</w:t>
      </w:r>
      <w:r>
        <w:rPr>
          <w:rFonts w:hint="eastAsia" w:hAnsi="仿宋_GB2312" w:cs="仿宋_GB2312"/>
          <w:color w:val="auto"/>
          <w:kern w:val="0"/>
          <w:szCs w:val="24"/>
        </w:rPr>
        <w:t>公共服务体系更加健全，社会保障水平显著提高，医疗水平全面改善，城乡居民教育程度不断优化，城市文体发展水平及城市活力显著提升，社会文明全面进步。城乡居民人均可支配收入增长与经济增长同步，城乡居民收入差距进一步缩小。安全体系持续完善，治理能力不断提升。</w:t>
      </w:r>
    </w:p>
    <w:p>
      <w:pPr>
        <w:pStyle w:val="23"/>
        <w:widowControl w:val="0"/>
        <w:spacing w:line="579" w:lineRule="exact"/>
        <w:ind w:firstLine="663"/>
        <w:rPr>
          <w:rFonts w:hAnsi="仿宋_GB2312" w:cs="仿宋_GB2312"/>
          <w:color w:val="auto"/>
          <w:kern w:val="0"/>
          <w:szCs w:val="24"/>
        </w:rPr>
      </w:pPr>
      <w:r>
        <w:rPr>
          <w:rFonts w:hint="eastAsia" w:hAnsi="仿宋_GB2312" w:cs="仿宋_GB2312"/>
          <w:b/>
          <w:color w:val="auto"/>
          <w:kern w:val="0"/>
          <w:szCs w:val="24"/>
        </w:rPr>
        <w:t>——生态环境更加绿色宜居。</w:t>
      </w:r>
      <w:r>
        <w:rPr>
          <w:rFonts w:hint="eastAsia" w:hAnsi="仿宋_GB2312" w:cs="仿宋_GB2312"/>
          <w:color w:val="auto"/>
          <w:kern w:val="0"/>
          <w:szCs w:val="24"/>
        </w:rPr>
        <w:t>生态环境质量全面提升，城乡绿化覆盖率不断提高，主要污染物排放总量显著减少，节能减排生产水平进一步提升，经济实现绿色低碳循环发展。单位地区生产总值能耗降低3.04%，空气质量优良天数达到290天以上，全面提升生态文明建设水平。</w:t>
      </w:r>
    </w:p>
    <w:p>
      <w:pPr>
        <w:pStyle w:val="23"/>
        <w:spacing w:line="579" w:lineRule="exact"/>
        <w:ind w:firstLine="663"/>
        <w:rPr>
          <w:rFonts w:hAnsi="仿宋_GB2312" w:cs="仿宋_GB2312"/>
          <w:color w:val="auto"/>
          <w:kern w:val="0"/>
          <w:szCs w:val="24"/>
        </w:rPr>
      </w:pPr>
      <w:r>
        <w:rPr>
          <w:rFonts w:hint="eastAsia" w:hAnsi="仿宋_GB2312" w:cs="仿宋_GB2312"/>
          <w:b/>
          <w:color w:val="auto"/>
          <w:kern w:val="0"/>
          <w:szCs w:val="24"/>
        </w:rPr>
        <w:t>——营商环境建设和改革取得重大进展。</w:t>
      </w:r>
      <w:r>
        <w:rPr>
          <w:rFonts w:hint="eastAsia" w:hAnsi="仿宋_GB2312" w:cs="仿宋_GB2312"/>
          <w:color w:val="auto"/>
          <w:kern w:val="0"/>
          <w:szCs w:val="24"/>
        </w:rPr>
        <w:t>营商环境水平全面优化，经济领域改革进一步完善，社会治理体制改革逐步深入，政府治理能力现代化水平全面提升，</w:t>
      </w:r>
      <w:r>
        <w:rPr>
          <w:rFonts w:hint="eastAsia" w:hAnsi="仿宋_GB2312" w:cs="仿宋_GB2312"/>
          <w:color w:val="auto"/>
        </w:rPr>
        <w:t>形成一批具有复制和推广价值的重点创新经验。营商便利度进入国家先进行列；</w:t>
      </w:r>
      <w:r>
        <w:rPr>
          <w:rFonts w:hint="eastAsia" w:hAnsi="仿宋_GB2312" w:cs="仿宋_GB2312"/>
          <w:color w:val="auto"/>
          <w:kern w:val="0"/>
          <w:szCs w:val="24"/>
        </w:rPr>
        <w:t>市场主体15.5万户以上，年均增长不低于20%。</w:t>
      </w:r>
    </w:p>
    <w:p>
      <w:pPr>
        <w:pStyle w:val="16"/>
        <w:spacing w:line="579" w:lineRule="exact"/>
        <w:ind w:left="0" w:leftChars="0" w:firstLine="0" w:firstLineChars="0"/>
        <w:jc w:val="center"/>
        <w:rPr>
          <w:rFonts w:asciiTheme="minorEastAsia" w:hAnsiTheme="minorEastAsia" w:eastAsiaTheme="minorEastAsia"/>
          <w:b/>
          <w:bCs/>
          <w:color w:val="auto"/>
          <w:sz w:val="28"/>
          <w:szCs w:val="28"/>
        </w:rPr>
        <w:sectPr>
          <w:pgSz w:w="11906" w:h="16838"/>
          <w:pgMar w:top="2098" w:right="1474" w:bottom="1985" w:left="1588" w:header="851" w:footer="992" w:gutter="0"/>
          <w:cols w:space="425" w:num="1"/>
          <w:docGrid w:type="linesAndChars" w:linePitch="299" w:charSpace="2048"/>
        </w:sectPr>
      </w:pPr>
      <w:bookmarkStart w:id="28" w:name="_Toc8228"/>
      <w:bookmarkStart w:id="29" w:name="_Toc24813"/>
      <w:bookmarkStart w:id="30" w:name="_Toc32296"/>
      <w:bookmarkStart w:id="31" w:name="_Toc25586"/>
    </w:p>
    <w:p>
      <w:pPr>
        <w:pStyle w:val="16"/>
        <w:spacing w:line="579" w:lineRule="exact"/>
        <w:ind w:left="0" w:leftChars="0" w:firstLine="0" w:firstLineChars="0"/>
        <w:jc w:val="center"/>
        <w:rPr>
          <w:rFonts w:asciiTheme="minorEastAsia" w:hAnsiTheme="minorEastAsia" w:eastAsiaTheme="minorEastAsia"/>
          <w:b/>
          <w:bCs/>
          <w:color w:val="auto"/>
          <w:sz w:val="28"/>
          <w:szCs w:val="28"/>
        </w:rPr>
      </w:pPr>
      <w:r>
        <w:rPr>
          <w:rFonts w:hint="eastAsia" w:asciiTheme="minorEastAsia" w:hAnsiTheme="minorEastAsia" w:eastAsiaTheme="minorEastAsia"/>
          <w:b/>
          <w:bCs/>
          <w:color w:val="auto"/>
          <w:sz w:val="28"/>
          <w:szCs w:val="28"/>
        </w:rPr>
        <w:t>表1 浑南区“十四五”经济社会发展指标表</w:t>
      </w:r>
    </w:p>
    <w:tbl>
      <w:tblPr>
        <w:tblStyle w:val="17"/>
        <w:tblW w:w="52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8"/>
        <w:gridCol w:w="1083"/>
        <w:gridCol w:w="4243"/>
        <w:gridCol w:w="675"/>
        <w:gridCol w:w="827"/>
        <w:gridCol w:w="908"/>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vMerge w:val="restar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widowControl/>
              <w:spacing w:line="320" w:lineRule="exact"/>
              <w:jc w:val="center"/>
              <w:textAlignment w:val="center"/>
              <w:rPr>
                <w:rFonts w:ascii="宋体" w:hAnsi="宋体" w:cs="宋体"/>
                <w:b/>
                <w:bCs/>
                <w:color w:val="auto"/>
                <w:sz w:val="20"/>
                <w:szCs w:val="20"/>
              </w:rPr>
            </w:pPr>
            <w:r>
              <w:rPr>
                <w:rFonts w:hint="eastAsia" w:ascii="宋体" w:hAnsi="宋体" w:cs="宋体"/>
                <w:b/>
                <w:bCs/>
                <w:color w:val="auto"/>
                <w:sz w:val="20"/>
                <w:szCs w:val="20"/>
              </w:rPr>
              <w:t>序号</w:t>
            </w:r>
          </w:p>
        </w:tc>
        <w:tc>
          <w:tcPr>
            <w:tcW w:w="584"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textAlignment w:val="center"/>
              <w:rPr>
                <w:color w:val="auto"/>
              </w:rPr>
            </w:pPr>
            <w:r>
              <w:rPr>
                <w:rFonts w:hint="eastAsia" w:ascii="宋体" w:hAnsi="宋体" w:cs="宋体"/>
                <w:b/>
                <w:bCs/>
                <w:color w:val="auto"/>
                <w:sz w:val="20"/>
                <w:szCs w:val="20"/>
              </w:rPr>
              <w:t>领域</w:t>
            </w:r>
          </w:p>
        </w:tc>
        <w:tc>
          <w:tcPr>
            <w:tcW w:w="2289" w:type="pct"/>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
                <w:bCs/>
                <w:color w:val="auto"/>
                <w:sz w:val="20"/>
                <w:szCs w:val="20"/>
              </w:rPr>
            </w:pPr>
            <w:r>
              <w:rPr>
                <w:rFonts w:hint="eastAsia" w:ascii="宋体" w:hAnsi="宋体" w:cs="宋体"/>
                <w:b/>
                <w:bCs/>
                <w:color w:val="auto"/>
                <w:sz w:val="20"/>
                <w:szCs w:val="20"/>
              </w:rPr>
              <w:t>指标名称</w:t>
            </w:r>
          </w:p>
        </w:tc>
        <w:tc>
          <w:tcPr>
            <w:tcW w:w="364" w:type="pct"/>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
                <w:bCs/>
                <w:color w:val="auto"/>
                <w:sz w:val="20"/>
                <w:szCs w:val="20"/>
              </w:rPr>
            </w:pPr>
            <w:r>
              <w:rPr>
                <w:rFonts w:hint="eastAsia" w:ascii="宋体" w:hAnsi="宋体" w:cs="宋体"/>
                <w:b/>
                <w:bCs/>
                <w:color w:val="auto"/>
                <w:kern w:val="0"/>
                <w:sz w:val="20"/>
                <w:szCs w:val="20"/>
              </w:rPr>
              <w:t>属性</w:t>
            </w:r>
          </w:p>
        </w:tc>
        <w:tc>
          <w:tcPr>
            <w:tcW w:w="446" w:type="pct"/>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
                <w:bCs/>
                <w:color w:val="auto"/>
                <w:kern w:val="0"/>
                <w:sz w:val="20"/>
                <w:szCs w:val="20"/>
              </w:rPr>
            </w:pPr>
            <w:r>
              <w:rPr>
                <w:rFonts w:hint="eastAsia" w:ascii="宋体" w:hAnsi="宋体" w:cs="宋体"/>
                <w:b/>
                <w:bCs/>
                <w:color w:val="auto"/>
                <w:kern w:val="0"/>
                <w:sz w:val="20"/>
                <w:szCs w:val="20"/>
              </w:rPr>
              <w:t>2020年</w:t>
            </w:r>
          </w:p>
        </w:tc>
        <w:tc>
          <w:tcPr>
            <w:tcW w:w="1056" w:type="pct"/>
            <w:gridSpan w:val="2"/>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widowControl/>
              <w:spacing w:line="320" w:lineRule="exact"/>
              <w:jc w:val="center"/>
              <w:textAlignment w:val="center"/>
              <w:rPr>
                <w:rFonts w:ascii="宋体" w:hAnsi="宋体" w:cs="宋体"/>
                <w:b/>
                <w:bCs/>
                <w:color w:val="auto"/>
                <w:sz w:val="20"/>
                <w:szCs w:val="20"/>
              </w:rPr>
            </w:pPr>
            <w:r>
              <w:rPr>
                <w:rFonts w:hint="eastAsia" w:ascii="宋体" w:hAnsi="宋体" w:cs="宋体"/>
                <w:b/>
                <w:bCs/>
                <w:color w:val="auto"/>
                <w:kern w:val="0"/>
                <w:sz w:val="20"/>
                <w:szCs w:val="20"/>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b/>
                <w:bCs/>
                <w:color w:val="auto"/>
                <w:sz w:val="20"/>
                <w:szCs w:val="20"/>
              </w:rPr>
            </w:pPr>
          </w:p>
        </w:tc>
        <w:tc>
          <w:tcPr>
            <w:tcW w:w="5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color w:val="auto"/>
              </w:rPr>
            </w:pPr>
          </w:p>
        </w:tc>
        <w:tc>
          <w:tcPr>
            <w:tcW w:w="2289"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b/>
                <w:bCs/>
                <w:color w:val="auto"/>
                <w:sz w:val="20"/>
                <w:szCs w:val="20"/>
              </w:rPr>
            </w:pPr>
          </w:p>
        </w:tc>
        <w:tc>
          <w:tcPr>
            <w:tcW w:w="3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b/>
                <w:bCs/>
                <w:color w:val="auto"/>
                <w:sz w:val="20"/>
                <w:szCs w:val="20"/>
              </w:rPr>
            </w:pPr>
          </w:p>
        </w:tc>
        <w:tc>
          <w:tcPr>
            <w:tcW w:w="44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b/>
                <w:bCs/>
                <w:color w:val="auto"/>
                <w:sz w:val="20"/>
                <w:szCs w:val="20"/>
              </w:rPr>
            </w:pP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
                <w:bCs/>
                <w:color w:val="auto"/>
                <w:sz w:val="20"/>
                <w:szCs w:val="20"/>
              </w:rPr>
            </w:pPr>
            <w:r>
              <w:rPr>
                <w:rFonts w:hint="eastAsia" w:ascii="宋体" w:hAnsi="宋体" w:cs="宋体"/>
                <w:b/>
                <w:bCs/>
                <w:color w:val="auto"/>
                <w:kern w:val="0"/>
                <w:sz w:val="20"/>
                <w:szCs w:val="20"/>
              </w:rPr>
              <w:t>指标值</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
                <w:bCs/>
                <w:color w:val="auto"/>
                <w:kern w:val="0"/>
                <w:sz w:val="20"/>
                <w:szCs w:val="20"/>
              </w:rPr>
            </w:pPr>
            <w:r>
              <w:rPr>
                <w:rFonts w:hint="eastAsia" w:ascii="宋体" w:hAnsi="宋体" w:cs="宋体"/>
                <w:b/>
                <w:bCs/>
                <w:color w:val="auto"/>
                <w:kern w:val="0"/>
                <w:sz w:val="20"/>
                <w:szCs w:val="20"/>
              </w:rPr>
              <w:t>年均增长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1</w:t>
            </w:r>
          </w:p>
        </w:tc>
        <w:tc>
          <w:tcPr>
            <w:tcW w:w="584" w:type="pct"/>
            <w:vMerge w:val="restart"/>
            <w:tcBorders>
              <w:top w:val="single" w:color="auto" w:sz="4" w:space="0"/>
              <w:left w:val="single" w:color="auto" w:sz="4" w:space="0"/>
              <w:right w:val="single" w:color="auto" w:sz="4" w:space="0"/>
            </w:tcBorders>
            <w:vAlign w:val="center"/>
          </w:tcPr>
          <w:p>
            <w:pPr>
              <w:pStyle w:val="2"/>
              <w:spacing w:line="320" w:lineRule="exact"/>
              <w:ind w:left="0"/>
              <w:jc w:val="center"/>
              <w:rPr>
                <w:color w:val="auto"/>
              </w:rPr>
            </w:pPr>
            <w:r>
              <w:rPr>
                <w:rFonts w:hint="eastAsia"/>
                <w:color w:val="auto"/>
              </w:rPr>
              <w:t>经济发展</w:t>
            </w: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地区生产总值（亿元）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579.1</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8.5%左右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2</w:t>
            </w:r>
          </w:p>
        </w:tc>
        <w:tc>
          <w:tcPr>
            <w:tcW w:w="584" w:type="pct"/>
            <w:vMerge w:val="continue"/>
            <w:tcBorders>
              <w:left w:val="single" w:color="auto" w:sz="4" w:space="0"/>
              <w:right w:val="single" w:color="auto" w:sz="4" w:space="0"/>
            </w:tcBorders>
            <w:vAlign w:val="center"/>
          </w:tcPr>
          <w:p>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一般公共预算收入（亿元）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94.8</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w:t>
            </w:r>
            <w:r>
              <w:rPr>
                <w:rFonts w:ascii="宋体" w:hAnsi="宋体" w:cs="宋体"/>
                <w:color w:val="auto"/>
                <w:sz w:val="20"/>
                <w:szCs w:val="20"/>
              </w:rPr>
              <w:t>4</w:t>
            </w:r>
            <w:r>
              <w:rPr>
                <w:rFonts w:hint="eastAsia" w:ascii="宋体" w:hAnsi="宋体" w:cs="宋体"/>
                <w:color w:val="auto"/>
                <w:sz w:val="20"/>
                <w:szCs w:val="20"/>
              </w:rPr>
              <w:t>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ascii="宋体" w:hAnsi="宋体" w:cs="宋体"/>
                <w:color w:val="auto"/>
                <w:sz w:val="20"/>
                <w:szCs w:val="20"/>
              </w:rPr>
              <w:t>8</w:t>
            </w:r>
            <w:r>
              <w:rPr>
                <w:rFonts w:hint="eastAsia" w:ascii="宋体" w:hAnsi="宋体" w:cs="宋体"/>
                <w:color w:val="auto"/>
                <w:sz w:val="20"/>
                <w:szCs w:val="20"/>
              </w:rPr>
              <w:t>.5%左右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3</w:t>
            </w:r>
          </w:p>
        </w:tc>
        <w:tc>
          <w:tcPr>
            <w:tcW w:w="584" w:type="pct"/>
            <w:vMerge w:val="continue"/>
            <w:tcBorders>
              <w:left w:val="single" w:color="auto" w:sz="4" w:space="0"/>
              <w:right w:val="single" w:color="auto" w:sz="4" w:space="0"/>
            </w:tcBorders>
            <w:vAlign w:val="center"/>
          </w:tcPr>
          <w:p>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固定资产投资（亿元）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331.5</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636</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15%左右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4</w:t>
            </w:r>
          </w:p>
        </w:tc>
        <w:tc>
          <w:tcPr>
            <w:tcW w:w="584" w:type="pct"/>
            <w:vMerge w:val="continue"/>
            <w:tcBorders>
              <w:left w:val="single" w:color="auto" w:sz="4" w:space="0"/>
              <w:right w:val="single" w:color="auto" w:sz="4" w:space="0"/>
            </w:tcBorders>
            <w:vAlign w:val="center"/>
          </w:tcPr>
          <w:p>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规模以上工业总产值（亿元）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506.6</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1230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19%左右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5</w:t>
            </w:r>
          </w:p>
        </w:tc>
        <w:tc>
          <w:tcPr>
            <w:tcW w:w="584" w:type="pct"/>
            <w:vMerge w:val="continue"/>
            <w:tcBorders>
              <w:left w:val="single" w:color="auto" w:sz="4" w:space="0"/>
              <w:right w:val="single" w:color="auto" w:sz="4" w:space="0"/>
            </w:tcBorders>
            <w:vAlign w:val="center"/>
          </w:tcPr>
          <w:p>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社会消费品零售总额（亿元）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471</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16%左右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6</w:t>
            </w:r>
          </w:p>
        </w:tc>
        <w:tc>
          <w:tcPr>
            <w:tcW w:w="584" w:type="pct"/>
            <w:vMerge w:val="restart"/>
            <w:tcBorders>
              <w:top w:val="single" w:color="auto" w:sz="4" w:space="0"/>
              <w:left w:val="single" w:color="auto" w:sz="4" w:space="0"/>
              <w:right w:val="single" w:color="auto" w:sz="4" w:space="0"/>
            </w:tcBorders>
            <w:vAlign w:val="center"/>
          </w:tcPr>
          <w:p>
            <w:pPr>
              <w:pStyle w:val="2"/>
              <w:spacing w:line="320" w:lineRule="exact"/>
              <w:ind w:left="0"/>
              <w:jc w:val="center"/>
              <w:rPr>
                <w:rFonts w:ascii="宋体" w:hAnsi="宋体" w:cs="宋体"/>
                <w:color w:val="auto"/>
                <w:kern w:val="0"/>
                <w:sz w:val="20"/>
                <w:szCs w:val="20"/>
              </w:rPr>
            </w:pPr>
            <w:r>
              <w:rPr>
                <w:rFonts w:hint="eastAsia" w:ascii="宋体" w:hAnsi="宋体" w:cs="宋体"/>
                <w:color w:val="auto"/>
                <w:kern w:val="0"/>
                <w:sz w:val="20"/>
                <w:szCs w:val="20"/>
              </w:rPr>
              <w:t>创新驱动</w:t>
            </w: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火炬统计企业R&amp;D经费投入占GDP比重(%)</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5.68</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kern w:val="0"/>
                <w:sz w:val="20"/>
                <w:szCs w:val="20"/>
              </w:rPr>
            </w:pPr>
            <w:r>
              <w:rPr>
                <w:rFonts w:hint="eastAsia" w:ascii="宋体" w:hAnsi="宋体" w:cs="宋体"/>
                <w:bCs/>
                <w:color w:val="auto"/>
                <w:kern w:val="0"/>
                <w:sz w:val="20"/>
                <w:szCs w:val="20"/>
              </w:rPr>
              <w:t>7</w:t>
            </w:r>
          </w:p>
        </w:tc>
        <w:tc>
          <w:tcPr>
            <w:tcW w:w="584" w:type="pct"/>
            <w:vMerge w:val="continue"/>
            <w:tcBorders>
              <w:left w:val="single" w:color="auto" w:sz="4" w:space="0"/>
              <w:right w:val="single" w:color="auto" w:sz="4" w:space="0"/>
            </w:tcBorders>
            <w:vAlign w:val="center"/>
          </w:tcPr>
          <w:p>
            <w:pPr>
              <w:widowControl/>
              <w:spacing w:line="320" w:lineRule="exact"/>
              <w:jc w:val="left"/>
              <w:textAlignment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战略性新兴产业产值占规模以上工业总产值比重（%）</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44.7</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≥60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kern w:val="0"/>
                <w:sz w:val="20"/>
                <w:szCs w:val="20"/>
              </w:rPr>
            </w:pPr>
            <w:r>
              <w:rPr>
                <w:rFonts w:hint="eastAsia" w:ascii="宋体" w:hAnsi="宋体" w:cs="宋体"/>
                <w:bCs/>
                <w:color w:val="auto"/>
                <w:kern w:val="0"/>
                <w:sz w:val="20"/>
                <w:szCs w:val="20"/>
              </w:rPr>
              <w:t>8</w:t>
            </w:r>
          </w:p>
        </w:tc>
        <w:tc>
          <w:tcPr>
            <w:tcW w:w="584" w:type="pct"/>
            <w:vMerge w:val="continue"/>
            <w:tcBorders>
              <w:left w:val="single" w:color="auto" w:sz="4" w:space="0"/>
              <w:right w:val="single" w:color="auto" w:sz="4" w:space="0"/>
            </w:tcBorders>
            <w:vAlign w:val="center"/>
          </w:tcPr>
          <w:p>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高新技术产品产值占规上工业总产值比重（%）</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50</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kern w:val="0"/>
                <w:sz w:val="20"/>
                <w:szCs w:val="20"/>
              </w:rPr>
            </w:pPr>
            <w:r>
              <w:rPr>
                <w:rFonts w:hint="eastAsia" w:ascii="宋体" w:hAnsi="宋体" w:cs="宋体"/>
                <w:bCs/>
                <w:color w:val="auto"/>
                <w:kern w:val="0"/>
                <w:sz w:val="20"/>
                <w:szCs w:val="20"/>
              </w:rPr>
              <w:t>9</w:t>
            </w:r>
          </w:p>
        </w:tc>
        <w:tc>
          <w:tcPr>
            <w:tcW w:w="584" w:type="pct"/>
            <w:vMerge w:val="continue"/>
            <w:tcBorders>
              <w:left w:val="single" w:color="auto" w:sz="4" w:space="0"/>
              <w:right w:val="single" w:color="auto" w:sz="4" w:space="0"/>
            </w:tcBorders>
            <w:vAlign w:val="center"/>
          </w:tcPr>
          <w:p>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国家级各类重大创新平台（个）</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22</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kern w:val="0"/>
                <w:sz w:val="20"/>
                <w:szCs w:val="20"/>
              </w:rPr>
              <w:t>10</w:t>
            </w:r>
          </w:p>
        </w:tc>
        <w:tc>
          <w:tcPr>
            <w:tcW w:w="584" w:type="pct"/>
            <w:vMerge w:val="continue"/>
            <w:tcBorders>
              <w:left w:val="single" w:color="auto" w:sz="4" w:space="0"/>
              <w:right w:val="single" w:color="auto" w:sz="4" w:space="0"/>
            </w:tcBorders>
            <w:vAlign w:val="center"/>
          </w:tcPr>
          <w:p>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高新技术企业数量（个）</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786</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2000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11</w:t>
            </w:r>
          </w:p>
        </w:tc>
        <w:tc>
          <w:tcPr>
            <w:tcW w:w="584" w:type="pct"/>
            <w:vMerge w:val="continue"/>
            <w:tcBorders>
              <w:left w:val="single" w:color="auto" w:sz="4" w:space="0"/>
              <w:right w:val="single" w:color="auto" w:sz="4" w:space="0"/>
            </w:tcBorders>
            <w:vAlign w:val="center"/>
          </w:tcPr>
          <w:p>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每万人发明专利拥有量（件）</w:t>
            </w:r>
            <w:r>
              <w:rPr>
                <w:rFonts w:hint="eastAsia" w:ascii="宋体" w:hAnsi="宋体" w:cs="宋体"/>
                <w:color w:val="auto"/>
                <w:kern w:val="0"/>
                <w:sz w:val="15"/>
                <w:szCs w:val="15"/>
              </w:rPr>
              <w:t>（按高新区从业人员数计算）</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143</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180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12</w:t>
            </w:r>
          </w:p>
        </w:tc>
        <w:tc>
          <w:tcPr>
            <w:tcW w:w="584" w:type="pct"/>
            <w:vMerge w:val="restart"/>
            <w:tcBorders>
              <w:top w:val="single" w:color="auto" w:sz="4" w:space="0"/>
              <w:left w:val="single" w:color="auto" w:sz="4" w:space="0"/>
              <w:right w:val="single" w:color="auto" w:sz="4" w:space="0"/>
            </w:tcBorders>
            <w:vAlign w:val="center"/>
          </w:tcPr>
          <w:p>
            <w:pPr>
              <w:pStyle w:val="2"/>
              <w:spacing w:line="320" w:lineRule="exact"/>
              <w:ind w:left="0"/>
              <w:jc w:val="center"/>
              <w:rPr>
                <w:rFonts w:ascii="宋体" w:hAnsi="宋体" w:cs="宋体"/>
                <w:color w:val="auto"/>
                <w:kern w:val="0"/>
                <w:sz w:val="20"/>
                <w:szCs w:val="20"/>
              </w:rPr>
            </w:pPr>
            <w:r>
              <w:rPr>
                <w:rFonts w:hint="eastAsia" w:ascii="宋体" w:hAnsi="宋体" w:cs="宋体"/>
                <w:color w:val="auto"/>
                <w:kern w:val="0"/>
                <w:sz w:val="20"/>
                <w:szCs w:val="20"/>
              </w:rPr>
              <w:t>改革开放</w:t>
            </w: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自贸区制度创新在全国推广（个）</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4</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≥5</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13</w:t>
            </w:r>
          </w:p>
        </w:tc>
        <w:tc>
          <w:tcPr>
            <w:tcW w:w="584" w:type="pct"/>
            <w:vMerge w:val="continue"/>
            <w:tcBorders>
              <w:left w:val="single" w:color="auto" w:sz="4" w:space="0"/>
              <w:right w:val="single" w:color="auto" w:sz="4" w:space="0"/>
            </w:tcBorders>
            <w:vAlign w:val="center"/>
          </w:tcPr>
          <w:p>
            <w:pPr>
              <w:widowControl/>
              <w:spacing w:line="320" w:lineRule="exact"/>
              <w:jc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综保区入驻企业营业收入（亿元）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ascii="宋体" w:hAnsi="宋体" w:cs="宋体"/>
                <w:color w:val="auto"/>
                <w:sz w:val="20"/>
                <w:szCs w:val="20"/>
              </w:rPr>
              <w:t>20</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14</w:t>
            </w:r>
          </w:p>
        </w:tc>
        <w:tc>
          <w:tcPr>
            <w:tcW w:w="584" w:type="pct"/>
            <w:vMerge w:val="continue"/>
            <w:tcBorders>
              <w:left w:val="single" w:color="auto" w:sz="4" w:space="0"/>
              <w:right w:val="single" w:color="auto" w:sz="4" w:space="0"/>
            </w:tcBorders>
            <w:vAlign w:val="center"/>
          </w:tcPr>
          <w:p>
            <w:pPr>
              <w:widowControl/>
              <w:spacing w:line="320" w:lineRule="exact"/>
              <w:jc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进出口总额（亿元）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101.4</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215</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15</w:t>
            </w:r>
          </w:p>
        </w:tc>
        <w:tc>
          <w:tcPr>
            <w:tcW w:w="584" w:type="pct"/>
            <w:vMerge w:val="continue"/>
            <w:tcBorders>
              <w:left w:val="single" w:color="auto" w:sz="4" w:space="0"/>
              <w:right w:val="single" w:color="auto" w:sz="4" w:space="0"/>
            </w:tcBorders>
            <w:vAlign w:val="center"/>
          </w:tcPr>
          <w:p>
            <w:pPr>
              <w:widowControl/>
              <w:spacing w:line="320" w:lineRule="exact"/>
              <w:jc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实际利用外资金（亿美元）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0.72</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3</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16</w:t>
            </w:r>
          </w:p>
        </w:tc>
        <w:tc>
          <w:tcPr>
            <w:tcW w:w="584" w:type="pct"/>
            <w:vMerge w:val="continue"/>
            <w:tcBorders>
              <w:left w:val="single" w:color="auto" w:sz="4" w:space="0"/>
              <w:right w:val="single" w:color="auto" w:sz="4" w:space="0"/>
            </w:tcBorders>
            <w:vAlign w:val="center"/>
          </w:tcPr>
          <w:p>
            <w:pPr>
              <w:widowControl/>
              <w:spacing w:line="320" w:lineRule="exact"/>
              <w:jc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营商便利度</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进入国家先进行列</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17</w:t>
            </w:r>
          </w:p>
        </w:tc>
        <w:tc>
          <w:tcPr>
            <w:tcW w:w="584" w:type="pct"/>
            <w:vMerge w:val="continue"/>
            <w:tcBorders>
              <w:left w:val="single" w:color="auto" w:sz="4" w:space="0"/>
              <w:bottom w:val="single" w:color="auto" w:sz="4" w:space="0"/>
              <w:right w:val="single" w:color="auto" w:sz="4" w:space="0"/>
            </w:tcBorders>
            <w:vAlign w:val="center"/>
          </w:tcPr>
          <w:p>
            <w:pPr>
              <w:widowControl/>
              <w:spacing w:line="320" w:lineRule="exact"/>
              <w:jc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市场主体（万户）</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6.2</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≥15.5</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w:t>
            </w:r>
            <w:r>
              <w:rPr>
                <w:rFonts w:ascii="宋体" w:hAnsi="宋体" w:cs="宋体"/>
                <w:color w:val="auto"/>
                <w:sz w:val="20"/>
                <w:szCs w:val="20"/>
              </w:rPr>
              <w:t>0</w:t>
            </w:r>
            <w:r>
              <w:rPr>
                <w:rFonts w:hint="eastAsia" w:ascii="宋体" w:hAnsi="宋体" w:cs="宋体"/>
                <w:color w:val="auto"/>
                <w:sz w:val="20"/>
                <w:szCs w:val="20"/>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18</w:t>
            </w:r>
          </w:p>
        </w:tc>
        <w:tc>
          <w:tcPr>
            <w:tcW w:w="584" w:type="pct"/>
            <w:vMerge w:val="restart"/>
            <w:tcBorders>
              <w:top w:val="single" w:color="auto" w:sz="4" w:space="0"/>
              <w:left w:val="single" w:color="auto" w:sz="4" w:space="0"/>
              <w:bottom w:val="single" w:color="auto" w:sz="4" w:space="0"/>
              <w:right w:val="single" w:color="auto" w:sz="4" w:space="0"/>
            </w:tcBorders>
            <w:vAlign w:val="center"/>
          </w:tcPr>
          <w:p>
            <w:pPr>
              <w:pStyle w:val="2"/>
              <w:spacing w:line="320" w:lineRule="exact"/>
              <w:ind w:left="0"/>
              <w:jc w:val="center"/>
              <w:rPr>
                <w:color w:val="auto"/>
              </w:rPr>
            </w:pPr>
            <w:r>
              <w:rPr>
                <w:rFonts w:hint="eastAsia"/>
                <w:color w:val="auto"/>
              </w:rPr>
              <w:t>民生福祉</w:t>
            </w: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城镇居民人均可支配收入（元）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49896</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75026</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8.5%左右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19</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农村居民人均可支配收入（元）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24878</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38278</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9%左右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
                <w:color w:val="auto"/>
                <w:sz w:val="20"/>
                <w:szCs w:val="20"/>
              </w:rPr>
            </w:pPr>
            <w:r>
              <w:rPr>
                <w:rFonts w:hint="eastAsia" w:ascii="宋体" w:hAnsi="宋体" w:cs="宋体"/>
                <w:b/>
                <w:color w:val="auto"/>
                <w:sz w:val="20"/>
                <w:szCs w:val="20"/>
              </w:rPr>
              <w:t>20</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人均预期寿命（岁）</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78.67</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81.45</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
                <w:color w:val="auto"/>
                <w:sz w:val="20"/>
                <w:szCs w:val="20"/>
              </w:rPr>
            </w:pPr>
            <w:r>
              <w:rPr>
                <w:rFonts w:hint="eastAsia" w:ascii="宋体" w:hAnsi="宋体" w:cs="宋体"/>
                <w:b/>
                <w:color w:val="auto"/>
                <w:sz w:val="20"/>
                <w:szCs w:val="20"/>
              </w:rPr>
              <w:t>21</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每年城镇新增就业人数（人）</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w:t>
            </w:r>
            <w:r>
              <w:rPr>
                <w:rFonts w:ascii="宋体" w:hAnsi="宋体" w:cs="宋体"/>
                <w:color w:val="auto"/>
                <w:sz w:val="20"/>
                <w:szCs w:val="20"/>
              </w:rPr>
              <w:t>000</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w:t>
            </w:r>
            <w:r>
              <w:rPr>
                <w:rFonts w:ascii="宋体" w:hAnsi="宋体" w:cs="宋体"/>
                <w:color w:val="auto"/>
                <w:sz w:val="20"/>
                <w:szCs w:val="20"/>
              </w:rPr>
              <w:t>5000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
                <w:color w:val="auto"/>
                <w:sz w:val="20"/>
                <w:szCs w:val="20"/>
              </w:rPr>
            </w:pPr>
            <w:r>
              <w:rPr>
                <w:rFonts w:hint="eastAsia" w:ascii="宋体" w:hAnsi="宋体" w:cs="宋体"/>
                <w:b/>
                <w:color w:val="auto"/>
                <w:sz w:val="20"/>
                <w:szCs w:val="20"/>
              </w:rPr>
              <w:t>22</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每千人口拥有执业（助理）医师数（人）</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2.2</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4.4</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
                <w:color w:val="auto"/>
                <w:sz w:val="20"/>
                <w:szCs w:val="20"/>
              </w:rPr>
            </w:pPr>
            <w:r>
              <w:rPr>
                <w:rFonts w:hint="eastAsia" w:ascii="宋体" w:hAnsi="宋体" w:cs="宋体"/>
                <w:b/>
                <w:color w:val="auto"/>
                <w:sz w:val="20"/>
                <w:szCs w:val="20"/>
              </w:rPr>
              <w:t>23</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每千人老人养老床位数（个）</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80</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24</w:t>
            </w:r>
          </w:p>
        </w:tc>
        <w:tc>
          <w:tcPr>
            <w:tcW w:w="584" w:type="pct"/>
            <w:vMerge w:val="restart"/>
            <w:tcBorders>
              <w:top w:val="single" w:color="auto" w:sz="4" w:space="0"/>
              <w:left w:val="single" w:color="auto" w:sz="4" w:space="0"/>
              <w:bottom w:val="single" w:color="auto" w:sz="4" w:space="0"/>
              <w:right w:val="single" w:color="auto" w:sz="4" w:space="0"/>
            </w:tcBorders>
            <w:vAlign w:val="center"/>
          </w:tcPr>
          <w:p>
            <w:pPr>
              <w:pStyle w:val="2"/>
              <w:spacing w:line="320" w:lineRule="exact"/>
              <w:ind w:left="0"/>
              <w:jc w:val="center"/>
              <w:rPr>
                <w:color w:val="auto"/>
              </w:rPr>
            </w:pPr>
            <w:r>
              <w:rPr>
                <w:rFonts w:hint="eastAsia"/>
                <w:color w:val="auto"/>
              </w:rPr>
              <w:t>绿色生态</w:t>
            </w: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单位地区生产总值能源消耗降低（%）</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等待国家下达</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25</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单位地区生产总值二氧化碳排放降低（%）</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3.7</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3.7</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26</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森林覆盖率（%）</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18.5</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19.7</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27</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城市生活垃圾回收利用率（%）</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35</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36.5</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28</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空气质量优良天数比率（%）</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77.8</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bl>
    <w:p>
      <w:pPr>
        <w:pStyle w:val="16"/>
        <w:spacing w:line="320" w:lineRule="exact"/>
        <w:ind w:left="0" w:leftChars="0" w:firstLine="430" w:firstLineChars="196"/>
        <w:rPr>
          <w:rFonts w:asciiTheme="minorEastAsia" w:hAnsiTheme="minorEastAsia" w:eastAsiaTheme="minorEastAsia"/>
          <w:b/>
          <w:bCs/>
          <w:color w:val="auto"/>
          <w:szCs w:val="28"/>
        </w:rPr>
      </w:pPr>
    </w:p>
    <w:p>
      <w:pPr>
        <w:pStyle w:val="16"/>
        <w:spacing w:line="320" w:lineRule="exact"/>
        <w:ind w:left="0" w:leftChars="0" w:firstLine="0" w:firstLineChars="0"/>
        <w:rPr>
          <w:rFonts w:asciiTheme="minorEastAsia" w:hAnsiTheme="minorEastAsia" w:eastAsiaTheme="minorEastAsia"/>
          <w:b/>
          <w:bCs/>
          <w:color w:val="auto"/>
          <w:sz w:val="28"/>
          <w:szCs w:val="28"/>
        </w:rPr>
      </w:pPr>
    </w:p>
    <w:p>
      <w:pPr>
        <w:pStyle w:val="16"/>
        <w:spacing w:line="320" w:lineRule="exact"/>
        <w:ind w:left="0" w:leftChars="0" w:firstLine="0" w:firstLineChars="0"/>
        <w:rPr>
          <w:rFonts w:asciiTheme="minorEastAsia" w:hAnsiTheme="minorEastAsia" w:eastAsiaTheme="minorEastAsia"/>
          <w:b/>
          <w:bCs/>
          <w:color w:val="auto"/>
          <w:sz w:val="28"/>
          <w:szCs w:val="28"/>
        </w:rPr>
      </w:pPr>
    </w:p>
    <w:p>
      <w:pPr>
        <w:pStyle w:val="16"/>
        <w:spacing w:line="320" w:lineRule="exact"/>
        <w:ind w:left="0" w:leftChars="0" w:firstLine="0" w:firstLineChars="0"/>
        <w:rPr>
          <w:rFonts w:asciiTheme="minorEastAsia" w:hAnsiTheme="minorEastAsia" w:eastAsiaTheme="minorEastAsia"/>
          <w:b/>
          <w:bCs/>
          <w:color w:val="auto"/>
          <w:sz w:val="28"/>
          <w:szCs w:val="28"/>
        </w:rPr>
      </w:pPr>
    </w:p>
    <w:p>
      <w:pPr>
        <w:pStyle w:val="16"/>
        <w:spacing w:line="320" w:lineRule="exact"/>
        <w:ind w:left="0" w:leftChars="0" w:firstLine="0" w:firstLineChars="0"/>
        <w:rPr>
          <w:rFonts w:asciiTheme="minorEastAsia" w:hAnsiTheme="minorEastAsia" w:eastAsiaTheme="minorEastAsia"/>
          <w:b/>
          <w:bCs/>
          <w:color w:val="auto"/>
          <w:sz w:val="28"/>
          <w:szCs w:val="28"/>
        </w:rPr>
      </w:pPr>
    </w:p>
    <w:p>
      <w:pPr>
        <w:pStyle w:val="16"/>
        <w:spacing w:line="320" w:lineRule="exact"/>
        <w:ind w:left="0" w:leftChars="0" w:firstLine="0" w:firstLineChars="0"/>
        <w:rPr>
          <w:rFonts w:asciiTheme="minorEastAsia" w:hAnsiTheme="minorEastAsia" w:eastAsiaTheme="minorEastAsia"/>
          <w:b/>
          <w:bCs/>
          <w:color w:val="auto"/>
          <w:sz w:val="28"/>
          <w:szCs w:val="28"/>
        </w:rPr>
        <w:sectPr>
          <w:pgSz w:w="11906" w:h="16838"/>
          <w:pgMar w:top="2098" w:right="1474" w:bottom="1985" w:left="1588" w:header="851" w:footer="992" w:gutter="0"/>
          <w:cols w:space="425" w:num="1"/>
          <w:docGrid w:type="linesAndChars" w:linePitch="299" w:charSpace="2048"/>
        </w:sectPr>
      </w:pPr>
    </w:p>
    <w:p>
      <w:pPr>
        <w:pStyle w:val="2"/>
        <w:spacing w:line="290" w:lineRule="exact"/>
        <w:ind w:left="1587"/>
        <w:rPr>
          <w:rFonts w:ascii="宋体" w:hAnsi="宋体" w:cs="宋体"/>
          <w:b/>
          <w:color w:val="auto"/>
          <w:sz w:val="44"/>
          <w:szCs w:val="44"/>
        </w:rPr>
      </w:pPr>
      <w:bookmarkStart w:id="32" w:name="_Toc59116896"/>
    </w:p>
    <w:p>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空间布局与空间策略</w:t>
      </w:r>
      <w:bookmarkEnd w:id="28"/>
      <w:bookmarkEnd w:id="29"/>
      <w:bookmarkEnd w:id="32"/>
    </w:p>
    <w:p>
      <w:pPr>
        <w:pStyle w:val="2"/>
        <w:spacing w:line="290" w:lineRule="exact"/>
        <w:ind w:left="1587"/>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坚持生态保护优先，在城乡总体规划、土地利用规划等框架之下，结合经济社会发展总体战略，实施</w:t>
      </w:r>
      <w:r>
        <w:rPr>
          <w:rFonts w:hint="eastAsia" w:ascii="仿宋_GB2312" w:hAnsi="仿宋_GB2312" w:eastAsia="仿宋_GB2312" w:cs="仿宋_GB2312"/>
          <w:b/>
          <w:bCs/>
          <w:color w:val="auto"/>
          <w:sz w:val="32"/>
          <w:szCs w:val="32"/>
        </w:rPr>
        <w:t>“一核两极三组团五板块”</w:t>
      </w:r>
      <w:r>
        <w:rPr>
          <w:rFonts w:hint="eastAsia" w:ascii="仿宋_GB2312" w:hAnsi="仿宋_GB2312" w:eastAsia="仿宋_GB2312" w:cs="仿宋_GB2312"/>
          <w:color w:val="auto"/>
          <w:sz w:val="32"/>
          <w:szCs w:val="32"/>
        </w:rPr>
        <w:t>空间布局，明确空间开发重点及拓展方向，形成差异化空间策略，全面提升经济社会发展空间保障能力和区域均衡发展水平。</w:t>
      </w:r>
    </w:p>
    <w:p>
      <w:pPr>
        <w:pStyle w:val="2"/>
        <w:spacing w:line="290" w:lineRule="exact"/>
        <w:ind w:left="1587"/>
        <w:rPr>
          <w:color w:val="auto"/>
        </w:rPr>
      </w:pPr>
    </w:p>
    <w:p>
      <w:pPr>
        <w:pStyle w:val="31"/>
        <w:numPr>
          <w:ilvl w:val="0"/>
          <w:numId w:val="4"/>
        </w:numPr>
        <w:spacing w:line="579" w:lineRule="exact"/>
        <w:ind w:firstLineChars="0"/>
        <w:jc w:val="center"/>
        <w:outlineLvl w:val="1"/>
        <w:rPr>
          <w:rFonts w:ascii="黑体" w:hAnsi="黑体" w:eastAsia="黑体" w:cs="黑体"/>
          <w:bCs/>
          <w:color w:val="auto"/>
          <w:sz w:val="32"/>
          <w:szCs w:val="32"/>
        </w:rPr>
      </w:pPr>
      <w:bookmarkStart w:id="33" w:name="_Toc26489"/>
      <w:bookmarkStart w:id="34" w:name="_Toc8540"/>
      <w:bookmarkStart w:id="35" w:name="_Toc59116897"/>
      <w:r>
        <w:rPr>
          <w:rFonts w:hint="eastAsia" w:ascii="黑体" w:hAnsi="黑体" w:eastAsia="黑体" w:cs="黑体"/>
          <w:bCs/>
          <w:color w:val="auto"/>
          <w:sz w:val="32"/>
          <w:szCs w:val="32"/>
        </w:rPr>
        <w:t>空间</w:t>
      </w:r>
      <w:bookmarkEnd w:id="33"/>
      <w:bookmarkEnd w:id="34"/>
      <w:r>
        <w:rPr>
          <w:rFonts w:hint="eastAsia" w:ascii="黑体" w:hAnsi="黑体" w:eastAsia="黑体" w:cs="黑体"/>
          <w:bCs/>
          <w:color w:val="auto"/>
          <w:sz w:val="32"/>
          <w:szCs w:val="32"/>
        </w:rPr>
        <w:t>布局</w:t>
      </w:r>
      <w:bookmarkEnd w:id="35"/>
    </w:p>
    <w:p>
      <w:pPr>
        <w:pStyle w:val="2"/>
        <w:spacing w:line="290" w:lineRule="exact"/>
        <w:ind w:left="1587"/>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按照“生态生产生活空间融合发展，生态空间山青水秀，生产空间集聚高效，生活空间活力宜居”原则，构建“一核两极三组团带动、五板块联动”空间格局。持续发挥“一核”作为发展核心区作用。重点布局“两极三组团”，拓展核心区域发展空间，梯次增强区域综合实力。全区划分五个互补联动功能板块，实现空间精细化治理，支撑经济社会发展战略。（详见图1）</w:t>
      </w:r>
    </w:p>
    <w:p>
      <w:pPr>
        <w:spacing w:line="579" w:lineRule="exact"/>
        <w:ind w:firstLine="66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 xml:space="preserve"> “一核”：</w:t>
      </w:r>
      <w:r>
        <w:rPr>
          <w:rFonts w:hint="eastAsia" w:ascii="仿宋_GB2312" w:hAnsi="仿宋_GB2312" w:eastAsia="仿宋_GB2312" w:cs="仿宋_GB2312"/>
          <w:color w:val="auto"/>
          <w:sz w:val="32"/>
          <w:szCs w:val="32"/>
        </w:rPr>
        <w:t>是浑南立区之本，是全区发展核心区，承载“科产城”融合功能，打造引领东北创新发展活力新地标、新经济策源地。位于浑南主城区，北至浑河，东至三环，南至创新二路，西至浑南区界，规划面积约149平方公里。依托沈阳高新区、沈大自创区沈阳核心区、沈阳浑南科技城、区域综合性实验室等建设全国领先的区域科技创新中心，营造一流创新创业生态，突出创新引领功能。重点发展新一代信息技术、高端装备、新能源汽车、生命健康等高新技术产业，聚焦培育优势产业链，提升产业集聚功能。着力建设世纪路和王家湾总部基地，打造总部经济生态圈。建设中央公园新型CBD、沈阳南站金融商贸中心，全面提升奥体商圈、东湖商圈能级，释放城市高端服务功能。</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“两极”</w:t>
      </w:r>
      <w:r>
        <w:rPr>
          <w:rFonts w:hint="eastAsia" w:ascii="仿宋_GB2312" w:hAnsi="仿宋_GB2312" w:eastAsia="仿宋_GB2312" w:cs="仿宋_GB2312"/>
          <w:color w:val="auto"/>
          <w:sz w:val="32"/>
          <w:szCs w:val="32"/>
        </w:rPr>
        <w:t>：布局培育“桃仙临空经济区”“棋盘山产业与生态融合示范区”两个未来发展重要增长极，省市区联动，高标准规划、高水平建设，着力打造成国家级战略平台。</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——桃仙临空经济区</w:t>
      </w:r>
      <w:r>
        <w:rPr>
          <w:rFonts w:hint="eastAsia" w:ascii="仿宋_GB2312" w:hAnsi="仿宋_GB2312" w:eastAsia="仿宋_GB2312" w:cs="仿宋_GB2312"/>
          <w:color w:val="auto"/>
          <w:sz w:val="32"/>
          <w:szCs w:val="32"/>
        </w:rPr>
        <w:t>。</w:t>
      </w:r>
      <w:bookmarkStart w:id="36" w:name="_Hlk56969064"/>
      <w:r>
        <w:rPr>
          <w:rFonts w:hint="eastAsia" w:ascii="仿宋_GB2312" w:hAnsi="仿宋_GB2312" w:eastAsia="仿宋_GB2312" w:cs="仿宋_GB2312"/>
          <w:color w:val="auto"/>
          <w:sz w:val="32"/>
          <w:szCs w:val="32"/>
        </w:rPr>
        <w:t>在主城区南部，坚持“港产城”融合发展，建设内陆地区外向型经济发展高地，助推全市及沈阳都市圈高水平高层次对外开放。北至创新二路，东至李相街道界限，南至浑南区界，西至哈大高铁，规划面积约80平方公里。依托桃仙机场、沈阳南站、自贸区、综保区等，整合临空临港区域，建设空陆双港联动的临空经济区。推动升级版自贸区建设，推进综保区A、B区联动，加速李相生命健康现代产业组团建设。以“保税+”为核心，聚焦发展民用航空、保税+装备制造、保税+研发、保税+医疗、国际商务商贸、跨境电商等</w:t>
      </w:r>
      <w:r>
        <w:rPr>
          <w:rFonts w:hint="eastAsia" w:ascii="仿宋_GB2312" w:hAnsi="仿宋" w:eastAsia="仿宋_GB2312" w:cs="仿宋"/>
          <w:color w:val="auto"/>
          <w:sz w:val="32"/>
          <w:szCs w:val="32"/>
        </w:rPr>
        <w:t>临空产业</w:t>
      </w:r>
      <w:r>
        <w:rPr>
          <w:rFonts w:hint="eastAsia" w:ascii="仿宋_GB2312" w:hAnsi="仿宋_GB2312" w:eastAsia="仿宋_GB2312" w:cs="仿宋_GB2312"/>
          <w:color w:val="auto"/>
          <w:sz w:val="32"/>
          <w:szCs w:val="32"/>
        </w:rPr>
        <w:t>，引领带动区域国际化发展。推动港城一体化，推进空陆双港基础设施、智慧机场、路铁海航多式联运中心、TOD商业综合体、高端酒店、国际学校建设，加速机场周边城乡结合区域更新改造，提升区域高端商务和品质居住配套能力，打造集商务洽谈、时尚购物消费、便捷生活等功能于一体的临空会客厅、空港智慧城。</w:t>
      </w:r>
      <w:bookmarkEnd w:id="36"/>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——棋盘山产业与生态融合示范区</w:t>
      </w:r>
      <w:r>
        <w:rPr>
          <w:rFonts w:hint="eastAsia" w:ascii="仿宋_GB2312" w:hAnsi="仿宋_GB2312" w:eastAsia="仿宋_GB2312" w:cs="仿宋_GB2312"/>
          <w:color w:val="auto"/>
          <w:sz w:val="32"/>
          <w:szCs w:val="32"/>
        </w:rPr>
        <w:t>。</w:t>
      </w:r>
      <w:bookmarkStart w:id="37" w:name="_Hlk56969080"/>
      <w:r>
        <w:rPr>
          <w:rFonts w:hint="eastAsia" w:ascii="仿宋_GB2312" w:hAnsi="仿宋_GB2312" w:eastAsia="仿宋_GB2312" w:cs="仿宋_GB2312"/>
          <w:color w:val="auto"/>
          <w:sz w:val="32"/>
          <w:szCs w:val="32"/>
        </w:rPr>
        <w:t>在浑河以北，践行“绿水青山就是金山银山”理念，严守生态保护红线、永久基本农田、城市开发边界三条控制线，采取文旅康养产业与生态保护融合发展模式，建设“生态经济化、经济生态化”的产业与生态融合示范区。北至浑南区界，东至沈抚边界，南至浑河，西至三环，规划面积约203平方公里。采用文化+、生态+等跨界融合方式，整合提升东陵公园、棋盘山风景区、森林动物园、世博园、鸟岛、主题公园、影视创作基地、民俗文化村、滑雪场等旅游度假场所，打造一批超级引爆点，提升世博园商圈商业、住宿、消费、交通等配套能力和宣传营销水平，全面提升棋盘山活力和吸引力，创建国家级旅游度假区。满足都市人群对休闲娱乐需求，把握消费升级需要，重点发展旅游度假、文化创意、医养健康等产业，建设成为沈阳城市后花园、生态宜居副城。</w:t>
      </w:r>
      <w:bookmarkEnd w:id="37"/>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 xml:space="preserve"> “三组团”</w:t>
      </w:r>
      <w:r>
        <w:rPr>
          <w:rFonts w:hint="eastAsia" w:ascii="仿宋_GB2312" w:hAnsi="仿宋_GB2312" w:eastAsia="仿宋_GB2312" w:cs="仿宋_GB2312"/>
          <w:color w:val="auto"/>
          <w:sz w:val="32"/>
          <w:szCs w:val="32"/>
        </w:rPr>
        <w:t>：比照国内一流产业组团建设标准，统筹近期开发与远期发展关系，采用“先行建设环境、接续发展产业”模式，</w:t>
      </w:r>
      <w:bookmarkStart w:id="38" w:name="_Hlk56969109"/>
      <w:r>
        <w:rPr>
          <w:rFonts w:hint="eastAsia" w:ascii="仿宋_GB2312" w:hAnsi="仿宋_GB2312" w:eastAsia="仿宋_GB2312" w:cs="仿宋_GB2312"/>
          <w:color w:val="auto"/>
          <w:sz w:val="32"/>
          <w:szCs w:val="32"/>
        </w:rPr>
        <w:t>高标准规划建设张沙布、李相、柏叶三个现代产业组团，组团式开发，集中连片布局产业空间，提升重大项目及完整产业链承载能力。</w:t>
      </w:r>
      <w:bookmarkEnd w:id="38"/>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——张沙布高端装备现代产业组团</w:t>
      </w:r>
      <w:r>
        <w:rPr>
          <w:rFonts w:hint="eastAsia" w:ascii="仿宋_GB2312" w:hAnsi="仿宋_GB2312" w:eastAsia="仿宋_GB2312" w:cs="仿宋_GB2312"/>
          <w:color w:val="auto"/>
          <w:sz w:val="32"/>
          <w:szCs w:val="32"/>
        </w:rPr>
        <w:t>。在主城区东部，承接周边产业溢出，加强城乡结合部更新，规划建设张沙布现代产业组团。北至三环高速，南至四环，西至沈丹高速，东至麦子屯南，规划面积约</w:t>
      </w:r>
      <w:r>
        <w:rPr>
          <w:rFonts w:ascii="仿宋_GB2312" w:hAnsi="仿宋_GB2312" w:eastAsia="仿宋_GB2312" w:cs="仿宋_GB2312"/>
          <w:color w:val="auto"/>
          <w:sz w:val="32"/>
          <w:szCs w:val="32"/>
        </w:rPr>
        <w:t>30</w:t>
      </w:r>
      <w:r>
        <w:rPr>
          <w:rFonts w:hint="eastAsia" w:ascii="仿宋_GB2312" w:hAnsi="仿宋_GB2312" w:eastAsia="仿宋_GB2312" w:cs="仿宋_GB2312"/>
          <w:color w:val="auto"/>
          <w:sz w:val="32"/>
          <w:szCs w:val="32"/>
        </w:rPr>
        <w:t>平方公里。</w:t>
      </w:r>
      <w:bookmarkStart w:id="39" w:name="_Hlk56969164"/>
      <w:r>
        <w:rPr>
          <w:rFonts w:hint="eastAsia" w:ascii="仿宋_GB2312" w:hAnsi="仿宋_GB2312" w:eastAsia="仿宋_GB2312" w:cs="仿宋_GB2312"/>
          <w:color w:val="auto"/>
          <w:sz w:val="32"/>
          <w:szCs w:val="32"/>
        </w:rPr>
        <w:t>依托半导体、新能源汽车等产业链补链强链需要，重点发展以高端装备为核心的高新技术产业。</w:t>
      </w:r>
    </w:p>
    <w:bookmarkEnd w:id="39"/>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——李相生命健康现代产业组团</w:t>
      </w:r>
      <w:r>
        <w:rPr>
          <w:rFonts w:hint="eastAsia" w:ascii="仿宋_GB2312" w:hAnsi="仿宋_GB2312" w:eastAsia="仿宋_GB2312" w:cs="仿宋_GB2312"/>
          <w:color w:val="auto"/>
          <w:sz w:val="32"/>
          <w:szCs w:val="32"/>
        </w:rPr>
        <w:t>。在主城区东南部，发挥自贸区保税+医疗、口岸+医药进口等制度创新优势，与主城区生命健康产业充分联动，规划建设李相国际生命健康现代产业组团。北至桃李公路，东至沈李线，南至浑南区界，西至浑南区界，规划面积约14平方公里。</w:t>
      </w:r>
      <w:bookmarkStart w:id="40" w:name="_Hlk56969145"/>
      <w:r>
        <w:rPr>
          <w:rFonts w:hint="eastAsia" w:ascii="仿宋_GB2312" w:hAnsi="仿宋_GB2312" w:eastAsia="仿宋_GB2312" w:cs="仿宋_GB2312"/>
          <w:color w:val="auto"/>
          <w:sz w:val="32"/>
          <w:szCs w:val="32"/>
        </w:rPr>
        <w:t>打造集生物医药、医疗装备、AI+医疗和新药研发、医养健康、保税医疗、医药口岸经济等业态于一体的国际化生命健康产业示范区。</w:t>
      </w:r>
    </w:p>
    <w:bookmarkEnd w:id="40"/>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——柏叶文教现代产业组团</w:t>
      </w:r>
      <w:r>
        <w:rPr>
          <w:rFonts w:hint="eastAsia" w:ascii="仿宋_GB2312" w:hAnsi="仿宋_GB2312" w:eastAsia="仿宋_GB2312" w:cs="仿宋_GB2312"/>
          <w:color w:val="auto"/>
          <w:sz w:val="32"/>
          <w:szCs w:val="32"/>
        </w:rPr>
        <w:t>。在主城区东部，承接主城区高端服务溢出，规划建设柏叶文教现代产业组团。北至柏叶训练基地，东至卞麦峪村，南至高八寨村，西至沈李线，规划面积约10平方公里。</w:t>
      </w:r>
      <w:bookmarkStart w:id="41" w:name="_Hlk56969177"/>
      <w:r>
        <w:rPr>
          <w:rFonts w:hint="eastAsia" w:ascii="仿宋_GB2312" w:hAnsi="仿宋_GB2312" w:eastAsia="仿宋_GB2312" w:cs="仿宋_GB2312"/>
          <w:color w:val="auto"/>
          <w:sz w:val="32"/>
          <w:szCs w:val="32"/>
        </w:rPr>
        <w:t>依托省体育局训练基地、大东北花木文旅小镇等重点项目，拓展产业发展空间，聚焦发展体育休闲、教育培训、花卉观光等，打造文体休闲产业集聚区和产城融合社区，为产业发展持续输送人才。</w:t>
      </w:r>
    </w:p>
    <w:bookmarkEnd w:id="41"/>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“五板块”</w:t>
      </w:r>
      <w:r>
        <w:rPr>
          <w:rFonts w:hint="eastAsia" w:ascii="仿宋_GB2312" w:hAnsi="仿宋_GB2312" w:eastAsia="仿宋_GB2312" w:cs="仿宋_GB2312"/>
          <w:color w:val="auto"/>
          <w:sz w:val="32"/>
          <w:szCs w:val="32"/>
        </w:rPr>
        <w:t>：布局五个特色突出、耦合联动的功能板块，支撑“一核两极三组团”战略，推动区域均衡发展。</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——高新板块</w:t>
      </w:r>
      <w:r>
        <w:rPr>
          <w:rFonts w:hint="eastAsia" w:ascii="仿宋_GB2312" w:hAnsi="仿宋_GB2312" w:eastAsia="仿宋_GB2312" w:cs="仿宋_GB2312"/>
          <w:color w:val="auto"/>
          <w:sz w:val="32"/>
          <w:szCs w:val="32"/>
        </w:rPr>
        <w:t>。</w:t>
      </w:r>
      <w:bookmarkStart w:id="42" w:name="_Hlk56969203"/>
      <w:r>
        <w:rPr>
          <w:rFonts w:hint="eastAsia" w:ascii="仿宋_GB2312" w:hAnsi="仿宋_GB2312" w:eastAsia="仿宋_GB2312" w:cs="仿宋_GB2312"/>
          <w:color w:val="auto"/>
          <w:sz w:val="32"/>
          <w:szCs w:val="32"/>
        </w:rPr>
        <w:t>是“一核”的重要承载板块，是全市乃至沈阳都市圈创新驱动发展主阵地。布局沈阳浑南科技城、区域综合性实验室，推动研发中试园、沈阳国际软件园、信创产业园、南站数字经济产业园、IC装备产业园、半导体产业园、机器人产业园、东大南先进材料产业园、新型建材产业园、新能源汽车产业园、汽车零部件产业园、东软生命健康产业园、浑南生物医药产业园、电子商务产业园等建设精品园区。建设世纪路总部基地、王家湾总部经济、独栋楼宇，发展壮大总部经济、楼宇经济。依托中央公园、四大场馆等建设以高端商务、现代金融、文化娱乐、数字传媒为特色的新型CBD。围绕沈阳南站建设以会议会展、金融总部、文化娱乐为特色的金融商贸中心。</w:t>
      </w:r>
    </w:p>
    <w:bookmarkEnd w:id="42"/>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——高新拓展板块</w:t>
      </w:r>
      <w:r>
        <w:rPr>
          <w:rFonts w:hint="eastAsia" w:ascii="仿宋_GB2312" w:hAnsi="仿宋_GB2312" w:eastAsia="仿宋_GB2312" w:cs="仿宋_GB2312"/>
          <w:color w:val="auto"/>
          <w:sz w:val="32"/>
          <w:szCs w:val="32"/>
        </w:rPr>
        <w:t>。是“一核”重要拓展板块，是沈阳高新区未来扩区空间，与高新板块融合联动。</w:t>
      </w:r>
      <w:bookmarkStart w:id="43" w:name="_Hlk56969277"/>
      <w:r>
        <w:rPr>
          <w:rFonts w:hint="eastAsia" w:ascii="仿宋_GB2312" w:hAnsi="仿宋_GB2312" w:eastAsia="仿宋_GB2312" w:cs="仿宋_GB2312"/>
          <w:color w:val="auto"/>
          <w:sz w:val="32"/>
          <w:szCs w:val="32"/>
        </w:rPr>
        <w:t>规划建设张沙布高端装备现代产业组团、柏叶文教现代产业组团，支撑高新板块优势产业链空间拓展、补链强链和生态构建。</w:t>
      </w:r>
      <w:bookmarkEnd w:id="43"/>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——桃仙临空经济板块（自贸拓展板块）</w:t>
      </w:r>
      <w:r>
        <w:rPr>
          <w:rFonts w:hint="eastAsia" w:ascii="仿宋_GB2312" w:hAnsi="仿宋_GB2312" w:eastAsia="仿宋_GB2312" w:cs="仿宋_GB2312"/>
          <w:color w:val="auto"/>
          <w:sz w:val="32"/>
          <w:szCs w:val="32"/>
        </w:rPr>
        <w:t>。主要承载“桃仙临空经济区”增长极，是自贸区、综保区未来扩区空间，以发展外向型经济为核心，是全市开放合作主平台。整合空陆双港、自贸区、综保区，打造综合保税园、民用航空产业园等精品园区，加快李相生命健康现代产业组团开发建设。</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——棋盘山文商旅与生态融合板块（旅游度假板块）</w:t>
      </w:r>
      <w:r>
        <w:rPr>
          <w:rFonts w:hint="eastAsia" w:ascii="仿宋_GB2312" w:hAnsi="仿宋_GB2312" w:eastAsia="仿宋_GB2312" w:cs="仿宋_GB2312"/>
          <w:color w:val="auto"/>
          <w:sz w:val="32"/>
          <w:szCs w:val="32"/>
        </w:rPr>
        <w:t>。坚持生态保护优先，主要承载“棋盘山产业与生态融合示范区”增长极。发挥生态涵养功能，适度发展旅游度假、文化创意、医养健康等细分领域，重点推动光明小镇打造国内一流的眼健康特色小镇，丰富世博园商圈业态，形成“文商旅”融合发展格局。</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——东南山区农商旅板块</w:t>
      </w:r>
      <w:r>
        <w:rPr>
          <w:rFonts w:hint="eastAsia" w:ascii="仿宋_GB2312" w:hAnsi="仿宋_GB2312" w:eastAsia="仿宋_GB2312" w:cs="仿宋_GB2312"/>
          <w:color w:val="auto"/>
          <w:sz w:val="32"/>
          <w:szCs w:val="32"/>
        </w:rPr>
        <w:t>。</w:t>
      </w:r>
      <w:bookmarkStart w:id="44" w:name="_Hlk56969386"/>
      <w:r>
        <w:rPr>
          <w:rFonts w:hint="eastAsia" w:ascii="仿宋_GB2312" w:hAnsi="仿宋_GB2312" w:eastAsia="仿宋_GB2312" w:cs="仿宋_GB2312"/>
          <w:color w:val="auto"/>
          <w:sz w:val="32"/>
          <w:szCs w:val="32"/>
        </w:rPr>
        <w:t>坚持生态保护优先，在绿色农业基础上，统筹生态环境治理、森林资源保护培育、人居环境改善、中心村整体改造，坚持“农商旅融合”，依靠技术赋能发展现代农业，适度发展乡村旅游和农产品电商，实现乡村振兴发展。</w:t>
      </w:r>
      <w:bookmarkEnd w:id="44"/>
      <w:r>
        <w:rPr>
          <w:rFonts w:hint="eastAsia" w:ascii="仿宋_GB2312" w:hAnsi="仿宋_GB2312" w:eastAsia="仿宋_GB2312" w:cs="仿宋_GB2312"/>
          <w:color w:val="auto"/>
          <w:sz w:val="32"/>
          <w:szCs w:val="32"/>
        </w:rPr>
        <w:t>祝家街道以推进全域旅游为核心，以发展花卉、马术、自行车等为重点，王滨街道以发展特色农业、农产品电商为重点。</w:t>
      </w:r>
    </w:p>
    <w:p>
      <w:pPr>
        <w:pStyle w:val="2"/>
        <w:spacing w:line="290" w:lineRule="exact"/>
        <w:ind w:left="102"/>
        <w:rPr>
          <w:color w:val="auto"/>
        </w:rPr>
      </w:pPr>
    </w:p>
    <w:p>
      <w:pPr>
        <w:pStyle w:val="31"/>
        <w:numPr>
          <w:ilvl w:val="0"/>
          <w:numId w:val="4"/>
        </w:numPr>
        <w:spacing w:line="579" w:lineRule="exact"/>
        <w:ind w:firstLineChars="0"/>
        <w:jc w:val="center"/>
        <w:outlineLvl w:val="1"/>
        <w:rPr>
          <w:rFonts w:ascii="黑体" w:hAnsi="黑体" w:eastAsia="黑体" w:cs="黑体"/>
          <w:bCs/>
          <w:color w:val="auto"/>
          <w:sz w:val="32"/>
          <w:szCs w:val="32"/>
        </w:rPr>
      </w:pPr>
      <w:bookmarkStart w:id="45" w:name="_Toc20155"/>
      <w:bookmarkStart w:id="46" w:name="_Toc31181"/>
      <w:bookmarkStart w:id="47" w:name="_Toc59116898"/>
      <w:r>
        <w:rPr>
          <w:rFonts w:hint="eastAsia" w:ascii="黑体" w:hAnsi="黑体" w:eastAsia="黑体" w:cs="黑体"/>
          <w:bCs/>
          <w:color w:val="auto"/>
          <w:sz w:val="32"/>
          <w:szCs w:val="32"/>
        </w:rPr>
        <w:t>空间策略</w:t>
      </w:r>
      <w:bookmarkEnd w:id="45"/>
      <w:bookmarkEnd w:id="46"/>
      <w:bookmarkEnd w:id="47"/>
    </w:p>
    <w:p>
      <w:pPr>
        <w:pStyle w:val="2"/>
        <w:spacing w:line="290" w:lineRule="exact"/>
        <w:ind w:left="102"/>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实施“西部提效、东部拓展、北部提速”的差异化空间策略，提高增量空间开发效率，全面盘活利用存量空间。</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实施西部提效计划</w:t>
      </w:r>
      <w:r>
        <w:rPr>
          <w:rFonts w:hint="eastAsia" w:ascii="仿宋_GB2312" w:hAnsi="仿宋_GB2312" w:eastAsia="仿宋_GB2312" w:cs="仿宋_GB2312"/>
          <w:color w:val="auto"/>
          <w:sz w:val="32"/>
          <w:szCs w:val="32"/>
        </w:rPr>
        <w:t>。以建设“科产城”融合区为指引，进一步提升创新空间和产业空间，有序开展城市微更新，提升区域产业承载力和人才吸附力。重点围绕空间布局优化及产业链升级需要，有序腾退低端业态、低效用地、闲置用地，形成产业发展新空间，推动优质增量资源和企业落户，促进存量企业变革，着力打造出一批有形象、无闲置、高亩产、产业微生态相对成熟的精品专业园。深化存量土地攻坚，推进储备土地、净地不净等尽快处置，加强盘活停缓建项目。进一步梳理闲置和低效楼宇资源，推进二次开发、二次利用。加强挖掘高校、院所“金角银边”建设创新产业孵化载体。有序开展老旧城区改造，推动产城融合发展，全面提升产业集聚区周边商业、居住、交通等生活配套能力。</w:t>
      </w:r>
    </w:p>
    <w:p>
      <w:pPr>
        <w:spacing w:line="579" w:lineRule="exact"/>
        <w:ind w:firstLine="66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实施东部拓展计划。</w:t>
      </w:r>
      <w:r>
        <w:rPr>
          <w:rFonts w:hint="eastAsia" w:ascii="仿宋_GB2312" w:hAnsi="仿宋_GB2312" w:eastAsia="仿宋_GB2312" w:cs="仿宋_GB2312"/>
          <w:color w:val="auto"/>
          <w:sz w:val="32"/>
          <w:szCs w:val="32"/>
        </w:rPr>
        <w:t>遵循产业发展和溢出规律，在“一核”东部、东南部区域，拓展建设桃仙临空经济区及张沙布、李相、柏叶三个产业组团，主城区外部延伸拓展与产业组团内部填充拓展兼顾，由点成块、连块成片，联动发力，实现东部板块科学有序建设。满足重大项目和完整产业链布局需要，对于千亩以上的新增空间，采用整体规划、集中连片开发模式，按照</w:t>
      </w:r>
      <w:r>
        <w:rPr>
          <w:rFonts w:ascii="仿宋_GB2312" w:hAnsi="仿宋_GB2312" w:eastAsia="仿宋_GB2312" w:cs="仿宋_GB2312"/>
          <w:color w:val="auto"/>
          <w:sz w:val="32"/>
          <w:szCs w:val="32"/>
        </w:rPr>
        <w:t>生产、生活、生态“</w:t>
      </w:r>
      <w:r>
        <w:rPr>
          <w:rFonts w:hint="eastAsia" w:ascii="仿宋_GB2312" w:hAnsi="仿宋_GB2312" w:eastAsia="仿宋_GB2312" w:cs="仿宋_GB2312"/>
          <w:color w:val="auto"/>
          <w:sz w:val="32"/>
          <w:szCs w:val="32"/>
        </w:rPr>
        <w:t>三生</w:t>
      </w:r>
      <w:r>
        <w:rPr>
          <w:rFonts w:ascii="仿宋_GB2312" w:hAnsi="仿宋_GB2312" w:eastAsia="仿宋_GB2312" w:cs="仿宋_GB2312"/>
          <w:color w:val="auto"/>
          <w:sz w:val="32"/>
          <w:szCs w:val="32"/>
        </w:rPr>
        <w:t>融合”模式，</w:t>
      </w:r>
      <w:r>
        <w:rPr>
          <w:rFonts w:hint="eastAsia" w:ascii="仿宋_GB2312" w:hAnsi="仿宋_GB2312" w:eastAsia="仿宋_GB2312" w:cs="仿宋_GB2312"/>
          <w:color w:val="auto"/>
          <w:sz w:val="32"/>
          <w:szCs w:val="32"/>
        </w:rPr>
        <w:t>建设一批新经济产业园区，从源头上提升空间利用效率、</w:t>
      </w:r>
      <w:r>
        <w:rPr>
          <w:rFonts w:ascii="仿宋_GB2312" w:hAnsi="仿宋_GB2312" w:eastAsia="仿宋_GB2312" w:cs="仿宋_GB2312"/>
          <w:color w:val="auto"/>
          <w:sz w:val="32"/>
          <w:szCs w:val="32"/>
        </w:rPr>
        <w:t>解决</w:t>
      </w:r>
      <w:r>
        <w:rPr>
          <w:rFonts w:hint="eastAsia" w:ascii="仿宋_GB2312" w:hAnsi="仿宋_GB2312" w:eastAsia="仿宋_GB2312" w:cs="仿宋_GB2312"/>
          <w:color w:val="auto"/>
          <w:sz w:val="32"/>
          <w:szCs w:val="32"/>
        </w:rPr>
        <w:t>职住</w:t>
      </w:r>
      <w:r>
        <w:rPr>
          <w:rFonts w:ascii="仿宋_GB2312" w:hAnsi="仿宋_GB2312" w:eastAsia="仿宋_GB2312" w:cs="仿宋_GB2312"/>
          <w:color w:val="auto"/>
          <w:sz w:val="32"/>
          <w:szCs w:val="32"/>
        </w:rPr>
        <w:t>平衡</w:t>
      </w:r>
      <w:r>
        <w:rPr>
          <w:rFonts w:hint="eastAsia" w:ascii="仿宋_GB2312" w:hAnsi="仿宋_GB2312" w:eastAsia="仿宋_GB2312" w:cs="仿宋_GB2312"/>
          <w:color w:val="auto"/>
          <w:sz w:val="32"/>
          <w:szCs w:val="32"/>
        </w:rPr>
        <w:t>问题，</w:t>
      </w:r>
      <w:r>
        <w:rPr>
          <w:rFonts w:ascii="仿宋_GB2312" w:hAnsi="仿宋_GB2312" w:eastAsia="仿宋_GB2312" w:cs="仿宋_GB2312"/>
          <w:color w:val="auto"/>
          <w:sz w:val="32"/>
          <w:szCs w:val="32"/>
        </w:rPr>
        <w:t>实现新业态发展对告知</w:t>
      </w:r>
      <w:r>
        <w:rPr>
          <w:rFonts w:hint="eastAsia" w:ascii="仿宋_GB2312" w:hAnsi="仿宋_GB2312" w:eastAsia="仿宋_GB2312" w:cs="仿宋_GB2312"/>
          <w:color w:val="auto"/>
          <w:sz w:val="32"/>
          <w:szCs w:val="32"/>
        </w:rPr>
        <w:t>人群、青年</w:t>
      </w:r>
      <w:r>
        <w:rPr>
          <w:rFonts w:ascii="仿宋_GB2312" w:hAnsi="仿宋_GB2312" w:eastAsia="仿宋_GB2312" w:cs="仿宋_GB2312"/>
          <w:color w:val="auto"/>
          <w:sz w:val="32"/>
          <w:szCs w:val="32"/>
        </w:rPr>
        <w:t>人群就近</w:t>
      </w:r>
      <w:r>
        <w:rPr>
          <w:rFonts w:hint="eastAsia" w:ascii="仿宋_GB2312" w:hAnsi="仿宋_GB2312" w:eastAsia="仿宋_GB2312" w:cs="仿宋_GB2312"/>
          <w:color w:val="auto"/>
          <w:sz w:val="32"/>
          <w:szCs w:val="32"/>
        </w:rPr>
        <w:t>生活</w:t>
      </w:r>
      <w:r>
        <w:rPr>
          <w:rFonts w:ascii="仿宋_GB2312" w:hAnsi="仿宋_GB2312" w:eastAsia="仿宋_GB2312" w:cs="仿宋_GB2312"/>
          <w:color w:val="auto"/>
          <w:sz w:val="32"/>
          <w:szCs w:val="32"/>
        </w:rPr>
        <w:t>的需要</w:t>
      </w:r>
      <w:r>
        <w:rPr>
          <w:rFonts w:hint="eastAsia" w:ascii="仿宋_GB2312" w:hAnsi="仿宋_GB2312" w:eastAsia="仿宋_GB2312" w:cs="仿宋_GB2312"/>
          <w:color w:val="auto"/>
          <w:sz w:val="32"/>
          <w:szCs w:val="32"/>
        </w:rPr>
        <w:t>。积极引进有实力、有资源的产业地产商、大型央企、实体企业等参与增量空间开发，整合社会力量提升空间开发水平。有序推进全域城镇化，加快乡村地区基础设施建设，实现振兴发展。</w:t>
      </w:r>
    </w:p>
    <w:p>
      <w:pPr>
        <w:spacing w:line="579" w:lineRule="exact"/>
        <w:ind w:firstLine="660" w:firstLineChars="200"/>
        <w:rPr>
          <w:rFonts w:ascii="宋体" w:hAnsi="宋体" w:eastAsia="仿宋_GB2312"/>
          <w:color w:val="auto"/>
          <w:sz w:val="32"/>
          <w:szCs w:val="32"/>
        </w:rPr>
      </w:pPr>
      <w:r>
        <w:rPr>
          <w:rFonts w:hint="eastAsia" w:ascii="仿宋_GB2312" w:hAnsi="仿宋_GB2312" w:eastAsia="仿宋_GB2312" w:cs="仿宋_GB2312"/>
          <w:b/>
          <w:bCs/>
          <w:color w:val="auto"/>
          <w:sz w:val="32"/>
          <w:szCs w:val="32"/>
        </w:rPr>
        <w:t>实施北部提速计划。</w:t>
      </w:r>
      <w:r>
        <w:rPr>
          <w:rFonts w:hint="eastAsia" w:ascii="仿宋_GB2312" w:hAnsi="仿宋_GB2312" w:eastAsia="仿宋_GB2312" w:cs="仿宋_GB2312"/>
          <w:color w:val="auto"/>
          <w:sz w:val="32"/>
          <w:szCs w:val="32"/>
        </w:rPr>
        <w:t>坚持生态优先，加强环境综合治理，积极开展城市更新，提前布局道路、智慧景区等</w:t>
      </w:r>
      <w:r>
        <w:rPr>
          <w:rFonts w:hint="eastAsia" w:ascii="仿宋_GB2312" w:hAnsi="仿宋_GB2312" w:eastAsia="仿宋_GB2312" w:cs="仿宋_GB2312"/>
          <w:bCs/>
          <w:color w:val="auto"/>
          <w:sz w:val="32"/>
          <w:szCs w:val="32"/>
        </w:rPr>
        <w:t>基础设施。</w:t>
      </w:r>
      <w:r>
        <w:rPr>
          <w:rFonts w:hint="eastAsia" w:ascii="仿宋_GB2312" w:hAnsi="仿宋_GB2312" w:eastAsia="仿宋_GB2312" w:cs="仿宋_GB2312"/>
          <w:color w:val="auto"/>
          <w:sz w:val="32"/>
          <w:szCs w:val="32"/>
        </w:rPr>
        <w:t>满足都市人群对旅游度假、休闲娱乐需求，抢抓新一轮消费升级机遇，整合多方力量和资源，采用共建共治共享的模式，聚力打造一批超级文旅引爆点，推动棋盘山热度持续升温，提升影响力、知名度，创建成国家级旅游度假区，提速完成北部板块建设，形成产业与生态融合示范区。</w:t>
      </w:r>
      <w:bookmarkEnd w:id="30"/>
    </w:p>
    <w:p>
      <w:pPr>
        <w:pStyle w:val="2"/>
        <w:spacing w:line="579" w:lineRule="exact"/>
        <w:rPr>
          <w:color w:val="auto"/>
        </w:rPr>
      </w:pPr>
    </w:p>
    <w:p>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pPr>
        <w:spacing w:line="579" w:lineRule="exact"/>
        <w:jc w:val="center"/>
        <w:rPr>
          <w:rFonts w:ascii="宋体" w:hAnsi="宋体"/>
          <w:color w:val="auto"/>
        </w:rPr>
      </w:pPr>
      <w:r>
        <w:rPr>
          <w:color w:val="auto"/>
        </w:rPr>
        <w:drawing>
          <wp:anchor distT="0" distB="0" distL="114300" distR="114300" simplePos="0" relativeHeight="251659264" behindDoc="0" locked="0" layoutInCell="1" allowOverlap="1">
            <wp:simplePos x="0" y="0"/>
            <wp:positionH relativeFrom="margin">
              <wp:posOffset>-467360</wp:posOffset>
            </wp:positionH>
            <wp:positionV relativeFrom="margin">
              <wp:posOffset>-161290</wp:posOffset>
            </wp:positionV>
            <wp:extent cx="6299835" cy="875855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b="1749"/>
                    <a:stretch>
                      <a:fillRect/>
                    </a:stretch>
                  </pic:blipFill>
                  <pic:spPr>
                    <a:xfrm>
                      <a:off x="0" y="0"/>
                      <a:ext cx="6300000" cy="8758518"/>
                    </a:xfrm>
                    <a:prstGeom prst="rect">
                      <a:avLst/>
                    </a:prstGeom>
                    <a:noFill/>
                    <a:ln>
                      <a:noFill/>
                    </a:ln>
                  </pic:spPr>
                </pic:pic>
              </a:graphicData>
            </a:graphic>
          </wp:anchor>
        </w:drawing>
      </w:r>
      <w:r>
        <w:rPr>
          <w:rFonts w:hint="eastAsia" w:ascii="宋体" w:hAnsi="宋体" w:cs="仿宋"/>
          <w:b/>
          <w:bCs/>
          <w:color w:val="auto"/>
          <w:sz w:val="32"/>
        </w:rPr>
        <w:t>图</w:t>
      </w:r>
      <w:r>
        <w:rPr>
          <w:rFonts w:ascii="宋体" w:hAnsi="宋体" w:cs="仿宋"/>
          <w:b/>
          <w:bCs/>
          <w:color w:val="auto"/>
          <w:sz w:val="32"/>
        </w:rPr>
        <w:t xml:space="preserve">1 </w:t>
      </w:r>
      <w:r>
        <w:rPr>
          <w:rFonts w:hint="eastAsia" w:ascii="宋体" w:hAnsi="宋体" w:cs="仿宋"/>
          <w:b/>
          <w:bCs/>
          <w:color w:val="auto"/>
          <w:sz w:val="32"/>
        </w:rPr>
        <w:t>浑南区“十四五”空间布局示意图</w:t>
      </w:r>
    </w:p>
    <w:p>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pPr>
        <w:pStyle w:val="31"/>
        <w:keepNext/>
        <w:spacing w:line="290" w:lineRule="exact"/>
        <w:ind w:firstLine="0" w:firstLineChars="0"/>
        <w:outlineLvl w:val="0"/>
        <w:rPr>
          <w:rFonts w:ascii="宋体" w:hAnsi="宋体" w:cs="宋体"/>
          <w:b/>
          <w:color w:val="auto"/>
          <w:sz w:val="44"/>
          <w:szCs w:val="44"/>
        </w:rPr>
      </w:pPr>
      <w:bookmarkStart w:id="48" w:name="_Toc59116899"/>
    </w:p>
    <w:p>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打造高能级战略平台</w:t>
      </w:r>
      <w:bookmarkEnd w:id="48"/>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bookmarkStart w:id="49" w:name="_Toc9051"/>
      <w:r>
        <w:rPr>
          <w:rFonts w:hint="eastAsia" w:ascii="仿宋_GB2312" w:hAnsi="仿宋_GB2312" w:eastAsia="仿宋_GB2312" w:cs="仿宋_GB2312"/>
          <w:color w:val="auto"/>
          <w:sz w:val="32"/>
          <w:szCs w:val="32"/>
        </w:rPr>
        <w:t>推动经济跨越式发展，建设</w:t>
      </w:r>
      <w:bookmarkStart w:id="50" w:name="_Hlk56969450"/>
      <w:r>
        <w:rPr>
          <w:rFonts w:hint="eastAsia" w:ascii="仿宋_GB2312" w:hAnsi="仿宋_GB2312" w:eastAsia="仿宋_GB2312" w:cs="仿宋_GB2312"/>
          <w:color w:val="auto"/>
          <w:sz w:val="32"/>
          <w:szCs w:val="32"/>
        </w:rPr>
        <w:t>一流高新区、自贸区升级版、棋盘山国家级旅游度假区</w:t>
      </w:r>
      <w:bookmarkEnd w:id="50"/>
      <w:r>
        <w:rPr>
          <w:rFonts w:hint="eastAsia" w:ascii="仿宋_GB2312" w:hAnsi="仿宋_GB2312" w:eastAsia="仿宋_GB2312" w:cs="仿宋_GB2312"/>
          <w:color w:val="auto"/>
          <w:sz w:val="32"/>
          <w:szCs w:val="32"/>
        </w:rPr>
        <w:t>等3个高能级战略平台，积极推动各战略平台提档升级和联动融合发展，成为培育优势产业集群、扩大有效投资、提升开放水平、强化创新能力、促进产城融合、全面深化改革的主阵地。</w:t>
      </w:r>
    </w:p>
    <w:p>
      <w:pPr>
        <w:pStyle w:val="31"/>
        <w:keepNext/>
        <w:spacing w:line="290" w:lineRule="exact"/>
        <w:ind w:firstLine="0" w:firstLineChars="0"/>
        <w:outlineLvl w:val="0"/>
        <w:rPr>
          <w:color w:val="auto"/>
        </w:rPr>
      </w:pPr>
    </w:p>
    <w:p>
      <w:pPr>
        <w:pStyle w:val="31"/>
        <w:numPr>
          <w:ilvl w:val="0"/>
          <w:numId w:val="5"/>
        </w:numPr>
        <w:spacing w:line="579" w:lineRule="exact"/>
        <w:ind w:firstLineChars="0"/>
        <w:jc w:val="center"/>
        <w:outlineLvl w:val="1"/>
        <w:rPr>
          <w:rFonts w:ascii="黑体" w:hAnsi="黑体" w:eastAsia="黑体" w:cs="黑体"/>
          <w:bCs/>
          <w:color w:val="auto"/>
          <w:sz w:val="32"/>
          <w:szCs w:val="32"/>
        </w:rPr>
      </w:pPr>
      <w:bookmarkStart w:id="51" w:name="_Toc59116900"/>
      <w:r>
        <w:rPr>
          <w:rFonts w:hint="eastAsia" w:ascii="黑体" w:hAnsi="黑体" w:eastAsia="黑体" w:cs="黑体"/>
          <w:bCs/>
          <w:color w:val="auto"/>
          <w:sz w:val="32"/>
          <w:szCs w:val="32"/>
        </w:rPr>
        <w:t>提速建设一流高新区</w:t>
      </w:r>
      <w:bookmarkEnd w:id="51"/>
    </w:p>
    <w:p>
      <w:pPr>
        <w:pStyle w:val="31"/>
        <w:keepNext/>
        <w:spacing w:line="290" w:lineRule="exact"/>
        <w:ind w:firstLine="0" w:firstLineChars="0"/>
        <w:outlineLvl w:val="0"/>
        <w:rPr>
          <w:color w:val="auto"/>
        </w:rPr>
      </w:pPr>
    </w:p>
    <w:p>
      <w:pPr>
        <w:spacing w:line="579" w:lineRule="exact"/>
        <w:ind w:firstLine="660" w:firstLineChars="200"/>
        <w:rPr>
          <w:rFonts w:ascii="仿宋_GB2312" w:eastAsia="仿宋_GB2312"/>
          <w:color w:val="auto"/>
          <w:sz w:val="32"/>
          <w:szCs w:val="32"/>
        </w:rPr>
      </w:pPr>
      <w:r>
        <w:rPr>
          <w:rFonts w:hint="eastAsia" w:ascii="仿宋_GB2312" w:hAnsi="仿宋_GB2312" w:eastAsia="仿宋_GB2312" w:cs="仿宋_GB2312"/>
          <w:b/>
          <w:bCs/>
          <w:color w:val="auto"/>
          <w:sz w:val="32"/>
          <w:szCs w:val="32"/>
        </w:rPr>
        <w:t>发展思路。</w:t>
      </w:r>
      <w:r>
        <w:rPr>
          <w:rFonts w:hint="eastAsia" w:ascii="仿宋_GB2312" w:hAnsi="仿宋_GB2312" w:eastAsia="仿宋_GB2312" w:cs="仿宋_GB2312"/>
          <w:color w:val="auto"/>
          <w:sz w:val="32"/>
          <w:szCs w:val="32"/>
        </w:rPr>
        <w:t>全面落实《国务院关于促进国家高新技术产业开发区高质量发展若干意见》</w:t>
      </w:r>
      <w:r>
        <w:rPr>
          <w:rFonts w:ascii="仿宋_GB2312" w:hAnsi="仿宋_GB2312" w:eastAsia="仿宋_GB2312" w:cs="仿宋_GB2312"/>
          <w:color w:val="auto"/>
          <w:sz w:val="32"/>
          <w:szCs w:val="32"/>
        </w:rPr>
        <w:t>总体要求，</w:t>
      </w:r>
      <w:r>
        <w:rPr>
          <w:rFonts w:hint="eastAsia" w:ascii="仿宋_GB2312" w:hAnsi="仿宋_GB2312" w:eastAsia="仿宋_GB2312" w:cs="仿宋_GB2312"/>
          <w:color w:val="auto"/>
          <w:sz w:val="32"/>
          <w:szCs w:val="32"/>
        </w:rPr>
        <w:t>牢固树立新发展理念</w:t>
      </w:r>
      <w:r>
        <w:rPr>
          <w:rFonts w:ascii="仿宋_GB2312" w:hAnsi="仿宋_GB2312" w:eastAsia="仿宋_GB2312" w:cs="仿宋_GB2312"/>
          <w:color w:val="auto"/>
          <w:sz w:val="32"/>
          <w:szCs w:val="32"/>
        </w:rPr>
        <w:t>，</w:t>
      </w:r>
      <w:bookmarkStart w:id="52" w:name="_Hlk44615525"/>
      <w:r>
        <w:rPr>
          <w:rFonts w:hint="eastAsia" w:ascii="仿宋_GB2312" w:eastAsia="仿宋_GB2312"/>
          <w:color w:val="auto"/>
          <w:sz w:val="32"/>
          <w:szCs w:val="32"/>
        </w:rPr>
        <w:t>继续坚持“发展高科技、实现产业化”方向，</w:t>
      </w:r>
      <w:r>
        <w:rPr>
          <w:rFonts w:ascii="仿宋_GB2312" w:hAnsi="仿宋_GB2312" w:eastAsia="仿宋_GB2312" w:cs="仿宋_GB2312"/>
          <w:color w:val="auto"/>
          <w:sz w:val="32"/>
          <w:szCs w:val="32"/>
        </w:rPr>
        <w:t>以推进</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新产业、新研发、新主体、新生态、新开放、新治理</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为</w:t>
      </w:r>
      <w:r>
        <w:rPr>
          <w:rFonts w:hint="eastAsia" w:ascii="仿宋_GB2312" w:hAnsi="仿宋_GB2312" w:eastAsia="仿宋_GB2312" w:cs="仿宋_GB2312"/>
          <w:color w:val="auto"/>
          <w:sz w:val="32"/>
          <w:szCs w:val="32"/>
        </w:rPr>
        <w:t>主线</w:t>
      </w:r>
      <w:r>
        <w:rPr>
          <w:rFonts w:ascii="仿宋_GB2312" w:hAnsi="仿宋_GB2312" w:eastAsia="仿宋_GB2312" w:cs="仿宋_GB2312"/>
          <w:color w:val="auto"/>
          <w:sz w:val="32"/>
          <w:szCs w:val="32"/>
        </w:rPr>
        <w:t>，</w:t>
      </w:r>
      <w:r>
        <w:rPr>
          <w:rFonts w:hint="eastAsia" w:ascii="仿宋_GB2312" w:eastAsia="仿宋_GB2312"/>
          <w:color w:val="auto"/>
          <w:sz w:val="32"/>
          <w:szCs w:val="32"/>
        </w:rPr>
        <w:t>加强构建以“智能经济”为核心的新经济产业体系，全面提升以企业为主体的技术创新能力，深入实施科技型企业梯度培育计划，着力营造良好创新创业生态，进一步加大开放创新力度，系统</w:t>
      </w:r>
      <w:r>
        <w:rPr>
          <w:rFonts w:hint="eastAsia" w:ascii="仿宋_GB2312" w:hAnsi="仿宋_GB2312" w:eastAsia="仿宋_GB2312" w:cs="仿宋_GB2312"/>
          <w:bCs/>
          <w:color w:val="auto"/>
          <w:sz w:val="32"/>
          <w:szCs w:val="32"/>
        </w:rPr>
        <w:t>打造</w:t>
      </w:r>
      <w:r>
        <w:rPr>
          <w:rFonts w:hint="eastAsia" w:ascii="仿宋_GB2312" w:eastAsia="仿宋_GB2312"/>
          <w:color w:val="auto"/>
          <w:sz w:val="32"/>
          <w:szCs w:val="32"/>
        </w:rPr>
        <w:t>最适宜新经济发展营商环境，全力</w:t>
      </w:r>
      <w:r>
        <w:rPr>
          <w:rFonts w:hint="eastAsia" w:ascii="仿宋_GB2312" w:hAnsi="仿宋_GB2312" w:eastAsia="仿宋_GB2312" w:cs="仿宋_GB2312"/>
          <w:color w:val="auto"/>
          <w:sz w:val="32"/>
          <w:szCs w:val="32"/>
        </w:rPr>
        <w:t>建设科技引领的智能制造产业高地、要素集聚的创新创业中心、功能完善的国际合作区域节点、场景驱动的绿色生态科技新城，</w:t>
      </w:r>
      <w:r>
        <w:rPr>
          <w:rFonts w:hint="eastAsia" w:eastAsia="仿宋_GB2312"/>
          <w:color w:val="auto"/>
          <w:kern w:val="0"/>
          <w:sz w:val="32"/>
          <w:szCs w:val="32"/>
        </w:rPr>
        <w:t>将高新区打造成为</w:t>
      </w:r>
      <w:r>
        <w:rPr>
          <w:rFonts w:hint="eastAsia" w:ascii="仿宋_GB2312" w:eastAsia="仿宋_GB2312"/>
          <w:bCs/>
          <w:color w:val="auto"/>
          <w:sz w:val="32"/>
        </w:rPr>
        <w:t>创新驱动发展示范区和高质量发展先行区，</w:t>
      </w:r>
      <w:r>
        <w:rPr>
          <w:rFonts w:hint="eastAsia" w:ascii="仿宋_GB2312" w:hAnsi="仿宋_GB2312" w:eastAsia="仿宋_GB2312" w:cs="仿宋_GB2312"/>
          <w:color w:val="auto"/>
          <w:sz w:val="32"/>
          <w:szCs w:val="32"/>
        </w:rPr>
        <w:t>推动建设一流高科技园区。</w:t>
      </w:r>
      <w:bookmarkEnd w:id="52"/>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发展目标。</w:t>
      </w:r>
      <w:r>
        <w:rPr>
          <w:rFonts w:hint="eastAsia" w:ascii="仿宋_GB2312" w:hAnsi="仿宋_GB2312" w:eastAsia="仿宋_GB2312" w:cs="仿宋_GB2312"/>
          <w:color w:val="auto"/>
          <w:sz w:val="32"/>
          <w:szCs w:val="32"/>
        </w:rPr>
        <w:t>到</w:t>
      </w:r>
      <w:r>
        <w:rPr>
          <w:rFonts w:ascii="仿宋_GB2312" w:hAnsi="仿宋_GB2312" w:eastAsia="仿宋_GB2312" w:cs="仿宋_GB2312"/>
          <w:color w:val="auto"/>
          <w:sz w:val="32"/>
          <w:szCs w:val="32"/>
        </w:rPr>
        <w:t>2025</w:t>
      </w:r>
      <w:r>
        <w:rPr>
          <w:rFonts w:hint="eastAsia" w:ascii="仿宋_GB2312" w:hAnsi="仿宋_GB2312" w:eastAsia="仿宋_GB2312" w:cs="仿宋_GB2312"/>
          <w:color w:val="auto"/>
          <w:sz w:val="32"/>
          <w:szCs w:val="32"/>
        </w:rPr>
        <w:t>年，沈阳高新区体制机制持续创新，自主创新能力明显增强，创新创业生态明显改善，要素流动更加充分高效，涌现一批具有国际竞争力的创新型产业集群和新经济企业，综合实力显著增强。火炬统计企业营业收入达到</w:t>
      </w:r>
      <w:r>
        <w:rPr>
          <w:rFonts w:ascii="仿宋_GB2312" w:hAnsi="仿宋_GB2312" w:eastAsia="仿宋_GB2312" w:cs="仿宋_GB2312"/>
          <w:color w:val="auto"/>
          <w:sz w:val="32"/>
          <w:szCs w:val="32"/>
        </w:rPr>
        <w:t>3000</w:t>
      </w:r>
      <w:r>
        <w:rPr>
          <w:rFonts w:hint="eastAsia" w:ascii="仿宋_GB2312" w:hAnsi="仿宋_GB2312" w:eastAsia="仿宋_GB2312" w:cs="仿宋_GB2312"/>
          <w:color w:val="auto"/>
          <w:sz w:val="32"/>
          <w:szCs w:val="32"/>
        </w:rPr>
        <w:t>亿元，工业总产值达到</w:t>
      </w:r>
      <w:r>
        <w:rPr>
          <w:rFonts w:ascii="仿宋_GB2312" w:hAnsi="仿宋_GB2312" w:eastAsia="仿宋_GB2312" w:cs="仿宋_GB2312"/>
          <w:color w:val="auto"/>
          <w:sz w:val="32"/>
          <w:szCs w:val="32"/>
        </w:rPr>
        <w:t>2000</w:t>
      </w:r>
      <w:r>
        <w:rPr>
          <w:rFonts w:hint="eastAsia" w:ascii="仿宋_GB2312" w:hAnsi="仿宋_GB2312" w:eastAsia="仿宋_GB2312" w:cs="仿宋_GB2312"/>
          <w:color w:val="auto"/>
          <w:sz w:val="32"/>
          <w:szCs w:val="32"/>
        </w:rPr>
        <w:t>亿元，综合排名进入全国高新区</w:t>
      </w:r>
      <w:r>
        <w:rPr>
          <w:rFonts w:ascii="仿宋_GB2312" w:hAnsi="仿宋_GB2312" w:eastAsia="仿宋_GB2312" w:cs="仿宋_GB2312"/>
          <w:color w:val="auto"/>
          <w:sz w:val="32"/>
          <w:szCs w:val="32"/>
        </w:rPr>
        <w:t>25</w:t>
      </w:r>
      <w:r>
        <w:rPr>
          <w:rFonts w:hint="eastAsia" w:ascii="仿宋_GB2312" w:hAnsi="仿宋_GB2312" w:eastAsia="仿宋_GB2312" w:cs="仿宋_GB2312"/>
          <w:color w:val="auto"/>
          <w:sz w:val="32"/>
          <w:szCs w:val="32"/>
        </w:rPr>
        <w:t>强，进入国家高新区第一梯队。</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产业定位。</w:t>
      </w:r>
      <w:r>
        <w:rPr>
          <w:rFonts w:hint="eastAsia" w:ascii="仿宋_GB2312" w:hAnsi="仿宋_GB2312" w:eastAsia="仿宋_GB2312" w:cs="仿宋_GB2312"/>
          <w:color w:val="auto"/>
          <w:sz w:val="32"/>
          <w:szCs w:val="32"/>
        </w:rPr>
        <w:t>发展以新一代信息技术、高端装备、新能源汽车、生命健康为核心的高新技术产业和战略性新兴产业，大力发展总部经济、楼宇经济，重点培育新一代信息技术、半导体、机器人、民用航空、先进材料、新能源汽车、智能医疗、生物医药、眼健康、电子商务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条优势产业链，超前布局未来城市、未来信息技术、未来健康等未来产业。</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重点任务。</w:t>
      </w:r>
      <w:r>
        <w:rPr>
          <w:rFonts w:hint="eastAsia" w:ascii="仿宋_GB2312" w:hAnsi="仿宋_GB2312" w:eastAsia="仿宋_GB2312" w:cs="仿宋_GB2312"/>
          <w:color w:val="auto"/>
          <w:sz w:val="32"/>
          <w:szCs w:val="32"/>
        </w:rPr>
        <w:t>提升自主创新能力，建设区域综合性实验室和科技城，布局新型研发机构，推动各类创新平台升级，组织企业加强核心技术攻关，推进成果转化和知识产权保护。激发企业创新发展活力，实施链长制工作方案，建立科技型企业梯度培育体系，加强产业生态精准招商，构建企业发展场景、孵化、金融、人才支撑体系。提升开放创新水平，加强中外合作园和离岸（域外）创新中心建设，推进科技型企业“走出去”及创新要素“引进来”，加强与自贸区联动发展，积极与全球一流高科技园区和沈阳都市圈高科技园区战略对接。围绕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条重点培育产业链发展及功能提升需要，提升建设精品产业园区和总部经济基地。持续推进营商环境改革，充分发挥各产业链产业联盟作用，探索组建“业界共治”理事会，加强盘活闲置、低效用地，深化“小管委会+大公司”改革。</w:t>
      </w:r>
    </w:p>
    <w:p>
      <w:pPr>
        <w:pStyle w:val="31"/>
        <w:keepNext/>
        <w:spacing w:line="290" w:lineRule="exact"/>
        <w:ind w:firstLine="0" w:firstLineChars="0"/>
        <w:outlineLvl w:val="0"/>
        <w:rPr>
          <w:color w:val="auto"/>
        </w:rPr>
      </w:pPr>
    </w:p>
    <w:bookmarkEnd w:id="49"/>
    <w:p>
      <w:pPr>
        <w:pStyle w:val="31"/>
        <w:numPr>
          <w:ilvl w:val="0"/>
          <w:numId w:val="5"/>
        </w:numPr>
        <w:spacing w:line="579" w:lineRule="exact"/>
        <w:ind w:firstLineChars="0"/>
        <w:jc w:val="center"/>
        <w:outlineLvl w:val="1"/>
        <w:rPr>
          <w:rFonts w:ascii="黑体" w:hAnsi="黑体" w:eastAsia="黑体" w:cs="黑体"/>
          <w:bCs/>
          <w:color w:val="auto"/>
          <w:sz w:val="32"/>
          <w:szCs w:val="32"/>
        </w:rPr>
      </w:pPr>
      <w:bookmarkStart w:id="53" w:name="_Toc59116901"/>
      <w:r>
        <w:rPr>
          <w:rFonts w:hint="eastAsia" w:ascii="黑体" w:hAnsi="黑体" w:eastAsia="黑体" w:cs="黑体"/>
          <w:bCs/>
          <w:color w:val="auto"/>
          <w:sz w:val="32"/>
          <w:szCs w:val="32"/>
        </w:rPr>
        <w:t>加快建设自贸区升级版</w:t>
      </w:r>
      <w:bookmarkEnd w:id="53"/>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bCs/>
          <w:color w:val="auto"/>
          <w:sz w:val="32"/>
          <w:szCs w:val="32"/>
        </w:rPr>
        <w:t>发展思路</w:t>
      </w:r>
      <w:r>
        <w:rPr>
          <w:rFonts w:hint="eastAsia" w:ascii="仿宋_GB2312" w:hAnsi="仿宋_GB2312" w:eastAsia="仿宋_GB2312" w:cs="仿宋_GB2312"/>
          <w:color w:val="auto"/>
          <w:sz w:val="32"/>
          <w:szCs w:val="32"/>
        </w:rPr>
        <w:t>。坚持制度创新和实体经济发展相结合，聚焦东北老工业基地结构调整和东北亚区域开放合作，大胆试、大胆闯、自主改，重点推动贸易和投资自由化便利化、市场准入和监管、金融服务创新试验，增强制度创新对企业发展、对实体经济转型的撬动作用，建设成为提升东北老工业基地整体竞争力和对外开放水平的新引擎，</w:t>
      </w:r>
      <w:r>
        <w:rPr>
          <w:rFonts w:hint="eastAsia" w:ascii="仿宋_GB2312" w:hAnsi="宋体" w:eastAsia="仿宋_GB2312"/>
          <w:color w:val="auto"/>
          <w:sz w:val="32"/>
          <w:szCs w:val="32"/>
        </w:rPr>
        <w:t>为沈阳国家中心城市建设积极贡献力量。整合自贸区腹地区域，</w:t>
      </w:r>
      <w:r>
        <w:rPr>
          <w:rFonts w:hint="eastAsia" w:ascii="仿宋_GB2312" w:hAnsi="仿宋_GB2312" w:eastAsia="仿宋_GB2312" w:cs="仿宋_GB2312"/>
          <w:bCs/>
          <w:color w:val="auto"/>
          <w:sz w:val="32"/>
          <w:szCs w:val="32"/>
        </w:rPr>
        <w:t>发挥空陆双港优势，按照“港-产-城”融合发展思路，以国际化航空枢纽建设为核心，打造以空陆双港为引领的枢纽经济平台和经贸窗口，创建临空经济示范区。</w:t>
      </w: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bCs/>
          <w:color w:val="auto"/>
          <w:sz w:val="32"/>
          <w:szCs w:val="32"/>
        </w:rPr>
        <w:t>发展目标</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Cs/>
          <w:color w:val="auto"/>
          <w:sz w:val="32"/>
          <w:szCs w:val="32"/>
        </w:rPr>
        <w:t>到2025年，构建更加全面的对外开放格局，在制度创新及新经济发展上成效显著，</w:t>
      </w:r>
      <w:r>
        <w:rPr>
          <w:rFonts w:hint="eastAsia" w:ascii="仿宋_GB2312" w:hAnsi="仿宋" w:eastAsia="仿宋_GB2312" w:cs="仿宋"/>
          <w:color w:val="auto"/>
          <w:sz w:val="32"/>
          <w:szCs w:val="32"/>
        </w:rPr>
        <w:t>建成投资贸易便利、资源高效配置、监管便捷高效、辐射作用突出的自由贸易园区，为辽宁乃至东北地区全面振兴、全方位振兴提供可复制、可推广经验。</w:t>
      </w:r>
      <w:r>
        <w:rPr>
          <w:rFonts w:hint="eastAsia" w:ascii="仿宋_GB2312" w:hAnsi="仿宋_GB2312" w:eastAsia="仿宋_GB2312" w:cs="仿宋_GB2312"/>
          <w:bCs/>
          <w:color w:val="auto"/>
          <w:sz w:val="32"/>
          <w:szCs w:val="32"/>
        </w:rPr>
        <w:t>制度创新在全国推广5个以上，在全省推广50个以上，进出口总额达到</w:t>
      </w:r>
      <w:r>
        <w:rPr>
          <w:rFonts w:ascii="仿宋_GB2312" w:hAnsi="仿宋_GB2312" w:eastAsia="仿宋_GB2312" w:cs="仿宋_GB2312"/>
          <w:bCs/>
          <w:color w:val="auto"/>
          <w:sz w:val="32"/>
          <w:szCs w:val="32"/>
        </w:rPr>
        <w:t>65</w:t>
      </w:r>
      <w:r>
        <w:rPr>
          <w:rFonts w:hint="eastAsia" w:ascii="仿宋_GB2312" w:hAnsi="仿宋_GB2312" w:eastAsia="仿宋_GB2312" w:cs="仿宋_GB2312"/>
          <w:bCs/>
          <w:color w:val="auto"/>
          <w:sz w:val="32"/>
          <w:szCs w:val="32"/>
        </w:rPr>
        <w:t>亿元，服务贸易进出口额占比达到20%以上，实际利用外资达到</w:t>
      </w:r>
      <w:r>
        <w:rPr>
          <w:rFonts w:ascii="仿宋_GB2312" w:hAnsi="仿宋_GB2312" w:eastAsia="仿宋_GB2312" w:cs="仿宋_GB2312"/>
          <w:bCs/>
          <w:color w:val="auto"/>
          <w:sz w:val="32"/>
          <w:szCs w:val="32"/>
        </w:rPr>
        <w:t>5000</w:t>
      </w:r>
      <w:r>
        <w:rPr>
          <w:rFonts w:hint="eastAsia" w:ascii="仿宋_GB2312" w:hAnsi="仿宋_GB2312" w:eastAsia="仿宋_GB2312" w:cs="仿宋_GB2312"/>
          <w:bCs/>
          <w:color w:val="auto"/>
          <w:sz w:val="32"/>
          <w:szCs w:val="32"/>
        </w:rPr>
        <w:t>万美元，企业累计注册数量5万户以上。</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产业定位</w:t>
      </w:r>
      <w:r>
        <w:rPr>
          <w:rFonts w:hint="eastAsia" w:ascii="仿宋_GB2312" w:hAnsi="仿宋_GB2312" w:eastAsia="仿宋_GB2312" w:cs="仿宋_GB2312"/>
          <w:color w:val="auto"/>
          <w:sz w:val="32"/>
          <w:szCs w:val="32"/>
        </w:rPr>
        <w:t>。</w:t>
      </w:r>
      <w:r>
        <w:rPr>
          <w:rFonts w:hint="eastAsia" w:ascii="仿宋_GB2312" w:hAnsi="仿宋" w:eastAsia="仿宋_GB2312" w:cs="仿宋"/>
          <w:color w:val="auto"/>
          <w:sz w:val="32"/>
          <w:szCs w:val="32"/>
        </w:rPr>
        <w:t>以制度创新引领产业形态，积极向国家和省直相关部门争取试验试点和改革权限，重点发展保税+装备制造、保税+新业态、口岸经济、跨境电商、服务贸易、新兴金融等产业。保税+装备制造发展保税+航空制造、医疗装备、机器人、新能源汽车等先进制造领域。</w:t>
      </w:r>
      <w:r>
        <w:rPr>
          <w:rFonts w:hint="eastAsia" w:ascii="仿宋_GB2312" w:hAnsi="仿宋_GB2312" w:eastAsia="仿宋_GB2312" w:cs="仿宋_GB2312"/>
          <w:color w:val="auto"/>
          <w:sz w:val="32"/>
          <w:szCs w:val="32"/>
        </w:rPr>
        <w:t>保税+新业态重点发展保税+研发创新、保税+医疗、保税+展示交易、保税+租赁等业态。</w:t>
      </w:r>
      <w:r>
        <w:rPr>
          <w:rFonts w:hint="eastAsia" w:ascii="仿宋_GB2312" w:hAnsi="仿宋" w:eastAsia="仿宋_GB2312" w:cs="仿宋"/>
          <w:color w:val="auto"/>
          <w:sz w:val="32"/>
          <w:szCs w:val="32"/>
        </w:rPr>
        <w:t>口岸经济主要依托水果、肉类、鲜花、药品等指定口岸发展跨境贸易及流通业，积极申报进口整车、粮食、苗木等口岸</w:t>
      </w:r>
      <w:r>
        <w:rPr>
          <w:rFonts w:hint="eastAsia" w:ascii="仿宋_GB2312" w:hAnsi="仿宋_GB2312" w:eastAsia="仿宋_GB2312" w:cs="仿宋_GB2312"/>
          <w:color w:val="auto"/>
          <w:sz w:val="32"/>
          <w:szCs w:val="32"/>
        </w:rPr>
        <w:t>。跨境电商发展保税备货（1210）、跨境直购（9610）、跨境电商B2B直接出口（9710）、跨境电商出口海外仓（9810）模式。服务贸易以服务业市场开放为重点，在医疗健康、信息技术服务、网红直播等领域形成服务贸易品牌优势。新兴金融依托先行先试政策，发展QFLP、商业保理、融资租赁等业态，积极引进境外金融机构。</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重点任务</w:t>
      </w:r>
      <w:r>
        <w:rPr>
          <w:rFonts w:hint="eastAsia" w:ascii="仿宋_GB2312" w:hAnsi="仿宋_GB2312" w:eastAsia="仿宋_GB2312" w:cs="仿宋_GB2312"/>
          <w:color w:val="auto"/>
          <w:sz w:val="32"/>
          <w:szCs w:val="32"/>
        </w:rPr>
        <w:t>。围绕投资便利化、贸易自由化两大核心方向，重点开展市场准入和监管、知识产权、保税物流、海关监管、通关服务、外汇收支、行政审批改革等方面制度创新，形成一批在国家和省市具有复制推广价值、切实有效的重点创新经验，</w:t>
      </w:r>
      <w:r>
        <w:rPr>
          <w:rFonts w:hint="eastAsia" w:ascii="仿宋_GB2312" w:hAnsi="仿宋" w:eastAsia="仿宋_GB2312" w:cs="仿宋"/>
          <w:bCs/>
          <w:color w:val="auto"/>
          <w:sz w:val="32"/>
          <w:szCs w:val="32"/>
        </w:rPr>
        <w:t>打造国际化营商环境</w:t>
      </w:r>
      <w:r>
        <w:rPr>
          <w:rFonts w:hint="eastAsia" w:ascii="仿宋_GB2312" w:hAnsi="仿宋_GB2312" w:eastAsia="仿宋_GB2312" w:cs="仿宋_GB2312"/>
          <w:color w:val="auto"/>
          <w:sz w:val="32"/>
          <w:szCs w:val="32"/>
        </w:rPr>
        <w:t>。推进综保区桃仙园区高质量发展，加快李相国际生命健康现代产业组团建设，升级完善跨境电商综合服务平台、外贸综合服务平台、检验检测认证服务平台、出入境人员综合服务平台等公共服务平台。强化自贸区、沈阳高新区一体化发展，推动自贸区与沈抚新区、中德园、金融商贸开发区等重点园区协同发展，在制度创新、产业发展、人才引进、金融服务等方面联动协作。围绕沈阳高新区、全市及沈阳都市圈主导产业方向，积极引进国际高端要素，支持企业“走出去”，建立境外研发中心、生产加工基地、国际营销网络和售后服务体系，进一步提升自贸区辐射带动功能。加强自贸区先行先试政策宣传和外在形象塑造，提升自贸区影响力及要素汇聚能力。建设中欧班列集结中心、航空快件国际枢纽中心、保税仓、公铁海航多式联运中心，开通全货机，提升通道功能和物流枢纽功能。</w:t>
      </w:r>
    </w:p>
    <w:p>
      <w:pPr>
        <w:pStyle w:val="31"/>
        <w:keepNext/>
        <w:spacing w:line="290" w:lineRule="exact"/>
        <w:ind w:firstLine="0" w:firstLineChars="0"/>
        <w:outlineLvl w:val="0"/>
        <w:rPr>
          <w:color w:val="auto"/>
        </w:rPr>
      </w:pPr>
    </w:p>
    <w:p>
      <w:pPr>
        <w:pStyle w:val="31"/>
        <w:numPr>
          <w:ilvl w:val="0"/>
          <w:numId w:val="5"/>
        </w:numPr>
        <w:spacing w:line="579" w:lineRule="exact"/>
        <w:ind w:firstLineChars="0"/>
        <w:jc w:val="center"/>
        <w:outlineLvl w:val="1"/>
        <w:rPr>
          <w:rFonts w:ascii="黑体" w:hAnsi="黑体" w:eastAsia="黑体" w:cs="黑体"/>
          <w:bCs/>
          <w:color w:val="auto"/>
          <w:sz w:val="32"/>
          <w:szCs w:val="32"/>
        </w:rPr>
      </w:pPr>
      <w:bookmarkStart w:id="54" w:name="_Toc59116902"/>
      <w:r>
        <w:rPr>
          <w:rFonts w:hint="eastAsia" w:ascii="黑体" w:hAnsi="黑体" w:eastAsia="黑体" w:cs="黑体"/>
          <w:bCs/>
          <w:color w:val="auto"/>
          <w:sz w:val="32"/>
          <w:szCs w:val="32"/>
        </w:rPr>
        <w:t>积极创建棋盘山国家级旅游度假区</w:t>
      </w:r>
      <w:bookmarkEnd w:id="54"/>
    </w:p>
    <w:p>
      <w:pPr>
        <w:pStyle w:val="31"/>
        <w:keepNext/>
        <w:spacing w:line="290" w:lineRule="exact"/>
        <w:ind w:firstLine="0" w:firstLineChars="0"/>
        <w:outlineLvl w:val="0"/>
        <w:rPr>
          <w:color w:val="auto"/>
        </w:rPr>
      </w:pPr>
    </w:p>
    <w:p>
      <w:pPr>
        <w:pStyle w:val="23"/>
        <w:spacing w:line="579" w:lineRule="exact"/>
        <w:ind w:firstLine="663"/>
        <w:rPr>
          <w:color w:val="auto"/>
        </w:rPr>
      </w:pPr>
      <w:r>
        <w:rPr>
          <w:rFonts w:hint="eastAsia"/>
          <w:b/>
          <w:bCs/>
          <w:color w:val="auto"/>
        </w:rPr>
        <w:t>发展思路</w:t>
      </w:r>
      <w:r>
        <w:rPr>
          <w:rFonts w:hint="eastAsia"/>
          <w:color w:val="auto"/>
        </w:rPr>
        <w:t>。抓住棋盘山地区前所未有的历史机遇，深入践行“绿水青山就是金山银山”理念，以生态环境保护为先决条件，以建设度假区核心项目为重点，积极导入高水平新项目新要素，加快重点景区提质升级，全力打造超级“引爆点”，</w:t>
      </w:r>
      <w:r>
        <w:rPr>
          <w:color w:val="auto"/>
        </w:rPr>
        <w:t>实施</w:t>
      </w:r>
      <w:r>
        <w:rPr>
          <w:rFonts w:hint="eastAsia"/>
          <w:color w:val="auto"/>
        </w:rPr>
        <w:t>“互联网+旅游”</w:t>
      </w:r>
      <w:r>
        <w:rPr>
          <w:color w:val="auto"/>
        </w:rPr>
        <w:t>战略</w:t>
      </w:r>
      <w:r>
        <w:rPr>
          <w:rFonts w:hint="eastAsia"/>
          <w:color w:val="auto"/>
        </w:rPr>
        <w:t>，高质量构建“文商旅”融合发展绿色产业体系，推动棋盘山地区经济绿色崛起，创建成国家级旅游度假区、全市重要增长极，实现区域生态、经济、社会跨越式发展。</w:t>
      </w:r>
    </w:p>
    <w:p>
      <w:pPr>
        <w:pStyle w:val="23"/>
        <w:spacing w:line="579" w:lineRule="exact"/>
        <w:ind w:firstLine="663"/>
        <w:rPr>
          <w:color w:val="auto"/>
        </w:rPr>
      </w:pPr>
      <w:r>
        <w:rPr>
          <w:rFonts w:hint="eastAsia"/>
          <w:b/>
          <w:bCs/>
          <w:color w:val="auto"/>
        </w:rPr>
        <w:t>发展目标。</w:t>
      </w:r>
      <w:r>
        <w:rPr>
          <w:rFonts w:hint="eastAsia"/>
          <w:color w:val="auto"/>
        </w:rPr>
        <w:t>到2</w:t>
      </w:r>
      <w:r>
        <w:rPr>
          <w:color w:val="auto"/>
        </w:rPr>
        <w:t>025</w:t>
      </w:r>
      <w:r>
        <w:rPr>
          <w:rFonts w:hint="eastAsia"/>
          <w:color w:val="auto"/>
        </w:rPr>
        <w:t>年，棋盘山地区生态环境全面改善，自然环境、人工环境优良，空气质量达到GB 3095的二类区标准，地表水质量达到GB 3838的IV类标准，人工设施景观极具艺术特色和创意，休闲度假氛围浓厚；基础设施配套日益完善，具备3个国际品牌（国际水准）度假酒店，住宿接待客房总数达到1200间；治理水平显著提升，无重大旅游安全事故发生；绿色产业发展成绩显著，运动健身、休闲娱乐、康养疗养、夜游、常态化节庆演艺活动等休闲度假产品完全满足不同人群、不同时段、不同季节的度假需求。建设成景区山美水清、项目业态高端、文化底蕴深厚的产业与生态融合示范区，创建国家级旅游度假区。2</w:t>
      </w:r>
      <w:r>
        <w:rPr>
          <w:color w:val="auto"/>
        </w:rPr>
        <w:t>025</w:t>
      </w:r>
      <w:r>
        <w:rPr>
          <w:rFonts w:hint="eastAsia"/>
          <w:color w:val="auto"/>
        </w:rPr>
        <w:t>年棋盘山地区实现年接待游客达到</w:t>
      </w:r>
      <w:r>
        <w:rPr>
          <w:color w:val="auto"/>
        </w:rPr>
        <w:t>2500</w:t>
      </w:r>
      <w:r>
        <w:rPr>
          <w:rFonts w:hint="eastAsia"/>
          <w:color w:val="auto"/>
        </w:rPr>
        <w:t>万人次，绿色产业营业收入达到</w:t>
      </w:r>
      <w:r>
        <w:rPr>
          <w:color w:val="auto"/>
        </w:rPr>
        <w:t>500</w:t>
      </w:r>
      <w:r>
        <w:rPr>
          <w:rFonts w:hint="eastAsia"/>
          <w:color w:val="auto"/>
        </w:rPr>
        <w:t>亿元。</w:t>
      </w:r>
    </w:p>
    <w:p>
      <w:pPr>
        <w:pStyle w:val="23"/>
        <w:spacing w:line="579" w:lineRule="exact"/>
        <w:ind w:firstLine="663"/>
        <w:rPr>
          <w:color w:val="auto"/>
        </w:rPr>
      </w:pPr>
      <w:r>
        <w:rPr>
          <w:rFonts w:hint="eastAsia"/>
          <w:b/>
          <w:bCs/>
          <w:color w:val="auto"/>
        </w:rPr>
        <w:t>产业定位。</w:t>
      </w:r>
      <w:r>
        <w:rPr>
          <w:rFonts w:hint="eastAsia"/>
          <w:color w:val="auto"/>
        </w:rPr>
        <w:t>重点发展以旅游度假、文化创意、医养健康为核心的生态友好型绿色产业。旅游度假发展</w:t>
      </w:r>
      <w:r>
        <w:rPr>
          <w:rFonts w:hint="eastAsia" w:hAnsi="仿宋_GB2312" w:cs="仿宋_GB2312"/>
          <w:color w:val="auto"/>
        </w:rPr>
        <w:t>观光旅游、休闲旅游、体验旅游、度假旅游、乡村旅游、</w:t>
      </w:r>
      <w:r>
        <w:rPr>
          <w:rFonts w:hint="eastAsia"/>
          <w:color w:val="auto"/>
        </w:rPr>
        <w:t>冰雪运动、休闲健身、特色商贸、精品民宿</w:t>
      </w:r>
      <w:r>
        <w:rPr>
          <w:rFonts w:hint="eastAsia" w:hAnsi="仿宋_GB2312" w:cs="仿宋_GB2312"/>
          <w:color w:val="auto"/>
        </w:rPr>
        <w:t>等业态。文化创意发展影视传媒、婚庆、</w:t>
      </w:r>
      <w:r>
        <w:rPr>
          <w:rFonts w:hint="eastAsia"/>
          <w:color w:val="auto"/>
        </w:rPr>
        <w:t>数字教育、</w:t>
      </w:r>
      <w:r>
        <w:rPr>
          <w:rFonts w:hint="eastAsia" w:hAnsi="仿宋_GB2312" w:cs="仿宋_GB2312"/>
          <w:color w:val="auto"/>
        </w:rPr>
        <w:t>音乐美术、直播等业态。</w:t>
      </w:r>
      <w:r>
        <w:rPr>
          <w:rFonts w:hint="eastAsia"/>
          <w:color w:val="auto"/>
        </w:rPr>
        <w:t>医养健康重点依托光明小镇，发展眼健康、医养结合、健康管理等业态。</w:t>
      </w:r>
    </w:p>
    <w:p>
      <w:pPr>
        <w:pStyle w:val="23"/>
        <w:spacing w:line="579" w:lineRule="exact"/>
        <w:ind w:firstLine="663"/>
        <w:rPr>
          <w:color w:val="auto"/>
        </w:rPr>
      </w:pPr>
      <w:r>
        <w:rPr>
          <w:rFonts w:hint="eastAsia"/>
          <w:b/>
          <w:bCs/>
          <w:color w:val="auto"/>
        </w:rPr>
        <w:t>重点任务。</w:t>
      </w:r>
      <w:r>
        <w:rPr>
          <w:rFonts w:hint="eastAsia"/>
          <w:color w:val="auto"/>
        </w:rPr>
        <w:t>加强棋盘山地区生态文明建设和环境治理，持续维护棋盘山地区高质量发展的绿色基底，推进国家级“两山”实践创新基地建设，打造绿色低碳发展的“产业绿岛”。推进重点景区精品化建设，</w:t>
      </w:r>
      <w:r>
        <w:rPr>
          <w:color w:val="auto"/>
        </w:rPr>
        <w:t>引进</w:t>
      </w:r>
      <w:r>
        <w:rPr>
          <w:rFonts w:hint="eastAsia"/>
          <w:color w:val="auto"/>
        </w:rPr>
        <w:t>建设一批</w:t>
      </w:r>
      <w:r>
        <w:rPr>
          <w:color w:val="auto"/>
        </w:rPr>
        <w:t>龙头性</w:t>
      </w:r>
      <w:r>
        <w:rPr>
          <w:rFonts w:hint="eastAsia"/>
          <w:color w:val="auto"/>
        </w:rPr>
        <w:t>和</w:t>
      </w:r>
      <w:r>
        <w:rPr>
          <w:color w:val="auto"/>
        </w:rPr>
        <w:t>引领性主题乐园、购物</w:t>
      </w:r>
      <w:r>
        <w:rPr>
          <w:rFonts w:hint="eastAsia"/>
          <w:color w:val="auto"/>
        </w:rPr>
        <w:t>中心</w:t>
      </w:r>
      <w:r>
        <w:rPr>
          <w:color w:val="auto"/>
        </w:rPr>
        <w:t>、</w:t>
      </w:r>
      <w:r>
        <w:rPr>
          <w:rFonts w:hint="eastAsia"/>
          <w:color w:val="auto"/>
        </w:rPr>
        <w:t>会展中心</w:t>
      </w:r>
      <w:r>
        <w:rPr>
          <w:color w:val="auto"/>
        </w:rPr>
        <w:t>、</w:t>
      </w:r>
      <w:r>
        <w:rPr>
          <w:rFonts w:hint="eastAsia"/>
          <w:color w:val="auto"/>
        </w:rPr>
        <w:t>特色小镇等引爆点项目，深挖文化内涵，升级度假区旅游产品体系；</w:t>
      </w:r>
      <w:r>
        <w:rPr>
          <w:color w:val="auto"/>
        </w:rPr>
        <w:t>引进建设一批国际品牌度假酒店，加快餐饮、住宿、购物、夜经济等业态配套</w:t>
      </w:r>
      <w:r>
        <w:rPr>
          <w:rFonts w:hint="eastAsia"/>
          <w:color w:val="auto"/>
        </w:rPr>
        <w:t>；推动</w:t>
      </w:r>
      <w:r>
        <w:rPr>
          <w:color w:val="auto"/>
        </w:rPr>
        <w:t>文化创意、会展会议、教育研学、特色商贸等</w:t>
      </w:r>
      <w:r>
        <w:rPr>
          <w:rFonts w:hint="eastAsia"/>
          <w:color w:val="auto"/>
        </w:rPr>
        <w:t>相关</w:t>
      </w:r>
      <w:r>
        <w:rPr>
          <w:color w:val="auto"/>
        </w:rPr>
        <w:t>产业</w:t>
      </w:r>
      <w:r>
        <w:rPr>
          <w:rFonts w:hint="eastAsia"/>
          <w:color w:val="auto"/>
        </w:rPr>
        <w:t>发展</w:t>
      </w:r>
      <w:r>
        <w:rPr>
          <w:color w:val="auto"/>
        </w:rPr>
        <w:t>，打造宜居宜业宜游文旅产业新城</w:t>
      </w:r>
      <w:r>
        <w:rPr>
          <w:rFonts w:hint="eastAsia"/>
          <w:color w:val="auto"/>
        </w:rPr>
        <w:t>。加强</w:t>
      </w:r>
      <w:r>
        <w:rPr>
          <w:color w:val="auto"/>
        </w:rPr>
        <w:t>景区</w:t>
      </w:r>
      <w:r>
        <w:rPr>
          <w:rFonts w:hint="eastAsia"/>
          <w:color w:val="auto"/>
        </w:rPr>
        <w:t>、项目协同</w:t>
      </w:r>
      <w:r>
        <w:rPr>
          <w:color w:val="auto"/>
        </w:rPr>
        <w:t>联动，开发</w:t>
      </w:r>
      <w:r>
        <w:rPr>
          <w:rFonts w:hint="eastAsia"/>
          <w:color w:val="auto"/>
        </w:rPr>
        <w:t>设计</w:t>
      </w:r>
      <w:r>
        <w:rPr>
          <w:color w:val="auto"/>
        </w:rPr>
        <w:t>精品旅游路线</w:t>
      </w:r>
      <w:r>
        <w:rPr>
          <w:rFonts w:hint="eastAsia"/>
          <w:color w:val="auto"/>
        </w:rPr>
        <w:t>，构建市场化营销体系</w:t>
      </w:r>
      <w:r>
        <w:rPr>
          <w:color w:val="auto"/>
        </w:rPr>
        <w:t>。</w:t>
      </w:r>
      <w:r>
        <w:rPr>
          <w:rFonts w:hint="eastAsia"/>
          <w:color w:val="auto"/>
        </w:rPr>
        <w:t>高水平承办</w:t>
      </w:r>
      <w:r>
        <w:rPr>
          <w:color w:val="auto"/>
        </w:rPr>
        <w:t>体育赛事</w:t>
      </w:r>
      <w:r>
        <w:rPr>
          <w:rFonts w:hint="eastAsia"/>
          <w:color w:val="auto"/>
        </w:rPr>
        <w:t>，定期举办</w:t>
      </w:r>
      <w:r>
        <w:rPr>
          <w:color w:val="auto"/>
        </w:rPr>
        <w:t>文化盛会、节庆活动，</w:t>
      </w:r>
      <w:r>
        <w:rPr>
          <w:rFonts w:hint="eastAsia"/>
          <w:color w:val="auto"/>
        </w:rPr>
        <w:t>提高</w:t>
      </w:r>
      <w:r>
        <w:rPr>
          <w:color w:val="auto"/>
        </w:rPr>
        <w:t>度假区品牌知名度。着力提升基础设施保障能力，补齐交通基础设施短板，全面推动信息化智慧景区建设</w:t>
      </w:r>
      <w:r>
        <w:rPr>
          <w:rFonts w:hint="eastAsia"/>
          <w:color w:val="auto"/>
        </w:rPr>
        <w:t>。</w:t>
      </w:r>
      <w:r>
        <w:rPr>
          <w:color w:val="auto"/>
        </w:rPr>
        <w:t>围绕光明小镇建设，推动眼健康产业链条化、创新化发展，加快养老养生、健康管理等业态升级。</w:t>
      </w:r>
      <w:r>
        <w:rPr>
          <w:rFonts w:hint="eastAsia"/>
          <w:color w:val="auto"/>
        </w:rPr>
        <w:t>深化“小管委会+大公司”改革，探索有利于度假区开发建设的土地、行业监管、项目审批等制度创新举措。</w:t>
      </w:r>
    </w:p>
    <w:p>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bookmarkEnd w:id="31"/>
    <w:p>
      <w:pPr>
        <w:pStyle w:val="31"/>
        <w:keepNext/>
        <w:spacing w:line="290" w:lineRule="exact"/>
        <w:ind w:firstLine="0" w:firstLineChars="0"/>
        <w:outlineLvl w:val="0"/>
        <w:rPr>
          <w:rFonts w:ascii="宋体" w:hAnsi="宋体" w:cs="宋体"/>
          <w:b/>
          <w:color w:val="auto"/>
          <w:sz w:val="44"/>
          <w:szCs w:val="44"/>
        </w:rPr>
      </w:pPr>
      <w:bookmarkStart w:id="55" w:name="_Toc55855135"/>
      <w:bookmarkStart w:id="56" w:name="_Toc59116903"/>
    </w:p>
    <w:p>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构建新经济产业体系</w:t>
      </w:r>
      <w:bookmarkEnd w:id="55"/>
      <w:bookmarkEnd w:id="56"/>
    </w:p>
    <w:p>
      <w:pPr>
        <w:pStyle w:val="31"/>
        <w:keepNext/>
        <w:spacing w:line="290" w:lineRule="exact"/>
        <w:ind w:firstLine="0" w:firstLineChars="0"/>
        <w:outlineLvl w:val="0"/>
        <w:rPr>
          <w:color w:val="auto"/>
        </w:rPr>
      </w:pPr>
    </w:p>
    <w:p>
      <w:pPr>
        <w:ind w:firstLine="660" w:firstLineChars="200"/>
        <w:rPr>
          <w:rFonts w:ascii="仿宋_GB2312" w:hAnsi="仿宋_GB2312" w:eastAsia="仿宋_GB2312" w:cs="仿宋_GB2312"/>
          <w:color w:val="auto"/>
          <w:sz w:val="32"/>
          <w:szCs w:val="32"/>
          <w:u w:val="single"/>
        </w:rPr>
      </w:pPr>
      <w:bookmarkStart w:id="57" w:name="_Hlk56969497"/>
      <w:bookmarkStart w:id="58" w:name="_Toc1699"/>
      <w:r>
        <w:rPr>
          <w:rFonts w:hint="eastAsia" w:ascii="仿宋_GB2312" w:hAnsi="仿宋_GB2312" w:eastAsia="仿宋_GB2312" w:cs="仿宋_GB2312"/>
          <w:color w:val="auto"/>
          <w:sz w:val="32"/>
          <w:szCs w:val="32"/>
        </w:rPr>
        <w:t>坚持三次产业融合，坚持“软”“硬”产业兼顾，坚持新经济主导，把握新一轮产业变革、国内国际“双循环”、新一轮消费升级机会，结合“一核两极三组团五板块”产业承载力，构建以高新技术产业和战略性新兴产业为核心的“6重点+6特色+3未来”产业体系。在产业体系基础上，通过内培外引、延链补链、产业生态构建，不断汇集新经济要素、聚集新经济企业，建设一批新经济产业园区，聚力培育新一代信息技术、半导体、机器人、民用航空、先进材料、新能源汽车、智能医疗、生物医药、眼健康、电子商务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条优势产业链，着力打造具有一定影响力的智能经济产业集群</w:t>
      </w:r>
      <w:bookmarkEnd w:id="57"/>
      <w:r>
        <w:rPr>
          <w:rFonts w:hint="eastAsia" w:ascii="仿宋_GB2312" w:hAnsi="仿宋_GB2312" w:eastAsia="仿宋_GB2312" w:cs="仿宋_GB2312"/>
          <w:color w:val="auto"/>
          <w:sz w:val="32"/>
          <w:szCs w:val="32"/>
        </w:rPr>
        <w:t>。</w:t>
      </w:r>
    </w:p>
    <w:p>
      <w:pPr>
        <w:pStyle w:val="31"/>
        <w:keepNext/>
        <w:spacing w:line="290" w:lineRule="exact"/>
        <w:ind w:firstLine="0" w:firstLineChars="0"/>
        <w:outlineLvl w:val="0"/>
        <w:rPr>
          <w:rFonts w:ascii="黑体" w:hAnsi="黑体" w:eastAsia="黑体" w:cs="黑体"/>
          <w:bCs/>
          <w:color w:val="auto"/>
          <w:sz w:val="32"/>
          <w:szCs w:val="32"/>
        </w:rPr>
      </w:pPr>
      <w:bookmarkStart w:id="59" w:name="_Toc59116904"/>
      <w:bookmarkStart w:id="60" w:name="_Toc55855136"/>
    </w:p>
    <w:p>
      <w:pPr>
        <w:spacing w:line="579" w:lineRule="exact"/>
        <w:jc w:val="center"/>
        <w:outlineLvl w:val="1"/>
        <w:rPr>
          <w:rFonts w:ascii="黑体" w:hAnsi="黑体" w:eastAsia="黑体" w:cs="黑体"/>
          <w:bCs/>
          <w:color w:val="auto"/>
          <w:sz w:val="32"/>
          <w:szCs w:val="32"/>
        </w:rPr>
      </w:pPr>
      <w:r>
        <w:rPr>
          <w:rFonts w:hint="eastAsia" w:ascii="黑体" w:hAnsi="黑体" w:eastAsia="黑体" w:cs="黑体"/>
          <w:bCs/>
          <w:color w:val="auto"/>
          <w:sz w:val="32"/>
          <w:szCs w:val="32"/>
        </w:rPr>
        <w:t xml:space="preserve">第一节 </w:t>
      </w:r>
      <w:bookmarkEnd w:id="58"/>
      <w:r>
        <w:rPr>
          <w:rFonts w:hint="eastAsia" w:ascii="黑体" w:hAnsi="黑体" w:eastAsia="黑体" w:cs="黑体"/>
          <w:bCs/>
          <w:color w:val="auto"/>
          <w:sz w:val="32"/>
          <w:szCs w:val="32"/>
        </w:rPr>
        <w:t>做大做强六个重点产业</w:t>
      </w:r>
      <w:bookmarkEnd w:id="59"/>
      <w:bookmarkEnd w:id="60"/>
    </w:p>
    <w:p>
      <w:pPr>
        <w:pStyle w:val="31"/>
        <w:keepNext/>
        <w:spacing w:line="290" w:lineRule="exact"/>
        <w:ind w:firstLine="0" w:firstLineChars="0"/>
        <w:outlineLvl w:val="0"/>
        <w:rPr>
          <w:rFonts w:ascii="仿宋_GB2312" w:hAnsi="仿宋_GB2312" w:eastAsia="仿宋_GB2312" w:cs="仿宋_GB2312"/>
          <w:color w:val="auto"/>
          <w:sz w:val="32"/>
          <w:szCs w:val="32"/>
        </w:rPr>
      </w:pPr>
    </w:p>
    <w:p>
      <w:pPr>
        <w:spacing w:line="579" w:lineRule="exact"/>
        <w:ind w:firstLine="660" w:firstLineChars="200"/>
        <w:rPr>
          <w:rFonts w:ascii="宋体" w:hAnsi="宋体"/>
          <w:color w:val="auto"/>
          <w:sz w:val="32"/>
          <w:szCs w:val="32"/>
        </w:rPr>
      </w:pPr>
      <w:r>
        <w:rPr>
          <w:rFonts w:hint="eastAsia" w:ascii="仿宋_GB2312" w:hAnsi="仿宋_GB2312" w:eastAsia="仿宋_GB2312" w:cs="仿宋_GB2312"/>
          <w:color w:val="auto"/>
          <w:sz w:val="32"/>
          <w:szCs w:val="32"/>
        </w:rPr>
        <w:t>做大做强新一代信息技术、高端装备、新能源汽车、生命健康、文体休闲、临空经济等六个重点产业，培育成为高新板块、棋盘山文商旅与生态融合板块（旅游度假板块）、桃仙临空经济板块（自贸拓展板块）核心产业。</w:t>
      </w:r>
    </w:p>
    <w:p>
      <w:pPr>
        <w:pStyle w:val="4"/>
        <w:spacing w:beforeLines="50" w:afterLines="50" w:line="579" w:lineRule="exact"/>
        <w:ind w:firstLine="660" w:firstLineChars="200"/>
        <w:rPr>
          <w:rFonts w:ascii="黑体" w:hAnsi="黑体" w:eastAsia="黑体" w:cs="仿宋_GB2312"/>
          <w:b w:val="0"/>
          <w:color w:val="auto"/>
        </w:rPr>
      </w:pPr>
      <w:bookmarkStart w:id="61" w:name="_Toc59116905"/>
      <w:bookmarkStart w:id="62" w:name="_Hlk55555474"/>
      <w:r>
        <w:rPr>
          <w:rFonts w:hint="eastAsia" w:ascii="黑体" w:hAnsi="黑体" w:eastAsia="黑体" w:cs="仿宋_GB2312"/>
          <w:b w:val="0"/>
          <w:color w:val="auto"/>
        </w:rPr>
        <w:t>1</w:t>
      </w:r>
      <w:r>
        <w:rPr>
          <w:rFonts w:ascii="黑体" w:hAnsi="黑体" w:eastAsia="黑体" w:cs="仿宋_GB2312"/>
          <w:b w:val="0"/>
          <w:color w:val="auto"/>
        </w:rPr>
        <w:t>.</w:t>
      </w:r>
      <w:r>
        <w:rPr>
          <w:rFonts w:hint="eastAsia" w:ascii="黑体" w:hAnsi="黑体" w:eastAsia="黑体" w:cs="仿宋_GB2312"/>
          <w:b w:val="0"/>
          <w:color w:val="auto"/>
        </w:rPr>
        <w:t>发展壮大新一代信息技术产业</w:t>
      </w:r>
      <w:bookmarkEnd w:id="61"/>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协同推进“产业数字化、数字产业化”，加强数字化基础设施和新技术新产品示范场景建设，推动</w:t>
      </w:r>
      <w:r>
        <w:rPr>
          <w:rFonts w:ascii="仿宋_GB2312" w:hAnsi="仿宋_GB2312" w:eastAsia="仿宋_GB2312" w:cs="仿宋_GB2312"/>
          <w:color w:val="auto"/>
          <w:sz w:val="32"/>
          <w:szCs w:val="32"/>
        </w:rPr>
        <w:t>企业上云</w:t>
      </w:r>
      <w:r>
        <w:rPr>
          <w:rFonts w:hint="eastAsia" w:ascii="仿宋_GB2312" w:hAnsi="仿宋_GB2312" w:eastAsia="仿宋_GB2312" w:cs="仿宋_GB2312"/>
          <w:color w:val="auto"/>
          <w:sz w:val="32"/>
          <w:szCs w:val="32"/>
        </w:rPr>
        <w:t>用</w:t>
      </w:r>
      <w:r>
        <w:rPr>
          <w:rFonts w:ascii="仿宋_GB2312" w:hAnsi="仿宋_GB2312" w:eastAsia="仿宋_GB2312" w:cs="仿宋_GB2312"/>
          <w:color w:val="auto"/>
          <w:sz w:val="32"/>
          <w:szCs w:val="32"/>
        </w:rPr>
        <w:t>数</w:t>
      </w:r>
      <w:r>
        <w:rPr>
          <w:rFonts w:hint="eastAsia" w:ascii="仿宋_GB2312" w:hAnsi="仿宋_GB2312" w:eastAsia="仿宋_GB2312" w:cs="仿宋_GB2312"/>
          <w:color w:val="auto"/>
          <w:sz w:val="32"/>
          <w:szCs w:val="32"/>
        </w:rPr>
        <w:t>，实现</w:t>
      </w:r>
      <w:r>
        <w:rPr>
          <w:rFonts w:ascii="仿宋_GB2312" w:hAnsi="仿宋_GB2312" w:eastAsia="仿宋_GB2312" w:cs="仿宋_GB2312"/>
          <w:color w:val="auto"/>
          <w:sz w:val="32"/>
          <w:szCs w:val="32"/>
        </w:rPr>
        <w:t>产业数字化</w:t>
      </w:r>
      <w:r>
        <w:rPr>
          <w:rFonts w:hint="eastAsia" w:ascii="仿宋_GB2312" w:hAnsi="仿宋_GB2312" w:eastAsia="仿宋_GB2312" w:cs="仿宋_GB2312"/>
          <w:color w:val="auto"/>
          <w:sz w:val="32"/>
          <w:szCs w:val="32"/>
        </w:rPr>
        <w:t>，推动软件外包产业升级发展，实施“平台+生态”战略，重点发展互联网平台经济（软件及信息服务）、网络通信、信创产业等细分方向，打通新一代信息技术全产业链，实现</w:t>
      </w:r>
      <w:r>
        <w:rPr>
          <w:rFonts w:ascii="仿宋_GB2312" w:hAnsi="仿宋_GB2312" w:eastAsia="仿宋_GB2312" w:cs="仿宋_GB2312"/>
          <w:color w:val="auto"/>
          <w:sz w:val="32"/>
          <w:szCs w:val="32"/>
        </w:rPr>
        <w:t>数字产业化，</w:t>
      </w:r>
      <w:r>
        <w:rPr>
          <w:rFonts w:hint="eastAsia" w:ascii="仿宋_GB2312" w:hAnsi="仿宋_GB2312" w:eastAsia="仿宋_GB2312" w:cs="仿宋_GB2312"/>
          <w:color w:val="auto"/>
          <w:sz w:val="32"/>
          <w:szCs w:val="32"/>
        </w:rPr>
        <w:t>建设数字经济强区。</w:t>
      </w:r>
      <w:r>
        <w:rPr>
          <w:rFonts w:hint="eastAsia" w:ascii="仿宋_GB2312" w:hAnsi="仿宋_GB2312" w:eastAsia="仿宋_GB2312" w:cs="仿宋_GB2312"/>
          <w:b/>
          <w:bCs/>
          <w:color w:val="auto"/>
          <w:sz w:val="32"/>
          <w:szCs w:val="32"/>
        </w:rPr>
        <w:t>大力发展互联平台经济（软件及信息服务）</w:t>
      </w:r>
      <w:r>
        <w:rPr>
          <w:rFonts w:hint="eastAsia" w:ascii="仿宋_GB2312" w:hAnsi="仿宋_GB2312" w:eastAsia="仿宋_GB2312" w:cs="仿宋_GB2312"/>
          <w:color w:val="auto"/>
          <w:sz w:val="32"/>
          <w:szCs w:val="32"/>
        </w:rPr>
        <w:t>，依托东软集团、东软熙康、向日葵、美行科技、麟龙科技、易迅科技、东北凯亚、风驰软件、聚德视频等重点企业，建设工业互联网、智慧城市、智慧医疗、数字教育、智慧出行、智慧物流等领域垂直行业平台，引进全国互联网头部企业建设北方区域平台，汇聚物联网、云计算、大数据、人工智能、网络安全、机器视觉等软件及技术服务配套企业，建设智慧医疗、数字教育、机器视觉等特色小镇，推动数字经济新赛道集群化、生态化发展。</w:t>
      </w:r>
      <w:r>
        <w:rPr>
          <w:rFonts w:hint="eastAsia" w:ascii="仿宋_GB2312" w:hAnsi="仿宋_GB2312" w:eastAsia="仿宋_GB2312" w:cs="仿宋_GB2312"/>
          <w:b/>
          <w:bCs/>
          <w:color w:val="auto"/>
          <w:sz w:val="32"/>
          <w:szCs w:val="32"/>
        </w:rPr>
        <w:t>积极发展网络通信产业</w:t>
      </w:r>
      <w:r>
        <w:rPr>
          <w:rFonts w:hint="eastAsia" w:ascii="仿宋_GB2312" w:hAnsi="仿宋_GB2312" w:eastAsia="仿宋_GB2312" w:cs="仿宋_GB2312"/>
          <w:color w:val="auto"/>
          <w:sz w:val="32"/>
          <w:szCs w:val="32"/>
        </w:rPr>
        <w:t>，推动移动公司、联通公司等加强布局5G基础设施，建设</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G应用联合实验室、示范场景及工业互联网二级解析节点，引进5G上游配套企业及在线教育、远程医疗、智能健康管理、工业互联网、智慧城市、视频化电子商务等领域下游应用企业，并积极引进北斗应用企业。</w:t>
      </w:r>
      <w:r>
        <w:rPr>
          <w:rFonts w:hint="eastAsia" w:ascii="仿宋_GB2312" w:hAnsi="仿宋_GB2312" w:eastAsia="仿宋_GB2312" w:cs="仿宋_GB2312"/>
          <w:b/>
          <w:bCs/>
          <w:color w:val="auto"/>
          <w:sz w:val="32"/>
          <w:szCs w:val="32"/>
        </w:rPr>
        <w:t>积极布局信创产业</w:t>
      </w:r>
      <w:r>
        <w:rPr>
          <w:rFonts w:hint="eastAsia" w:ascii="仿宋_GB2312" w:hAnsi="仿宋_GB2312" w:eastAsia="仿宋_GB2312" w:cs="仿宋_GB2312"/>
          <w:color w:val="auto"/>
          <w:sz w:val="32"/>
          <w:szCs w:val="32"/>
        </w:rPr>
        <w:t>，依托联通公司、华为鲲鹏生态、清华同方、宏图创展等，发展计算机、高端服务器、操作系统、软件中间件、数据库等重点领域。到2025年，新一代信息技术产业总营业收入达到</w:t>
      </w:r>
      <w:r>
        <w:rPr>
          <w:rFonts w:ascii="仿宋_GB2312" w:hAnsi="仿宋_GB2312" w:eastAsia="仿宋_GB2312" w:cs="仿宋_GB2312"/>
          <w:color w:val="auto"/>
          <w:sz w:val="32"/>
          <w:szCs w:val="32"/>
        </w:rPr>
        <w:t>500</w:t>
      </w:r>
      <w:r>
        <w:rPr>
          <w:rFonts w:hint="eastAsia" w:ascii="仿宋_GB2312" w:hAnsi="仿宋_GB2312" w:eastAsia="仿宋_GB2312" w:cs="仿宋_GB2312"/>
          <w:color w:val="auto"/>
          <w:sz w:val="32"/>
          <w:szCs w:val="32"/>
        </w:rPr>
        <w:t>亿元，规上工业企业产值达到</w:t>
      </w:r>
      <w:r>
        <w:rPr>
          <w:rFonts w:ascii="仿宋_GB2312" w:hAnsi="仿宋_GB2312" w:eastAsia="仿宋_GB2312" w:cs="仿宋_GB2312"/>
          <w:color w:val="auto"/>
          <w:sz w:val="32"/>
          <w:szCs w:val="32"/>
        </w:rPr>
        <w:t>300</w:t>
      </w:r>
      <w:r>
        <w:rPr>
          <w:rFonts w:hint="eastAsia" w:ascii="仿宋_GB2312" w:hAnsi="仿宋_GB2312" w:eastAsia="仿宋_GB2312" w:cs="仿宋_GB2312"/>
          <w:color w:val="auto"/>
          <w:sz w:val="32"/>
          <w:szCs w:val="32"/>
        </w:rPr>
        <w:t>亿元。</w:t>
      </w:r>
    </w:p>
    <w:bookmarkEnd w:id="62"/>
    <w:p>
      <w:pPr>
        <w:pStyle w:val="4"/>
        <w:spacing w:beforeLines="50" w:afterLines="50" w:line="579" w:lineRule="exact"/>
        <w:ind w:firstLine="660" w:firstLineChars="200"/>
        <w:rPr>
          <w:rFonts w:ascii="黑体" w:hAnsi="黑体" w:eastAsia="黑体" w:cs="仿宋_GB2312"/>
          <w:b w:val="0"/>
          <w:color w:val="auto"/>
        </w:rPr>
      </w:pPr>
      <w:bookmarkStart w:id="63" w:name="_Toc59116906"/>
      <w:r>
        <w:rPr>
          <w:rFonts w:hint="eastAsia" w:ascii="黑体" w:hAnsi="黑体" w:eastAsia="黑体" w:cs="仿宋_GB2312"/>
          <w:b w:val="0"/>
          <w:color w:val="auto"/>
        </w:rPr>
        <w:t>2</w:t>
      </w:r>
      <w:r>
        <w:rPr>
          <w:rFonts w:ascii="黑体" w:hAnsi="黑体" w:eastAsia="黑体" w:cs="仿宋_GB2312"/>
          <w:b w:val="0"/>
          <w:color w:val="auto"/>
        </w:rPr>
        <w:t>.</w:t>
      </w:r>
      <w:r>
        <w:rPr>
          <w:rFonts w:hint="eastAsia" w:ascii="黑体" w:hAnsi="黑体" w:eastAsia="黑体" w:cs="仿宋_GB2312"/>
          <w:b w:val="0"/>
          <w:color w:val="auto"/>
        </w:rPr>
        <w:t>持续做强高端装备产业</w:t>
      </w:r>
      <w:bookmarkEnd w:id="63"/>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立足沈阳装备制造产业及研发基础，大力发展新兴领域、进口替代领域，推动首台(套)重大技术装备示范应用，围绕主机制造配齐零部件、元器件，补齐研发、设计、销售等服务环节，重点培育半导体、机器人产业链，积极布局能源与环保装备领域。</w:t>
      </w:r>
      <w:r>
        <w:rPr>
          <w:rFonts w:hint="eastAsia" w:ascii="仿宋_GB2312" w:hAnsi="仿宋_GB2312" w:eastAsia="仿宋_GB2312" w:cs="仿宋_GB2312"/>
          <w:b/>
          <w:bCs/>
          <w:color w:val="auto"/>
          <w:sz w:val="32"/>
          <w:szCs w:val="32"/>
        </w:rPr>
        <w:t>加强培育半导体产业链</w:t>
      </w:r>
      <w:r>
        <w:rPr>
          <w:rFonts w:hint="eastAsia" w:ascii="仿宋_GB2312" w:hAnsi="仿宋_GB2312" w:eastAsia="仿宋_GB2312" w:cs="仿宋_GB2312"/>
          <w:color w:val="auto"/>
          <w:sz w:val="32"/>
          <w:szCs w:val="32"/>
        </w:rPr>
        <w:t>，依托芯源微、沈阳科仪、富创精密、拓荆科技、中科博微、新松、沈阳仪表院等重点企业及中科院沈阳自动化所，发展涂胶显影机、薄膜设备、划片机、刻蚀机等半导体整机设备，真空机械手等核心单元部件，以及精密零部件和控制软件，延伸布局新一代半导体材料及器件加工、工业传感器、物联网芯片等领域。</w:t>
      </w:r>
      <w:r>
        <w:rPr>
          <w:rFonts w:hint="eastAsia" w:ascii="仿宋_GB2312" w:hAnsi="仿宋_GB2312" w:eastAsia="仿宋_GB2312" w:cs="仿宋_GB2312"/>
          <w:b/>
          <w:bCs/>
          <w:color w:val="auto"/>
          <w:sz w:val="32"/>
          <w:szCs w:val="32"/>
        </w:rPr>
        <w:t>加强培育机器人产业链</w:t>
      </w:r>
      <w:r>
        <w:rPr>
          <w:rFonts w:hint="eastAsia" w:ascii="仿宋_GB2312" w:hAnsi="仿宋_GB2312" w:eastAsia="仿宋_GB2312" w:cs="仿宋_GB2312"/>
          <w:color w:val="auto"/>
          <w:sz w:val="32"/>
          <w:szCs w:val="32"/>
        </w:rPr>
        <w:t>，依托新松等重点企业及中科院沈阳自动化所、中科院机器人与智能制造研究院、机器人未来城，强化发展工业机器人本体、系统集成等优势环节，加强培育高精密减速器、伺服系统等关键配套企业，提升产业链本地配套率，并立足北方市场需求，加强引进汽车、航空、制药、精细化工、仓储物流、医疗等垂直行业系统集成企业。</w:t>
      </w:r>
      <w:r>
        <w:rPr>
          <w:rFonts w:hint="eastAsia" w:ascii="仿宋_GB2312" w:hAnsi="仿宋_GB2312" w:eastAsia="仿宋_GB2312" w:cs="仿宋_GB2312"/>
          <w:b/>
          <w:bCs/>
          <w:color w:val="auto"/>
          <w:sz w:val="32"/>
          <w:szCs w:val="32"/>
        </w:rPr>
        <w:t>积极布局能源与环保装备</w:t>
      </w:r>
      <w:r>
        <w:rPr>
          <w:rFonts w:hint="eastAsia" w:ascii="仿宋_GB2312" w:hAnsi="仿宋_GB2312" w:eastAsia="仿宋_GB2312" w:cs="仿宋_GB2312"/>
          <w:color w:val="auto"/>
          <w:sz w:val="32"/>
          <w:szCs w:val="32"/>
        </w:rPr>
        <w:t>，加强布局能源设备、环保设备、能源互联网等领域，进一步集聚大型能源与环境企业区域总部。到2025年，高端装备制造产业总营业收入达到</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00亿元，规上工业企业产值达到</w:t>
      </w:r>
      <w:r>
        <w:rPr>
          <w:rFonts w:ascii="仿宋_GB2312" w:hAnsi="仿宋_GB2312" w:eastAsia="仿宋_GB2312" w:cs="仿宋_GB2312"/>
          <w:color w:val="auto"/>
          <w:sz w:val="32"/>
          <w:szCs w:val="32"/>
        </w:rPr>
        <w:t>300</w:t>
      </w:r>
      <w:r>
        <w:rPr>
          <w:rFonts w:hint="eastAsia" w:ascii="仿宋_GB2312" w:hAnsi="仿宋_GB2312" w:eastAsia="仿宋_GB2312" w:cs="仿宋_GB2312"/>
          <w:color w:val="auto"/>
          <w:sz w:val="32"/>
          <w:szCs w:val="32"/>
        </w:rPr>
        <w:t>亿元。</w:t>
      </w:r>
    </w:p>
    <w:p>
      <w:pPr>
        <w:pStyle w:val="4"/>
        <w:spacing w:beforeLines="50" w:afterLines="50" w:line="579" w:lineRule="exact"/>
        <w:ind w:firstLine="660" w:firstLineChars="200"/>
        <w:rPr>
          <w:rFonts w:ascii="黑体" w:hAnsi="黑体" w:eastAsia="黑体" w:cs="仿宋_GB2312"/>
          <w:b w:val="0"/>
          <w:color w:val="auto"/>
        </w:rPr>
      </w:pPr>
      <w:bookmarkStart w:id="64" w:name="_Toc59116907"/>
      <w:r>
        <w:rPr>
          <w:rFonts w:hint="eastAsia" w:ascii="黑体" w:hAnsi="黑体" w:eastAsia="黑体" w:cs="仿宋_GB2312"/>
          <w:b w:val="0"/>
          <w:color w:val="auto"/>
        </w:rPr>
        <w:t>3</w:t>
      </w:r>
      <w:r>
        <w:rPr>
          <w:rFonts w:ascii="黑体" w:hAnsi="黑体" w:eastAsia="黑体" w:cs="仿宋_GB2312"/>
          <w:b w:val="0"/>
          <w:color w:val="auto"/>
        </w:rPr>
        <w:t>.</w:t>
      </w:r>
      <w:r>
        <w:rPr>
          <w:rFonts w:hint="eastAsia" w:ascii="黑体" w:hAnsi="黑体" w:eastAsia="黑体" w:cs="仿宋_GB2312"/>
          <w:b w:val="0"/>
          <w:color w:val="auto"/>
        </w:rPr>
        <w:t>加快发展新能源汽车产业</w:t>
      </w:r>
      <w:bookmarkEnd w:id="64"/>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Cs/>
          <w:color w:val="auto"/>
          <w:sz w:val="32"/>
          <w:szCs w:val="32"/>
        </w:rPr>
        <w:t>重点面向高寒低温地区市场，</w:t>
      </w:r>
      <w:r>
        <w:rPr>
          <w:rFonts w:hint="eastAsia" w:ascii="仿宋_GB2312" w:hAnsi="仿宋_GB2312" w:eastAsia="仿宋_GB2312" w:cs="仿宋_GB2312"/>
          <w:color w:val="auto"/>
          <w:sz w:val="32"/>
          <w:szCs w:val="32"/>
        </w:rPr>
        <w:t>以整车项目为牵引，构建一、二级配套体系，延伸汽车后服务，打通做深新能源汽车全产业链。</w:t>
      </w:r>
      <w:r>
        <w:rPr>
          <w:rFonts w:hint="eastAsia" w:ascii="仿宋_GB2312" w:hAnsi="仿宋_GB2312" w:eastAsia="仿宋_GB2312" w:cs="仿宋_GB2312"/>
          <w:b/>
          <w:bCs/>
          <w:color w:val="auto"/>
          <w:sz w:val="32"/>
          <w:szCs w:val="32"/>
        </w:rPr>
        <w:t>推进整车项目建设</w:t>
      </w:r>
      <w:r>
        <w:rPr>
          <w:rFonts w:hint="eastAsia" w:ascii="仿宋_GB2312" w:hAnsi="仿宋_GB2312" w:eastAsia="仿宋_GB2312" w:cs="仿宋_GB2312"/>
          <w:color w:val="auto"/>
          <w:sz w:val="32"/>
          <w:szCs w:val="32"/>
        </w:rPr>
        <w:t>，推动新能源乘用车项目落地，依托整车资质及产业配套，加强引进新能源专用车、智能网联汽车等整车项目。</w:t>
      </w:r>
      <w:r>
        <w:rPr>
          <w:rFonts w:hint="eastAsia" w:ascii="仿宋_GB2312" w:hAnsi="仿宋_GB2312" w:eastAsia="仿宋_GB2312" w:cs="仿宋_GB2312"/>
          <w:b/>
          <w:bCs/>
          <w:color w:val="auto"/>
          <w:sz w:val="32"/>
          <w:szCs w:val="32"/>
        </w:rPr>
        <w:t>积极发展配套零部件</w:t>
      </w:r>
      <w:r>
        <w:rPr>
          <w:rFonts w:hint="eastAsia" w:ascii="仿宋_GB2312" w:hAnsi="仿宋_GB2312" w:eastAsia="仿宋_GB2312" w:cs="仿宋_GB2312"/>
          <w:color w:val="auto"/>
          <w:sz w:val="32"/>
          <w:szCs w:val="32"/>
        </w:rPr>
        <w:t>，加强布局动力电池、驱动电机、电控系统、自动驾驶系统等产业链上游环节，培育壮大金杯安道拓、国科金能等重点企业。</w:t>
      </w:r>
      <w:r>
        <w:rPr>
          <w:rFonts w:hint="eastAsia" w:ascii="仿宋_GB2312" w:hAnsi="仿宋_GB2312" w:eastAsia="仿宋_GB2312" w:cs="仿宋_GB2312"/>
          <w:b/>
          <w:bCs/>
          <w:color w:val="auto"/>
          <w:sz w:val="32"/>
          <w:szCs w:val="32"/>
        </w:rPr>
        <w:t>大力发展汽车后服务</w:t>
      </w:r>
      <w:r>
        <w:rPr>
          <w:rFonts w:hint="eastAsia" w:ascii="仿宋_GB2312" w:hAnsi="仿宋_GB2312" w:eastAsia="仿宋_GB2312" w:cs="仿宋_GB2312"/>
          <w:color w:val="auto"/>
          <w:sz w:val="32"/>
          <w:szCs w:val="32"/>
        </w:rPr>
        <w:t>，加强布局网约车运营、车联网、高精密地图、智慧停车、充电桩等后端环节，培育壮大美行科技、恒顺等重点企业，推动浑南西路汽车城打造综合性汽车贸易园区，积极培育汽车消费新业态。到2025年，新能源汽车产业总营业收入达到</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00亿元，规上工业企业产值达到</w:t>
      </w:r>
      <w:r>
        <w:rPr>
          <w:rFonts w:ascii="仿宋_GB2312" w:hAnsi="仿宋_GB2312" w:eastAsia="仿宋_GB2312" w:cs="仿宋_GB2312"/>
          <w:color w:val="auto"/>
          <w:sz w:val="32"/>
          <w:szCs w:val="32"/>
        </w:rPr>
        <w:t>300</w:t>
      </w:r>
      <w:r>
        <w:rPr>
          <w:rFonts w:hint="eastAsia" w:ascii="仿宋_GB2312" w:hAnsi="仿宋_GB2312" w:eastAsia="仿宋_GB2312" w:cs="仿宋_GB2312"/>
          <w:color w:val="auto"/>
          <w:sz w:val="32"/>
          <w:szCs w:val="32"/>
        </w:rPr>
        <w:t>亿元。</w:t>
      </w:r>
    </w:p>
    <w:p>
      <w:pPr>
        <w:pStyle w:val="4"/>
        <w:spacing w:beforeLines="50" w:afterLines="50" w:line="579" w:lineRule="exact"/>
        <w:ind w:firstLine="660" w:firstLineChars="200"/>
        <w:rPr>
          <w:rFonts w:ascii="黑体" w:hAnsi="黑体" w:eastAsia="黑体" w:cs="仿宋_GB2312"/>
          <w:b w:val="0"/>
          <w:color w:val="auto"/>
        </w:rPr>
      </w:pPr>
      <w:bookmarkStart w:id="65" w:name="_Toc59116908"/>
      <w:r>
        <w:rPr>
          <w:rFonts w:hint="eastAsia" w:ascii="黑体" w:hAnsi="黑体" w:eastAsia="黑体" w:cs="仿宋_GB2312"/>
          <w:b w:val="0"/>
          <w:color w:val="auto"/>
        </w:rPr>
        <w:t>4</w:t>
      </w:r>
      <w:r>
        <w:rPr>
          <w:rFonts w:ascii="黑体" w:hAnsi="黑体" w:eastAsia="黑体" w:cs="仿宋_GB2312"/>
          <w:b w:val="0"/>
          <w:color w:val="auto"/>
        </w:rPr>
        <w:t>.</w:t>
      </w:r>
      <w:r>
        <w:rPr>
          <w:rFonts w:hint="eastAsia" w:ascii="黑体" w:hAnsi="黑体" w:eastAsia="黑体" w:cs="仿宋_GB2312"/>
          <w:b w:val="0"/>
          <w:color w:val="auto"/>
        </w:rPr>
        <w:t>大力发展生命健康产业</w:t>
      </w:r>
      <w:bookmarkEnd w:id="65"/>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依托沈阳健康工程技术研究院等高水平研发平台，推进研发创新和产业化，重点培育智能医疗、生物医药、眼健康产业链，全面提升国家生物医药与健康医疗创新型产业集群综合竞争力。</w:t>
      </w:r>
      <w:r>
        <w:rPr>
          <w:rFonts w:hint="eastAsia" w:ascii="仿宋_GB2312" w:hAnsi="仿宋_GB2312" w:eastAsia="仿宋_GB2312" w:cs="仿宋_GB2312"/>
          <w:b/>
          <w:bCs/>
          <w:color w:val="auto"/>
          <w:sz w:val="32"/>
          <w:szCs w:val="32"/>
        </w:rPr>
        <w:t>培育壮大智能医疗产业链</w:t>
      </w:r>
      <w:r>
        <w:rPr>
          <w:rFonts w:hint="eastAsia" w:ascii="仿宋_GB2312" w:hAnsi="仿宋_GB2312" w:eastAsia="仿宋_GB2312" w:cs="仿宋_GB2312"/>
          <w:color w:val="auto"/>
          <w:sz w:val="32"/>
          <w:szCs w:val="32"/>
        </w:rPr>
        <w:t>，依托省高端医疗设备产业基地，发挥东软医疗、东软熙康、新松医疗、迈思医疗等龙头企业带动作用，发展影像类医疗设备、呼吸设备、治疗设备、医疗机器人、植入介入产品、家用医疗设备、康养设备等医疗装备领域，医院信息化、互联网医院、医疗云、智能诊疗等医疗数字化领域，体外诊断试剂、医用耗材等医疗耗材领域。积极发展下游医养健康产业，加强引进医疗机构、医美机构、养老机构、健康管理机构及互联网医院，推动东北国际医院、中国医科大学附属第一医院浑南院区等重点机构品牌化发展；争取相关特许试点政策，延伸发展国际医疗、保税医疗、药品和器械进出口等业态。</w:t>
      </w:r>
      <w:r>
        <w:rPr>
          <w:rFonts w:hint="eastAsia" w:ascii="仿宋_GB2312" w:hAnsi="仿宋_GB2312" w:eastAsia="仿宋_GB2312" w:cs="仿宋_GB2312"/>
          <w:b/>
          <w:bCs/>
          <w:color w:val="auto"/>
          <w:sz w:val="32"/>
          <w:szCs w:val="32"/>
        </w:rPr>
        <w:t>加强培育生物医药产业链</w:t>
      </w:r>
      <w:r>
        <w:rPr>
          <w:rFonts w:hint="eastAsia" w:ascii="仿宋_GB2312" w:hAnsi="仿宋_GB2312" w:eastAsia="仿宋_GB2312" w:cs="仿宋_GB2312"/>
          <w:color w:val="auto"/>
          <w:sz w:val="32"/>
          <w:szCs w:val="32"/>
        </w:rPr>
        <w:t>，加强引进制药龙头企业和新药研发团队，积极推动沈阳药科大学、中国医科大学等成果转化，大力发展疫苗、血液制品、细胞治疗药物、基因治疗药物等生物药，适度发展现代中药和健康食品，培育壮大成大生物、远大诺康、红旗制药等重点企业，进一步集聚CRO、CMO、医药电商、模块化生物制药解决方案等配套服务机构和企业。</w:t>
      </w:r>
      <w:r>
        <w:rPr>
          <w:rFonts w:hint="eastAsia" w:ascii="仿宋_GB2312" w:hAnsi="仿宋_GB2312" w:eastAsia="仿宋_GB2312" w:cs="仿宋_GB2312"/>
          <w:b/>
          <w:bCs/>
          <w:color w:val="auto"/>
          <w:sz w:val="32"/>
          <w:szCs w:val="32"/>
        </w:rPr>
        <w:t>打造特色眼健康产业链</w:t>
      </w:r>
      <w:r>
        <w:rPr>
          <w:rFonts w:hint="eastAsia" w:ascii="仿宋_GB2312" w:hAnsi="仿宋_GB2312" w:eastAsia="仿宋_GB2312" w:cs="仿宋_GB2312"/>
          <w:color w:val="auto"/>
          <w:sz w:val="32"/>
          <w:szCs w:val="32"/>
        </w:rPr>
        <w:t>，依托光明小镇及何氏集团、兴齐眼药等龙头企业和眼医眼科互联网医院、何氏医学院、国家眼基因库等资源，联合中科医工所建设眼科学与视觉科学装备实验室，积极建设国家级青少年视力健康大数据平台，加强培育引进眼科药物、眼科器械、眼科耗材、眼科医院、近视防控、眼科医生服务等眼健康企业。到2025年，生命健康产业总营业收入达到</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00亿元，规上工业企业产值达到</w:t>
      </w:r>
      <w:r>
        <w:rPr>
          <w:rFonts w:ascii="仿宋_GB2312" w:hAnsi="仿宋_GB2312" w:eastAsia="仿宋_GB2312" w:cs="仿宋_GB2312"/>
          <w:color w:val="auto"/>
          <w:sz w:val="32"/>
          <w:szCs w:val="32"/>
        </w:rPr>
        <w:t>200</w:t>
      </w:r>
      <w:r>
        <w:rPr>
          <w:rFonts w:hint="eastAsia" w:ascii="仿宋_GB2312" w:hAnsi="仿宋_GB2312" w:eastAsia="仿宋_GB2312" w:cs="仿宋_GB2312"/>
          <w:color w:val="auto"/>
          <w:sz w:val="32"/>
          <w:szCs w:val="32"/>
        </w:rPr>
        <w:t>亿元。</w:t>
      </w:r>
    </w:p>
    <w:p>
      <w:pPr>
        <w:pStyle w:val="4"/>
        <w:spacing w:beforeLines="50" w:afterLines="50" w:line="579" w:lineRule="exact"/>
        <w:ind w:firstLine="660" w:firstLineChars="200"/>
        <w:rPr>
          <w:rFonts w:ascii="黑体" w:hAnsi="黑体" w:eastAsia="黑体" w:cs="仿宋_GB2312"/>
          <w:b w:val="0"/>
          <w:color w:val="auto"/>
        </w:rPr>
      </w:pPr>
      <w:bookmarkStart w:id="66" w:name="_Toc59116909"/>
      <w:r>
        <w:rPr>
          <w:rFonts w:hint="eastAsia" w:ascii="黑体" w:hAnsi="黑体" w:eastAsia="黑体" w:cs="仿宋_GB2312"/>
          <w:b w:val="0"/>
          <w:color w:val="auto"/>
        </w:rPr>
        <w:t>5</w:t>
      </w:r>
      <w:r>
        <w:rPr>
          <w:rFonts w:ascii="黑体" w:hAnsi="黑体" w:eastAsia="黑体" w:cs="仿宋_GB2312"/>
          <w:b w:val="0"/>
          <w:color w:val="auto"/>
        </w:rPr>
        <w:t>.</w:t>
      </w:r>
      <w:r>
        <w:rPr>
          <w:rFonts w:hint="eastAsia" w:ascii="黑体" w:hAnsi="黑体" w:eastAsia="黑体" w:cs="仿宋_GB2312"/>
          <w:b w:val="0"/>
          <w:color w:val="auto"/>
        </w:rPr>
        <w:t>整合发展文体休闲产业</w:t>
      </w:r>
      <w:bookmarkEnd w:id="66"/>
    </w:p>
    <w:p>
      <w:pPr>
        <w:spacing w:beforeLines="50" w:afterLines="50"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把握消费升级需要，以打造超级引爆点为核心，采用文体与科技融合、文化+、社会资本参与等模式，重点发展旅游度假、文化创意、体育休闲、教育培训等细分领域，整合全区文体旅游资源优势，建设文体休闲产业高地。</w:t>
      </w:r>
      <w:r>
        <w:rPr>
          <w:rFonts w:hint="eastAsia" w:ascii="仿宋_GB2312" w:hAnsi="仿宋_GB2312" w:eastAsia="仿宋_GB2312" w:cs="仿宋_GB2312"/>
          <w:b/>
          <w:bCs/>
          <w:color w:val="auto"/>
          <w:sz w:val="32"/>
          <w:szCs w:val="32"/>
        </w:rPr>
        <w:t>提质发展旅游度假产业</w:t>
      </w:r>
      <w:r>
        <w:rPr>
          <w:rFonts w:hint="eastAsia" w:ascii="仿宋_GB2312" w:hAnsi="仿宋_GB2312" w:eastAsia="仿宋_GB2312" w:cs="仿宋_GB2312"/>
          <w:color w:val="auto"/>
          <w:sz w:val="32"/>
          <w:szCs w:val="32"/>
        </w:rPr>
        <w:t>，以建设国家级全域旅游示范区为核心，依托棋盘山旅游度假区及东南山区，兼顾发展观光游、休闲游、体验游、度假游，整合提升东陵公园、森林动物园、世博园等重点IP，策划打造主题公园、田园综合体等一批超级IP，丰富夜经济项目，多业态融合、一体化经营，形成商业模式闭环，跨越式发展旅游度假产业。</w:t>
      </w:r>
      <w:r>
        <w:rPr>
          <w:rFonts w:hint="eastAsia" w:ascii="仿宋_GB2312" w:hAnsi="仿宋_GB2312" w:eastAsia="仿宋_GB2312" w:cs="仿宋_GB2312"/>
          <w:b/>
          <w:bCs/>
          <w:color w:val="auto"/>
          <w:sz w:val="32"/>
          <w:szCs w:val="32"/>
        </w:rPr>
        <w:t>大力发展文化创意产业</w:t>
      </w:r>
      <w:r>
        <w:rPr>
          <w:rFonts w:hint="eastAsia" w:ascii="仿宋_GB2312" w:hAnsi="仿宋_GB2312" w:eastAsia="仿宋_GB2312" w:cs="仿宋_GB2312"/>
          <w:color w:val="auto"/>
          <w:sz w:val="32"/>
          <w:szCs w:val="32"/>
        </w:rPr>
        <w:t>，深度挖掘满清文化、民国文化等文化元素，重点依托辽宁四大文化场馆及关东影视城、辽宁歌剧院、辽宁芭蕾舞团、华狐直播基地、沈音、鲁美等平台和资源，发展影视、演艺、婚庆、音乐、美术、直播经济、非遗（满绣、辽瓷）等重点领域，推动国家级文化产业示范园区提质升级。依托沈阳广告产业园、毅昌设计谷等，发展壮大数字传媒、虚拟现实、影视特效等数字创意产业。</w:t>
      </w:r>
      <w:r>
        <w:rPr>
          <w:rFonts w:hint="eastAsia" w:ascii="仿宋_GB2312" w:hAnsi="仿宋_GB2312" w:eastAsia="仿宋_GB2312" w:cs="仿宋_GB2312"/>
          <w:b/>
          <w:bCs/>
          <w:color w:val="auto"/>
          <w:sz w:val="32"/>
          <w:szCs w:val="32"/>
        </w:rPr>
        <w:t>融合发展体育休闲产业</w:t>
      </w:r>
      <w:r>
        <w:rPr>
          <w:rFonts w:hint="eastAsia" w:ascii="仿宋_GB2312" w:hAnsi="仿宋_GB2312" w:eastAsia="仿宋_GB2312" w:cs="仿宋_GB2312"/>
          <w:color w:val="auto"/>
          <w:sz w:val="32"/>
          <w:szCs w:val="32"/>
        </w:rPr>
        <w:t>，依托国家体育产业示范基地，采用“体育+商业+教育+娱乐”融合模式，依托奥体中心、李铁足球公园、辽篮训练基地、柏叶训练基地、东北亚滑雪场、马术俱乐部等重点平台载体，以及沈马、赛艇、电竞等赛事，发展壮大体育竞赛、体育培训、专业训练、健身娱乐等体育休闲产业。</w:t>
      </w:r>
      <w:r>
        <w:rPr>
          <w:rFonts w:hint="eastAsia" w:ascii="仿宋_GB2312" w:hAnsi="仿宋_GB2312" w:eastAsia="仿宋_GB2312" w:cs="仿宋_GB2312"/>
          <w:b/>
          <w:bCs/>
          <w:color w:val="auto"/>
          <w:sz w:val="32"/>
          <w:szCs w:val="32"/>
        </w:rPr>
        <w:t>培育壮大教育培训产业</w:t>
      </w:r>
      <w:r>
        <w:rPr>
          <w:rFonts w:hint="eastAsia" w:ascii="仿宋_GB2312" w:hAnsi="仿宋_GB2312" w:eastAsia="仿宋_GB2312" w:cs="仿宋_GB2312"/>
          <w:color w:val="auto"/>
          <w:sz w:val="32"/>
          <w:szCs w:val="32"/>
        </w:rPr>
        <w:t>，兼顾人才培养需要，依托东北大学、沈阳理工大学、沈阳建筑大学，支持国科大机器人学院、中科大材料学院、沈阳城市学院、何氏医学院、华狐教育中心、新松教育等做大做强，重点布局一批产业大学、职业学院，积极引进互联网教育培训机构，发展壮大教育培训产业。到2025年，文体休闲产业总营业收入达到</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00亿元。</w:t>
      </w:r>
      <w:bookmarkStart w:id="67" w:name="_Toc59116910"/>
    </w:p>
    <w:p>
      <w:pPr>
        <w:pStyle w:val="4"/>
        <w:spacing w:beforeLines="50" w:afterLines="50" w:line="579" w:lineRule="exact"/>
        <w:ind w:firstLine="660" w:firstLineChars="200"/>
        <w:rPr>
          <w:rFonts w:ascii="黑体" w:hAnsi="黑体" w:eastAsia="黑体" w:cs="仿宋_GB2312"/>
          <w:b w:val="0"/>
          <w:color w:val="auto"/>
        </w:rPr>
      </w:pPr>
      <w:r>
        <w:rPr>
          <w:rFonts w:hint="eastAsia" w:ascii="黑体" w:hAnsi="黑体" w:eastAsia="黑体" w:cs="仿宋_GB2312"/>
          <w:b w:val="0"/>
          <w:color w:val="auto"/>
        </w:rPr>
        <w:t>6</w:t>
      </w:r>
      <w:r>
        <w:rPr>
          <w:rFonts w:ascii="黑体" w:hAnsi="黑体" w:eastAsia="黑体" w:cs="仿宋_GB2312"/>
          <w:b w:val="0"/>
          <w:color w:val="auto"/>
        </w:rPr>
        <w:t>.</w:t>
      </w:r>
      <w:r>
        <w:rPr>
          <w:rFonts w:hint="eastAsia" w:ascii="黑体" w:hAnsi="黑体" w:eastAsia="黑体" w:cs="仿宋_GB2312"/>
          <w:b w:val="0"/>
          <w:color w:val="auto"/>
        </w:rPr>
        <w:t>积极布局临空经济产业</w:t>
      </w:r>
      <w:bookmarkEnd w:id="67"/>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抓住临空经济区建设、综保区桃仙园区扩区、打造升级版自贸区机遇，以“保税+”为核心，加强保税仓建设，重点培育民用航空产业链，积极发展保税+新业态、国际商务商贸。</w:t>
      </w:r>
      <w:r>
        <w:rPr>
          <w:rFonts w:hint="eastAsia" w:ascii="仿宋_GB2312" w:hAnsi="仿宋_GB2312" w:eastAsia="仿宋_GB2312" w:cs="仿宋_GB2312"/>
          <w:b/>
          <w:bCs/>
          <w:color w:val="auto"/>
          <w:sz w:val="32"/>
          <w:szCs w:val="32"/>
        </w:rPr>
        <w:t>加快发展民用航空产业链</w:t>
      </w:r>
      <w:r>
        <w:rPr>
          <w:rFonts w:hint="eastAsia" w:ascii="仿宋_GB2312" w:hAnsi="仿宋_GB2312" w:eastAsia="仿宋_GB2312" w:cs="仿宋_GB2312"/>
          <w:color w:val="auto"/>
          <w:sz w:val="32"/>
          <w:szCs w:val="32"/>
        </w:rPr>
        <w:t>，大力发展飞机总装、飞机大部件、燃气轮机、飞机零部件、飞机维修改造等民用航空制造，培育壮大沈飞民机、沈飞国际、中航发燃气轮机等重点企业。着力引进基地航空公司和航空物流总部企业，开通物流企业货运航班及“全货机”，依托辽宁航空安全模拟培训基地开展飞行员培训，培育壮大民用航空服务业。</w:t>
      </w:r>
      <w:r>
        <w:rPr>
          <w:rFonts w:hint="eastAsia" w:ascii="仿宋_GB2312" w:hAnsi="仿宋_GB2312" w:eastAsia="仿宋_GB2312" w:cs="仿宋_GB2312"/>
          <w:b/>
          <w:bCs/>
          <w:color w:val="auto"/>
          <w:sz w:val="32"/>
          <w:szCs w:val="32"/>
        </w:rPr>
        <w:t>大力培育保税+产业</w:t>
      </w:r>
      <w:r>
        <w:rPr>
          <w:rFonts w:hint="eastAsia" w:ascii="仿宋_GB2312" w:hAnsi="仿宋_GB2312" w:eastAsia="仿宋_GB2312" w:cs="仿宋_GB2312"/>
          <w:color w:val="auto"/>
          <w:sz w:val="32"/>
          <w:szCs w:val="32"/>
        </w:rPr>
        <w:t>，积极布局保税+制造、保税+检测维修、保税+研发创新、保税+物流、保税+医疗、保税+展示交易、保税+租赁等产业。</w:t>
      </w:r>
      <w:r>
        <w:rPr>
          <w:rFonts w:hint="eastAsia" w:ascii="仿宋_GB2312" w:hAnsi="仿宋_GB2312" w:eastAsia="仿宋_GB2312" w:cs="仿宋_GB2312"/>
          <w:b/>
          <w:bCs/>
          <w:color w:val="auto"/>
          <w:sz w:val="32"/>
          <w:szCs w:val="32"/>
        </w:rPr>
        <w:t>积极发展国际商务商贸</w:t>
      </w:r>
      <w:r>
        <w:rPr>
          <w:rFonts w:hint="eastAsia" w:ascii="仿宋_GB2312" w:hAnsi="仿宋_GB2312" w:eastAsia="仿宋_GB2312" w:cs="仿宋_GB2312"/>
          <w:color w:val="auto"/>
          <w:sz w:val="32"/>
          <w:szCs w:val="32"/>
        </w:rPr>
        <w:t>，利用自贸区、综保区等先行政策，依托水果、肉类、鲜花、药品等9个指定口岸发展跨境贸易及流通业，积极培育服务贸易，着重布局国际金融、国际会展、国际知识产权仲裁等功能性业态，加强引进跨国公司区域总部。到2025年，临空经济产业总营业收入达到</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00亿元，规上工业企业产值达到</w:t>
      </w:r>
      <w:r>
        <w:rPr>
          <w:rFonts w:ascii="仿宋_GB2312" w:hAnsi="仿宋_GB2312" w:eastAsia="仿宋_GB2312" w:cs="仿宋_GB2312"/>
          <w:color w:val="auto"/>
          <w:sz w:val="32"/>
          <w:szCs w:val="32"/>
        </w:rPr>
        <w:t>100</w:t>
      </w:r>
      <w:r>
        <w:rPr>
          <w:rFonts w:hint="eastAsia" w:ascii="仿宋_GB2312" w:hAnsi="仿宋_GB2312" w:eastAsia="仿宋_GB2312" w:cs="仿宋_GB2312"/>
          <w:color w:val="auto"/>
          <w:sz w:val="32"/>
          <w:szCs w:val="32"/>
        </w:rPr>
        <w:t>亿元。</w:t>
      </w:r>
      <w:bookmarkStart w:id="68" w:name="_Toc55855137"/>
      <w:bookmarkStart w:id="69" w:name="_Toc59116911"/>
    </w:p>
    <w:p>
      <w:pPr>
        <w:pStyle w:val="2"/>
        <w:ind w:left="0"/>
        <w:rPr>
          <w:color w:val="auto"/>
        </w:rPr>
      </w:pPr>
    </w:p>
    <w:p>
      <w:pPr>
        <w:pStyle w:val="2"/>
        <w:ind w:left="0"/>
        <w:rPr>
          <w:color w:val="auto"/>
        </w:rPr>
      </w:pPr>
    </w:p>
    <w:p>
      <w:pPr>
        <w:spacing w:line="579" w:lineRule="exact"/>
        <w:jc w:val="center"/>
        <w:rPr>
          <w:rFonts w:ascii="黑体" w:hAnsi="黑体" w:eastAsia="黑体" w:cs="黑体"/>
          <w:bCs/>
          <w:color w:val="auto"/>
          <w:sz w:val="32"/>
          <w:szCs w:val="32"/>
        </w:rPr>
      </w:pPr>
      <w:r>
        <w:rPr>
          <w:rFonts w:hint="eastAsia" w:ascii="黑体" w:hAnsi="黑体" w:eastAsia="黑体" w:cs="黑体"/>
          <w:bCs/>
          <w:color w:val="auto"/>
          <w:sz w:val="32"/>
          <w:szCs w:val="32"/>
        </w:rPr>
        <w:t>第二节 做特做精六个特色产业</w:t>
      </w:r>
      <w:bookmarkEnd w:id="68"/>
      <w:bookmarkEnd w:id="69"/>
    </w:p>
    <w:p>
      <w:pPr>
        <w:pStyle w:val="31"/>
        <w:keepNext/>
        <w:spacing w:line="290" w:lineRule="exact"/>
        <w:ind w:firstLine="0" w:firstLineChars="0"/>
        <w:outlineLvl w:val="1"/>
        <w:rPr>
          <w:rFonts w:ascii="黑体" w:hAnsi="黑体" w:eastAsia="黑体" w:cs="黑体"/>
          <w:bCs/>
          <w:color w:val="auto"/>
          <w:sz w:val="32"/>
          <w:szCs w:val="32"/>
        </w:rPr>
      </w:pPr>
    </w:p>
    <w:p>
      <w:pPr>
        <w:keepNext/>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以培育特色制造业、发展新业态服务业和现代农业为核心，做特做精先进材料、电子商务、现代金融、高端商务商贸、现代物流、现代都市农业六个特色产业。</w:t>
      </w:r>
    </w:p>
    <w:p>
      <w:pPr>
        <w:pStyle w:val="4"/>
        <w:spacing w:beforeLines="50" w:afterLines="50" w:line="579" w:lineRule="exact"/>
        <w:ind w:firstLine="660" w:firstLineChars="200"/>
        <w:rPr>
          <w:rFonts w:ascii="黑体" w:hAnsi="黑体" w:eastAsia="黑体" w:cs="仿宋_GB2312"/>
          <w:b w:val="0"/>
          <w:color w:val="auto"/>
        </w:rPr>
      </w:pPr>
      <w:bookmarkStart w:id="70" w:name="_Toc59116912"/>
      <w:bookmarkStart w:id="71" w:name="_Toc28507"/>
      <w:r>
        <w:rPr>
          <w:rFonts w:hint="eastAsia" w:ascii="黑体" w:hAnsi="黑体" w:eastAsia="黑体" w:cs="仿宋_GB2312"/>
          <w:b w:val="0"/>
          <w:color w:val="auto"/>
        </w:rPr>
        <w:t>1</w:t>
      </w:r>
      <w:r>
        <w:rPr>
          <w:rFonts w:ascii="黑体" w:hAnsi="黑体" w:eastAsia="黑体" w:cs="仿宋_GB2312"/>
          <w:b w:val="0"/>
          <w:color w:val="auto"/>
        </w:rPr>
        <w:t>.</w:t>
      </w:r>
      <w:r>
        <w:rPr>
          <w:rFonts w:hint="eastAsia" w:ascii="黑体" w:hAnsi="黑体" w:eastAsia="黑体" w:cs="仿宋_GB2312"/>
          <w:b w:val="0"/>
          <w:color w:val="auto"/>
        </w:rPr>
        <w:t>积极发展先进材料产业</w:t>
      </w:r>
      <w:bookmarkEnd w:id="70"/>
    </w:p>
    <w:p>
      <w:pPr>
        <w:keepNext/>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Cs/>
          <w:color w:val="auto"/>
          <w:sz w:val="32"/>
          <w:szCs w:val="32"/>
        </w:rPr>
        <w:t>重点依托高校院所成果转化，积极引进全球材料巨头，布局金属材料及复合材料、生物基材料、绿色新型建材，做大做强先进材料产业链。</w:t>
      </w:r>
      <w:r>
        <w:rPr>
          <w:rFonts w:hint="eastAsia" w:ascii="仿宋_GB2312" w:hAnsi="仿宋_GB2312" w:eastAsia="仿宋_GB2312" w:cs="仿宋_GB2312"/>
          <w:b/>
          <w:bCs/>
          <w:color w:val="auto"/>
          <w:sz w:val="32"/>
          <w:szCs w:val="32"/>
        </w:rPr>
        <w:t>大力发展金属材料及复合材料</w:t>
      </w:r>
      <w:r>
        <w:rPr>
          <w:rFonts w:hint="eastAsia" w:ascii="仿宋_GB2312" w:hAnsi="仿宋_GB2312" w:eastAsia="仿宋_GB2312" w:cs="仿宋_GB2312"/>
          <w:color w:val="auto"/>
          <w:sz w:val="32"/>
          <w:szCs w:val="32"/>
        </w:rPr>
        <w:t>，依托中科院金属所、全国唯一的国家材料科学研究中心、东北大学等高校院所，重点发展耐高温耐腐蚀合金、高强度轻型合金、稀土功能材料、石墨烯等特种材料，培育壮大正威、中钛装备、东方钛业、中北通磁、中科三耐、广泰真空等先进材料及制备装备重点企业，推动全球金属新材料龙头企业研发中心落户，建设稀土等交易中心，发展先进材料供应链金融，打造金属新材料产业品牌。</w:t>
      </w:r>
      <w:r>
        <w:rPr>
          <w:rFonts w:hint="eastAsia" w:ascii="仿宋_GB2312" w:hAnsi="仿宋_GB2312" w:eastAsia="仿宋_GB2312" w:cs="仿宋_GB2312"/>
          <w:b/>
          <w:bCs/>
          <w:color w:val="auto"/>
          <w:sz w:val="32"/>
          <w:szCs w:val="32"/>
        </w:rPr>
        <w:t>积极发展生物基材料</w:t>
      </w:r>
      <w:r>
        <w:rPr>
          <w:rFonts w:hint="eastAsia" w:ascii="仿宋_GB2312" w:hAnsi="仿宋_GB2312" w:eastAsia="仿宋_GB2312" w:cs="仿宋_GB2312"/>
          <w:color w:val="auto"/>
          <w:sz w:val="32"/>
          <w:szCs w:val="32"/>
        </w:rPr>
        <w:t>，依托中科院沈阳生态所、中科创孵发展高性能生物基材料。</w:t>
      </w:r>
      <w:r>
        <w:rPr>
          <w:rFonts w:hint="eastAsia" w:ascii="仿宋_GB2312" w:hAnsi="仿宋_GB2312" w:eastAsia="仿宋_GB2312" w:cs="仿宋_GB2312"/>
          <w:b/>
          <w:bCs/>
          <w:color w:val="auto"/>
          <w:sz w:val="32"/>
          <w:szCs w:val="32"/>
        </w:rPr>
        <w:t>积极布局绿色新型建材</w:t>
      </w:r>
      <w:r>
        <w:rPr>
          <w:rFonts w:hint="eastAsia" w:ascii="仿宋_GB2312" w:hAnsi="仿宋_GB2312" w:eastAsia="仿宋_GB2312" w:cs="仿宋_GB2312"/>
          <w:color w:val="auto"/>
          <w:sz w:val="32"/>
          <w:szCs w:val="32"/>
        </w:rPr>
        <w:t>，依托碧桂园、沈阳建筑大学等重点企业和高校院所，发展可追溯装配式建筑、绿色建材。到2025年，先进材料产业总营业收入达到</w:t>
      </w:r>
      <w:r>
        <w:rPr>
          <w:rFonts w:ascii="仿宋_GB2312" w:hAnsi="仿宋_GB2312" w:eastAsia="仿宋_GB2312" w:cs="仿宋_GB2312"/>
          <w:color w:val="auto"/>
          <w:sz w:val="32"/>
          <w:szCs w:val="32"/>
        </w:rPr>
        <w:t>300</w:t>
      </w:r>
      <w:r>
        <w:rPr>
          <w:rFonts w:hint="eastAsia" w:ascii="仿宋_GB2312" w:hAnsi="仿宋_GB2312" w:eastAsia="仿宋_GB2312" w:cs="仿宋_GB2312"/>
          <w:color w:val="auto"/>
          <w:sz w:val="32"/>
          <w:szCs w:val="32"/>
        </w:rPr>
        <w:t>亿元，规上工业企业产值达到</w:t>
      </w:r>
      <w:r>
        <w:rPr>
          <w:rFonts w:ascii="仿宋_GB2312" w:hAnsi="仿宋_GB2312" w:eastAsia="仿宋_GB2312" w:cs="仿宋_GB2312"/>
          <w:color w:val="auto"/>
          <w:sz w:val="32"/>
          <w:szCs w:val="32"/>
        </w:rPr>
        <w:t>100</w:t>
      </w:r>
      <w:r>
        <w:rPr>
          <w:rFonts w:hint="eastAsia" w:ascii="仿宋_GB2312" w:hAnsi="仿宋_GB2312" w:eastAsia="仿宋_GB2312" w:cs="仿宋_GB2312"/>
          <w:color w:val="auto"/>
          <w:sz w:val="32"/>
          <w:szCs w:val="32"/>
        </w:rPr>
        <w:t>亿元。</w:t>
      </w:r>
    </w:p>
    <w:p>
      <w:pPr>
        <w:pStyle w:val="4"/>
        <w:spacing w:beforeLines="50" w:afterLines="50" w:line="579" w:lineRule="exact"/>
        <w:ind w:firstLine="660" w:firstLineChars="200"/>
        <w:rPr>
          <w:rFonts w:ascii="黑体" w:hAnsi="黑体" w:eastAsia="黑体" w:cs="仿宋_GB2312"/>
          <w:b w:val="0"/>
          <w:color w:val="auto"/>
        </w:rPr>
      </w:pPr>
      <w:bookmarkStart w:id="72" w:name="_Toc59116913"/>
      <w:r>
        <w:rPr>
          <w:rFonts w:hint="eastAsia" w:ascii="黑体" w:hAnsi="黑体" w:eastAsia="黑体" w:cs="仿宋_GB2312"/>
          <w:b w:val="0"/>
          <w:color w:val="auto"/>
        </w:rPr>
        <w:t>2</w:t>
      </w:r>
      <w:r>
        <w:rPr>
          <w:rFonts w:ascii="黑体" w:hAnsi="黑体" w:eastAsia="黑体" w:cs="仿宋_GB2312"/>
          <w:b w:val="0"/>
          <w:color w:val="auto"/>
        </w:rPr>
        <w:t>.</w:t>
      </w:r>
      <w:r>
        <w:rPr>
          <w:rFonts w:hint="eastAsia" w:ascii="黑体" w:hAnsi="黑体" w:eastAsia="黑体" w:cs="仿宋_GB2312"/>
          <w:b w:val="0"/>
          <w:color w:val="auto"/>
        </w:rPr>
        <w:t>深化发展电子商务产业</w:t>
      </w:r>
      <w:bookmarkEnd w:id="72"/>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color w:val="auto"/>
          <w:sz w:val="32"/>
          <w:szCs w:val="32"/>
        </w:rPr>
        <w:t>依托国家电子商务示范基地，充分发挥</w:t>
      </w:r>
      <w:r>
        <w:rPr>
          <w:rFonts w:hint="eastAsia" w:ascii="仿宋_GB2312" w:hAnsi="仿宋_GB2312" w:eastAsia="仿宋_GB2312" w:cs="仿宋_GB2312"/>
          <w:bCs/>
          <w:color w:val="auto"/>
          <w:sz w:val="32"/>
          <w:szCs w:val="32"/>
        </w:rPr>
        <w:t>桃仙机场、沈阳南站空陆双港优势，抓住升级版自贸区建设机遇，以发展总部经济为核心，进一步培育壮大电子商务产业链。</w:t>
      </w:r>
      <w:r>
        <w:rPr>
          <w:rFonts w:hint="eastAsia" w:ascii="仿宋_GB2312" w:hAnsi="仿宋_GB2312" w:eastAsia="仿宋_GB2312" w:cs="仿宋_GB2312"/>
          <w:b/>
          <w:color w:val="auto"/>
          <w:sz w:val="32"/>
          <w:szCs w:val="32"/>
        </w:rPr>
        <w:t>大力集聚电商平台</w:t>
      </w:r>
      <w:r>
        <w:rPr>
          <w:rFonts w:hint="eastAsia" w:ascii="仿宋_GB2312" w:hAnsi="仿宋_GB2312" w:eastAsia="仿宋_GB2312" w:cs="仿宋_GB2312"/>
          <w:color w:val="auto"/>
          <w:sz w:val="32"/>
          <w:szCs w:val="32"/>
        </w:rPr>
        <w:t>，推动综合电商、垂直电商、工业品电商、直播电商、社群电商等电商区域总部落户，培育壮大京东区域总部、慧聪网区域总部、苏宁等重点企业，加强培育本土电子商务龙头企业。</w:t>
      </w:r>
      <w:r>
        <w:rPr>
          <w:rFonts w:hint="eastAsia" w:ascii="仿宋_GB2312" w:hAnsi="仿宋_GB2312" w:eastAsia="仿宋_GB2312" w:cs="仿宋_GB2312"/>
          <w:b/>
          <w:bCs/>
          <w:color w:val="auto"/>
          <w:sz w:val="32"/>
          <w:szCs w:val="32"/>
        </w:rPr>
        <w:t>积极发展跨境电商</w:t>
      </w:r>
      <w:r>
        <w:rPr>
          <w:rFonts w:hint="eastAsia" w:ascii="仿宋_GB2312" w:hAnsi="仿宋_GB2312" w:eastAsia="仿宋_GB2312" w:cs="仿宋_GB2312"/>
          <w:color w:val="auto"/>
          <w:sz w:val="32"/>
          <w:szCs w:val="32"/>
        </w:rPr>
        <w:t>，依托自贸区先行先试政策，建设提升沈阳跨境电商公共服务平台、</w:t>
      </w:r>
      <w:r>
        <w:rPr>
          <w:rFonts w:hint="eastAsia" w:ascii="仿宋_GB2312" w:eastAsia="仿宋_GB2312"/>
          <w:color w:val="auto"/>
          <w:sz w:val="32"/>
          <w:szCs w:val="32"/>
        </w:rPr>
        <w:t>跨境电商保税仓、远达国际快件监管中心等</w:t>
      </w:r>
      <w:r>
        <w:rPr>
          <w:rFonts w:hint="eastAsia" w:ascii="仿宋_GB2312" w:hAnsi="仿宋_GB2312" w:eastAsia="仿宋_GB2312" w:cs="仿宋_GB2312"/>
          <w:color w:val="auto"/>
          <w:sz w:val="32"/>
          <w:szCs w:val="32"/>
        </w:rPr>
        <w:t>功能平台，发展壮大保税备货模式（1</w:t>
      </w:r>
      <w:r>
        <w:rPr>
          <w:rFonts w:ascii="仿宋_GB2312" w:hAnsi="仿宋_GB2312" w:eastAsia="仿宋_GB2312" w:cs="仿宋_GB2312"/>
          <w:color w:val="auto"/>
          <w:sz w:val="32"/>
          <w:szCs w:val="32"/>
        </w:rPr>
        <w:t>210</w:t>
      </w:r>
      <w:r>
        <w:rPr>
          <w:rFonts w:hint="eastAsia" w:ascii="仿宋_GB2312" w:hAnsi="仿宋_GB2312" w:eastAsia="仿宋_GB2312" w:cs="仿宋_GB2312"/>
          <w:color w:val="auto"/>
          <w:sz w:val="32"/>
          <w:szCs w:val="32"/>
        </w:rPr>
        <w:t>）和跨境直购模式（9</w:t>
      </w:r>
      <w:r>
        <w:rPr>
          <w:rFonts w:ascii="仿宋_GB2312" w:hAnsi="仿宋_GB2312" w:eastAsia="仿宋_GB2312" w:cs="仿宋_GB2312"/>
          <w:color w:val="auto"/>
          <w:sz w:val="32"/>
          <w:szCs w:val="32"/>
        </w:rPr>
        <w:t>610</w:t>
      </w:r>
      <w:r>
        <w:rPr>
          <w:rFonts w:hint="eastAsia" w:ascii="仿宋_GB2312" w:hAnsi="仿宋_GB2312" w:eastAsia="仿宋_GB2312" w:cs="仿宋_GB2312"/>
          <w:color w:val="auto"/>
          <w:sz w:val="32"/>
          <w:szCs w:val="32"/>
        </w:rPr>
        <w:t>）跨境电商，积极探索B2B直接出口模式（9710）和出口海外仓模式（</w:t>
      </w:r>
      <w:r>
        <w:rPr>
          <w:rFonts w:ascii="仿宋_GB2312" w:hAnsi="仿宋_GB2312" w:eastAsia="仿宋_GB2312" w:cs="仿宋_GB2312"/>
          <w:color w:val="auto"/>
          <w:sz w:val="32"/>
          <w:szCs w:val="32"/>
        </w:rPr>
        <w:t>9810</w:t>
      </w:r>
      <w:r>
        <w:rPr>
          <w:rFonts w:hint="eastAsia" w:ascii="仿宋_GB2312" w:hAnsi="仿宋_GB2312" w:eastAsia="仿宋_GB2312" w:cs="仿宋_GB2312"/>
          <w:color w:val="auto"/>
          <w:sz w:val="32"/>
          <w:szCs w:val="32"/>
        </w:rPr>
        <w:t>）跨境电商。</w:t>
      </w:r>
      <w:r>
        <w:rPr>
          <w:rFonts w:hint="eastAsia" w:ascii="仿宋_GB2312" w:hAnsi="仿宋_GB2312" w:eastAsia="仿宋_GB2312" w:cs="仿宋_GB2312"/>
          <w:b/>
          <w:bCs/>
          <w:color w:val="auto"/>
          <w:sz w:val="32"/>
          <w:szCs w:val="32"/>
        </w:rPr>
        <w:t>加强培育电商配套</w:t>
      </w:r>
      <w:r>
        <w:rPr>
          <w:rFonts w:hint="eastAsia" w:ascii="仿宋_GB2312" w:hAnsi="仿宋_GB2312" w:eastAsia="仿宋_GB2312" w:cs="仿宋_GB2312"/>
          <w:color w:val="auto"/>
          <w:sz w:val="32"/>
          <w:szCs w:val="32"/>
        </w:rPr>
        <w:t>，积极引进供应链、支付、信用、直播、仓储等配套企业。到2025年，电子商务交易额达到</w:t>
      </w:r>
      <w:r>
        <w:rPr>
          <w:rFonts w:ascii="仿宋_GB2312" w:hAnsi="仿宋_GB2312" w:eastAsia="仿宋_GB2312" w:cs="仿宋_GB2312"/>
          <w:color w:val="auto"/>
          <w:sz w:val="32"/>
          <w:szCs w:val="32"/>
        </w:rPr>
        <w:t>1500</w:t>
      </w:r>
      <w:r>
        <w:rPr>
          <w:rFonts w:hint="eastAsia" w:ascii="仿宋_GB2312" w:hAnsi="仿宋_GB2312" w:eastAsia="仿宋_GB2312" w:cs="仿宋_GB2312"/>
          <w:color w:val="auto"/>
          <w:sz w:val="32"/>
          <w:szCs w:val="32"/>
        </w:rPr>
        <w:t>亿元。</w:t>
      </w:r>
    </w:p>
    <w:p>
      <w:pPr>
        <w:pStyle w:val="4"/>
        <w:spacing w:beforeLines="50" w:afterLines="50" w:line="579" w:lineRule="exact"/>
        <w:ind w:firstLine="660" w:firstLineChars="200"/>
        <w:rPr>
          <w:rFonts w:ascii="黑体" w:hAnsi="黑体" w:eastAsia="黑体" w:cs="仿宋_GB2312"/>
          <w:b w:val="0"/>
          <w:color w:val="auto"/>
        </w:rPr>
      </w:pPr>
      <w:bookmarkStart w:id="73" w:name="_Toc59116914"/>
      <w:r>
        <w:rPr>
          <w:rFonts w:hint="eastAsia" w:ascii="黑体" w:hAnsi="黑体" w:eastAsia="黑体" w:cs="仿宋_GB2312"/>
          <w:b w:val="0"/>
          <w:color w:val="auto"/>
        </w:rPr>
        <w:t>3</w:t>
      </w:r>
      <w:r>
        <w:rPr>
          <w:rFonts w:ascii="黑体" w:hAnsi="黑体" w:eastAsia="黑体" w:cs="仿宋_GB2312"/>
          <w:b w:val="0"/>
          <w:color w:val="auto"/>
        </w:rPr>
        <w:t>.</w:t>
      </w:r>
      <w:r>
        <w:rPr>
          <w:rFonts w:hint="eastAsia" w:ascii="黑体" w:hAnsi="黑体" w:eastAsia="黑体" w:cs="仿宋_GB2312"/>
          <w:b w:val="0"/>
          <w:color w:val="auto"/>
        </w:rPr>
        <w:t>提速发展现代金融产业</w:t>
      </w:r>
      <w:bookmarkEnd w:id="73"/>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推进盛京基金小镇、名仕金融中心等产业载体建设，加强集聚各类金融机构，鼓励金融机构创新金融产品，提升金融业对实体经济服务能力。</w:t>
      </w:r>
      <w:r>
        <w:rPr>
          <w:rFonts w:hint="eastAsia" w:ascii="仿宋_GB2312" w:hAnsi="仿宋_GB2312" w:eastAsia="仿宋_GB2312" w:cs="仿宋_GB2312"/>
          <w:b/>
          <w:bCs/>
          <w:color w:val="auto"/>
          <w:sz w:val="32"/>
          <w:szCs w:val="32"/>
        </w:rPr>
        <w:t>加强引进大型金融总部</w:t>
      </w:r>
      <w:r>
        <w:rPr>
          <w:rFonts w:hint="eastAsia" w:ascii="仿宋_GB2312" w:hAnsi="仿宋_GB2312" w:eastAsia="仿宋_GB2312" w:cs="仿宋_GB2312"/>
          <w:color w:val="auto"/>
          <w:sz w:val="32"/>
          <w:szCs w:val="32"/>
        </w:rPr>
        <w:t>，鼓励存量总部型金融机构提格升级，重点支持融盛保险、中天辽创等法人金融机构，天风证券、信达证券、信达资产、幸福人寿、英大长安等区域总部做大做强，加强引进银行、保险、证券、基金等行业区域总部。</w:t>
      </w:r>
      <w:r>
        <w:rPr>
          <w:rFonts w:hint="eastAsia" w:ascii="仿宋_GB2312" w:hAnsi="仿宋_GB2312" w:eastAsia="仿宋_GB2312" w:cs="仿宋_GB2312"/>
          <w:b/>
          <w:bCs/>
          <w:color w:val="auto"/>
          <w:sz w:val="32"/>
          <w:szCs w:val="32"/>
        </w:rPr>
        <w:t>积极培育新兴金融业态</w:t>
      </w:r>
      <w:r>
        <w:rPr>
          <w:rFonts w:hint="eastAsia" w:ascii="仿宋_GB2312" w:hAnsi="仿宋_GB2312" w:eastAsia="仿宋_GB2312" w:cs="仿宋_GB2312"/>
          <w:color w:val="auto"/>
          <w:sz w:val="32"/>
          <w:szCs w:val="32"/>
        </w:rPr>
        <w:t>，加速金融产业、体系、产品创新，推动互联网、大数据、云计算、人工智能、</w:t>
      </w:r>
      <w:r>
        <w:rPr>
          <w:rFonts w:ascii="仿宋_GB2312" w:hAnsi="仿宋_GB2312" w:eastAsia="仿宋_GB2312" w:cs="仿宋_GB2312"/>
          <w:color w:val="auto"/>
          <w:sz w:val="32"/>
          <w:szCs w:val="32"/>
        </w:rPr>
        <w:t>区块链</w:t>
      </w:r>
      <w:r>
        <w:rPr>
          <w:rFonts w:hint="eastAsia" w:ascii="仿宋_GB2312" w:hAnsi="仿宋_GB2312" w:eastAsia="仿宋_GB2312" w:cs="仿宋_GB2312"/>
          <w:color w:val="auto"/>
          <w:sz w:val="32"/>
          <w:szCs w:val="32"/>
        </w:rPr>
        <w:t>等前沿科技与金融业</w:t>
      </w:r>
      <w:r>
        <w:rPr>
          <w:rFonts w:ascii="仿宋_GB2312" w:hAnsi="仿宋_GB2312" w:eastAsia="仿宋_GB2312" w:cs="仿宋_GB2312"/>
          <w:color w:val="auto"/>
          <w:sz w:val="32"/>
          <w:szCs w:val="32"/>
        </w:rPr>
        <w:t>跨界融合创新</w:t>
      </w:r>
      <w:r>
        <w:rPr>
          <w:rFonts w:hint="eastAsia" w:ascii="仿宋_GB2312" w:hAnsi="仿宋_GB2312" w:eastAsia="仿宋_GB2312" w:cs="仿宋_GB2312"/>
          <w:color w:val="auto"/>
          <w:sz w:val="32"/>
          <w:szCs w:val="32"/>
        </w:rPr>
        <w:t>，不断衍生金融科技企业，积极争取</w:t>
      </w:r>
      <w:r>
        <w:rPr>
          <w:rFonts w:ascii="仿宋_GB2312" w:hAnsi="仿宋_GB2312" w:eastAsia="仿宋_GB2312" w:cs="仿宋_GB2312"/>
          <w:color w:val="auto"/>
          <w:sz w:val="32"/>
          <w:szCs w:val="32"/>
        </w:rPr>
        <w:t>FT账户试点等自贸区先行</w:t>
      </w:r>
      <w:r>
        <w:rPr>
          <w:rFonts w:hint="eastAsia" w:ascii="仿宋_GB2312" w:hAnsi="仿宋_GB2312" w:eastAsia="仿宋_GB2312" w:cs="仿宋_GB2312"/>
          <w:color w:val="auto"/>
          <w:sz w:val="32"/>
          <w:szCs w:val="32"/>
        </w:rPr>
        <w:t>先试</w:t>
      </w:r>
      <w:r>
        <w:rPr>
          <w:rFonts w:ascii="仿宋_GB2312" w:hAnsi="仿宋_GB2312" w:eastAsia="仿宋_GB2312" w:cs="仿宋_GB2312"/>
          <w:color w:val="auto"/>
          <w:sz w:val="32"/>
          <w:szCs w:val="32"/>
        </w:rPr>
        <w:t>政策，</w:t>
      </w:r>
      <w:r>
        <w:rPr>
          <w:rFonts w:hint="eastAsia" w:ascii="仿宋_GB2312" w:hAnsi="仿宋_GB2312" w:eastAsia="仿宋_GB2312" w:cs="仿宋_GB2312"/>
          <w:color w:val="auto"/>
          <w:sz w:val="32"/>
          <w:szCs w:val="32"/>
        </w:rPr>
        <w:t>重点引进QFLP、融资租赁、商业保理、智能投顾、互联网征信、供应链金融、跨境金融服务、</w:t>
      </w:r>
      <w:r>
        <w:rPr>
          <w:rFonts w:ascii="仿宋_GB2312" w:hAnsi="仿宋_GB2312" w:eastAsia="仿宋_GB2312" w:cs="仿宋_GB2312"/>
          <w:color w:val="auto"/>
          <w:sz w:val="32"/>
          <w:szCs w:val="32"/>
        </w:rPr>
        <w:t>金融外包服务</w:t>
      </w:r>
      <w:r>
        <w:rPr>
          <w:rFonts w:hint="eastAsia" w:ascii="仿宋_GB2312" w:hAnsi="仿宋_GB2312" w:eastAsia="仿宋_GB2312" w:cs="仿宋_GB2312"/>
          <w:color w:val="auto"/>
          <w:sz w:val="32"/>
          <w:szCs w:val="32"/>
        </w:rPr>
        <w:t>等新兴金融机构、类金融机构及金融科技企业。到2025年，金融业增加值达到50亿元。</w:t>
      </w:r>
    </w:p>
    <w:p>
      <w:pPr>
        <w:pStyle w:val="4"/>
        <w:spacing w:beforeLines="50" w:afterLines="50" w:line="579" w:lineRule="exact"/>
        <w:ind w:firstLine="660" w:firstLineChars="200"/>
        <w:rPr>
          <w:rFonts w:ascii="黑体" w:hAnsi="黑体" w:eastAsia="黑体" w:cs="仿宋_GB2312"/>
          <w:b w:val="0"/>
          <w:color w:val="auto"/>
        </w:rPr>
      </w:pPr>
      <w:bookmarkStart w:id="74" w:name="_Toc59116915"/>
      <w:r>
        <w:rPr>
          <w:rFonts w:hint="eastAsia" w:ascii="黑体" w:hAnsi="黑体" w:eastAsia="黑体" w:cs="仿宋_GB2312"/>
          <w:b w:val="0"/>
          <w:color w:val="auto"/>
        </w:rPr>
        <w:t>4</w:t>
      </w:r>
      <w:r>
        <w:rPr>
          <w:rFonts w:ascii="黑体" w:hAnsi="黑体" w:eastAsia="黑体" w:cs="仿宋_GB2312"/>
          <w:b w:val="0"/>
          <w:color w:val="auto"/>
        </w:rPr>
        <w:t>.</w:t>
      </w:r>
      <w:r>
        <w:rPr>
          <w:rFonts w:hint="eastAsia" w:ascii="黑体" w:hAnsi="黑体" w:eastAsia="黑体" w:cs="仿宋_GB2312"/>
          <w:b w:val="0"/>
          <w:color w:val="auto"/>
        </w:rPr>
        <w:t>加快集聚高端商务商贸产业</w:t>
      </w:r>
      <w:bookmarkEnd w:id="74"/>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围绕产业和城市发展需要，规划建设大型会议中心、高端商务中心、特色街区、夜经济集聚区等引爆点项目，同时加强商贸与文旅产业融合，促进会议会展、品牌商场、高端酒店、新零售、特色餐饮等高端商务商贸发展壮大。</w:t>
      </w:r>
      <w:r>
        <w:rPr>
          <w:rFonts w:hint="eastAsia" w:ascii="仿宋_GB2312" w:hAnsi="仿宋_GB2312" w:eastAsia="仿宋_GB2312" w:cs="仿宋_GB2312"/>
          <w:b/>
          <w:bCs/>
          <w:color w:val="auto"/>
          <w:sz w:val="32"/>
          <w:szCs w:val="32"/>
        </w:rPr>
        <w:t>积极发展会议会展</w:t>
      </w:r>
      <w:r>
        <w:rPr>
          <w:rFonts w:hint="eastAsia" w:ascii="仿宋_GB2312" w:hAnsi="仿宋_GB2312" w:eastAsia="仿宋_GB2312" w:cs="仿宋_GB2312"/>
          <w:color w:val="auto"/>
          <w:sz w:val="32"/>
          <w:szCs w:val="32"/>
        </w:rPr>
        <w:t>，依托沈阳南站金融商贸中心、奥体中心、沈阳创新天地等发展商务会议、展览展示，积极承接工业互联网、半导体、机器人等领域国际产业峰会，助推重点产业链接资源、塑造品牌。</w:t>
      </w:r>
      <w:r>
        <w:rPr>
          <w:rFonts w:hint="eastAsia" w:ascii="仿宋_GB2312" w:hAnsi="仿宋_GB2312" w:eastAsia="仿宋_GB2312" w:cs="仿宋_GB2312"/>
          <w:b/>
          <w:bCs/>
          <w:color w:val="auto"/>
          <w:sz w:val="32"/>
          <w:szCs w:val="32"/>
        </w:rPr>
        <w:t>大力发展现代商贸</w:t>
      </w:r>
      <w:r>
        <w:rPr>
          <w:rFonts w:hint="eastAsia" w:ascii="仿宋_GB2312" w:hAnsi="仿宋_GB2312" w:eastAsia="仿宋_GB2312" w:cs="仿宋_GB2312"/>
          <w:color w:val="auto"/>
          <w:sz w:val="32"/>
          <w:szCs w:val="32"/>
        </w:rPr>
        <w:t>，面向区域中高端消费市场，布局建设大型TOD购物中心、艺术型购物中心、度假型购物中心、冰雪主题购物中心，推进万达广场、兴隆大奥莱、赛特奥莱升级，加快沈阳环球港、龙湖天街等重点商贸综合体建设，形成奥体、中央公园、沈阳南站、东湖、世博园等特色商圈。加强引进批零住餐区域总部，积极培育本土批发企业和连锁零售、连锁住宿、连锁餐饮龙头企业。</w:t>
      </w:r>
      <w:r>
        <w:rPr>
          <w:rFonts w:hint="eastAsia" w:ascii="仿宋_GB2312" w:hAnsi="仿宋_GB2312" w:eastAsia="仿宋_GB2312" w:cs="仿宋_GB2312"/>
          <w:b/>
          <w:bCs/>
          <w:color w:val="auto"/>
          <w:sz w:val="32"/>
          <w:szCs w:val="32"/>
        </w:rPr>
        <w:t>快速发展社区商业</w:t>
      </w:r>
      <w:r>
        <w:rPr>
          <w:rFonts w:hint="eastAsia" w:ascii="仿宋_GB2312" w:hAnsi="仿宋_GB2312" w:eastAsia="仿宋_GB2312" w:cs="仿宋_GB2312"/>
          <w:color w:val="auto"/>
          <w:sz w:val="32"/>
          <w:szCs w:val="32"/>
        </w:rPr>
        <w:t>，按照“加密、统筹、提质、增效”的思路，完善社区商业配套，重点培育全运万达金街、龙湖浑南天街、月星环球港生活中心、赛特奥莱欧式商业街、亿丰广场地下商业街等特色商业街区，规划建设城市家园、超市、农贸市场等便民服务中心，实施惠民早餐工程，发展新零售、特色餐饮、夜经济等业态，形成1</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分钟生活圈。到2025年，限上批零住餐销售额达到1000亿元。（详见表</w:t>
      </w:r>
      <w:r>
        <w:rPr>
          <w:rFonts w:ascii="仿宋_GB2312" w:hAnsi="仿宋_GB2312" w:eastAsia="仿宋_GB2312" w:cs="仿宋_GB2312"/>
          <w:color w:val="auto"/>
          <w:sz w:val="32"/>
          <w:szCs w:val="32"/>
        </w:rPr>
        <w:t>11</w:t>
      </w:r>
      <w:r>
        <w:rPr>
          <w:rFonts w:hint="eastAsia" w:ascii="仿宋_GB2312" w:hAnsi="仿宋_GB2312" w:eastAsia="仿宋_GB2312" w:cs="仿宋_GB2312"/>
          <w:color w:val="auto"/>
          <w:sz w:val="32"/>
          <w:szCs w:val="32"/>
        </w:rPr>
        <w:t>和图2）</w:t>
      </w:r>
    </w:p>
    <w:p>
      <w:pPr>
        <w:pStyle w:val="4"/>
        <w:spacing w:beforeLines="50" w:afterLines="50" w:line="579" w:lineRule="exact"/>
        <w:ind w:firstLine="660" w:firstLineChars="200"/>
        <w:rPr>
          <w:rFonts w:ascii="黑体" w:hAnsi="黑体" w:eastAsia="黑体" w:cs="仿宋_GB2312"/>
          <w:b w:val="0"/>
          <w:color w:val="auto"/>
        </w:rPr>
      </w:pPr>
      <w:bookmarkStart w:id="75" w:name="_Toc59116916"/>
      <w:r>
        <w:rPr>
          <w:rFonts w:hint="eastAsia" w:ascii="黑体" w:hAnsi="黑体" w:eastAsia="黑体" w:cs="仿宋_GB2312"/>
          <w:b w:val="0"/>
          <w:color w:val="auto"/>
        </w:rPr>
        <w:t>5</w:t>
      </w:r>
      <w:r>
        <w:rPr>
          <w:rFonts w:ascii="黑体" w:hAnsi="黑体" w:eastAsia="黑体" w:cs="仿宋_GB2312"/>
          <w:b w:val="0"/>
          <w:color w:val="auto"/>
        </w:rPr>
        <w:t>.</w:t>
      </w:r>
      <w:r>
        <w:rPr>
          <w:rFonts w:hint="eastAsia" w:ascii="黑体" w:hAnsi="黑体" w:eastAsia="黑体" w:cs="仿宋_GB2312"/>
          <w:b w:val="0"/>
          <w:color w:val="auto"/>
        </w:rPr>
        <w:t>优化发展现代物流产业</w:t>
      </w:r>
      <w:bookmarkEnd w:id="75"/>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加快东北冷鲜港等重点物流设施建设，进一步完善区内物流配送体系，以发展总部经济为核心培育壮大物流经济，降低企业营商、百姓生活物流成本。</w:t>
      </w:r>
      <w:r>
        <w:rPr>
          <w:rFonts w:hint="eastAsia" w:ascii="仿宋_GB2312" w:hAnsi="仿宋_GB2312" w:eastAsia="仿宋_GB2312" w:cs="仿宋_GB2312"/>
          <w:b/>
          <w:bCs/>
          <w:color w:val="auto"/>
          <w:sz w:val="32"/>
          <w:szCs w:val="32"/>
        </w:rPr>
        <w:t>做大做强物流总部经济</w:t>
      </w:r>
      <w:r>
        <w:rPr>
          <w:rFonts w:hint="eastAsia" w:ascii="仿宋_GB2312" w:hAnsi="仿宋_GB2312" w:eastAsia="仿宋_GB2312" w:cs="仿宋_GB2312"/>
          <w:color w:val="auto"/>
          <w:sz w:val="32"/>
          <w:szCs w:val="32"/>
        </w:rPr>
        <w:t>，布局一批物流总部经济园，集聚城市物流、工业品物流、冷链物流区域总部，做大做强菜鸟、顺丰、圆通、鼎鼎、佳德、佳沃等区域总部，推动普洛斯等升级为区域总部。围绕跨境电商等需要，推动区内物流企业拓展国际物流服务。</w:t>
      </w:r>
      <w:r>
        <w:rPr>
          <w:rFonts w:hint="eastAsia" w:ascii="仿宋_GB2312" w:hAnsi="仿宋_GB2312" w:eastAsia="仿宋_GB2312" w:cs="仿宋_GB2312"/>
          <w:b/>
          <w:bCs/>
          <w:color w:val="auto"/>
          <w:sz w:val="32"/>
          <w:szCs w:val="32"/>
        </w:rPr>
        <w:t>积极发展智慧物流</w:t>
      </w:r>
      <w:r>
        <w:rPr>
          <w:rFonts w:hint="eastAsia" w:ascii="仿宋_GB2312" w:hAnsi="仿宋_GB2312" w:eastAsia="仿宋_GB2312" w:cs="仿宋_GB2312"/>
          <w:color w:val="auto"/>
          <w:sz w:val="32"/>
          <w:szCs w:val="32"/>
        </w:rPr>
        <w:t>，引进智慧物流龙头企业，提升搬运、装卸、运输等智慧化水平，壮大智能仓储、智慧配送等关联产业。到2025年，现代物流产业总营业收入达到100亿元。</w:t>
      </w:r>
    </w:p>
    <w:p>
      <w:pPr>
        <w:pStyle w:val="4"/>
        <w:spacing w:beforeLines="50" w:afterLines="50" w:line="579" w:lineRule="exact"/>
        <w:ind w:firstLine="660" w:firstLineChars="200"/>
        <w:rPr>
          <w:rFonts w:ascii="黑体" w:hAnsi="黑体" w:eastAsia="黑体" w:cs="仿宋_GB2312"/>
          <w:b w:val="0"/>
          <w:color w:val="auto"/>
        </w:rPr>
      </w:pPr>
      <w:bookmarkStart w:id="76" w:name="_Toc59116917"/>
      <w:r>
        <w:rPr>
          <w:rFonts w:hint="eastAsia" w:ascii="黑体" w:hAnsi="黑体" w:eastAsia="黑体" w:cs="仿宋_GB2312"/>
          <w:b w:val="0"/>
          <w:color w:val="auto"/>
        </w:rPr>
        <w:t>6</w:t>
      </w:r>
      <w:r>
        <w:rPr>
          <w:rFonts w:ascii="黑体" w:hAnsi="黑体" w:eastAsia="黑体" w:cs="仿宋_GB2312"/>
          <w:b w:val="0"/>
          <w:color w:val="auto"/>
        </w:rPr>
        <w:t>.</w:t>
      </w:r>
      <w:r>
        <w:rPr>
          <w:rFonts w:hint="eastAsia" w:ascii="黑体" w:hAnsi="黑体" w:eastAsia="黑体" w:cs="仿宋_GB2312"/>
          <w:b w:val="0"/>
          <w:color w:val="auto"/>
        </w:rPr>
        <w:t>稳步发展现代都市农业</w:t>
      </w:r>
      <w:bookmarkEnd w:id="76"/>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坚持生态优先，抓住土地流转、集体建设用地和宅基地试点等机会，重点依托东南山区，培育新型经营主体，推动农商旅融合，发展农业新业态。</w:t>
      </w:r>
      <w:r>
        <w:rPr>
          <w:rFonts w:hint="eastAsia" w:ascii="仿宋_GB2312" w:hAnsi="仿宋_GB2312" w:eastAsia="仿宋_GB2312" w:cs="仿宋_GB2312"/>
          <w:b/>
          <w:bCs/>
          <w:color w:val="auto"/>
          <w:sz w:val="32"/>
          <w:szCs w:val="32"/>
        </w:rPr>
        <w:t>积极发展休闲农业</w:t>
      </w:r>
      <w:r>
        <w:rPr>
          <w:rFonts w:hint="eastAsia" w:ascii="仿宋_GB2312" w:hAnsi="仿宋_GB2312" w:eastAsia="仿宋_GB2312" w:cs="仿宋_GB2312"/>
          <w:color w:val="auto"/>
          <w:sz w:val="32"/>
          <w:szCs w:val="32"/>
        </w:rPr>
        <w:t>，以推动农商旅融合发展为核心，高标准建设一批田园综合体、精品民宿、特色农家乐、农业庄园，策划打造观光农业、采摘农业、认领农业、科普农业、民俗体验等引爆点项目，加强整合营销、联动经营、品质管理，创建一批休闲农业示范园区。</w:t>
      </w:r>
      <w:r>
        <w:rPr>
          <w:rFonts w:hint="eastAsia" w:ascii="仿宋_GB2312" w:hAnsi="仿宋_GB2312" w:eastAsia="仿宋_GB2312" w:cs="仿宋_GB2312"/>
          <w:b/>
          <w:bCs/>
          <w:color w:val="auto"/>
          <w:sz w:val="32"/>
          <w:szCs w:val="32"/>
        </w:rPr>
        <w:t>大力发展特色农业</w:t>
      </w:r>
      <w:r>
        <w:rPr>
          <w:rFonts w:hint="eastAsia" w:ascii="仿宋_GB2312" w:hAnsi="仿宋_GB2312" w:eastAsia="仿宋_GB2312" w:cs="仿宋_GB2312"/>
          <w:color w:val="auto"/>
          <w:sz w:val="32"/>
          <w:szCs w:val="32"/>
        </w:rPr>
        <w:t>，建设专业村、专业基地，重点推动花卉基地、中草药基地、果蔬基地向二三产业延伸，发展商超订单农业、农产品电商、农产品精深加工，加强培育农业产业化龙头企业。</w:t>
      </w:r>
      <w:r>
        <w:rPr>
          <w:rFonts w:hint="eastAsia" w:ascii="仿宋_GB2312" w:hAnsi="仿宋_GB2312" w:eastAsia="仿宋_GB2312" w:cs="仿宋_GB2312"/>
          <w:b/>
          <w:bCs/>
          <w:color w:val="auto"/>
          <w:sz w:val="32"/>
          <w:szCs w:val="32"/>
        </w:rPr>
        <w:t>着力发展智慧农业</w:t>
      </w:r>
      <w:r>
        <w:rPr>
          <w:rFonts w:hint="eastAsia" w:ascii="仿宋_GB2312" w:hAnsi="仿宋_GB2312" w:eastAsia="仿宋_GB2312" w:cs="仿宋_GB2312"/>
          <w:color w:val="auto"/>
          <w:sz w:val="32"/>
          <w:szCs w:val="32"/>
        </w:rPr>
        <w:t>，加强沈阳农业大学等校地合作，加速物联网、AI和大数据技术与农业融合，发展智能植物工厂、智慧农场、可追溯农业等业态。</w:t>
      </w:r>
    </w:p>
    <w:p>
      <w:pPr>
        <w:pStyle w:val="2"/>
        <w:spacing w:line="290" w:lineRule="exact"/>
        <w:ind w:left="102"/>
        <w:rPr>
          <w:color w:val="auto"/>
        </w:rPr>
      </w:pPr>
    </w:p>
    <w:bookmarkEnd w:id="71"/>
    <w:p>
      <w:pPr>
        <w:pStyle w:val="31"/>
        <w:numPr>
          <w:ilvl w:val="0"/>
          <w:numId w:val="4"/>
        </w:numPr>
        <w:spacing w:line="579" w:lineRule="exact"/>
        <w:ind w:firstLineChars="0"/>
        <w:jc w:val="center"/>
        <w:outlineLvl w:val="1"/>
        <w:rPr>
          <w:rFonts w:ascii="黑体" w:hAnsi="黑体" w:eastAsia="黑体" w:cs="黑体"/>
          <w:bCs/>
          <w:color w:val="auto"/>
          <w:sz w:val="32"/>
          <w:szCs w:val="32"/>
        </w:rPr>
      </w:pPr>
      <w:bookmarkStart w:id="77" w:name="_Toc59116918"/>
      <w:bookmarkStart w:id="78" w:name="_Toc55855138"/>
      <w:r>
        <w:rPr>
          <w:rFonts w:hint="eastAsia" w:ascii="黑体" w:hAnsi="黑体" w:eastAsia="黑体" w:cs="黑体"/>
          <w:bCs/>
          <w:color w:val="auto"/>
          <w:sz w:val="32"/>
          <w:szCs w:val="32"/>
        </w:rPr>
        <w:t>超前布局三个未来产业</w:t>
      </w:r>
      <w:bookmarkEnd w:id="77"/>
      <w:bookmarkEnd w:id="78"/>
    </w:p>
    <w:p>
      <w:pPr>
        <w:pStyle w:val="2"/>
        <w:spacing w:line="290" w:lineRule="exact"/>
        <w:ind w:left="102"/>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立足产业基础，结合Gartner曲线、权威机构对赛道的研究，超前布局未来城市、未来信息技术、未来健康等近期有望爆发、具有一定技术基础或招商潜力的未来产业。</w:t>
      </w:r>
    </w:p>
    <w:p>
      <w:pPr>
        <w:pStyle w:val="4"/>
        <w:spacing w:beforeLines="50" w:afterLines="50" w:line="579" w:lineRule="exact"/>
        <w:ind w:firstLine="660" w:firstLineChars="200"/>
        <w:rPr>
          <w:rFonts w:ascii="黑体" w:hAnsi="黑体" w:eastAsia="黑体" w:cs="仿宋_GB2312"/>
          <w:b w:val="0"/>
          <w:color w:val="auto"/>
        </w:rPr>
      </w:pPr>
      <w:bookmarkStart w:id="79" w:name="_Toc59116919"/>
      <w:bookmarkStart w:id="80" w:name="_Toc23519"/>
      <w:bookmarkStart w:id="81" w:name="_Toc169"/>
      <w:r>
        <w:rPr>
          <w:rFonts w:hint="eastAsia" w:ascii="黑体" w:hAnsi="黑体" w:eastAsia="黑体" w:cs="仿宋_GB2312"/>
          <w:b w:val="0"/>
          <w:color w:val="auto"/>
        </w:rPr>
        <w:t>1</w:t>
      </w:r>
      <w:r>
        <w:rPr>
          <w:rFonts w:ascii="黑体" w:hAnsi="黑体" w:eastAsia="黑体" w:cs="仿宋_GB2312"/>
          <w:b w:val="0"/>
          <w:color w:val="auto"/>
        </w:rPr>
        <w:t>.</w:t>
      </w:r>
      <w:r>
        <w:rPr>
          <w:rFonts w:hint="eastAsia" w:ascii="黑体" w:hAnsi="黑体" w:eastAsia="黑体" w:cs="仿宋_GB2312"/>
          <w:b w:val="0"/>
          <w:color w:val="auto"/>
        </w:rPr>
        <w:t>抢先布局未来城市产业</w:t>
      </w:r>
      <w:bookmarkEnd w:id="79"/>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把握新型智慧城市建设需要，抢先布局城市大脑、自动驾驶、无人零售等新一代信息技术深度应用衍生的新业态。</w:t>
      </w:r>
      <w:r>
        <w:rPr>
          <w:rFonts w:hint="eastAsia" w:ascii="仿宋_GB2312" w:hAnsi="仿宋_GB2312" w:eastAsia="仿宋_GB2312" w:cs="仿宋_GB2312"/>
          <w:b/>
          <w:bCs/>
          <w:color w:val="auto"/>
          <w:sz w:val="32"/>
          <w:szCs w:val="32"/>
        </w:rPr>
        <w:t>布局城市大脑业态</w:t>
      </w:r>
      <w:r>
        <w:rPr>
          <w:rFonts w:hint="eastAsia" w:ascii="仿宋_GB2312" w:hAnsi="仿宋_GB2312" w:eastAsia="仿宋_GB2312" w:cs="仿宋_GB2312"/>
          <w:color w:val="auto"/>
          <w:sz w:val="32"/>
          <w:szCs w:val="32"/>
        </w:rPr>
        <w:t>，加强智慧场景策划，推动智慧城市建设场景开放，引进培育城市大脑、经济社会各领域综合治理平台解决方案服务企业及大数据服务、运维服务企业。</w:t>
      </w:r>
      <w:r>
        <w:rPr>
          <w:rFonts w:hint="eastAsia" w:ascii="仿宋_GB2312" w:hAnsi="仿宋_GB2312" w:eastAsia="仿宋_GB2312" w:cs="仿宋_GB2312"/>
          <w:b/>
          <w:bCs/>
          <w:color w:val="auto"/>
          <w:sz w:val="32"/>
          <w:szCs w:val="32"/>
        </w:rPr>
        <w:t>布局自动驾驶业态</w:t>
      </w:r>
      <w:r>
        <w:rPr>
          <w:rFonts w:hint="eastAsia" w:ascii="仿宋_GB2312" w:hAnsi="仿宋_GB2312" w:eastAsia="仿宋_GB2312" w:cs="仿宋_GB2312"/>
          <w:color w:val="auto"/>
          <w:sz w:val="32"/>
          <w:szCs w:val="32"/>
        </w:rPr>
        <w:t>，争取省市交通部门支持，划定自动驾驶、无人配送、无人巡逻、自动泊车等试验区域，利用场景开放支持美行科技、东软睿驰等企业培育壮大自动驾驶业务，积极引进自动驾驶运营服务及上游自动驾驶软硬件企业。</w:t>
      </w:r>
      <w:r>
        <w:rPr>
          <w:rFonts w:hint="eastAsia" w:ascii="仿宋_GB2312" w:hAnsi="仿宋_GB2312" w:eastAsia="仿宋_GB2312" w:cs="仿宋_GB2312"/>
          <w:b/>
          <w:bCs/>
          <w:color w:val="auto"/>
          <w:sz w:val="32"/>
          <w:szCs w:val="32"/>
        </w:rPr>
        <w:t>布局无人零售业态</w:t>
      </w:r>
      <w:r>
        <w:rPr>
          <w:rFonts w:hint="eastAsia" w:ascii="仿宋_GB2312" w:hAnsi="仿宋_GB2312" w:eastAsia="仿宋_GB2312" w:cs="仿宋_GB2312"/>
          <w:color w:val="auto"/>
          <w:sz w:val="32"/>
          <w:szCs w:val="32"/>
        </w:rPr>
        <w:t>，围绕城市家园、城市书房建设及城市小区配套需要，加强引进无人货架和无人超市运营商、智能硬件企业、供应链服务企业。到2025年，未来城市产业总营业收入达到</w:t>
      </w:r>
      <w:r>
        <w:rPr>
          <w:rFonts w:ascii="仿宋_GB2312" w:hAnsi="仿宋_GB2312" w:eastAsia="仿宋_GB2312" w:cs="仿宋_GB2312"/>
          <w:color w:val="auto"/>
          <w:sz w:val="32"/>
          <w:szCs w:val="32"/>
        </w:rPr>
        <w:t>50</w:t>
      </w:r>
      <w:r>
        <w:rPr>
          <w:rFonts w:hint="eastAsia" w:ascii="仿宋_GB2312" w:hAnsi="仿宋_GB2312" w:eastAsia="仿宋_GB2312" w:cs="仿宋_GB2312"/>
          <w:color w:val="auto"/>
          <w:sz w:val="32"/>
          <w:szCs w:val="32"/>
        </w:rPr>
        <w:t>亿元。</w:t>
      </w:r>
    </w:p>
    <w:p>
      <w:pPr>
        <w:pStyle w:val="4"/>
        <w:spacing w:beforeLines="50" w:afterLines="50" w:line="579" w:lineRule="exact"/>
        <w:ind w:firstLine="660" w:firstLineChars="200"/>
        <w:rPr>
          <w:rFonts w:ascii="黑体" w:hAnsi="黑体" w:eastAsia="黑体" w:cs="仿宋_GB2312"/>
          <w:b w:val="0"/>
          <w:color w:val="auto"/>
        </w:rPr>
      </w:pPr>
      <w:bookmarkStart w:id="82" w:name="_Toc59116920"/>
      <w:r>
        <w:rPr>
          <w:rFonts w:hint="eastAsia" w:ascii="黑体" w:hAnsi="黑体" w:eastAsia="黑体" w:cs="仿宋_GB2312"/>
          <w:b w:val="0"/>
          <w:color w:val="auto"/>
        </w:rPr>
        <w:t>2</w:t>
      </w:r>
      <w:r>
        <w:rPr>
          <w:rFonts w:ascii="黑体" w:hAnsi="黑体" w:eastAsia="黑体" w:cs="仿宋_GB2312"/>
          <w:b w:val="0"/>
          <w:color w:val="auto"/>
        </w:rPr>
        <w:t>.</w:t>
      </w:r>
      <w:r>
        <w:rPr>
          <w:rFonts w:hint="eastAsia" w:ascii="黑体" w:hAnsi="黑体" w:eastAsia="黑体" w:cs="仿宋_GB2312"/>
          <w:b w:val="0"/>
          <w:color w:val="auto"/>
        </w:rPr>
        <w:t>积极培育未来</w:t>
      </w:r>
      <w:bookmarkEnd w:id="80"/>
      <w:r>
        <w:rPr>
          <w:rFonts w:hint="eastAsia" w:ascii="黑体" w:hAnsi="黑体" w:eastAsia="黑体" w:cs="仿宋_GB2312"/>
          <w:b w:val="0"/>
          <w:color w:val="auto"/>
        </w:rPr>
        <w:t>信息技术产业</w:t>
      </w:r>
      <w:bookmarkEnd w:id="82"/>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Cs/>
          <w:color w:val="auto"/>
          <w:sz w:val="32"/>
          <w:szCs w:val="32"/>
        </w:rPr>
        <w:t>面向未来智能场景，依</w:t>
      </w:r>
      <w:r>
        <w:rPr>
          <w:rFonts w:hint="eastAsia" w:ascii="仿宋_GB2312" w:hAnsi="仿宋_GB2312" w:eastAsia="仿宋_GB2312" w:cs="仿宋_GB2312"/>
          <w:color w:val="auto"/>
          <w:sz w:val="32"/>
          <w:szCs w:val="32"/>
        </w:rPr>
        <w:t>托新一代信息技术产业基础，引导软件及信息技术企业研发和应用新技术，加强引进前沿技术应用企业，培育形成区块链、数字孪生等前沿科技业态。</w:t>
      </w:r>
      <w:r>
        <w:rPr>
          <w:rFonts w:hint="eastAsia" w:ascii="仿宋_GB2312" w:hAnsi="仿宋_GB2312" w:eastAsia="仿宋_GB2312" w:cs="仿宋_GB2312"/>
          <w:b/>
          <w:bCs/>
          <w:color w:val="auto"/>
          <w:sz w:val="32"/>
          <w:szCs w:val="32"/>
        </w:rPr>
        <w:t>布局区块链业态</w:t>
      </w:r>
      <w:r>
        <w:rPr>
          <w:rFonts w:hint="eastAsia" w:ascii="仿宋_GB2312" w:hAnsi="仿宋_GB2312" w:eastAsia="仿宋_GB2312" w:cs="仿宋_GB2312"/>
          <w:color w:val="auto"/>
          <w:sz w:val="32"/>
          <w:szCs w:val="32"/>
        </w:rPr>
        <w:t>，引导信息技术企业应用区块链技术，拆分区块链业务独立运作，支持东软“辽宁省区块链专业技术创新中心”建设，重点引进区块链解决方案企业、平台型企业及金融、医疗、能源、教育、知识产权等领域应用企业。</w:t>
      </w:r>
      <w:r>
        <w:rPr>
          <w:rFonts w:hint="eastAsia" w:ascii="仿宋_GB2312" w:hAnsi="仿宋_GB2312" w:eastAsia="仿宋_GB2312" w:cs="仿宋_GB2312"/>
          <w:b/>
          <w:bCs/>
          <w:color w:val="auto"/>
          <w:sz w:val="32"/>
          <w:szCs w:val="32"/>
        </w:rPr>
        <w:t>布局数字孪生业态</w:t>
      </w:r>
      <w:r>
        <w:rPr>
          <w:rFonts w:hint="eastAsia" w:ascii="仿宋_GB2312" w:hAnsi="仿宋_GB2312" w:eastAsia="仿宋_GB2312" w:cs="仿宋_GB2312"/>
          <w:color w:val="auto"/>
          <w:sz w:val="32"/>
          <w:szCs w:val="32"/>
        </w:rPr>
        <w:t>，积极引进数据采集、仿真建模企业及智能工厂、智慧城市、智慧交通、应急、安全、游戏、教育等领域数字孪生应用服务企业，支持新松培育数字孪生业务。到2025年，未来信息技术产业总营业收入达到</w:t>
      </w:r>
      <w:r>
        <w:rPr>
          <w:rFonts w:ascii="仿宋_GB2312" w:hAnsi="仿宋_GB2312" w:eastAsia="仿宋_GB2312" w:cs="仿宋_GB2312"/>
          <w:color w:val="auto"/>
          <w:sz w:val="32"/>
          <w:szCs w:val="32"/>
        </w:rPr>
        <w:t>25</w:t>
      </w:r>
      <w:r>
        <w:rPr>
          <w:rFonts w:hint="eastAsia" w:ascii="仿宋_GB2312" w:hAnsi="仿宋_GB2312" w:eastAsia="仿宋_GB2312" w:cs="仿宋_GB2312"/>
          <w:color w:val="auto"/>
          <w:sz w:val="32"/>
          <w:szCs w:val="32"/>
        </w:rPr>
        <w:t>亿元。</w:t>
      </w:r>
    </w:p>
    <w:p>
      <w:pPr>
        <w:pStyle w:val="4"/>
        <w:spacing w:beforeLines="50" w:afterLines="50" w:line="579" w:lineRule="exact"/>
        <w:ind w:firstLine="660" w:firstLineChars="200"/>
        <w:rPr>
          <w:rFonts w:ascii="黑体" w:hAnsi="黑体" w:eastAsia="黑体" w:cs="仿宋_GB2312"/>
          <w:b w:val="0"/>
          <w:color w:val="auto"/>
        </w:rPr>
      </w:pPr>
      <w:bookmarkStart w:id="83" w:name="_Toc12716"/>
      <w:bookmarkStart w:id="84" w:name="_Toc59116921"/>
      <w:r>
        <w:rPr>
          <w:rFonts w:hint="eastAsia" w:ascii="黑体" w:hAnsi="黑体" w:eastAsia="黑体" w:cs="仿宋_GB2312"/>
          <w:b w:val="0"/>
          <w:color w:val="auto"/>
        </w:rPr>
        <w:t>3</w:t>
      </w:r>
      <w:r>
        <w:rPr>
          <w:rFonts w:ascii="黑体" w:hAnsi="黑体" w:eastAsia="黑体" w:cs="仿宋_GB2312"/>
          <w:b w:val="0"/>
          <w:color w:val="auto"/>
        </w:rPr>
        <w:t>.</w:t>
      </w:r>
      <w:r>
        <w:rPr>
          <w:rFonts w:hint="eastAsia" w:ascii="黑体" w:hAnsi="黑体" w:eastAsia="黑体" w:cs="仿宋_GB2312"/>
          <w:b w:val="0"/>
          <w:color w:val="auto"/>
        </w:rPr>
        <w:t>延伸发展未来健康</w:t>
      </w:r>
      <w:bookmarkEnd w:id="83"/>
      <w:r>
        <w:rPr>
          <w:rFonts w:hint="eastAsia" w:ascii="黑体" w:hAnsi="黑体" w:eastAsia="黑体" w:cs="仿宋_GB2312"/>
          <w:b w:val="0"/>
          <w:color w:val="auto"/>
        </w:rPr>
        <w:t>产业</w:t>
      </w:r>
      <w:bookmarkEnd w:id="84"/>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依托省内医疗资源，立足生命健康产业基础，延伸布局脑机接口、再生医学、基因治疗等未来业态。</w:t>
      </w:r>
      <w:r>
        <w:rPr>
          <w:rFonts w:hint="eastAsia" w:ascii="仿宋_GB2312" w:hAnsi="仿宋_GB2312" w:eastAsia="仿宋_GB2312" w:cs="仿宋_GB2312"/>
          <w:b/>
          <w:bCs/>
          <w:color w:val="auto"/>
          <w:sz w:val="32"/>
          <w:szCs w:val="32"/>
        </w:rPr>
        <w:t>布局脑机接口业态</w:t>
      </w:r>
      <w:r>
        <w:rPr>
          <w:rFonts w:hint="eastAsia" w:ascii="仿宋_GB2312" w:hAnsi="仿宋_GB2312" w:eastAsia="仿宋_GB2312" w:cs="仿宋_GB2312"/>
          <w:color w:val="auto"/>
          <w:sz w:val="32"/>
          <w:szCs w:val="32"/>
        </w:rPr>
        <w:t>，面向医疗健康、娱乐等需要，依托机器人产业基础，打通人或动物与外部设备直接连接通路，抢先培育脑机接口设备和系统，支持新松脑波控制机器人市场化、规模化应用，联合中科院沈阳自动化所、中科医工所等成立脑机接口研发机构。</w:t>
      </w:r>
      <w:r>
        <w:rPr>
          <w:rFonts w:hint="eastAsia" w:ascii="仿宋_GB2312" w:hAnsi="仿宋_GB2312" w:eastAsia="仿宋_GB2312" w:cs="仿宋_GB2312"/>
          <w:b/>
          <w:bCs/>
          <w:color w:val="auto"/>
          <w:sz w:val="32"/>
          <w:szCs w:val="32"/>
        </w:rPr>
        <w:t>布局再生医学业态</w:t>
      </w:r>
      <w:r>
        <w:rPr>
          <w:rFonts w:hint="eastAsia" w:ascii="仿宋_GB2312" w:hAnsi="仿宋_GB2312" w:eastAsia="仿宋_GB2312" w:cs="仿宋_GB2312"/>
          <w:color w:val="auto"/>
          <w:sz w:val="32"/>
          <w:szCs w:val="32"/>
        </w:rPr>
        <w:t>，依托中国医科大学、中国医科大学附属第一医院浑南院区、辽宁医学诊疗中心、沈阳细胞中心等重点机构和企业，升级发展组织工程、细胞治疗药物和治疗技术、3D生物打印等前沿领域。</w:t>
      </w:r>
      <w:r>
        <w:rPr>
          <w:rFonts w:hint="eastAsia" w:ascii="仿宋_GB2312" w:hAnsi="仿宋_GB2312" w:eastAsia="仿宋_GB2312" w:cs="仿宋_GB2312"/>
          <w:b/>
          <w:bCs/>
          <w:color w:val="auto"/>
          <w:sz w:val="32"/>
          <w:szCs w:val="32"/>
        </w:rPr>
        <w:t>布局基因治疗业态</w:t>
      </w:r>
      <w:r>
        <w:rPr>
          <w:rFonts w:hint="eastAsia" w:ascii="仿宋_GB2312" w:hAnsi="仿宋_GB2312" w:eastAsia="仿宋_GB2312" w:cs="仿宋_GB2312"/>
          <w:color w:val="auto"/>
          <w:sz w:val="32"/>
          <w:szCs w:val="32"/>
        </w:rPr>
        <w:t>，依托基因测序、基因诊断、基因储备等基础延伸发展基因治疗，重点引进基因编辑、基因治疗载体、临床试验服务等企业，依托国家眼基因库、中国医科大学等开展遗传性视网膜疾病等基因治疗。到2025年，未来健康产业总营业收入达到</w:t>
      </w:r>
      <w:r>
        <w:rPr>
          <w:rFonts w:ascii="仿宋_GB2312" w:hAnsi="仿宋_GB2312" w:eastAsia="仿宋_GB2312" w:cs="仿宋_GB2312"/>
          <w:color w:val="auto"/>
          <w:sz w:val="32"/>
          <w:szCs w:val="32"/>
        </w:rPr>
        <w:t>25</w:t>
      </w:r>
      <w:r>
        <w:rPr>
          <w:rFonts w:hint="eastAsia" w:ascii="仿宋_GB2312" w:hAnsi="仿宋_GB2312" w:eastAsia="仿宋_GB2312" w:cs="仿宋_GB2312"/>
          <w:color w:val="auto"/>
          <w:sz w:val="32"/>
          <w:szCs w:val="32"/>
        </w:rPr>
        <w:t>亿元。</w:t>
      </w:r>
      <w:bookmarkEnd w:id="81"/>
    </w:p>
    <w:p>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pPr>
        <w:pStyle w:val="2"/>
        <w:spacing w:line="579" w:lineRule="exact"/>
        <w:jc w:val="center"/>
        <w:rPr>
          <w:rFonts w:ascii="宋体" w:hAnsi="宋体"/>
          <w:color w:val="auto"/>
        </w:rPr>
      </w:pPr>
      <w:r>
        <w:rPr>
          <w:color w:val="auto"/>
        </w:rPr>
        <w:drawing>
          <wp:anchor distT="0" distB="0" distL="114300" distR="114300" simplePos="0" relativeHeight="251662336" behindDoc="0" locked="0" layoutInCell="1" allowOverlap="1">
            <wp:simplePos x="0" y="0"/>
            <wp:positionH relativeFrom="margin">
              <wp:posOffset>-526415</wp:posOffset>
            </wp:positionH>
            <wp:positionV relativeFrom="margin">
              <wp:posOffset>-167640</wp:posOffset>
            </wp:positionV>
            <wp:extent cx="6299835" cy="87376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b="1982"/>
                    <a:stretch>
                      <a:fillRect/>
                    </a:stretch>
                  </pic:blipFill>
                  <pic:spPr>
                    <a:xfrm>
                      <a:off x="0" y="0"/>
                      <a:ext cx="6300000" cy="8737780"/>
                    </a:xfrm>
                    <a:prstGeom prst="rect">
                      <a:avLst/>
                    </a:prstGeom>
                    <a:noFill/>
                    <a:ln>
                      <a:noFill/>
                    </a:ln>
                  </pic:spPr>
                </pic:pic>
              </a:graphicData>
            </a:graphic>
          </wp:anchor>
        </w:drawing>
      </w:r>
      <w:r>
        <w:rPr>
          <w:rFonts w:hint="eastAsia" w:ascii="宋体" w:hAnsi="宋体" w:cs="仿宋"/>
          <w:b/>
          <w:bCs/>
          <w:color w:val="auto"/>
          <w:sz w:val="32"/>
        </w:rPr>
        <w:t>图2</w:t>
      </w:r>
      <w:r>
        <w:rPr>
          <w:rFonts w:ascii="宋体" w:hAnsi="宋体" w:cs="仿宋"/>
          <w:b/>
          <w:bCs/>
          <w:color w:val="auto"/>
          <w:sz w:val="32"/>
        </w:rPr>
        <w:t xml:space="preserve"> </w:t>
      </w:r>
      <w:r>
        <w:rPr>
          <w:rFonts w:hint="eastAsia" w:ascii="宋体" w:hAnsi="宋体" w:cs="仿宋"/>
          <w:b/>
          <w:bCs/>
          <w:color w:val="auto"/>
          <w:sz w:val="32"/>
        </w:rPr>
        <w:t>浑南区“十四五”产业空间示意图</w:t>
      </w:r>
    </w:p>
    <w:p>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pPr>
        <w:pStyle w:val="31"/>
        <w:keepNext/>
        <w:spacing w:line="290" w:lineRule="exact"/>
        <w:ind w:firstLine="0" w:firstLineChars="0"/>
        <w:outlineLvl w:val="0"/>
        <w:rPr>
          <w:rFonts w:ascii="宋体" w:hAnsi="宋体" w:cs="宋体"/>
          <w:b/>
          <w:color w:val="auto"/>
          <w:sz w:val="44"/>
          <w:szCs w:val="44"/>
        </w:rPr>
      </w:pPr>
      <w:bookmarkStart w:id="85" w:name="_Toc59116922"/>
    </w:p>
    <w:p>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营造一流创新创业生态</w:t>
      </w:r>
      <w:bookmarkEnd w:id="85"/>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bookmarkStart w:id="86" w:name="_Toc12969"/>
      <w:r>
        <w:rPr>
          <w:rFonts w:hint="eastAsia" w:ascii="仿宋_GB2312" w:hAnsi="仿宋_GB2312" w:eastAsia="仿宋_GB2312" w:cs="仿宋_GB2312"/>
          <w:color w:val="auto"/>
          <w:sz w:val="32"/>
          <w:szCs w:val="32"/>
        </w:rPr>
        <w:t>深入实施创新驱动发展战略，把创新作为引领全区高质量发展的第一动力，坚持产业链、创新链、人才链“三链融合”，加强基础研究和技术创新，加强创新型企业培育，完善场景、载体、金融、人才等创新创业要素，实现科技创新从“支撑发展”向“引领发展”转变。到2025年火炬统计企业R&amp;D经费投入占GDP比重7%以上，高新技术产品产值占规上工业总产值比重70%以上。</w:t>
      </w:r>
    </w:p>
    <w:p>
      <w:pPr>
        <w:pStyle w:val="31"/>
        <w:keepNext/>
        <w:spacing w:line="290" w:lineRule="exact"/>
        <w:ind w:firstLine="0" w:firstLineChars="0"/>
        <w:outlineLvl w:val="0"/>
        <w:rPr>
          <w:color w:val="auto"/>
        </w:rPr>
      </w:pPr>
    </w:p>
    <w:p>
      <w:pPr>
        <w:pStyle w:val="31"/>
        <w:numPr>
          <w:ilvl w:val="0"/>
          <w:numId w:val="6"/>
        </w:numPr>
        <w:spacing w:line="579" w:lineRule="exact"/>
        <w:ind w:firstLineChars="0"/>
        <w:jc w:val="center"/>
        <w:outlineLvl w:val="1"/>
        <w:rPr>
          <w:rFonts w:ascii="黑体" w:hAnsi="黑体" w:eastAsia="黑体" w:cs="黑体"/>
          <w:bCs/>
          <w:color w:val="auto"/>
          <w:sz w:val="32"/>
          <w:szCs w:val="32"/>
        </w:rPr>
      </w:pPr>
      <w:bookmarkStart w:id="87" w:name="_Toc59116923"/>
      <w:r>
        <w:rPr>
          <w:rFonts w:hint="eastAsia" w:ascii="黑体" w:hAnsi="黑体" w:eastAsia="黑体" w:cs="黑体"/>
          <w:bCs/>
          <w:color w:val="auto"/>
          <w:sz w:val="32"/>
          <w:szCs w:val="32"/>
        </w:rPr>
        <w:t>全面提升自主创新能力</w:t>
      </w:r>
      <w:bookmarkEnd w:id="86"/>
      <w:bookmarkEnd w:id="87"/>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bookmarkStart w:id="88" w:name="_Toc489"/>
      <w:r>
        <w:rPr>
          <w:rFonts w:hint="eastAsia" w:ascii="仿宋_GB2312" w:hAnsi="仿宋_GB2312" w:eastAsia="仿宋_GB2312" w:cs="仿宋_GB2312"/>
          <w:color w:val="auto"/>
          <w:sz w:val="32"/>
          <w:szCs w:val="32"/>
        </w:rPr>
        <w:t>以形成生产力为导向，坚持科学研究和技术创新并进，支持区域综合性实验室、新型研发机构、科技企业开展技术创新、提升科技竞争力，保障中科院沈阳自动化所、中科院金属所、东北大学、沈阳理工大学等驻区院所高校强化科学研究，助力沈阳建设综合性国家科学中心。</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建设区域综合性实验室。</w:t>
      </w:r>
      <w:r>
        <w:rPr>
          <w:rFonts w:hint="eastAsia" w:ascii="仿宋_GB2312" w:hAnsi="仿宋_GB2312" w:eastAsia="仿宋_GB2312" w:cs="仿宋_GB2312"/>
          <w:color w:val="auto"/>
          <w:sz w:val="32"/>
          <w:szCs w:val="32"/>
        </w:rPr>
        <w:t>积极对接跟进国家战略性科技基础设施布局，争取区域综合性实验室落地，围绕先进材料、智能制造、生命健康等方向构建产学研贯通式创新枢纽，推进信息技术与材料、制造、装备的耦合与赋能，争创国家实验室。整合材料科学国家研究中心、中科院机器人与智能制造创新研究院、国家机器人创新中心等重点实验室力量，布局高能射线多束源多维成像分析测试装置、工业智脑与边缘计算装置、眼科学与视觉科学装备实验室等大科学装置，建设引领高质量发展的“创新工厂”。放大区域综合性实验室溢出效应，加快沈阳产业技术研究院建设，作为提升全市产业技术供给能力和推动科技成果转化重要载体。打造以“科创产融”为主体功能、“文教医商”配套设施完备的生产</w:t>
      </w:r>
      <w:r>
        <w:rPr>
          <w:rFonts w:ascii="仿宋_GB2312" w:hAnsi="仿宋_GB2312" w:eastAsia="仿宋_GB2312" w:cs="仿宋_GB2312"/>
          <w:color w:val="auto"/>
          <w:sz w:val="32"/>
          <w:szCs w:val="32"/>
        </w:rPr>
        <w:t>、生活、生态</w:t>
      </w:r>
      <w:r>
        <w:rPr>
          <w:rFonts w:hint="eastAsia" w:ascii="仿宋_GB2312" w:hAnsi="仿宋_GB2312" w:eastAsia="仿宋_GB2312" w:cs="仿宋_GB2312"/>
          <w:color w:val="auto"/>
          <w:sz w:val="32"/>
          <w:szCs w:val="32"/>
        </w:rPr>
        <w:t>“三生融合”科技城，构建“基础研究-应用研究-产业化”的全链条创新体系。到2025年，实验室转化育成前沿科技企业100家以上。</w:t>
      </w:r>
    </w:p>
    <w:bookmarkEnd w:id="88"/>
    <w:p>
      <w:pPr>
        <w:spacing w:line="579" w:lineRule="exact"/>
        <w:ind w:firstLine="660" w:firstLineChars="200"/>
        <w:rPr>
          <w:rFonts w:ascii="仿宋_GB2312" w:hAnsi="仿宋_GB2312" w:eastAsia="仿宋_GB2312" w:cs="仿宋_GB2312"/>
          <w:color w:val="auto"/>
          <w:sz w:val="32"/>
          <w:szCs w:val="32"/>
        </w:rPr>
      </w:pPr>
      <w:bookmarkStart w:id="89" w:name="_Hlk48569646"/>
      <w:bookmarkStart w:id="90" w:name="_Hlk48768332"/>
      <w:r>
        <w:rPr>
          <w:rFonts w:hint="eastAsia" w:ascii="仿宋_GB2312" w:hAnsi="仿宋_GB2312" w:eastAsia="仿宋_GB2312" w:cs="仿宋_GB2312"/>
          <w:b/>
          <w:color w:val="auto"/>
          <w:sz w:val="32"/>
          <w:szCs w:val="32"/>
        </w:rPr>
        <w:t>实施新型研发机构培育计划。</w:t>
      </w:r>
      <w:r>
        <w:rPr>
          <w:rFonts w:hint="eastAsia" w:ascii="仿宋_GB2312" w:hAnsi="仿宋_GB2312" w:eastAsia="仿宋_GB2312" w:cs="仿宋_GB2312"/>
          <w:color w:val="auto"/>
          <w:sz w:val="32"/>
          <w:szCs w:val="32"/>
        </w:rPr>
        <w:t>以赋能存量企业创新升级和培育科技型企业为核心，培育覆盖全区高新技术产业体系的新型研发机构，提升应用技术研究、技术创业孵化功能。差异化引导沈阳健康工程技术研究院、沈阳中科先进技术研究院等重点研发机构，创新优化商业模式、提升应用技术研究能力、强化内外部技术成果转移孵化。聚焦5G应用、集成电路、网络安全、光子医学、高寒低温地区新能源汽车等细分领域，联合权威科研院所、领军企业共建新型研发机构，加速顶尖科技成果区内转移转化，孵化一批瞪羚独角兽企业。到2025年，布局新型研发机构50家以上，培育研发和运营人员超百人的大体量新型研发机构10家以上。</w:t>
      </w:r>
    </w:p>
    <w:bookmarkEnd w:id="89"/>
    <w:bookmarkEnd w:id="90"/>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推进创新平台和科技服务升级。</w:t>
      </w:r>
      <w:r>
        <w:rPr>
          <w:rFonts w:hint="eastAsia" w:ascii="仿宋_GB2312" w:hAnsi="仿宋_GB2312" w:eastAsia="仿宋_GB2312" w:cs="仿宋_GB2312"/>
          <w:color w:val="auto"/>
          <w:sz w:val="32"/>
          <w:szCs w:val="32"/>
        </w:rPr>
        <w:t>支持机器人学国家重点实验室、国家真空仪器装置工程技术研究中心等国家级创新平台强化研发创新能力和对外服务能力。支持重点创新平台完善自身条件，升级创建国家级创新平台。加快浑南科技城规划建设，聚焦先进材料、智能制造、生命健康、信息技术、数字文创等重大创新领域、布局建设科技基础设施、引育创新主体、搭建服务平台。鼓励高校院所、骨干企业建设重点实验室、企业技术中心、行业共性研究（创新）中心、共性技术服务平台、工程化服务平台、小试中试基地、产品设计中心等各类创新平台，积极引导各类平台共享创新资源，建设共享实验室等开放平台。发挥国家机器人检测中心等国家级质检中心作用，建设半导体装备、信创、医疗器械、生物医药等领域检验检测中心，提升关键产业检验检测服务能力。围绕工业设计、科技咨询等领域，培育一批创新性强、处于行业领军地位的科技服务示范企业。</w:t>
      </w:r>
    </w:p>
    <w:p>
      <w:pPr>
        <w:spacing w:line="579" w:lineRule="exact"/>
        <w:ind w:firstLine="660" w:firstLineChars="200"/>
        <w:rPr>
          <w:rFonts w:ascii="仿宋_GB2312" w:hAnsi="仿宋_GB2312" w:eastAsia="仿宋_GB2312" w:cs="仿宋_GB2312"/>
          <w:color w:val="auto"/>
          <w:sz w:val="32"/>
          <w:szCs w:val="32"/>
        </w:rPr>
      </w:pPr>
      <w:bookmarkStart w:id="91" w:name="_Hlk48569773"/>
      <w:r>
        <w:rPr>
          <w:rFonts w:hint="eastAsia" w:ascii="仿宋_GB2312" w:hAnsi="仿宋_GB2312" w:eastAsia="仿宋_GB2312" w:cs="仿宋_GB2312"/>
          <w:b/>
          <w:color w:val="auto"/>
          <w:sz w:val="32"/>
          <w:szCs w:val="32"/>
        </w:rPr>
        <w:t>加强“卡脖子”技术攻关。</w:t>
      </w:r>
      <w:r>
        <w:rPr>
          <w:rFonts w:hint="eastAsia" w:ascii="仿宋_GB2312" w:hAnsi="仿宋_GB2312" w:eastAsia="仿宋_GB2312" w:cs="仿宋_GB2312"/>
          <w:color w:val="auto"/>
          <w:sz w:val="32"/>
          <w:szCs w:val="32"/>
        </w:rPr>
        <w:t>依托区域综合性实验室开展前沿交叉性科学研究，提升从“0-1”原始创新能力。发挥企业技术创新主体作用，支持企业牵头组建创新联合体，并引导企业与科研院所建立契约关系，联合攻克关键核心技术和共性技术，抢占产业制高点。建立国家重大科技项目接续支持机制，吸引国家项目开展延展性研究和产业化生产，促进一批已结题、未转化的国家项目落地。实行重点项目攻关“揭榜挂帅”制度。鼓励创新主体积极申报国家、省市科技重大专项及重点研发计划，对国家科技重大专项项目给予配套资金支持。</w:t>
      </w:r>
      <w:bookmarkEnd w:id="91"/>
      <w:r>
        <w:rPr>
          <w:rFonts w:hint="eastAsia" w:ascii="仿宋_GB2312" w:hAnsi="仿宋_GB2312" w:eastAsia="仿宋_GB2312" w:cs="仿宋_GB2312"/>
          <w:color w:val="auto"/>
          <w:sz w:val="32"/>
          <w:szCs w:val="32"/>
        </w:rPr>
        <w:t>发挥辽宁半导体装备产业技术创新战略联盟等创新联盟作用，联合开展共性技术攻关、新产品开发、人才引进、市场开发等工作。</w:t>
      </w:r>
    </w:p>
    <w:p>
      <w:pPr>
        <w:spacing w:line="579" w:lineRule="exact"/>
        <w:ind w:firstLine="660" w:firstLineChars="200"/>
        <w:rPr>
          <w:rFonts w:ascii="仿宋_GB2312" w:hAnsi="仿宋_GB2312" w:eastAsia="仿宋_GB2312" w:cs="仿宋_GB2312"/>
          <w:color w:val="auto"/>
          <w:sz w:val="32"/>
          <w:szCs w:val="32"/>
        </w:rPr>
      </w:pPr>
      <w:bookmarkStart w:id="92" w:name="_Hlk48577304"/>
      <w:r>
        <w:rPr>
          <w:rFonts w:hint="eastAsia" w:ascii="仿宋_GB2312" w:hAnsi="仿宋_GB2312" w:eastAsia="仿宋_GB2312" w:cs="仿宋_GB2312"/>
          <w:b/>
          <w:color w:val="auto"/>
          <w:sz w:val="32"/>
          <w:szCs w:val="32"/>
        </w:rPr>
        <w:t>推动科技成果转化落地。</w:t>
      </w:r>
      <w:r>
        <w:rPr>
          <w:rFonts w:hint="eastAsia" w:ascii="仿宋_GB2312" w:hAnsi="仿宋_GB2312" w:eastAsia="仿宋_GB2312" w:cs="仿宋_GB2312"/>
          <w:color w:val="auto"/>
          <w:sz w:val="32"/>
          <w:szCs w:val="32"/>
        </w:rPr>
        <w:t>重点推进与在沈高校院所合作</w:t>
      </w:r>
      <w:r>
        <w:rPr>
          <w:rStyle w:val="24"/>
          <w:rFonts w:hint="default"/>
          <w:color w:val="auto"/>
        </w:rPr>
        <w:t>建设科技成果转化基地、院士工作站等平台载体，采用共同投入物理空间、共建成果</w:t>
      </w:r>
      <w:r>
        <w:rPr>
          <w:rFonts w:hint="eastAsia" w:ascii="仿宋_GB2312" w:hAnsi="仿宋_GB2312" w:eastAsia="仿宋_GB2312" w:cs="仿宋_GB2312"/>
          <w:color w:val="auto"/>
          <w:sz w:val="32"/>
          <w:szCs w:val="32"/>
        </w:rPr>
        <w:t>转化基金、同建转化运营团队方式，提升科技成果转化和孵化能力。推广“定向研发、定向转化、定向服务”的科技成果转化模式，支持专业科技成果转化机构社会化发展，加强科技成果转化基地中试平台建设，推动项目转化和人才引进。支持驻区科研院所探索科技成果“三权”改革、股权激励机制以及事业编制科技人员兼职、离职创新创业模式。推进东北科技大市场建设，与高校院所共建工作站，对接科技成果，促成技术合同交易。建设一批国际技术转移平台，推进国际间技术转移。</w:t>
      </w:r>
      <w:bookmarkEnd w:id="92"/>
      <w:r>
        <w:rPr>
          <w:rFonts w:hint="eastAsia" w:ascii="仿宋_GB2312" w:hAnsi="仿宋_GB2312" w:eastAsia="仿宋_GB2312" w:cs="仿宋_GB2312"/>
          <w:color w:val="auto"/>
          <w:sz w:val="32"/>
          <w:szCs w:val="32"/>
        </w:rPr>
        <w:t>到2025年，累计建成校地科技成果转化基地</w:t>
      </w:r>
      <w:r>
        <w:rPr>
          <w:rFonts w:ascii="仿宋_GB2312" w:hAnsi="仿宋_GB2312" w:eastAsia="仿宋_GB2312" w:cs="仿宋_GB2312"/>
          <w:color w:val="auto"/>
          <w:sz w:val="32"/>
          <w:szCs w:val="32"/>
        </w:rPr>
        <w:t>10</w:t>
      </w:r>
      <w:r>
        <w:rPr>
          <w:rFonts w:hint="eastAsia" w:ascii="仿宋_GB2312" w:hAnsi="仿宋_GB2312" w:eastAsia="仿宋_GB2312" w:cs="仿宋_GB2312"/>
          <w:color w:val="auto"/>
          <w:sz w:val="32"/>
          <w:szCs w:val="32"/>
        </w:rPr>
        <w:t>个以上，当年技术合同成交额100亿元以上。</w:t>
      </w:r>
    </w:p>
    <w:p>
      <w:pPr>
        <w:spacing w:line="579" w:lineRule="exact"/>
        <w:ind w:firstLine="660" w:firstLineChars="200"/>
        <w:rPr>
          <w:rFonts w:ascii="仿宋_GB2312" w:hAnsi="仿宋_GB2312" w:eastAsia="仿宋_GB2312" w:cs="仿宋_GB2312"/>
          <w:color w:val="auto"/>
          <w:sz w:val="32"/>
          <w:szCs w:val="32"/>
          <w:u w:val="single"/>
        </w:rPr>
      </w:pPr>
      <w:r>
        <w:rPr>
          <w:rFonts w:hint="eastAsia" w:ascii="仿宋_GB2312" w:hAnsi="仿宋_GB2312" w:eastAsia="仿宋_GB2312" w:cs="仿宋_GB2312"/>
          <w:b/>
          <w:bCs/>
          <w:color w:val="auto"/>
          <w:sz w:val="32"/>
          <w:szCs w:val="32"/>
        </w:rPr>
        <w:t>提升知识产权综合实力。</w:t>
      </w:r>
      <w:r>
        <w:rPr>
          <w:rFonts w:hint="eastAsia" w:ascii="仿宋_GB2312" w:hAnsi="仿宋_GB2312" w:eastAsia="仿宋_GB2312" w:cs="仿宋_GB2312"/>
          <w:color w:val="auto"/>
          <w:sz w:val="32"/>
          <w:szCs w:val="32"/>
        </w:rPr>
        <w:t>开展发明专利增量提质工作，到2025年，有效发明专利拥有量9000件以上，每万人（按高新区从业人员数计算）发明专利拥有量达180件以上，PCT专利申请量达到200件；累计国内商标注册量 20000 件以上，每万人（按高新区从业人员数计算）商标注册量达800件以上，马德里国际商标注册量累计达到 400 件。加强知识产权产业化运用，设立知识产权密集型产业知识产权运用基金，全面完善知识产权质押、担保、保险等金融服务体系。依托东北科技大市场，引进国内知名知识产权服务机构。开展跨区域专利联合执法，建立知识产权民事、行政、刑事案件“三合一”审判机制，探索设立浑南区知识产权仲裁委员会。</w:t>
      </w:r>
      <w:r>
        <w:rPr>
          <w:rFonts w:hint="eastAsia" w:ascii="仿宋_GB2312" w:hAnsi="仿宋_GB2312" w:eastAsia="仿宋_GB2312" w:cs="仿宋_GB2312"/>
          <w:color w:val="auto"/>
          <w:sz w:val="32"/>
          <w:szCs w:val="32"/>
          <w:u w:val="single"/>
        </w:rPr>
        <w:t>建设知识产权公共服务平台、特色产业运营中心、知识产权服务业集聚区，不断深化国家知识产权示范园区建设。</w:t>
      </w:r>
    </w:p>
    <w:p>
      <w:pPr>
        <w:keepNext/>
        <w:spacing w:line="579" w:lineRule="exact"/>
        <w:ind w:firstLine="440" w:firstLineChars="200"/>
        <w:outlineLvl w:val="0"/>
        <w:rPr>
          <w:color w:val="auto"/>
        </w:rPr>
      </w:pPr>
    </w:p>
    <w:p>
      <w:pPr>
        <w:pStyle w:val="31"/>
        <w:numPr>
          <w:ilvl w:val="0"/>
          <w:numId w:val="6"/>
        </w:numPr>
        <w:spacing w:line="579" w:lineRule="exact"/>
        <w:ind w:firstLineChars="0"/>
        <w:jc w:val="center"/>
        <w:outlineLvl w:val="1"/>
        <w:rPr>
          <w:rFonts w:ascii="黑体" w:hAnsi="黑体" w:eastAsia="黑体" w:cs="黑体"/>
          <w:bCs/>
          <w:color w:val="auto"/>
          <w:sz w:val="32"/>
          <w:szCs w:val="32"/>
        </w:rPr>
      </w:pPr>
      <w:bookmarkStart w:id="93" w:name="_Toc59116924"/>
      <w:bookmarkStart w:id="94" w:name="_Toc17889"/>
      <w:r>
        <w:rPr>
          <w:rFonts w:hint="eastAsia" w:ascii="黑体" w:hAnsi="黑体" w:eastAsia="黑体" w:cs="黑体"/>
          <w:bCs/>
          <w:color w:val="auto"/>
          <w:sz w:val="32"/>
          <w:szCs w:val="32"/>
        </w:rPr>
        <w:t>强化新经济企业梯度培育</w:t>
      </w:r>
      <w:bookmarkEnd w:id="93"/>
      <w:bookmarkEnd w:id="94"/>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bookmarkStart w:id="95" w:name="_Toc31182"/>
      <w:r>
        <w:rPr>
          <w:rFonts w:hint="eastAsia" w:ascii="仿宋_GB2312" w:hAnsi="仿宋_GB2312" w:eastAsia="仿宋_GB2312" w:cs="仿宋_GB2312"/>
          <w:color w:val="auto"/>
          <w:sz w:val="32"/>
          <w:szCs w:val="32"/>
        </w:rPr>
        <w:t>以平台化大企业为龙头引领，以高潜力雏鹰企业、高成长瞪羚企业、高价值独角兽企业为主体，以高新技术企业和科技型中小企业为基础，改造升级“老字号”、深度开发“原字号”、培育壮大“新字号”，实现大中小企业梯次并进。</w:t>
      </w:r>
    </w:p>
    <w:bookmarkEnd w:id="95"/>
    <w:p>
      <w:pPr>
        <w:spacing w:line="579" w:lineRule="exact"/>
        <w:ind w:firstLine="660" w:firstLineChars="200"/>
        <w:rPr>
          <w:rFonts w:ascii="仿宋_GB2312" w:hAnsi="仿宋_GB2312" w:eastAsia="仿宋_GB2312" w:cs="仿宋_GB2312"/>
          <w:color w:val="auto"/>
          <w:sz w:val="32"/>
          <w:szCs w:val="32"/>
        </w:rPr>
      </w:pPr>
      <w:bookmarkStart w:id="96" w:name="_Hlk48571889"/>
      <w:r>
        <w:rPr>
          <w:rFonts w:hint="eastAsia" w:ascii="仿宋_GB2312" w:hAnsi="仿宋_GB2312" w:eastAsia="仿宋_GB2312" w:cs="仿宋_GB2312"/>
          <w:b/>
          <w:bCs/>
          <w:color w:val="auto"/>
          <w:sz w:val="32"/>
          <w:szCs w:val="32"/>
        </w:rPr>
        <w:t>实施平台化大企业培育计划</w:t>
      </w:r>
      <w:r>
        <w:rPr>
          <w:rFonts w:hint="eastAsia" w:ascii="仿宋_GB2312" w:hAnsi="仿宋_GB2312" w:eastAsia="仿宋_GB2312" w:cs="仿宋_GB2312"/>
          <w:bCs/>
          <w:color w:val="auto"/>
          <w:sz w:val="32"/>
          <w:szCs w:val="32"/>
        </w:rPr>
        <w:t>。“一企一策”引导和支持东软集团、东软医疗等平台化示范企业，新松、成大生物、芯源微等本土头部企业，以及科技巨头区域总部平台化发展。从用地保障、项目审批、技术对接、场景开放、人才支持等方面着力，助力平台化企业提升总部能级、强化战略投资、建设专业载体、构建研发共同体、拆分新业务独立运作，打造营业收入超百亿元大企业。</w:t>
      </w:r>
      <w:r>
        <w:rPr>
          <w:rFonts w:hint="eastAsia" w:ascii="仿宋_GB2312" w:hAnsi="仿宋_GB2312" w:eastAsia="仿宋_GB2312" w:cs="仿宋_GB2312"/>
          <w:color w:val="auto"/>
          <w:sz w:val="32"/>
          <w:szCs w:val="32"/>
        </w:rPr>
        <w:t>引导平台化企业向中小企业、内创业企业等开放资源，实现大中小企业融通发展。到2025年，培育营业收入超百亿元平台化大企业10家以上，培育营业收入超3</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亿元平台化大企业3</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家以上。</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实施规上工业企业倍增和扩容计划</w:t>
      </w:r>
      <w:r>
        <w:rPr>
          <w:rFonts w:hint="eastAsia" w:ascii="仿宋_GB2312" w:hAnsi="仿宋_GB2312" w:eastAsia="仿宋_GB2312" w:cs="仿宋_GB2312"/>
          <w:color w:val="auto"/>
          <w:sz w:val="32"/>
          <w:szCs w:val="32"/>
        </w:rPr>
        <w:t>。每年锁定不低于4</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户存量倍增工业企业，从供地供房、平台搭建、资源对接等方面着力，助力企业扩产、培育新业务和对外投资，实现规模倍增。部门街道联动，定期梳理疑似达到规模标准的重点企业核查纳统情况，确保每年新增规上工业企业不低于</w:t>
      </w:r>
      <w:r>
        <w:rPr>
          <w:rFonts w:ascii="仿宋_GB2312" w:hAnsi="仿宋_GB2312" w:eastAsia="仿宋_GB2312" w:cs="仿宋_GB2312"/>
          <w:color w:val="auto"/>
          <w:sz w:val="32"/>
          <w:szCs w:val="32"/>
        </w:rPr>
        <w:t>30</w:t>
      </w:r>
      <w:r>
        <w:rPr>
          <w:rFonts w:hint="eastAsia" w:ascii="仿宋_GB2312" w:hAnsi="仿宋_GB2312" w:eastAsia="仿宋_GB2312" w:cs="仿宋_GB2312"/>
          <w:color w:val="auto"/>
          <w:sz w:val="32"/>
          <w:szCs w:val="32"/>
        </w:rPr>
        <w:t>户。帮助产值规模下滑大的工业企业积极培育新业态、探索新模式，实现转型升级。推进工业企业数字化转型，推动企业实现业务、数据、设备上云上平台，到2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年，建成智慧工厂1</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个以上。</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w:t>
      </w:r>
      <w:bookmarkStart w:id="97" w:name="_Hlk48572220"/>
      <w:r>
        <w:rPr>
          <w:rFonts w:hint="eastAsia" w:ascii="仿宋_GB2312" w:hAnsi="仿宋_GB2312" w:eastAsia="仿宋_GB2312" w:cs="仿宋_GB2312"/>
          <w:b/>
          <w:bCs/>
          <w:color w:val="auto"/>
          <w:sz w:val="32"/>
          <w:szCs w:val="32"/>
        </w:rPr>
        <w:t>雏鹰-瞪羚-独角兽企业及领跑者企业培育计划</w:t>
      </w:r>
      <w:bookmarkEnd w:id="97"/>
      <w:r>
        <w:rPr>
          <w:rFonts w:hint="eastAsia" w:ascii="仿宋_GB2312" w:hAnsi="仿宋_GB2312" w:eastAsia="仿宋_GB2312" w:cs="仿宋_GB2312"/>
          <w:bCs/>
          <w:color w:val="auto"/>
          <w:sz w:val="32"/>
          <w:szCs w:val="32"/>
        </w:rPr>
        <w:t>。建立区级新经济企业培育库，遴选中钛装备、上博智像一批高潜力、高成长、高价值的新经济、新业态企业，培育成为省级雏鹰企业、瞪羚企业、种子独角兽企业、潜在独角兽企业、独角兽企业。</w:t>
      </w:r>
      <w:r>
        <w:rPr>
          <w:rFonts w:hint="eastAsia" w:ascii="仿宋_GB2312" w:hAnsi="仿宋_GB2312" w:eastAsia="仿宋_GB2312" w:cs="仿宋_GB2312"/>
          <w:color w:val="auto"/>
          <w:sz w:val="32"/>
          <w:szCs w:val="32"/>
        </w:rPr>
        <w:t>启动领跑者企业培育计划，遴选拓荆科技、宏图创展、美行科技、新松医疗等一批细分行业市场占有率高、战略意义重大、盈利状况好的隐形冠军企业，作为科创板和创业板上市企业重点培育对象。</w:t>
      </w:r>
      <w:r>
        <w:rPr>
          <w:rFonts w:hint="eastAsia" w:ascii="仿宋_GB2312" w:hAnsi="仿宋_GB2312" w:eastAsia="仿宋_GB2312" w:cs="仿宋_GB2312"/>
          <w:bCs/>
          <w:color w:val="auto"/>
          <w:sz w:val="32"/>
          <w:szCs w:val="32"/>
        </w:rPr>
        <w:t>依托区新经济企业实验室，提供业务选择、商业模式打磨、资源链接、项目策划、场景规划、上市辅导、组织能力建设等全链条服务。常态化举办新经济企业发展大会，营造新经济企业发展氛围。</w:t>
      </w:r>
      <w:bookmarkEnd w:id="96"/>
      <w:r>
        <w:rPr>
          <w:rFonts w:hint="eastAsia" w:ascii="仿宋_GB2312" w:hAnsi="仿宋_GB2312" w:eastAsia="仿宋_GB2312" w:cs="仿宋_GB2312"/>
          <w:color w:val="auto"/>
          <w:sz w:val="32"/>
          <w:szCs w:val="32"/>
        </w:rPr>
        <w:t>到2025年，累计培育雏鹰企业</w:t>
      </w:r>
      <w:r>
        <w:rPr>
          <w:rFonts w:ascii="仿宋_GB2312" w:hAnsi="仿宋_GB2312" w:eastAsia="仿宋_GB2312" w:cs="仿宋_GB2312"/>
          <w:color w:val="auto"/>
          <w:sz w:val="32"/>
          <w:szCs w:val="32"/>
        </w:rPr>
        <w:t>1000</w:t>
      </w:r>
      <w:r>
        <w:rPr>
          <w:rFonts w:hint="eastAsia" w:ascii="仿宋_GB2312" w:hAnsi="仿宋_GB2312" w:eastAsia="仿宋_GB2312" w:cs="仿宋_GB2312"/>
          <w:color w:val="auto"/>
          <w:sz w:val="32"/>
          <w:szCs w:val="32"/>
        </w:rPr>
        <w:t>家、瞪羚企业70家、独角兽企业3家，领跑者企业1</w:t>
      </w:r>
      <w:r>
        <w:rPr>
          <w:rFonts w:ascii="仿宋_GB2312" w:hAnsi="仿宋_GB2312" w:eastAsia="仿宋_GB2312" w:cs="仿宋_GB2312"/>
          <w:color w:val="auto"/>
          <w:sz w:val="32"/>
          <w:szCs w:val="32"/>
        </w:rPr>
        <w:t>00</w:t>
      </w:r>
      <w:r>
        <w:rPr>
          <w:rFonts w:hint="eastAsia" w:ascii="仿宋_GB2312" w:hAnsi="仿宋_GB2312" w:eastAsia="仿宋_GB2312" w:cs="仿宋_GB2312"/>
          <w:color w:val="auto"/>
          <w:sz w:val="32"/>
          <w:szCs w:val="32"/>
        </w:rPr>
        <w:t>家。</w:t>
      </w:r>
    </w:p>
    <w:p>
      <w:pPr>
        <w:spacing w:line="579" w:lineRule="exact"/>
        <w:ind w:firstLine="660" w:firstLineChars="200"/>
        <w:rPr>
          <w:rFonts w:ascii="仿宋_GB2312" w:hAnsi="仿宋_GB2312" w:eastAsia="仿宋_GB2312" w:cs="仿宋_GB2312"/>
          <w:color w:val="auto"/>
          <w:sz w:val="32"/>
          <w:szCs w:val="32"/>
        </w:rPr>
      </w:pPr>
      <w:bookmarkStart w:id="98" w:name="_Hlk48571848"/>
      <w:r>
        <w:rPr>
          <w:rFonts w:hint="eastAsia" w:ascii="仿宋_GB2312" w:hAnsi="仿宋_GB2312" w:eastAsia="仿宋_GB2312" w:cs="仿宋_GB2312"/>
          <w:b/>
          <w:bCs/>
          <w:color w:val="auto"/>
          <w:sz w:val="32"/>
          <w:szCs w:val="32"/>
        </w:rPr>
        <w:t>实施高新技术企业和科技型中小企业扩容提质计划</w:t>
      </w:r>
      <w:r>
        <w:rPr>
          <w:rFonts w:hint="eastAsia" w:ascii="仿宋_GB2312" w:hAnsi="仿宋_GB2312" w:eastAsia="仿宋_GB2312" w:cs="仿宋_GB2312"/>
          <w:bCs/>
          <w:color w:val="auto"/>
          <w:sz w:val="32"/>
          <w:szCs w:val="32"/>
        </w:rPr>
        <w:t>。建立区级高新技术企业、科技型中小企业培育库，</w:t>
      </w:r>
      <w:r>
        <w:rPr>
          <w:rFonts w:hint="eastAsia" w:ascii="仿宋_GB2312" w:hAnsi="仿宋_GB2312" w:eastAsia="仿宋_GB2312" w:cs="仿宋_GB2312"/>
          <w:color w:val="auto"/>
          <w:sz w:val="32"/>
          <w:szCs w:val="32"/>
        </w:rPr>
        <w:t>遴选一批市场前景好的科技型初创企业、非科技型规上企业入库</w:t>
      </w:r>
      <w:r>
        <w:rPr>
          <w:rFonts w:hint="eastAsia" w:ascii="仿宋_GB2312" w:hAnsi="仿宋_GB2312" w:eastAsia="仿宋_GB2312" w:cs="仿宋_GB2312"/>
          <w:bCs/>
          <w:color w:val="auto"/>
          <w:sz w:val="32"/>
          <w:szCs w:val="32"/>
        </w:rPr>
        <w:t>。</w:t>
      </w:r>
      <w:r>
        <w:rPr>
          <w:rFonts w:hint="eastAsia" w:ascii="仿宋_GB2312" w:hAnsi="仿宋_GB2312" w:eastAsia="仿宋_GB2312" w:cs="仿宋_GB2312"/>
          <w:color w:val="auto"/>
          <w:sz w:val="32"/>
          <w:szCs w:val="32"/>
        </w:rPr>
        <w:t>引导非科技型规上企业增加研发投入，实现“规上进高企”。鼓励高新技术企业、科技型中小企业通过提升优势业务市场份额、强化培育新业务、加强省外和国际布局，实现“高企进规上”，成为科技小巨人企业、专精特新“小巨人”企业。到2025年，高新技术企业达到</w:t>
      </w:r>
      <w:r>
        <w:rPr>
          <w:rFonts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rPr>
        <w:t>00家。</w:t>
      </w:r>
    </w:p>
    <w:bookmarkEnd w:id="98"/>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bCs/>
          <w:color w:val="auto"/>
          <w:sz w:val="32"/>
          <w:szCs w:val="32"/>
        </w:rPr>
        <w:t>建立重点企业包保服务体系</w:t>
      </w:r>
      <w:r>
        <w:rPr>
          <w:rFonts w:hint="eastAsia" w:ascii="仿宋_GB2312" w:hAnsi="仿宋_GB2312" w:eastAsia="仿宋_GB2312" w:cs="仿宋_GB2312"/>
          <w:bCs/>
          <w:color w:val="auto"/>
          <w:sz w:val="32"/>
          <w:szCs w:val="32"/>
        </w:rPr>
        <w:t>。围绕企业生产经营过程中面临的经营管理、市场开拓、技术攻关、企业上云、数字化转型、资金、用地、基础设施配套、项目审批、人才引进等问题，建立重点企业“管家式”包保体系，实行“点对点”跟踪服务。实施困难企业帮扶计划，对产值下滑明显的企业重点关注，“一企一策”量身定制问题解决方案。建立企业供需信息共享和对接机制，为企业提供供应链服务。建立企业包保人负责问题跟踪回访的机制，建立职能部门、管委会、区政府三级问题解决机制。依托沈阳高新区产业促进大数据平台，建设企业全生命周期在线包保服务体系，动态收集企业问题、智能生成任务清单、跟踪监测解决进度，全面提升包保服务效率。</w:t>
      </w:r>
    </w:p>
    <w:p>
      <w:pPr>
        <w:pStyle w:val="31"/>
        <w:keepNext/>
        <w:spacing w:line="290" w:lineRule="exact"/>
        <w:ind w:firstLine="0" w:firstLineChars="0"/>
        <w:outlineLvl w:val="0"/>
        <w:rPr>
          <w:color w:val="auto"/>
        </w:rPr>
      </w:pPr>
    </w:p>
    <w:p>
      <w:pPr>
        <w:pStyle w:val="31"/>
        <w:numPr>
          <w:ilvl w:val="0"/>
          <w:numId w:val="6"/>
        </w:numPr>
        <w:spacing w:line="579" w:lineRule="exact"/>
        <w:ind w:firstLineChars="0"/>
        <w:jc w:val="center"/>
        <w:outlineLvl w:val="1"/>
        <w:rPr>
          <w:rFonts w:ascii="黑体" w:hAnsi="黑体" w:eastAsia="黑体" w:cs="黑体"/>
          <w:bCs/>
          <w:color w:val="auto"/>
          <w:sz w:val="32"/>
          <w:szCs w:val="32"/>
        </w:rPr>
      </w:pPr>
      <w:bookmarkStart w:id="99" w:name="_Toc28991"/>
      <w:bookmarkStart w:id="100" w:name="_Toc59116925"/>
      <w:r>
        <w:rPr>
          <w:rFonts w:hint="eastAsia" w:ascii="黑体" w:hAnsi="黑体" w:eastAsia="黑体" w:cs="黑体"/>
          <w:bCs/>
          <w:color w:val="auto"/>
          <w:sz w:val="32"/>
          <w:szCs w:val="32"/>
        </w:rPr>
        <w:t>开展新技术应用场景建设</w:t>
      </w:r>
      <w:bookmarkEnd w:id="99"/>
      <w:bookmarkEnd w:id="100"/>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bCs/>
          <w:color w:val="auto"/>
          <w:sz w:val="32"/>
          <w:szCs w:val="32"/>
        </w:rPr>
      </w:pPr>
      <w:bookmarkStart w:id="101" w:name="_Toc9116"/>
      <w:r>
        <w:rPr>
          <w:rFonts w:hint="eastAsia" w:ascii="仿宋_GB2312" w:hAnsi="仿宋_GB2312" w:eastAsia="仿宋_GB2312" w:cs="仿宋_GB2312"/>
          <w:bCs/>
          <w:color w:val="auto"/>
          <w:sz w:val="32"/>
          <w:szCs w:val="32"/>
        </w:rPr>
        <w:t>树立“创新无处不在，处处皆为场景”理念，以新场景引领新产业突破发展，统筹政策、机制、资金、人才等要素，跨部门、跨行业统筹衔接，建设特色示范性场景。</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实施新场景试点示范计划。</w:t>
      </w:r>
      <w:r>
        <w:rPr>
          <w:rFonts w:hint="eastAsia" w:ascii="仿宋_GB2312" w:hAnsi="仿宋_GB2312" w:eastAsia="仿宋_GB2312" w:cs="仿宋_GB2312"/>
          <w:color w:val="auto"/>
          <w:sz w:val="32"/>
          <w:szCs w:val="32"/>
        </w:rPr>
        <w:t>建设一批示范性场景，推动城市场景和产业场景开放，实现新技术、新产品、新模式等率先应用。实施人工智能示范工程，依托华为、东软医疗、向日葵等重点企业，推动智慧交通、智慧政务、智慧安全、城市精细化管理、智能医疗、智能教育等技术产品应用示范。实施机器人+示范工程，依托新松、吕尚科技等重点企业，推动工业、移动、洁净、特种、服务机器人等技术产品应用示范。实施新能源智能汽车示范工程，依托东软睿驰、美行科技等重点企业，推进自动驾驶、动力电池及电池管理系统、充电桩、智能座舱、智能车载通信系统、车联网等技术产品应用示范。实施5G+示范工程，依托移动公司、联通公司等，推进政务、金融、医疗、食品安全、社会治安等领域产品应用示范。</w:t>
      </w: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完善新场景建设政策环境</w:t>
      </w:r>
      <w:r>
        <w:rPr>
          <w:rFonts w:hint="eastAsia" w:ascii="仿宋_GB2312" w:hAnsi="仿宋_GB2312" w:eastAsia="仿宋_GB2312" w:cs="仿宋_GB2312"/>
          <w:color w:val="auto"/>
          <w:sz w:val="32"/>
          <w:szCs w:val="32"/>
        </w:rPr>
        <w:t>。采用</w:t>
      </w:r>
      <w:r>
        <w:rPr>
          <w:rFonts w:hint="eastAsia" w:ascii="仿宋_GB2312" w:hAnsi="仿宋_GB2312" w:eastAsia="仿宋_GB2312" w:cs="仿宋_GB2312"/>
          <w:bCs/>
          <w:color w:val="auto"/>
          <w:sz w:val="32"/>
          <w:szCs w:val="32"/>
        </w:rPr>
        <w:t>“政府搭台、企业出题、企业答题”方式，联合省市建立“城市机会清单”发布机制，</w:t>
      </w:r>
      <w:r>
        <w:rPr>
          <w:rFonts w:hint="eastAsia" w:ascii="仿宋_GB2312" w:hAnsi="仿宋_GB2312" w:eastAsia="仿宋_GB2312" w:cs="仿宋_GB2312"/>
          <w:color w:val="auto"/>
          <w:sz w:val="32"/>
          <w:szCs w:val="32"/>
        </w:rPr>
        <w:t>建立政务、园区、</w:t>
      </w:r>
      <w:r>
        <w:rPr>
          <w:rFonts w:hint="eastAsia" w:ascii="仿宋_GB2312" w:hAnsi="仿宋_GB2312" w:eastAsia="仿宋_GB2312" w:cs="仿宋_GB2312"/>
          <w:bCs/>
          <w:color w:val="auto"/>
          <w:sz w:val="32"/>
          <w:szCs w:val="32"/>
        </w:rPr>
        <w:t>交通、教育、医疗、农业等重点领域场景开放机制，有机链接新经济与城市发展需求，为全球投资者提供辽沈及浑南发展的入口和机会。加强挖掘数字资源，</w:t>
      </w:r>
      <w:r>
        <w:rPr>
          <w:rFonts w:hint="eastAsia" w:ascii="仿宋_GB2312" w:hAnsi="仿宋_GB2312" w:eastAsia="仿宋_GB2312" w:cs="仿宋_GB2312"/>
          <w:color w:val="auto"/>
          <w:sz w:val="32"/>
          <w:szCs w:val="32"/>
        </w:rPr>
        <w:t>促进数据要素改革，建立重点领域规范化数据开放利用机制，推进经济、环境、教育、就业、交通、安全、文化、卫生、市场监管等领域公共数据资源开放共享和社会化开放应用。</w:t>
      </w:r>
      <w:r>
        <w:rPr>
          <w:rFonts w:hint="eastAsia" w:ascii="仿宋_GB2312" w:hAnsi="仿宋_GB2312" w:eastAsia="仿宋_GB2312" w:cs="仿宋_GB2312"/>
          <w:bCs/>
          <w:color w:val="auto"/>
          <w:sz w:val="32"/>
          <w:szCs w:val="32"/>
        </w:rPr>
        <w:t>从数据开放、科研立项、业务指导、宣传推广等方面加大对场景建设支持力度，探索应用场景建设容错纠错机制。</w:t>
      </w:r>
    </w:p>
    <w:p>
      <w:pPr>
        <w:pStyle w:val="2"/>
        <w:spacing w:line="579" w:lineRule="exact"/>
        <w:rPr>
          <w:color w:val="auto"/>
        </w:rPr>
      </w:pPr>
    </w:p>
    <w:p>
      <w:pPr>
        <w:pStyle w:val="31"/>
        <w:spacing w:line="290" w:lineRule="exact"/>
        <w:ind w:firstLine="0" w:firstLineChars="0"/>
        <w:outlineLvl w:val="1"/>
        <w:rPr>
          <w:rFonts w:ascii="黑体" w:hAnsi="黑体" w:eastAsia="黑体" w:cs="黑体"/>
          <w:bCs/>
          <w:color w:val="auto"/>
          <w:sz w:val="32"/>
          <w:szCs w:val="32"/>
        </w:rPr>
      </w:pPr>
      <w:bookmarkStart w:id="102" w:name="_Toc59116926"/>
    </w:p>
    <w:p>
      <w:pPr>
        <w:pStyle w:val="31"/>
        <w:numPr>
          <w:ilvl w:val="0"/>
          <w:numId w:val="6"/>
        </w:numPr>
        <w:spacing w:line="579" w:lineRule="exact"/>
        <w:ind w:firstLineChars="0"/>
        <w:jc w:val="center"/>
        <w:outlineLvl w:val="1"/>
        <w:rPr>
          <w:rFonts w:ascii="黑体" w:hAnsi="黑体" w:eastAsia="黑体" w:cs="黑体"/>
          <w:bCs/>
          <w:color w:val="auto"/>
          <w:sz w:val="32"/>
          <w:szCs w:val="32"/>
        </w:rPr>
      </w:pPr>
      <w:r>
        <w:rPr>
          <w:rFonts w:hint="eastAsia" w:ascii="黑体" w:hAnsi="黑体" w:eastAsia="黑体" w:cs="黑体"/>
          <w:bCs/>
          <w:color w:val="auto"/>
          <w:sz w:val="32"/>
          <w:szCs w:val="32"/>
        </w:rPr>
        <w:t>推进孵化载体</w:t>
      </w:r>
      <w:bookmarkEnd w:id="101"/>
      <w:r>
        <w:rPr>
          <w:rFonts w:hint="eastAsia" w:ascii="黑体" w:hAnsi="黑体" w:eastAsia="黑体" w:cs="黑体"/>
          <w:bCs/>
          <w:color w:val="auto"/>
          <w:sz w:val="32"/>
          <w:szCs w:val="32"/>
        </w:rPr>
        <w:t>专业化发展</w:t>
      </w:r>
      <w:bookmarkEnd w:id="102"/>
    </w:p>
    <w:p>
      <w:pPr>
        <w:pStyle w:val="31"/>
        <w:spacing w:line="290" w:lineRule="exact"/>
        <w:ind w:firstLine="0" w:firstLineChars="0"/>
        <w:outlineLvl w:val="1"/>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以打造升级版“国家双创示范基地”为核心，建成一批专业化孵化载体，常态化、系列化组织一批自主品牌的双创活动，为技术创业提供全生命周期专业化服务。</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实施专业化孵化载体培育计划。</w:t>
      </w:r>
      <w:r>
        <w:rPr>
          <w:rFonts w:hint="eastAsia" w:ascii="仿宋_GB2312" w:hAnsi="仿宋_GB2312" w:eastAsia="仿宋_GB2312" w:cs="仿宋_GB2312"/>
          <w:bCs/>
          <w:color w:val="auto"/>
          <w:sz w:val="32"/>
          <w:szCs w:val="32"/>
        </w:rPr>
        <w:t>构建</w:t>
      </w:r>
      <w:r>
        <w:rPr>
          <w:rFonts w:hint="eastAsia" w:ascii="仿宋_GB2312" w:hAnsi="仿宋_GB2312" w:eastAsia="仿宋_GB2312" w:cs="仿宋_GB2312"/>
          <w:color w:val="auto"/>
          <w:sz w:val="32"/>
          <w:szCs w:val="32"/>
        </w:rPr>
        <w:t>“专业化众创空间—主题孵化器—特色产业园区”的科技型企业成长孵化链条，在李相、张沙布等布局一批大体量的特色化专业化产业园区（含标准化厂房）。引导各类孵化载体聚焦产业领域专业化发展，主动招引产业链关键企业入驻，积极搭建行业服务平台，积极对接“研产销”要素资源。推广“双创+大企业”模式，推进龙头骨干企业依托技术、研发条件、产业链配套，建设专业化双创载体。对重点孵化载体实施“点对点”包保，协调解决载体运营、招商、企业服务等问题。到2025年，市级及以上孵化载体达到</w:t>
      </w:r>
      <w:r>
        <w:rPr>
          <w:rFonts w:ascii="仿宋_GB2312" w:hAnsi="仿宋_GB2312" w:eastAsia="仿宋_GB2312" w:cs="仿宋_GB2312"/>
          <w:color w:val="auto"/>
          <w:sz w:val="32"/>
          <w:szCs w:val="32"/>
        </w:rPr>
        <w:t>80</w:t>
      </w:r>
      <w:r>
        <w:rPr>
          <w:rFonts w:hint="eastAsia" w:ascii="仿宋_GB2312" w:hAnsi="仿宋_GB2312" w:eastAsia="仿宋_GB2312" w:cs="仿宋_GB2312"/>
          <w:color w:val="auto"/>
          <w:sz w:val="32"/>
          <w:szCs w:val="32"/>
        </w:rPr>
        <w:t>家以上、孵化面积达到400万平方米，在孵企业（团队）1万家以上，建成100万平以上特色化专业化产业园区达到5个。</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营造良好创新创业氛围</w:t>
      </w:r>
      <w:r>
        <w:rPr>
          <w:rFonts w:hint="eastAsia" w:ascii="仿宋_GB2312" w:hAnsi="仿宋_GB2312" w:eastAsia="仿宋_GB2312" w:cs="仿宋_GB2312"/>
          <w:bCs/>
          <w:color w:val="auto"/>
          <w:sz w:val="32"/>
          <w:szCs w:val="32"/>
        </w:rPr>
        <w:t>。以塑造“产业品牌”为核心，坚持“</w:t>
      </w:r>
      <w:r>
        <w:rPr>
          <w:rFonts w:hint="eastAsia" w:ascii="仿宋_GB2312" w:hAnsi="仿宋_GB2312" w:eastAsia="仿宋_GB2312" w:cs="仿宋_GB2312"/>
          <w:color w:val="auto"/>
          <w:sz w:val="32"/>
          <w:szCs w:val="32"/>
        </w:rPr>
        <w:t>既要氛围、也要实效</w:t>
      </w:r>
      <w:r>
        <w:rPr>
          <w:rFonts w:hint="eastAsia" w:ascii="仿宋_GB2312" w:hAnsi="仿宋_GB2312" w:eastAsia="仿宋_GB2312" w:cs="仿宋_GB2312"/>
          <w:bCs/>
          <w:color w:val="auto"/>
          <w:sz w:val="32"/>
          <w:szCs w:val="32"/>
        </w:rPr>
        <w:t>”，积极承接各级、各类峰会、论坛和创业大赛，谋划举办系列性、常态化的精品双创活动</w:t>
      </w:r>
      <w:r>
        <w:rPr>
          <w:rFonts w:hint="eastAsia" w:ascii="仿宋_GB2312" w:hAnsi="仿宋_GB2312" w:eastAsia="仿宋_GB2312" w:cs="仿宋_GB2312"/>
          <w:color w:val="auto"/>
          <w:sz w:val="32"/>
          <w:szCs w:val="32"/>
        </w:rPr>
        <w:t>。定期组织创新主体培育大会、国际机器人大会、创业浑南·青青汇等自主品牌双创活动，围绕未来产业培育、场景开放、校地合作、科技城建设等谋划一批主题双创活动。强化双创活动策划和宣传，提升活动内在吸引力和外在传播力。到2025年，累计承接市级及以上双创活动200场，形成自主品牌常态化系列化双创活动不少于10个。</w:t>
      </w:r>
    </w:p>
    <w:p>
      <w:pPr>
        <w:pStyle w:val="31"/>
        <w:spacing w:line="290" w:lineRule="exact"/>
        <w:ind w:firstLine="0" w:firstLineChars="0"/>
        <w:outlineLvl w:val="1"/>
        <w:rPr>
          <w:color w:val="auto"/>
        </w:rPr>
      </w:pPr>
    </w:p>
    <w:p>
      <w:pPr>
        <w:pStyle w:val="31"/>
        <w:numPr>
          <w:ilvl w:val="0"/>
          <w:numId w:val="6"/>
        </w:numPr>
        <w:spacing w:line="579" w:lineRule="exact"/>
        <w:ind w:firstLineChars="0"/>
        <w:jc w:val="center"/>
        <w:outlineLvl w:val="1"/>
        <w:rPr>
          <w:rFonts w:ascii="黑体" w:hAnsi="黑体" w:eastAsia="黑体" w:cs="黑体"/>
          <w:bCs/>
          <w:color w:val="auto"/>
          <w:sz w:val="32"/>
          <w:szCs w:val="32"/>
        </w:rPr>
      </w:pPr>
      <w:bookmarkStart w:id="103" w:name="_Toc28758"/>
      <w:bookmarkStart w:id="104" w:name="_Toc59116927"/>
      <w:r>
        <w:rPr>
          <w:rFonts w:hint="eastAsia" w:ascii="黑体" w:hAnsi="黑体" w:eastAsia="黑体" w:cs="黑体"/>
          <w:bCs/>
          <w:color w:val="auto"/>
          <w:sz w:val="32"/>
          <w:szCs w:val="32"/>
        </w:rPr>
        <w:t>完善科技金融服务体系</w:t>
      </w:r>
      <w:bookmarkEnd w:id="103"/>
      <w:bookmarkEnd w:id="104"/>
    </w:p>
    <w:p>
      <w:pPr>
        <w:pStyle w:val="31"/>
        <w:spacing w:line="290" w:lineRule="exact"/>
        <w:ind w:firstLine="0" w:firstLineChars="0"/>
        <w:outlineLvl w:val="1"/>
        <w:rPr>
          <w:color w:val="auto"/>
        </w:rPr>
      </w:pPr>
    </w:p>
    <w:p>
      <w:pPr>
        <w:spacing w:line="579" w:lineRule="exact"/>
        <w:ind w:firstLine="660" w:firstLineChars="200"/>
        <w:rPr>
          <w:rFonts w:ascii="仿宋_GB2312" w:hAnsi="仿宋_GB2312" w:eastAsia="仿宋_GB2312" w:cs="仿宋_GB2312"/>
          <w:color w:val="auto"/>
          <w:sz w:val="32"/>
          <w:szCs w:val="32"/>
        </w:rPr>
      </w:pPr>
      <w:bookmarkStart w:id="105" w:name="_Toc951"/>
      <w:r>
        <w:rPr>
          <w:rFonts w:hint="eastAsia" w:ascii="仿宋_GB2312" w:hAnsi="仿宋_GB2312" w:eastAsia="仿宋_GB2312" w:cs="仿宋_GB2312"/>
          <w:color w:val="auto"/>
          <w:sz w:val="32"/>
          <w:szCs w:val="32"/>
        </w:rPr>
        <w:t>以促进科技型企业发展为核心，综合采用政府引导、科技信贷、创业投资、科技保险、融资租赁等手段，健全从初创期到成熟期的全过程、精准化的金融服务体系。</w:t>
      </w:r>
    </w:p>
    <w:p>
      <w:pPr>
        <w:spacing w:line="579" w:lineRule="exact"/>
        <w:ind w:firstLine="660" w:firstLineChars="200"/>
        <w:rPr>
          <w:rFonts w:ascii="仿宋_GB2312" w:hAnsi="仿宋_GB2312" w:eastAsia="仿宋_GB2312" w:cs="仿宋_GB2312"/>
          <w:b/>
          <w:bCs/>
          <w:color w:val="auto"/>
          <w:sz w:val="32"/>
          <w:szCs w:val="32"/>
        </w:rPr>
      </w:pPr>
      <w:bookmarkStart w:id="106" w:name="_Hlk48572255"/>
      <w:r>
        <w:rPr>
          <w:rFonts w:hint="eastAsia" w:ascii="仿宋_GB2312" w:hAnsi="仿宋_GB2312" w:eastAsia="仿宋_GB2312" w:cs="仿宋_GB2312"/>
          <w:b/>
          <w:bCs/>
          <w:color w:val="auto"/>
          <w:sz w:val="32"/>
          <w:szCs w:val="32"/>
        </w:rPr>
        <w:t>实施上市企业培育计划</w:t>
      </w:r>
      <w:r>
        <w:rPr>
          <w:rFonts w:hint="eastAsia" w:ascii="仿宋_GB2312" w:hAnsi="仿宋_GB2312" w:eastAsia="仿宋_GB2312" w:cs="仿宋_GB2312"/>
          <w:bCs/>
          <w:color w:val="auto"/>
          <w:sz w:val="32"/>
          <w:szCs w:val="32"/>
        </w:rPr>
        <w:t>。抓住国家开通科创板、创业板试点注册制等机遇</w:t>
      </w:r>
      <w:r>
        <w:rPr>
          <w:rFonts w:hint="eastAsia" w:ascii="仿宋_GB2312" w:hAnsi="仿宋_GB2312" w:eastAsia="仿宋_GB2312" w:cs="仿宋_GB2312"/>
          <w:color w:val="auto"/>
          <w:sz w:val="32"/>
          <w:szCs w:val="32"/>
        </w:rPr>
        <w:t>，加强上市后备企业的发掘，将更多符合国家产业政策、主营业务突出、竞争力较强、盈利能力较好、具有发展潜力的企业分级入库。构建“上市辅导+绿色通道+奖励机制”的上市支撑体系，充分发挥上市工作领导小组协调推进作用，建立服务企业上市的联席会议制度和绿色通道，优化实施《浑南区（沈阳高新区）关于支持企业上市发展的政策措施》。鼓励芯源微、成大生物等上市公司增发股票、开展技术并购。围绕拟上市企业生态圈构建需要，联合拟上市企业共同设立产业生态并购基金，推动企业上市之后快速成长。“十四五”期间新增上市企业20家以上。</w:t>
      </w:r>
    </w:p>
    <w:bookmarkEnd w:id="106"/>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健全科技金融产品体系</w:t>
      </w:r>
      <w:r>
        <w:rPr>
          <w:rFonts w:hint="eastAsia" w:ascii="仿宋_GB2312" w:hAnsi="仿宋_GB2312" w:eastAsia="仿宋_GB2312" w:cs="仿宋_GB2312"/>
          <w:bCs/>
          <w:color w:val="auto"/>
          <w:sz w:val="32"/>
          <w:szCs w:val="32"/>
        </w:rPr>
        <w:t>。科学运用风险补偿、财政奖补、基金引导等方式，撬动社会资金支持科技创新。</w:t>
      </w:r>
      <w:bookmarkStart w:id="107" w:name="_Toc45642777"/>
      <w:r>
        <w:rPr>
          <w:rFonts w:hint="eastAsia" w:ascii="仿宋_GB2312" w:hAnsi="仿宋_GB2312" w:eastAsia="仿宋_GB2312" w:cs="仿宋_GB2312"/>
          <w:color w:val="auto"/>
          <w:sz w:val="32"/>
          <w:szCs w:val="32"/>
        </w:rPr>
        <w:t>鼓励商业银行设立科技支行、科技金融专营机构，推广“园区集合贷”产品，推出上市贷、瞪羚贷、高新贷、科技成果转化贷等系列金融创新产品，探索“政府+银行+担保”的风险共担模式、“银行+VC/PE”的投贷联动模式。</w:t>
      </w:r>
      <w:bookmarkEnd w:id="107"/>
      <w:r>
        <w:rPr>
          <w:rFonts w:hint="eastAsia" w:ascii="仿宋_GB2312" w:hAnsi="仿宋_GB2312" w:eastAsia="仿宋_GB2312" w:cs="仿宋_GB2312"/>
          <w:color w:val="auto"/>
          <w:sz w:val="32"/>
          <w:szCs w:val="32"/>
        </w:rPr>
        <w:t>推进盛京基金小镇建设，鼓励股权投资机构设立新一代信息技术、高端装备、生命健康、文化创意等产业领域天使投资、风险投资、产业并购基金，支持浑南创投、万亚创投、中天辽创、德</w:t>
      </w:r>
      <w:bookmarkStart w:id="108" w:name="_MON_1666250682"/>
      <w:bookmarkEnd w:id="108"/>
      <w:r>
        <w:rPr>
          <w:rFonts w:hint="eastAsia" w:ascii="仿宋_GB2312" w:hAnsi="仿宋_GB2312" w:eastAsia="仿宋_GB2312" w:cs="仿宋_GB2312"/>
          <w:color w:val="auto"/>
          <w:sz w:val="32"/>
          <w:szCs w:val="32"/>
        </w:rPr>
        <w:t>鸿资本等创投机构专业化发展，积极探索“基金+孵化”、“投保联动”等新模式。提升高发投项目识别和风险投资能力，建立重点项目跟投机制。鼓励保险公司开展知识产权保险业务。积极探索跨境电商企业无抵押融资、区块链信用融资模式。</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推进科技金融服务平台建设。</w:t>
      </w:r>
      <w:r>
        <w:rPr>
          <w:rFonts w:hint="eastAsia" w:ascii="仿宋_GB2312" w:hAnsi="仿宋_GB2312" w:eastAsia="仿宋_GB2312" w:cs="仿宋_GB2312"/>
          <w:color w:val="auto"/>
          <w:sz w:val="32"/>
          <w:szCs w:val="32"/>
        </w:rPr>
        <w:t>打造“一站式”科技金融服务平台，引导银行、保险、担保、创投、科技小贷、融资租赁、科技金融中介等机构资源向平台集聚，提供定制化产品对接、投融资撮合等增值服务，满足科技型企业全方位、多层次、个性化的融资需求。建立区科技金融备选企业库，完善科技企业分类评价机制。依托科技金融服务平台，开展供需双方智能对接。</w:t>
      </w:r>
    </w:p>
    <w:p>
      <w:pPr>
        <w:pStyle w:val="31"/>
        <w:spacing w:line="290" w:lineRule="exact"/>
        <w:ind w:firstLine="0" w:firstLineChars="0"/>
        <w:outlineLvl w:val="1"/>
        <w:rPr>
          <w:color w:val="auto"/>
        </w:rPr>
      </w:pPr>
    </w:p>
    <w:p>
      <w:pPr>
        <w:pStyle w:val="31"/>
        <w:numPr>
          <w:ilvl w:val="0"/>
          <w:numId w:val="6"/>
        </w:numPr>
        <w:spacing w:line="579" w:lineRule="exact"/>
        <w:ind w:firstLineChars="0"/>
        <w:jc w:val="center"/>
        <w:outlineLvl w:val="1"/>
        <w:rPr>
          <w:rFonts w:ascii="黑体" w:hAnsi="黑体" w:eastAsia="黑体" w:cs="黑体"/>
          <w:bCs/>
          <w:color w:val="auto"/>
          <w:sz w:val="32"/>
          <w:szCs w:val="32"/>
        </w:rPr>
      </w:pPr>
      <w:bookmarkStart w:id="109" w:name="_Toc59116928"/>
      <w:r>
        <w:rPr>
          <w:rFonts w:hint="eastAsia" w:ascii="黑体" w:hAnsi="黑体" w:eastAsia="黑体" w:cs="黑体"/>
          <w:bCs/>
          <w:color w:val="auto"/>
          <w:sz w:val="32"/>
          <w:szCs w:val="32"/>
        </w:rPr>
        <w:t>营造人才“引留培用”环境</w:t>
      </w:r>
      <w:bookmarkEnd w:id="105"/>
      <w:bookmarkEnd w:id="109"/>
    </w:p>
    <w:p>
      <w:pPr>
        <w:pStyle w:val="31"/>
        <w:spacing w:line="290" w:lineRule="exact"/>
        <w:ind w:firstLine="0" w:firstLineChars="0"/>
        <w:outlineLvl w:val="1"/>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牢固树立人才是第一资源的理念，聚焦关键领域和重点产业发展需求，深化人才工作体系改革，创新人才“引留培用”机制，持续优化人才发展环境，进一步壮大高学历、高素质、高技能人才队伍，全面激发人才创新活力，打造创新人才集聚地。</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实施高层次人才分类引进计划。</w:t>
      </w:r>
      <w:r>
        <w:rPr>
          <w:rFonts w:hint="eastAsia" w:ascii="仿宋_GB2312" w:hAnsi="仿宋_GB2312" w:eastAsia="仿宋_GB2312" w:cs="仿宋_GB2312"/>
          <w:color w:val="auto"/>
          <w:sz w:val="32"/>
          <w:szCs w:val="32"/>
        </w:rPr>
        <w:t>坚持效果导向，摒弃以名气、头衔为标准的“跑单帮”引才思维，全面落实国家创新人才推进计划、“兴辽英才”计划、“盛京人才”计划等政策，采用“项目+团队”的“带土移植”方式，同步引进项目、团队和技术。鼓励通过短期工作、项目合作等方式柔性引进人才，积极引进外国高端专家及团队。依托大科学装置，打造一批定制化国际实验室、科学家工作室，加强引进具有原始创新能力的科技领军人才。围绕技术创业企业需要，组团引进企业管理、市场销售人才。设立“人才基金”，探索以入股方式，支持人才团队创业及开展研发。</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实施校地人才联合培养计划。</w:t>
      </w:r>
      <w:r>
        <w:rPr>
          <w:rFonts w:hint="eastAsia" w:ascii="仿宋_GB2312" w:hAnsi="仿宋_GB2312" w:eastAsia="仿宋_GB2312" w:cs="仿宋_GB2312"/>
          <w:bCs/>
          <w:color w:val="auto"/>
          <w:sz w:val="32"/>
          <w:szCs w:val="32"/>
        </w:rPr>
        <w:t>积极推动与</w:t>
      </w:r>
      <w:r>
        <w:rPr>
          <w:rFonts w:hint="eastAsia" w:ascii="仿宋_GB2312" w:hAnsi="仿宋_GB2312" w:eastAsia="仿宋_GB2312" w:cs="仿宋_GB2312"/>
          <w:color w:val="auto"/>
          <w:sz w:val="32"/>
          <w:szCs w:val="32"/>
        </w:rPr>
        <w:t>全国“双一流”高校及沈阳建筑大学、沈阳理工大学等高等院校共建现代产业学院，加快培养人工智能、大规模集成电路、新能源汽车、生物技术、智能医疗等领域短缺型人才。加快中科大材料学院、国科大机器人学院等现代产业学院项目建设，规划建设浑南产业大学、辽宁文化大学等院校。实施青年企业家培育计划，积极对接中欧商学院、湖畔大学，加强培育改变世界的东北籍伟大创业者。推进新松教育等“双元制”新型职业教育体系发展，加大技术型、应用型人才培养。参考公办学校要素收费标准，支持民办教育机构发展。到2025年，开办现代产业学院10所，年培育新兴产业人才2000人以上。</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健全人才服务保障体系</w:t>
      </w:r>
      <w:r>
        <w:rPr>
          <w:rFonts w:hint="eastAsia" w:ascii="仿宋_GB2312" w:hAnsi="仿宋_GB2312" w:eastAsia="仿宋_GB2312" w:cs="仿宋_GB2312"/>
          <w:color w:val="auto"/>
          <w:sz w:val="32"/>
          <w:szCs w:val="32"/>
        </w:rPr>
        <w:t>。打造人才会客厅，</w:t>
      </w:r>
      <w:r>
        <w:rPr>
          <w:rStyle w:val="24"/>
          <w:rFonts w:hint="default" w:hAnsi="仿宋_GB2312" w:cs="仿宋_GB2312"/>
          <w:color w:val="auto"/>
        </w:rPr>
        <w:t>提供</w:t>
      </w:r>
      <w:r>
        <w:rPr>
          <w:rFonts w:hint="eastAsia" w:ascii="仿宋_GB2312" w:hAnsi="仿宋_GB2312" w:eastAsia="仿宋_GB2312" w:cs="仿宋_GB2312"/>
          <w:color w:val="auto"/>
          <w:sz w:val="32"/>
          <w:szCs w:val="32"/>
        </w:rPr>
        <w:t>社保、医疗、住房、子女入学等一站式服务。</w:t>
      </w:r>
      <w:r>
        <w:rPr>
          <w:rFonts w:hint="eastAsia" w:ascii="仿宋_GB2312" w:hAnsi="仿宋_GB2312" w:eastAsia="仿宋_GB2312" w:cs="仿宋_GB2312"/>
          <w:bCs/>
          <w:color w:val="auto"/>
          <w:sz w:val="32"/>
          <w:szCs w:val="32"/>
        </w:rPr>
        <w:t>创新人才认定和奖补制度，探索由重点企业按照固定名额自主申报人才补贴的办法，灵活设置人才评判标准，实现人才政策对企业急需人才全覆盖</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Cs/>
          <w:color w:val="auto"/>
          <w:sz w:val="32"/>
          <w:szCs w:val="32"/>
        </w:rPr>
        <w:t>试点人才个人所得税奖励政策</w:t>
      </w:r>
      <w:r>
        <w:rPr>
          <w:rFonts w:hint="eastAsia" w:ascii="仿宋_GB2312" w:hAnsi="仿宋_GB2312" w:eastAsia="仿宋_GB2312" w:cs="仿宋_GB2312"/>
          <w:color w:val="auto"/>
          <w:sz w:val="32"/>
          <w:szCs w:val="32"/>
        </w:rPr>
        <w:t>。通过园区平台公司建设、房地产项目配建等，加强人才公寓供给，完善区级人才住房补贴政策，将人才公寓、住房补贴分配权下放到重点企业。优化外来常住人口公共服务体系，在子女就学、购房等方面提供便利条件，建设一批人才主题公园和人才社区。</w:t>
      </w:r>
    </w:p>
    <w:p>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pPr>
        <w:pStyle w:val="31"/>
        <w:keepNext/>
        <w:spacing w:line="290" w:lineRule="exact"/>
        <w:ind w:firstLine="0" w:firstLineChars="0"/>
        <w:outlineLvl w:val="0"/>
        <w:rPr>
          <w:rFonts w:ascii="宋体" w:hAnsi="宋体" w:cs="宋体"/>
          <w:b/>
          <w:color w:val="auto"/>
          <w:sz w:val="44"/>
          <w:szCs w:val="44"/>
        </w:rPr>
      </w:pPr>
      <w:bookmarkStart w:id="110" w:name="_Toc59116929"/>
    </w:p>
    <w:p>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建设对外开放新前沿</w:t>
      </w:r>
      <w:bookmarkEnd w:id="110"/>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bookmarkStart w:id="111" w:name="_Toc18673"/>
      <w:r>
        <w:rPr>
          <w:rFonts w:hint="eastAsia" w:ascii="仿宋_GB2312" w:hAnsi="仿宋_GB2312" w:eastAsia="仿宋_GB2312" w:cs="仿宋_GB2312"/>
          <w:color w:val="auto"/>
          <w:sz w:val="32"/>
          <w:szCs w:val="32"/>
        </w:rPr>
        <w:t>把握国内国际“双循环”、区域经济一体化需要，以推动产业链升级为核心，进一步优化精准招商工作体系，落地一批强牵动性重大项目、关键配套项目及总部项目，持续链接国际产业高地和创新尖峰，加强国际化要素导入和本土跨国企业培育，持续加强与国内重点区域合作，形成协同联动发展格局，构建形成更高层次的开放型经济体系。</w:t>
      </w:r>
    </w:p>
    <w:p>
      <w:pPr>
        <w:pStyle w:val="31"/>
        <w:keepNext/>
        <w:spacing w:line="290" w:lineRule="exact"/>
        <w:ind w:firstLine="0" w:firstLineChars="0"/>
        <w:outlineLvl w:val="0"/>
        <w:rPr>
          <w:color w:val="auto"/>
        </w:rPr>
      </w:pPr>
    </w:p>
    <w:p>
      <w:pPr>
        <w:pStyle w:val="31"/>
        <w:numPr>
          <w:ilvl w:val="0"/>
          <w:numId w:val="7"/>
        </w:numPr>
        <w:spacing w:line="579" w:lineRule="exact"/>
        <w:ind w:firstLineChars="0"/>
        <w:jc w:val="center"/>
        <w:outlineLvl w:val="1"/>
        <w:rPr>
          <w:rFonts w:ascii="黑体" w:hAnsi="黑体" w:eastAsia="黑体" w:cs="黑体"/>
          <w:bCs/>
          <w:color w:val="auto"/>
          <w:sz w:val="32"/>
          <w:szCs w:val="32"/>
        </w:rPr>
      </w:pPr>
      <w:bookmarkStart w:id="112" w:name="_Toc59116930"/>
      <w:r>
        <w:rPr>
          <w:rFonts w:hint="eastAsia" w:ascii="黑体" w:hAnsi="黑体" w:eastAsia="黑体" w:cs="黑体"/>
          <w:bCs/>
          <w:color w:val="auto"/>
          <w:sz w:val="32"/>
          <w:szCs w:val="32"/>
        </w:rPr>
        <w:t>实施产业生态精准招商</w:t>
      </w:r>
      <w:bookmarkEnd w:id="112"/>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进一步优化项目筛选、对接、洽谈、签约、落地流程，构建高效招商工作体系，推动项目服务专业化，精准锁定、创新招引产业链龙头企业、关键配套企业。“十四五”期间，新落地投资百亿元以上重大项目</w:t>
      </w:r>
      <w:r>
        <w:rPr>
          <w:rFonts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rPr>
        <w:t>个、投资1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亿元以上项目</w:t>
      </w:r>
      <w:r>
        <w:rPr>
          <w:rFonts w:ascii="仿宋_GB2312" w:hAnsi="仿宋_GB2312" w:eastAsia="仿宋_GB2312" w:cs="仿宋_GB2312"/>
          <w:color w:val="auto"/>
          <w:sz w:val="32"/>
          <w:szCs w:val="32"/>
        </w:rPr>
        <w:t>100</w:t>
      </w:r>
      <w:r>
        <w:rPr>
          <w:rFonts w:hint="eastAsia" w:ascii="仿宋_GB2312" w:hAnsi="仿宋_GB2312" w:eastAsia="仿宋_GB2312" w:cs="仿宋_GB2312"/>
          <w:color w:val="auto"/>
          <w:sz w:val="32"/>
          <w:szCs w:val="32"/>
        </w:rPr>
        <w:t>个、投资亿元以上项目</w:t>
      </w:r>
      <w:r>
        <w:rPr>
          <w:rFonts w:ascii="仿宋_GB2312" w:hAnsi="仿宋_GB2312" w:eastAsia="仿宋_GB2312" w:cs="仿宋_GB2312"/>
          <w:color w:val="auto"/>
          <w:sz w:val="32"/>
          <w:szCs w:val="32"/>
        </w:rPr>
        <w:t>800</w:t>
      </w:r>
      <w:r>
        <w:rPr>
          <w:rFonts w:hint="eastAsia" w:ascii="仿宋_GB2312" w:hAnsi="仿宋_GB2312" w:eastAsia="仿宋_GB2312" w:cs="仿宋_GB2312"/>
          <w:color w:val="auto"/>
          <w:sz w:val="32"/>
          <w:szCs w:val="32"/>
        </w:rPr>
        <w:t>个。</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优化产业链“精准招引”机制。</w:t>
      </w:r>
      <w:r>
        <w:rPr>
          <w:rFonts w:hint="eastAsia" w:ascii="仿宋_GB2312" w:hAnsi="仿宋_GB2312" w:eastAsia="仿宋_GB2312" w:cs="仿宋_GB2312"/>
          <w:color w:val="auto"/>
          <w:sz w:val="32"/>
          <w:szCs w:val="32"/>
        </w:rPr>
        <w:t>落实“产业链链长制”，充分发挥智库机构、大数据招商服务机构作用，加强招商机制和策略研究。对接存量头部企业，围绕企业上市募投项目、扩产、上下游配套、生态圈构建等需要，“一企一策”制定园企共生发展策略。以构建有竞争力产业生态为目标，加强产业生态要素研究，精准锁定产业链龙头企业、关键配套企业、平台型企业、研究机构、专业服务机构。研究出台招商项目入库标准、土地价格指导意见、产业链精准招商政策、招商项目及招商人员绩效考核实施办法。“十四五”期间围绕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条重点产业链，落地投资百亿元以上重大产业项目1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个、投资1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亿元以上产业项目4</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个、投资亿元以上产业项目4</w:t>
      </w:r>
      <w:r>
        <w:rPr>
          <w:rFonts w:ascii="仿宋_GB2312" w:hAnsi="仿宋_GB2312" w:eastAsia="仿宋_GB2312" w:cs="仿宋_GB2312"/>
          <w:color w:val="auto"/>
          <w:sz w:val="32"/>
          <w:szCs w:val="32"/>
        </w:rPr>
        <w:t>00</w:t>
      </w:r>
      <w:r>
        <w:rPr>
          <w:rFonts w:hint="eastAsia" w:ascii="仿宋_GB2312" w:hAnsi="仿宋_GB2312" w:eastAsia="仿宋_GB2312" w:cs="仿宋_GB2312"/>
          <w:color w:val="auto"/>
          <w:sz w:val="32"/>
          <w:szCs w:val="32"/>
        </w:rPr>
        <w:t>个、补链强链中小产业项目2</w:t>
      </w:r>
      <w:r>
        <w:rPr>
          <w:rFonts w:ascii="仿宋_GB2312" w:hAnsi="仿宋_GB2312" w:eastAsia="仿宋_GB2312" w:cs="仿宋_GB2312"/>
          <w:color w:val="auto"/>
          <w:sz w:val="32"/>
          <w:szCs w:val="32"/>
        </w:rPr>
        <w:t>500</w:t>
      </w:r>
      <w:r>
        <w:rPr>
          <w:rFonts w:hint="eastAsia" w:ascii="仿宋_GB2312" w:hAnsi="仿宋_GB2312" w:eastAsia="仿宋_GB2312" w:cs="仿宋_GB2312"/>
          <w:color w:val="auto"/>
          <w:sz w:val="32"/>
          <w:szCs w:val="32"/>
        </w:rPr>
        <w:t>个。</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创新招商引资模式。</w:t>
      </w:r>
      <w:r>
        <w:rPr>
          <w:rFonts w:hint="eastAsia" w:ascii="仿宋_GB2312" w:hAnsi="仿宋_GB2312" w:eastAsia="仿宋_GB2312" w:cs="仿宋_GB2312"/>
          <w:bCs/>
          <w:color w:val="auto"/>
          <w:sz w:val="32"/>
          <w:szCs w:val="32"/>
        </w:rPr>
        <w:t>充分发挥行业领军企业代表、行业专家的智库和桥梁枢纽作用，为重大产业项目谋划建言献策，实施“市场链长+政府链长+招商大使+经济顾问+产业促进办”的“五位一体”招商模式。</w:t>
      </w:r>
      <w:r>
        <w:rPr>
          <w:rFonts w:hint="eastAsia" w:ascii="仿宋_GB2312" w:hAnsi="仿宋_GB2312" w:eastAsia="仿宋_GB2312" w:cs="仿宋_GB2312"/>
          <w:color w:val="auto"/>
          <w:sz w:val="32"/>
          <w:szCs w:val="32"/>
        </w:rPr>
        <w:t>建立园区招商合作及奖励机制，邀请专业园运营商、楼宇运营商、龙头企业及协会组织成为园区合伙人。探索市场化招商模式，建立专业机构协助招商及奖励机制，明确专业机构入库标准、工作机制、服务购买流程及招商成效奖补办法。提升管委会平台公司整体运营能力，以合资成立公司、基金投资、并购、提供专业化服务等方式，实现对重点目标企业招引。规划建设前沿科技应用场景，依托场景开放招引科技企业。积极招引拔尖技术人才、头部企业高管、大企业新业务板块、一流科研院所等，推动独角兽种子项目和新型研发机构项目落户。</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提升招商项目服务水平。</w:t>
      </w:r>
      <w:r>
        <w:rPr>
          <w:rFonts w:hint="eastAsia" w:ascii="仿宋_GB2312" w:hAnsi="仿宋_GB2312" w:eastAsia="仿宋_GB2312" w:cs="仿宋_GB2312"/>
          <w:color w:val="auto"/>
          <w:sz w:val="32"/>
          <w:szCs w:val="32"/>
        </w:rPr>
        <w:t>优化简化项目决策、项目落地事项办理流程，实施重点招商项目“一对一”包保服务制度，提高项目落地转化率、项目开复工率。建立重点招商项目全生命周期问题解决机制，全面落实项目管家制度，注册期提供全链条行政代办服务，建设期提供审批和问题代办服务，投产后专人跟踪服务，加速项目竣工、达产进程。</w:t>
      </w:r>
    </w:p>
    <w:p>
      <w:pPr>
        <w:pStyle w:val="31"/>
        <w:keepNext/>
        <w:spacing w:line="290" w:lineRule="exact"/>
        <w:ind w:firstLine="0" w:firstLineChars="0"/>
        <w:outlineLvl w:val="0"/>
        <w:rPr>
          <w:color w:val="auto"/>
        </w:rPr>
      </w:pPr>
    </w:p>
    <w:p>
      <w:pPr>
        <w:pStyle w:val="31"/>
        <w:numPr>
          <w:ilvl w:val="0"/>
          <w:numId w:val="7"/>
        </w:numPr>
        <w:spacing w:line="579" w:lineRule="exact"/>
        <w:ind w:firstLineChars="0"/>
        <w:jc w:val="center"/>
        <w:outlineLvl w:val="1"/>
        <w:rPr>
          <w:rFonts w:ascii="黑体" w:hAnsi="黑体" w:eastAsia="黑体" w:cs="黑体"/>
          <w:bCs/>
          <w:color w:val="auto"/>
          <w:sz w:val="32"/>
          <w:szCs w:val="32"/>
        </w:rPr>
      </w:pPr>
      <w:bookmarkStart w:id="113" w:name="_Toc59116931"/>
      <w:r>
        <w:rPr>
          <w:rFonts w:hint="eastAsia" w:ascii="黑体" w:hAnsi="黑体" w:eastAsia="黑体" w:cs="黑体"/>
          <w:bCs/>
          <w:color w:val="auto"/>
          <w:sz w:val="32"/>
          <w:szCs w:val="32"/>
        </w:rPr>
        <w:t>积极发展总部经济和楼宇经济</w:t>
      </w:r>
      <w:bookmarkEnd w:id="113"/>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以促进招商引资、提升经济贡献、提高土地利用效率为目标，升级发展楼宇经济，重点打造世纪路总部基地、王家湾总部基地等总部经济生态圈，积极引进总部型企业，培育知名的总部经济品牌。</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积极发展总部经济</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Cs/>
          <w:color w:val="auto"/>
          <w:sz w:val="32"/>
          <w:szCs w:val="32"/>
        </w:rPr>
        <w:t>有序推进世纪路周边区域更新改造及老工业企业搬迁改造，形成集中连片总部经济发展区域，打造世纪路总部基地。立足王家湾地块沿河环境优势，引进品牌总部基地运营商，打造王家湾总部基地。重点围绕新一代信息技术、高端装备、新能源汽车、生命健康等产业领域，</w:t>
      </w:r>
      <w:r>
        <w:rPr>
          <w:rFonts w:hint="eastAsia" w:ascii="仿宋_GB2312" w:hAnsi="仿宋_GB2312" w:eastAsia="仿宋_GB2312" w:cs="仿宋_GB2312"/>
          <w:color w:val="auto"/>
          <w:sz w:val="32"/>
          <w:szCs w:val="32"/>
        </w:rPr>
        <w:t>吸引区域性和职能型总部落户。完善总部经济服务体系，加强培育本土总部企业，推动区内重点工业企业、服务业企业通过并购、设立研发中心、设立销售中心等实现总部化，建设独栋总部楼宇。到202</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年总部企业数量</w:t>
      </w:r>
      <w:r>
        <w:rPr>
          <w:rFonts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t>00家以上。</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升级发展楼宇经济</w:t>
      </w:r>
      <w:r>
        <w:rPr>
          <w:rFonts w:hint="eastAsia" w:ascii="仿宋_GB2312" w:hAnsi="仿宋_GB2312" w:eastAsia="仿宋_GB2312" w:cs="仿宋_GB2312"/>
          <w:color w:val="auto"/>
          <w:sz w:val="32"/>
          <w:szCs w:val="32"/>
        </w:rPr>
        <w:t>。聚焦高科技产业、金融、专业服务等细分产业领域，采取业态升级、联合经营、托管等方式，打造一批主题楼宇。兼顾引进税源项目和功能性项目，重点引进国内外大型公司、知名企业研发中心、销售中心、财务中心及知名消费品牌沈阳“首店”。鼓励各楼宇采取自筹、联营、入股等方式筹措资金，对楼宇配套设施、内部环境进行更新，提高楼宇品质。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年，商务商贸楼宇达到</w:t>
      </w:r>
      <w:r>
        <w:rPr>
          <w:rFonts w:ascii="仿宋_GB2312" w:hAnsi="仿宋_GB2312" w:eastAsia="仿宋_GB2312" w:cs="仿宋_GB2312"/>
          <w:color w:val="auto"/>
          <w:sz w:val="32"/>
          <w:szCs w:val="32"/>
        </w:rPr>
        <w:t>70</w:t>
      </w:r>
      <w:r>
        <w:rPr>
          <w:rFonts w:hint="eastAsia" w:ascii="仿宋_GB2312" w:hAnsi="仿宋_GB2312" w:eastAsia="仿宋_GB2312" w:cs="仿宋_GB2312"/>
          <w:color w:val="auto"/>
          <w:sz w:val="32"/>
          <w:szCs w:val="32"/>
        </w:rPr>
        <w:t>幢以上、高层工业楼宇和高科技产业楼宇群达到</w:t>
      </w:r>
      <w:r>
        <w:rPr>
          <w:rFonts w:ascii="仿宋_GB2312" w:hAnsi="仿宋_GB2312" w:eastAsia="仿宋_GB2312" w:cs="仿宋_GB2312"/>
          <w:color w:val="auto"/>
          <w:sz w:val="32"/>
          <w:szCs w:val="32"/>
        </w:rPr>
        <w:t>80</w:t>
      </w:r>
      <w:r>
        <w:rPr>
          <w:rFonts w:hint="eastAsia" w:ascii="仿宋_GB2312" w:hAnsi="仿宋_GB2312" w:eastAsia="仿宋_GB2312" w:cs="仿宋_GB2312"/>
          <w:color w:val="auto"/>
          <w:sz w:val="32"/>
          <w:szCs w:val="32"/>
        </w:rPr>
        <w:t>幢以上，总面积达到1</w:t>
      </w:r>
      <w:r>
        <w:rPr>
          <w:rFonts w:ascii="仿宋_GB2312" w:hAnsi="仿宋_GB2312" w:eastAsia="仿宋_GB2312" w:cs="仿宋_GB2312"/>
          <w:color w:val="auto"/>
          <w:sz w:val="32"/>
          <w:szCs w:val="32"/>
        </w:rPr>
        <w:t>500</w:t>
      </w:r>
      <w:r>
        <w:rPr>
          <w:rFonts w:hint="eastAsia" w:ascii="仿宋_GB2312" w:hAnsi="仿宋_GB2312" w:eastAsia="仿宋_GB2312" w:cs="仿宋_GB2312"/>
          <w:color w:val="auto"/>
          <w:sz w:val="32"/>
          <w:szCs w:val="32"/>
        </w:rPr>
        <w:t>万平方米以上，实现成熟楼宇平均入驻率</w:t>
      </w:r>
      <w:r>
        <w:rPr>
          <w:rFonts w:ascii="仿宋_GB2312" w:hAnsi="仿宋_GB2312" w:eastAsia="仿宋_GB2312" w:cs="仿宋_GB2312"/>
          <w:color w:val="auto"/>
          <w:sz w:val="32"/>
          <w:szCs w:val="32"/>
        </w:rPr>
        <w:t>90</w:t>
      </w:r>
      <w:r>
        <w:rPr>
          <w:rFonts w:hint="eastAsia" w:ascii="仿宋_GB2312" w:hAnsi="仿宋_GB2312" w:eastAsia="仿宋_GB2312" w:cs="仿宋_GB2312"/>
          <w:color w:val="auto"/>
          <w:sz w:val="32"/>
          <w:szCs w:val="32"/>
        </w:rPr>
        <w:t>%以上，入驻企业注册率</w:t>
      </w:r>
      <w:r>
        <w:rPr>
          <w:rFonts w:ascii="仿宋_GB2312" w:hAnsi="仿宋_GB2312" w:eastAsia="仿宋_GB2312" w:cs="仿宋_GB2312"/>
          <w:color w:val="auto"/>
          <w:sz w:val="32"/>
          <w:szCs w:val="32"/>
        </w:rPr>
        <w:t>90</w:t>
      </w:r>
      <w:r>
        <w:rPr>
          <w:rFonts w:hint="eastAsia" w:ascii="仿宋_GB2312" w:hAnsi="仿宋_GB2312" w:eastAsia="仿宋_GB2312" w:cs="仿宋_GB2312"/>
          <w:color w:val="auto"/>
          <w:sz w:val="32"/>
          <w:szCs w:val="32"/>
        </w:rPr>
        <w:t>%以上。</w:t>
      </w:r>
    </w:p>
    <w:p>
      <w:pPr>
        <w:pStyle w:val="31"/>
        <w:keepNext/>
        <w:spacing w:line="290" w:lineRule="exact"/>
        <w:ind w:firstLine="0" w:firstLineChars="0"/>
        <w:outlineLvl w:val="0"/>
        <w:rPr>
          <w:color w:val="auto"/>
        </w:rPr>
      </w:pPr>
    </w:p>
    <w:bookmarkEnd w:id="111"/>
    <w:p>
      <w:pPr>
        <w:pStyle w:val="31"/>
        <w:numPr>
          <w:ilvl w:val="0"/>
          <w:numId w:val="7"/>
        </w:numPr>
        <w:spacing w:line="579" w:lineRule="exact"/>
        <w:ind w:firstLineChars="0"/>
        <w:jc w:val="center"/>
        <w:outlineLvl w:val="1"/>
        <w:rPr>
          <w:rFonts w:ascii="黑体" w:hAnsi="黑体" w:eastAsia="黑体" w:cs="黑体"/>
          <w:bCs/>
          <w:color w:val="auto"/>
          <w:sz w:val="32"/>
          <w:szCs w:val="32"/>
        </w:rPr>
      </w:pPr>
      <w:bookmarkStart w:id="114" w:name="_Toc59116932"/>
      <w:bookmarkStart w:id="115" w:name="_Toc24419"/>
      <w:r>
        <w:rPr>
          <w:rFonts w:hint="eastAsia" w:ascii="黑体" w:hAnsi="黑体" w:eastAsia="黑体" w:cs="黑体"/>
          <w:bCs/>
          <w:color w:val="auto"/>
          <w:sz w:val="32"/>
          <w:szCs w:val="32"/>
        </w:rPr>
        <w:t>推进国际经贸开放合作</w:t>
      </w:r>
      <w:bookmarkEnd w:id="114"/>
      <w:bookmarkEnd w:id="115"/>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bookmarkStart w:id="116" w:name="_Toc12415"/>
      <w:r>
        <w:rPr>
          <w:rFonts w:hint="eastAsia" w:ascii="仿宋_GB2312" w:hAnsi="仿宋_GB2312" w:eastAsia="仿宋_GB2312" w:cs="仿宋_GB2312"/>
          <w:color w:val="auto"/>
          <w:sz w:val="32"/>
          <w:szCs w:val="32"/>
        </w:rPr>
        <w:t>以加速产业国际化为核心，积极融入“一带一路”，加快推进综保区、中外合作园等重点平台建设，精准发力国际要素“引进来”，稳妥推动科技企业“走出去”。到2025年，实际利用外资达到</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亿美元，进出口总额达到</w:t>
      </w:r>
      <w:r>
        <w:rPr>
          <w:rFonts w:ascii="仿宋_GB2312" w:hAnsi="仿宋_GB2312" w:eastAsia="仿宋_GB2312" w:cs="仿宋_GB2312"/>
          <w:color w:val="auto"/>
          <w:sz w:val="32"/>
          <w:szCs w:val="32"/>
        </w:rPr>
        <w:t>215</w:t>
      </w:r>
      <w:r>
        <w:rPr>
          <w:rFonts w:hint="eastAsia" w:ascii="仿宋_GB2312" w:hAnsi="仿宋_GB2312" w:eastAsia="仿宋_GB2312" w:cs="仿宋_GB2312"/>
          <w:color w:val="auto"/>
          <w:sz w:val="32"/>
          <w:szCs w:val="32"/>
        </w:rPr>
        <w:t>亿元。</w:t>
      </w:r>
    </w:p>
    <w:p>
      <w:pPr>
        <w:spacing w:line="579" w:lineRule="exact"/>
        <w:ind w:firstLine="660" w:firstLineChars="200"/>
        <w:rPr>
          <w:rFonts w:ascii="仿宋_GB2312" w:hAnsi="仿宋_GB2312" w:eastAsia="仿宋_GB2312" w:cs="仿宋_GB2312"/>
          <w:color w:val="auto"/>
          <w:sz w:val="32"/>
          <w:szCs w:val="32"/>
        </w:rPr>
      </w:pPr>
      <w:bookmarkStart w:id="117" w:name="_Toc18033"/>
      <w:r>
        <w:rPr>
          <w:rFonts w:hint="eastAsia" w:ascii="仿宋_GB2312" w:hAnsi="仿宋_GB2312" w:eastAsia="仿宋_GB2312" w:cs="仿宋_GB2312"/>
          <w:b/>
          <w:bCs/>
          <w:color w:val="auto"/>
          <w:sz w:val="32"/>
          <w:szCs w:val="32"/>
        </w:rPr>
        <w:t>建设高质量综合保税区。</w:t>
      </w:r>
      <w:r>
        <w:rPr>
          <w:rFonts w:hint="eastAsia" w:ascii="仿宋_GB2312" w:hAnsi="仿宋_GB2312" w:eastAsia="仿宋_GB2312" w:cs="仿宋_GB2312"/>
          <w:color w:val="auto"/>
          <w:sz w:val="32"/>
          <w:szCs w:val="32"/>
        </w:rPr>
        <w:t>深入贯彻《国务院关于促进综合保税区高水平开放高质量发展的若干意见》，推动综保区A、B区联动和扩区发展，将综保区桃仙园区（即B区）建设成为东北地区重要的“加工制造中心、研发设计中心、物流分拨中心、检测维修中心、销售服务中心”。加强园区基础设施建设，加快推进综保区联检中心二期、跨境电商保税仓库等项目建设，完善园区路网、供水、电力等配套设施。重点发展航空航材保税加工，着力发展跨境贸易、现代物流，创新发展检测维修、保税研发、保税医疗。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年，综保区入驻企业营业收入达到</w:t>
      </w:r>
      <w:r>
        <w:rPr>
          <w:rFonts w:ascii="仿宋_GB2312" w:hAnsi="仿宋_GB2312" w:eastAsia="仿宋_GB2312" w:cs="仿宋_GB2312"/>
          <w:color w:val="auto"/>
          <w:sz w:val="32"/>
          <w:szCs w:val="32"/>
        </w:rPr>
        <w:t>200</w:t>
      </w:r>
      <w:r>
        <w:rPr>
          <w:rFonts w:hint="eastAsia" w:ascii="仿宋_GB2312" w:hAnsi="仿宋_GB2312" w:eastAsia="仿宋_GB2312" w:cs="仿宋_GB2312"/>
          <w:color w:val="auto"/>
          <w:sz w:val="32"/>
          <w:szCs w:val="32"/>
        </w:rPr>
        <w:t>亿元。</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高质量建设中外合作园</w:t>
      </w:r>
      <w:bookmarkEnd w:id="117"/>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加强与日韩俄重点地区合作，加速中韩（启迪）科技园、中日（万科）产业园、中日（沈阳）国际金融科技文化合作园、建设，</w:t>
      </w:r>
      <w:r>
        <w:rPr>
          <w:rFonts w:hint="eastAsia" w:ascii="仿宋_GB2312" w:eastAsia="仿宋_GB2312"/>
          <w:color w:val="auto"/>
          <w:sz w:val="32"/>
          <w:szCs w:val="32"/>
        </w:rPr>
        <w:t>依托沈阳理工大学“俄罗斯院士专家工作站”建设“中俄科技合作基地”</w:t>
      </w:r>
      <w:r>
        <w:rPr>
          <w:rFonts w:hint="eastAsia" w:ascii="仿宋_GB2312" w:hAnsi="仿宋_GB2312" w:eastAsia="仿宋_GB2312" w:cs="仿宋_GB2312"/>
          <w:color w:val="auto"/>
          <w:sz w:val="32"/>
          <w:szCs w:val="32"/>
        </w:rPr>
        <w:t>，配套建设离岸创新中心。利用国家和地方各层次对外合作机制，加强多领域往来交流，定期举办推介活动。引导外资企业通过股权转让、增资扩建、合资经营等方式加强与本地企业合作。到2025年建成中外合作园5家、离岸（域外）创新中心10家，累计引进日韩俄企业300家。</w:t>
      </w:r>
    </w:p>
    <w:bookmarkEnd w:id="116"/>
    <w:p>
      <w:pPr>
        <w:spacing w:line="579" w:lineRule="exact"/>
        <w:ind w:firstLine="660" w:firstLineChars="200"/>
        <w:rPr>
          <w:rFonts w:ascii="仿宋_GB2312" w:hAnsi="仿宋_GB2312" w:eastAsia="仿宋_GB2312" w:cs="仿宋_GB2312"/>
          <w:color w:val="auto"/>
          <w:sz w:val="32"/>
          <w:szCs w:val="32"/>
        </w:rPr>
      </w:pPr>
      <w:bookmarkStart w:id="118" w:name="_Toc16249"/>
      <w:r>
        <w:rPr>
          <w:rFonts w:hint="eastAsia" w:ascii="仿宋_GB2312" w:hAnsi="仿宋_GB2312" w:eastAsia="仿宋_GB2312" w:cs="仿宋_GB2312"/>
          <w:b/>
          <w:color w:val="auto"/>
          <w:sz w:val="32"/>
          <w:szCs w:val="32"/>
        </w:rPr>
        <w:t>引导企业全面“走出去”</w:t>
      </w:r>
      <w:bookmarkEnd w:id="118"/>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积极融入中国-中东欧“17+1”经贸合作机制和东南亚经贸合作机制，实施重点外贸企业培育计划，加快国家外贸转型升级示范基地建设，建立重点企业“一对一”包保服务体系，推动东软集团、东软医疗等优势制造企业和高端服务企业“走出去”，布局海外研发中心、参与国际产能合作、发展国际服务贸易、开展国际并购、承包境外工程。拓宽企业对外合作范畴，加大对外劳务合作市场培育力度，支持外派劳务企业在巩固日韩市场基础上，积极开拓新兴市场。建立“走出去”企业培育库，定期组织对外投资促进活动，为企业提供金融、法律、咨询等系列服务。</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集聚国际高端创新人才。</w:t>
      </w:r>
      <w:r>
        <w:rPr>
          <w:rFonts w:hint="eastAsia" w:ascii="仿宋_GB2312" w:hAnsi="仿宋_GB2312" w:eastAsia="仿宋_GB2312" w:cs="仿宋_GB2312"/>
          <w:color w:val="auto"/>
          <w:sz w:val="32"/>
          <w:szCs w:val="32"/>
        </w:rPr>
        <w:t>瞄准急需人才及高端人才、关键核心技术领域顶尖人才，采用政策奖励、平台搭建、国际联合办学等方式，加强集聚国际高端创新人才，支撑产业迈向中高端。发挥外资企业、外资研发中心、离岸创新中心、海外学子创业园等平台载体作用，引进外国专家和创新创业人才。稳步开展中日韩俄蒙人才交流，引进多层次中日韩俄蒙人才。积极组织企业参加大型引智活动，组织开展海归毕业生和创新型人才专场招聘会。建立海外高层次人才回国就业绿色通道，进一步完善境外高层次人才医疗、住房、子女就学等配套服务保障。</w:t>
      </w: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建立国际化营商和居住环境</w:t>
      </w:r>
      <w:r>
        <w:rPr>
          <w:rFonts w:hint="eastAsia" w:ascii="仿宋_GB2312" w:hAnsi="仿宋_GB2312" w:eastAsia="仿宋_GB2312" w:cs="仿宋_GB2312"/>
          <w:bCs/>
          <w:color w:val="auto"/>
          <w:sz w:val="32"/>
          <w:szCs w:val="32"/>
        </w:rPr>
        <w:t>。完善升级沈阳自贸区出入境人员综合服务“一站式”平台，简化优化</w:t>
      </w:r>
      <w:r>
        <w:rPr>
          <w:rFonts w:ascii="仿宋_GB2312" w:hAnsi="仿宋_GB2312" w:eastAsia="仿宋_GB2312" w:cs="仿宋_GB2312"/>
          <w:bCs/>
          <w:color w:val="auto"/>
          <w:sz w:val="32"/>
          <w:szCs w:val="32"/>
        </w:rPr>
        <w:t>境内外人员出入境、外籍人员签证和居留、就业许可、驾照申领等事项办理</w:t>
      </w:r>
      <w:r>
        <w:rPr>
          <w:rFonts w:hint="eastAsia" w:ascii="仿宋_GB2312" w:hAnsi="仿宋_GB2312" w:eastAsia="仿宋_GB2312" w:cs="仿宋_GB2312"/>
          <w:bCs/>
          <w:color w:val="auto"/>
          <w:sz w:val="32"/>
          <w:szCs w:val="32"/>
        </w:rPr>
        <w:t>手续。</w:t>
      </w:r>
      <w:r>
        <w:rPr>
          <w:rFonts w:ascii="仿宋_GB2312" w:hAnsi="仿宋_GB2312" w:eastAsia="仿宋_GB2312" w:cs="仿宋_GB2312"/>
          <w:bCs/>
          <w:color w:val="auto"/>
          <w:sz w:val="32"/>
          <w:szCs w:val="32"/>
        </w:rPr>
        <w:t>规划建设一批配套完善、环境优美的面向海内外高层次人才的国际社区。加快引进国际知名医疗机构和教育机构，鼓励社会资本投资高端和涉外教育、医疗机构，为境外人士子女入学、医疗保障提供便捷服务。</w:t>
      </w:r>
      <w:r>
        <w:rPr>
          <w:rFonts w:hint="eastAsia" w:ascii="仿宋_GB2312" w:hAnsi="仿宋_GB2312" w:eastAsia="仿宋_GB2312" w:cs="仿宋_GB2312"/>
          <w:bCs/>
          <w:color w:val="auto"/>
          <w:sz w:val="32"/>
          <w:szCs w:val="32"/>
        </w:rPr>
        <w:t>依托中韩（启迪）科技园等中外合作园，建设韩国等异域风情特色商业街。重点围绕服务中日、中韩、中俄等合作需要，在公共场所、涉外宾馆餐厅、涉外教育和医疗机构等采用多语标识。</w:t>
      </w:r>
    </w:p>
    <w:p>
      <w:pPr>
        <w:pStyle w:val="31"/>
        <w:keepNext/>
        <w:spacing w:line="290" w:lineRule="exact"/>
        <w:ind w:firstLine="0" w:firstLineChars="0"/>
        <w:outlineLvl w:val="0"/>
        <w:rPr>
          <w:color w:val="auto"/>
        </w:rPr>
      </w:pPr>
    </w:p>
    <w:p>
      <w:pPr>
        <w:pStyle w:val="31"/>
        <w:numPr>
          <w:ilvl w:val="0"/>
          <w:numId w:val="7"/>
        </w:numPr>
        <w:spacing w:line="579" w:lineRule="exact"/>
        <w:ind w:firstLineChars="0"/>
        <w:jc w:val="center"/>
        <w:outlineLvl w:val="1"/>
        <w:rPr>
          <w:rFonts w:ascii="黑体" w:hAnsi="黑体" w:eastAsia="黑体" w:cs="黑体"/>
          <w:bCs/>
          <w:color w:val="auto"/>
          <w:sz w:val="32"/>
          <w:szCs w:val="32"/>
        </w:rPr>
      </w:pPr>
      <w:bookmarkStart w:id="119" w:name="_Toc59116933"/>
      <w:bookmarkStart w:id="120" w:name="_Toc24504"/>
      <w:r>
        <w:rPr>
          <w:rFonts w:hint="eastAsia" w:ascii="黑体" w:hAnsi="黑体" w:eastAsia="黑体" w:cs="黑体"/>
          <w:bCs/>
          <w:color w:val="auto"/>
          <w:sz w:val="32"/>
          <w:szCs w:val="32"/>
        </w:rPr>
        <w:t>扩大区域经济合作</w:t>
      </w:r>
      <w:bookmarkEnd w:id="119"/>
      <w:bookmarkEnd w:id="120"/>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bookmarkStart w:id="121" w:name="_Toc26922"/>
      <w:r>
        <w:rPr>
          <w:rFonts w:hint="eastAsia" w:ascii="仿宋_GB2312" w:hAnsi="仿宋_GB2312" w:eastAsia="仿宋_GB2312" w:cs="仿宋_GB2312"/>
          <w:color w:val="auto"/>
          <w:sz w:val="32"/>
          <w:szCs w:val="32"/>
        </w:rPr>
        <w:t>以深化科技和产业领域合作为重点，以高能级战略平台为关键纽带，进一步拓展与环渤海经济圈、粤港澳大湾区、长江经济带及中西部地区合作，持续深化京沈、沈大、苏辽等对口合作，积极融入沈阳都市圈一体化发展。</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加强与全国高能级战略平台对接</w:t>
      </w:r>
      <w:bookmarkEnd w:id="121"/>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推动与中关村、上海张江等全国一流高科技园区对接，聚焦新一代信息技术、高端装备、新能源汽车、生命健康、先进材料等产业领域，采用“产业合作基地+域外创新中心”的“1基地1中心”模式，实现组团“引进来”和组团“走出去”。推动自贸区、综保区、棋盘山旅游度假区等主动对接全国高能级战略平台，复制推广对外开放、产业培育、制度创新等方面先进经验。到2025年，建成“1基地1中心”5家。</w:t>
      </w:r>
    </w:p>
    <w:p>
      <w:pPr>
        <w:spacing w:line="579" w:lineRule="exact"/>
        <w:ind w:firstLine="660" w:firstLineChars="200"/>
        <w:rPr>
          <w:rFonts w:ascii="仿宋_GB2312" w:hAnsi="仿宋_GB2312" w:eastAsia="仿宋_GB2312" w:cs="仿宋_GB2312"/>
          <w:color w:val="auto"/>
          <w:sz w:val="32"/>
          <w:szCs w:val="32"/>
        </w:rPr>
      </w:pPr>
      <w:bookmarkStart w:id="122" w:name="_Toc10675"/>
      <w:r>
        <w:rPr>
          <w:rFonts w:hint="eastAsia" w:ascii="仿宋_GB2312" w:hAnsi="仿宋_GB2312" w:eastAsia="仿宋_GB2312" w:cs="仿宋_GB2312"/>
          <w:b/>
          <w:color w:val="auto"/>
          <w:sz w:val="32"/>
          <w:szCs w:val="32"/>
        </w:rPr>
        <w:t>扩大区域对口合作</w:t>
      </w:r>
      <w:bookmarkEnd w:id="122"/>
      <w:r>
        <w:rPr>
          <w:rFonts w:hint="eastAsia" w:ascii="仿宋_GB2312" w:hAnsi="仿宋_GB2312" w:eastAsia="仿宋_GB2312" w:cs="仿宋_GB2312"/>
          <w:b/>
          <w:color w:val="auto"/>
          <w:sz w:val="32"/>
          <w:szCs w:val="32"/>
        </w:rPr>
        <w:t>。</w:t>
      </w:r>
      <w:r>
        <w:rPr>
          <w:rFonts w:hint="eastAsia" w:ascii="仿宋_GB2312" w:hAnsi="仿宋_GB2312" w:eastAsia="仿宋_GB2312" w:cs="仿宋_GB2312"/>
          <w:bCs/>
          <w:color w:val="auto"/>
          <w:sz w:val="32"/>
          <w:szCs w:val="32"/>
        </w:rPr>
        <w:t>抓住京沈高铁开通后融入北京2</w:t>
      </w:r>
      <w:r>
        <w:rPr>
          <w:rFonts w:ascii="仿宋_GB2312" w:hAnsi="仿宋_GB2312" w:eastAsia="仿宋_GB2312" w:cs="仿宋_GB2312"/>
          <w:bCs/>
          <w:color w:val="auto"/>
          <w:sz w:val="32"/>
          <w:szCs w:val="32"/>
        </w:rPr>
        <w:t>.5</w:t>
      </w:r>
      <w:r>
        <w:rPr>
          <w:rFonts w:hint="eastAsia" w:ascii="仿宋_GB2312" w:hAnsi="仿宋_GB2312" w:eastAsia="仿宋_GB2312" w:cs="仿宋_GB2312"/>
          <w:bCs/>
          <w:color w:val="auto"/>
          <w:sz w:val="32"/>
          <w:szCs w:val="32"/>
        </w:rPr>
        <w:t>小时经济圈机遇，</w:t>
      </w:r>
      <w:r>
        <w:rPr>
          <w:rFonts w:hint="eastAsia" w:ascii="仿宋_GB2312" w:hAnsi="仿宋_GB2312" w:eastAsia="仿宋_GB2312" w:cs="仿宋_GB2312"/>
          <w:color w:val="auto"/>
          <w:sz w:val="32"/>
          <w:szCs w:val="32"/>
        </w:rPr>
        <w:t>以京沈合作为依托，主动融入京津冀协同发展国家战略，推进创新创业资源和高精尖产业对接，共建京沈对口合作园区，深化与中关村朝阳园、丰台园等合作，支持清华启迪科技园等重点京沈合作项目建设。推动沈阳高新区与大连高新区围绕共建区域综合性实验室、共建智能经济产业集群、共建一流创新创业生态等方面开展战略合作，联合打造东北亚科创中心。借助苏辽对口合作平台，加强对接南京高新区、苏州工业园、苏州高新区、江苏省产研院、苏州医工所等江苏科技创新高地及重点平台。</w:t>
      </w:r>
    </w:p>
    <w:p>
      <w:pPr>
        <w:spacing w:line="579" w:lineRule="exact"/>
        <w:ind w:firstLine="660" w:firstLineChars="200"/>
        <w:rPr>
          <w:color w:val="auto"/>
        </w:rPr>
      </w:pPr>
      <w:bookmarkStart w:id="123" w:name="_Toc16171"/>
      <w:r>
        <w:rPr>
          <w:rFonts w:hint="eastAsia" w:ascii="仿宋_GB2312" w:hAnsi="仿宋_GB2312" w:eastAsia="仿宋_GB2312" w:cs="仿宋_GB2312"/>
          <w:b/>
          <w:color w:val="auto"/>
          <w:sz w:val="32"/>
          <w:szCs w:val="32"/>
        </w:rPr>
        <w:t>融入沈阳都市圈一体化发展</w:t>
      </w:r>
      <w:bookmarkEnd w:id="123"/>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加强对接沈抚新区，推进两区间基础设施互联互通，产业发展、对外开放、公共服务、环境治理协同互动，争取沈抚新区先行先试政策向我区延伸。推动沈阳高新区与沈阳都市圈重点园区战略合作，输出“创新驱动发展”经验，推动区域综合性实验室等重点功能平台辐射沈阳都市圈，推进本钢（沈阳）技术研究院等重点项目建设。推动自贸区与中德园、沈阳金融商贸开发区等重点园区合作，全面推广自贸区制度创新成果。推动棋盘山与文商旅园区战略对接，实现景区间联合经营、整合营销。</w:t>
      </w:r>
    </w:p>
    <w:p>
      <w:pPr>
        <w:keepNext/>
        <w:spacing w:line="579" w:lineRule="exact"/>
        <w:jc w:val="center"/>
        <w:outlineLvl w:val="0"/>
        <w:rPr>
          <w:rFonts w:ascii="宋体" w:hAnsi="宋体" w:cs="宋体"/>
          <w:b/>
          <w:color w:val="auto"/>
          <w:sz w:val="44"/>
          <w:szCs w:val="44"/>
        </w:rPr>
        <w:sectPr>
          <w:pgSz w:w="11906" w:h="16838"/>
          <w:pgMar w:top="2098" w:right="1474" w:bottom="1985" w:left="1588" w:header="851" w:footer="992" w:gutter="0"/>
          <w:cols w:space="425" w:num="1"/>
          <w:docGrid w:type="linesAndChars" w:linePitch="299" w:charSpace="2048"/>
        </w:sectPr>
      </w:pPr>
      <w:bookmarkStart w:id="124" w:name="_Toc54707760"/>
    </w:p>
    <w:p>
      <w:pPr>
        <w:pStyle w:val="31"/>
        <w:keepNext/>
        <w:spacing w:line="290" w:lineRule="exact"/>
        <w:ind w:firstLine="0" w:firstLineChars="0"/>
        <w:outlineLvl w:val="0"/>
        <w:rPr>
          <w:rFonts w:ascii="宋体" w:hAnsi="宋体" w:cs="宋体"/>
          <w:b/>
          <w:color w:val="auto"/>
          <w:sz w:val="44"/>
          <w:szCs w:val="44"/>
        </w:rPr>
      </w:pPr>
      <w:bookmarkStart w:id="125" w:name="_Toc59116934"/>
    </w:p>
    <w:p>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高水平推进城市建设</w:t>
      </w:r>
      <w:bookmarkEnd w:id="124"/>
      <w:bookmarkEnd w:id="125"/>
    </w:p>
    <w:p>
      <w:pPr>
        <w:pStyle w:val="31"/>
        <w:keepNext/>
        <w:spacing w:line="290" w:lineRule="exact"/>
        <w:ind w:firstLine="0" w:firstLineChars="0"/>
        <w:outlineLvl w:val="0"/>
        <w:rPr>
          <w:color w:val="auto"/>
        </w:rPr>
      </w:pPr>
    </w:p>
    <w:p>
      <w:pPr>
        <w:spacing w:line="579" w:lineRule="exact"/>
        <w:ind w:firstLine="660" w:firstLineChars="200"/>
        <w:rPr>
          <w:rFonts w:ascii="仿宋_GB2312" w:eastAsia="仿宋_GB2312"/>
          <w:color w:val="auto"/>
          <w:sz w:val="32"/>
          <w:szCs w:val="32"/>
        </w:rPr>
      </w:pPr>
      <w:bookmarkStart w:id="126" w:name="_Toc3280"/>
      <w:r>
        <w:rPr>
          <w:rFonts w:hint="eastAsia" w:ascii="仿宋_GB2312" w:eastAsia="仿宋_GB2312"/>
          <w:color w:val="auto"/>
          <w:sz w:val="32"/>
          <w:szCs w:val="32"/>
        </w:rPr>
        <w:t>坚持“产城融合”发展，以“规划一张图、建设一盘棋、管理一体化”为目标，有序推进全域城镇化建设，加强城市总体规划和设计，科学开展城市更新，超前布局城市基础设施，全面运用科技手段提升城市精细化管理水平，提高城市生态宜居和智慧化水平。</w:t>
      </w:r>
    </w:p>
    <w:p>
      <w:pPr>
        <w:pStyle w:val="31"/>
        <w:keepNext/>
        <w:spacing w:line="290" w:lineRule="exact"/>
        <w:ind w:firstLine="0" w:firstLineChars="0"/>
        <w:outlineLvl w:val="0"/>
        <w:rPr>
          <w:color w:val="auto"/>
        </w:rPr>
      </w:pPr>
    </w:p>
    <w:p>
      <w:pPr>
        <w:pStyle w:val="31"/>
        <w:numPr>
          <w:ilvl w:val="0"/>
          <w:numId w:val="8"/>
        </w:numPr>
        <w:spacing w:line="579" w:lineRule="exact"/>
        <w:ind w:firstLineChars="0"/>
        <w:jc w:val="center"/>
        <w:outlineLvl w:val="1"/>
        <w:rPr>
          <w:rFonts w:ascii="黑体" w:hAnsi="黑体" w:eastAsia="黑体" w:cs="黑体"/>
          <w:bCs/>
          <w:color w:val="auto"/>
          <w:sz w:val="32"/>
          <w:szCs w:val="32"/>
        </w:rPr>
      </w:pPr>
      <w:bookmarkStart w:id="127" w:name="_Toc59116935"/>
      <w:r>
        <w:rPr>
          <w:rFonts w:hint="eastAsia" w:ascii="黑体" w:hAnsi="黑体" w:eastAsia="黑体" w:cs="黑体"/>
          <w:bCs/>
          <w:color w:val="auto"/>
          <w:sz w:val="32"/>
          <w:szCs w:val="32"/>
        </w:rPr>
        <w:t>加强城市更新和建设顶层设计</w:t>
      </w:r>
      <w:bookmarkEnd w:id="127"/>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eastAsia="仿宋_GB2312"/>
          <w:color w:val="auto"/>
          <w:sz w:val="32"/>
          <w:szCs w:val="32"/>
        </w:rPr>
        <w:t>以新一轮国土空间规划为契机，</w:t>
      </w:r>
      <w:bookmarkStart w:id="128" w:name="_Toc10007"/>
      <w:r>
        <w:rPr>
          <w:rFonts w:hint="eastAsia" w:ascii="仿宋_GB2312" w:eastAsia="仿宋_GB2312"/>
          <w:color w:val="auto"/>
          <w:sz w:val="32"/>
          <w:szCs w:val="32"/>
        </w:rPr>
        <w:t>将经济社会发展与城市</w:t>
      </w:r>
      <w:r>
        <w:rPr>
          <w:rFonts w:ascii="仿宋_GB2312" w:eastAsia="仿宋_GB2312"/>
          <w:color w:val="auto"/>
          <w:sz w:val="32"/>
          <w:szCs w:val="32"/>
        </w:rPr>
        <w:t>设计、</w:t>
      </w:r>
      <w:r>
        <w:rPr>
          <w:rFonts w:hint="eastAsia" w:ascii="仿宋_GB2312" w:eastAsia="仿宋_GB2312"/>
          <w:color w:val="auto"/>
          <w:sz w:val="32"/>
          <w:szCs w:val="32"/>
        </w:rPr>
        <w:t>城乡规划、土地利用规划、生态环境保护规划等有机衔接，在规划的刚性指导下，</w:t>
      </w:r>
      <w:r>
        <w:rPr>
          <w:rFonts w:hint="eastAsia" w:ascii="仿宋_GB2312" w:hAnsi="仿宋_GB2312" w:eastAsia="仿宋_GB2312" w:cs="仿宋_GB2312"/>
          <w:color w:val="auto"/>
          <w:sz w:val="32"/>
          <w:szCs w:val="32"/>
        </w:rPr>
        <w:t>制定城市更新、城市建设工作计划，适度超前、梯次有序推进要素匹配和计划实施，优化城市开发建设模式。</w:t>
      </w:r>
    </w:p>
    <w:bookmarkEnd w:id="128"/>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高水平编制城市规划。</w:t>
      </w:r>
      <w:r>
        <w:rPr>
          <w:rFonts w:hint="eastAsia" w:ascii="仿宋_GB2312" w:hAnsi="仿宋_GB2312" w:eastAsia="仿宋_GB2312" w:cs="仿宋_GB2312"/>
          <w:color w:val="auto"/>
          <w:sz w:val="32"/>
          <w:szCs w:val="32"/>
        </w:rPr>
        <w:t>开展城市建设总体谋划，</w:t>
      </w:r>
      <w:r>
        <w:rPr>
          <w:rFonts w:hint="eastAsia" w:ascii="仿宋_GB2312" w:eastAsia="仿宋_GB2312"/>
          <w:color w:val="auto"/>
          <w:sz w:val="32"/>
          <w:szCs w:val="32"/>
        </w:rPr>
        <w:t>统筹推进建成区和拓展区建设，统筹产业空间和公共基础设施、交通设施、市政设施建设。</w:t>
      </w:r>
      <w:r>
        <w:rPr>
          <w:rFonts w:hint="eastAsia" w:ascii="仿宋_GB2312" w:hAnsi="仿宋_GB2312" w:eastAsia="仿宋_GB2312" w:cs="仿宋_GB2312"/>
          <w:color w:val="auto"/>
          <w:sz w:val="32"/>
          <w:szCs w:val="32"/>
        </w:rPr>
        <w:t>完善构建“多规合一”国土空间规划体系，加强与市国土空间规划衔接，加强控详规划编制和管理，加快编制棋盘山、张沙布、李相、柏叶等区域控详规划，优化重点区域和街路全要素设计，加大公共服务配套项目批后监管力度。强化城市总体设计，加强重点地区风貌管理，加强城市重点街路、公园广场等开敞空间的风貌管控，提升城市建设品质。加强对接上级规划，推动张沙布纳入城镇发展建设区，推动棋盘山、李相、柏叶等通过有序集中集体建设用地和宅基地，形成产业建设用地。</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优化制定城市更新策略。</w:t>
      </w:r>
      <w:r>
        <w:rPr>
          <w:rFonts w:hint="eastAsia" w:ascii="仿宋_GB2312" w:eastAsia="仿宋_GB2312"/>
          <w:color w:val="auto"/>
          <w:sz w:val="32"/>
          <w:szCs w:val="32"/>
        </w:rPr>
        <w:t>以总体规划为指导，提前做好土地规划调整，</w:t>
      </w:r>
      <w:r>
        <w:rPr>
          <w:rFonts w:hint="eastAsia" w:ascii="仿宋_GB2312" w:hAnsi="仿宋_GB2312" w:eastAsia="仿宋_GB2312" w:cs="仿宋_GB2312"/>
          <w:color w:val="auto"/>
          <w:sz w:val="32"/>
          <w:szCs w:val="32"/>
        </w:rPr>
        <w:t>科学编制满堂、李相、桃仙、东湖、白塔、祝家、五三、站东、王滨、高坎10个街道重点区域更新计划和单元规划，确保城市更新梯次有序推进，实现资金要素最优配置。超前开展土地收储，对重点产业项目、重点基础设施项目、重点民生项目用地予以优先保障</w:t>
      </w:r>
      <w:r>
        <w:rPr>
          <w:rFonts w:hint="eastAsia" w:ascii="仿宋_GB2312" w:eastAsia="仿宋_GB2312"/>
          <w:color w:val="auto"/>
          <w:sz w:val="32"/>
          <w:szCs w:val="32"/>
        </w:rPr>
        <w:t>，确保城市建设计划和产业引培计划有序实施，</w:t>
      </w:r>
      <w:r>
        <w:rPr>
          <w:rFonts w:hint="eastAsia" w:ascii="仿宋_GB2312" w:hAnsi="仿宋_GB2312" w:eastAsia="仿宋_GB2312" w:cs="仿宋_GB2312"/>
          <w:color w:val="auto"/>
          <w:sz w:val="32"/>
          <w:szCs w:val="32"/>
        </w:rPr>
        <w:t>实现从“项目等地”向“地等项目”转变，</w:t>
      </w:r>
      <w:r>
        <w:rPr>
          <w:rFonts w:hint="eastAsia" w:ascii="仿宋_GB2312" w:eastAsia="仿宋_GB2312"/>
          <w:color w:val="auto"/>
          <w:sz w:val="32"/>
          <w:szCs w:val="32"/>
        </w:rPr>
        <w:t>统筹提升空间利用效率。</w:t>
      </w:r>
      <w:r>
        <w:rPr>
          <w:rFonts w:hint="eastAsia" w:ascii="仿宋_GB2312" w:hAnsi="仿宋_GB2312" w:eastAsia="仿宋_GB2312" w:cs="仿宋_GB2312"/>
          <w:color w:val="auto"/>
          <w:sz w:val="32"/>
          <w:szCs w:val="32"/>
        </w:rPr>
        <w:t>做好社会稳定风险评估，有序推进政策公布、协议签订、征收补偿、回迁安置等征收工作。科学制定低效产业区域、老旧城区更新实施方案，推动产业升级项目、老旧小区改造项目有序实施。</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优化制定城市建设策略。</w:t>
      </w:r>
      <w:r>
        <w:rPr>
          <w:rFonts w:hint="eastAsia" w:ascii="仿宋_GB2312" w:eastAsia="仿宋_GB2312"/>
          <w:color w:val="auto"/>
          <w:sz w:val="32"/>
          <w:szCs w:val="32"/>
        </w:rPr>
        <w:t>以规划为指导，科学</w:t>
      </w:r>
      <w:r>
        <w:rPr>
          <w:rFonts w:hint="eastAsia" w:ascii="仿宋_GB2312" w:hAnsi="仿宋_GB2312" w:eastAsia="仿宋_GB2312" w:cs="仿宋_GB2312"/>
          <w:color w:val="auto"/>
          <w:sz w:val="32"/>
          <w:szCs w:val="32"/>
        </w:rPr>
        <w:t>制定城市建设行动计划和年度政府投资建设计划，明确城市建设重点任务和时序安排，超前做好规划、土地等建设条件保障，梯次合理、节拍有序做好</w:t>
      </w:r>
      <w:r>
        <w:rPr>
          <w:rFonts w:hint="eastAsia" w:ascii="仿宋_GB2312" w:hAnsi="仿宋_GB2312" w:eastAsia="仿宋_GB2312" w:cs="仿宋_GB2312"/>
          <w:bCs/>
          <w:color w:val="auto"/>
          <w:sz w:val="32"/>
          <w:szCs w:val="32"/>
        </w:rPr>
        <w:t>重点区域的道路、管网、供水、排水、通信、供电、燃气、供热、垃圾处理、污水处理等基础设施建设，提升</w:t>
      </w:r>
      <w:r>
        <w:rPr>
          <w:rFonts w:hint="eastAsia" w:ascii="仿宋_GB2312" w:hAnsi="仿宋_GB2312" w:eastAsia="仿宋_GB2312" w:cs="仿宋_GB2312"/>
          <w:color w:val="auto"/>
          <w:sz w:val="32"/>
          <w:szCs w:val="32"/>
        </w:rPr>
        <w:t>综合承载能力，使</w:t>
      </w:r>
      <w:r>
        <w:rPr>
          <w:rFonts w:hint="eastAsia" w:ascii="仿宋_GB2312" w:hAnsi="仿宋_GB2312" w:eastAsia="仿宋_GB2312" w:cs="仿宋_GB2312"/>
          <w:bCs/>
          <w:color w:val="auto"/>
          <w:sz w:val="32"/>
          <w:szCs w:val="32"/>
        </w:rPr>
        <w:t>基础配套达到国内先进水平。</w:t>
      </w:r>
      <w:r>
        <w:rPr>
          <w:rFonts w:hint="eastAsia" w:ascii="仿宋_GB2312" w:hAnsi="仿宋_GB2312" w:eastAsia="仿宋_GB2312" w:cs="仿宋_GB2312"/>
          <w:color w:val="auto"/>
          <w:sz w:val="32"/>
          <w:szCs w:val="32"/>
        </w:rPr>
        <w:t>建立健全政府投资建设项目决策和组织程序，提高政府资金使用效益。加强政府投资建设项目的科学化、制度化管理，提高计划执行刚性。推进建设需求、可行性研究、招标、建设实施、决算等环节精细化管理，节约使用政府资金。鼓励社会资本参与项目建设，积极争取上级资金支持。</w:t>
      </w:r>
    </w:p>
    <w:p>
      <w:pPr>
        <w:pStyle w:val="2"/>
        <w:spacing w:line="579" w:lineRule="exact"/>
        <w:rPr>
          <w:color w:val="auto"/>
        </w:rPr>
      </w:pPr>
    </w:p>
    <w:p>
      <w:pPr>
        <w:pStyle w:val="31"/>
        <w:spacing w:line="290" w:lineRule="exact"/>
        <w:ind w:firstLine="0" w:firstLineChars="0"/>
        <w:outlineLvl w:val="1"/>
        <w:rPr>
          <w:rFonts w:ascii="黑体" w:hAnsi="黑体" w:eastAsia="黑体" w:cs="黑体"/>
          <w:bCs/>
          <w:color w:val="auto"/>
          <w:sz w:val="32"/>
          <w:szCs w:val="32"/>
        </w:rPr>
      </w:pPr>
      <w:bookmarkStart w:id="129" w:name="_Toc59116936"/>
    </w:p>
    <w:p>
      <w:pPr>
        <w:pStyle w:val="31"/>
        <w:numPr>
          <w:ilvl w:val="0"/>
          <w:numId w:val="8"/>
        </w:numPr>
        <w:spacing w:line="579" w:lineRule="exact"/>
        <w:ind w:firstLineChars="0"/>
        <w:jc w:val="center"/>
        <w:outlineLvl w:val="1"/>
        <w:rPr>
          <w:rFonts w:ascii="黑体" w:hAnsi="黑体" w:eastAsia="黑体" w:cs="黑体"/>
          <w:bCs/>
          <w:color w:val="auto"/>
          <w:sz w:val="32"/>
          <w:szCs w:val="32"/>
        </w:rPr>
      </w:pPr>
      <w:r>
        <w:rPr>
          <w:rFonts w:hint="eastAsia" w:ascii="黑体" w:hAnsi="黑体" w:eastAsia="黑体" w:cs="黑体"/>
          <w:bCs/>
          <w:color w:val="auto"/>
          <w:sz w:val="32"/>
          <w:szCs w:val="32"/>
        </w:rPr>
        <w:t>科学有序开展城市更新工作</w:t>
      </w:r>
      <w:bookmarkEnd w:id="129"/>
    </w:p>
    <w:p>
      <w:pPr>
        <w:pStyle w:val="2"/>
        <w:spacing w:line="290" w:lineRule="exact"/>
        <w:ind w:left="1157"/>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提升城镇化水平、保障重点项目用地、改善人居环境为核心，围绕城乡结合区域、低效产业区域、老旧城区三类区域，推进综合整治类、功能改变类、拆除重建类三类城市更新项目，有序实施城市修补和有机更新，注入新的文化和创新要素，激发城市内在活力，让城市面貌焕然一新。</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推进城乡结合区域更新改造</w:t>
      </w:r>
      <w:r>
        <w:rPr>
          <w:rFonts w:hint="eastAsia" w:ascii="仿宋_GB2312" w:hAnsi="仿宋_GB2312" w:eastAsia="仿宋_GB2312" w:cs="仿宋_GB2312"/>
          <w:color w:val="auto"/>
          <w:sz w:val="32"/>
          <w:szCs w:val="32"/>
        </w:rPr>
        <w:t>。为</w:t>
      </w:r>
      <w:r>
        <w:rPr>
          <w:rFonts w:hint="eastAsia" w:ascii="仿宋_GB2312" w:hAnsi="仿宋_GB2312" w:eastAsia="仿宋_GB2312" w:cs="仿宋_GB2312"/>
          <w:color w:val="auto"/>
          <w:sz w:val="32"/>
        </w:rPr>
        <w:t>保障科技、教育、文化、卫生、体育、基础设施、保障性安居工程及旧城区改建等公共事业、</w:t>
      </w:r>
      <w:r>
        <w:rPr>
          <w:rFonts w:ascii="仿宋_GB2312" w:hAnsi="仿宋_GB2312" w:eastAsia="仿宋_GB2312" w:cs="仿宋_GB2312"/>
          <w:color w:val="auto"/>
          <w:sz w:val="32"/>
        </w:rPr>
        <w:t>公共利益需要</w:t>
      </w:r>
      <w:r>
        <w:rPr>
          <w:rFonts w:hint="eastAsia" w:ascii="仿宋_GB2312" w:hAnsi="仿宋_GB2312" w:eastAsia="仿宋_GB2312" w:cs="仿宋_GB2312"/>
          <w:color w:val="auto"/>
          <w:sz w:val="32"/>
        </w:rPr>
        <w:t>，</w:t>
      </w:r>
      <w:r>
        <w:rPr>
          <w:rFonts w:hint="eastAsia" w:ascii="仿宋_GB2312" w:hAnsi="仿宋_GB2312" w:eastAsia="仿宋_GB2312" w:cs="仿宋_GB2312"/>
          <w:color w:val="auto"/>
          <w:sz w:val="32"/>
          <w:szCs w:val="32"/>
        </w:rPr>
        <w:t>有序推进李相、桃仙、东湖、高坎、满堂、站东、白塔、祝家、五三、王滨10个街道重点城乡结合区域更新改造。完善土地、房屋等财产征收征用制度，</w:t>
      </w:r>
      <w:r>
        <w:rPr>
          <w:rFonts w:hint="eastAsia" w:ascii="仿宋_GB2312" w:hAnsi="仿宋_GB2312" w:eastAsia="仿宋_GB2312" w:cs="仿宋_GB2312"/>
          <w:color w:val="auto"/>
          <w:sz w:val="32"/>
        </w:rPr>
        <w:t>科学编制征收计划，</w:t>
      </w:r>
      <w:r>
        <w:rPr>
          <w:rFonts w:hint="eastAsia" w:ascii="仿宋_GB2312" w:hAnsi="仿宋_GB2312" w:eastAsia="仿宋_GB2312" w:cs="仿宋_GB2312"/>
          <w:color w:val="auto"/>
          <w:sz w:val="32"/>
          <w:szCs w:val="32"/>
        </w:rPr>
        <w:t>明确补偿范围、形式和标准，给予被征收征用者公平合理补偿。</w:t>
      </w: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推进低效产业区域更新改造</w:t>
      </w:r>
      <w:r>
        <w:rPr>
          <w:rFonts w:hint="eastAsia" w:ascii="仿宋_GB2312" w:hAnsi="仿宋_GB2312" w:eastAsia="仿宋_GB2312" w:cs="仿宋_GB2312"/>
          <w:bCs/>
          <w:color w:val="auto"/>
          <w:sz w:val="32"/>
          <w:szCs w:val="32"/>
        </w:rPr>
        <w:t>。有序推进世纪路周边区域、沈阳理工大学周边区域等老旧产业区更新改造及老工业企业搬迁改造，形成集中连片城区产业空间，发展总部经济和环境友好型高科技产业，打造世纪路总部基地、信创产业园、半导体产业园、新能源汽车产业园等新经济产业园区，让“工业锈带”改造成“生活秀带”和新型产业空间。保留建筑物主体结构，通过规划许可变更改变建筑物使用功能，盘活存量楼宇和产业园。鼓励土地使用权人自行开展更新改造，按照规定补缴地价。</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推进老旧小区更新改造。</w:t>
      </w:r>
      <w:r>
        <w:rPr>
          <w:rFonts w:hint="eastAsia" w:ascii="仿宋_GB2312" w:hAnsi="仿宋_GB2312" w:eastAsia="仿宋_GB2312" w:cs="仿宋_GB2312"/>
          <w:color w:val="auto"/>
          <w:sz w:val="32"/>
          <w:szCs w:val="32"/>
        </w:rPr>
        <w:t>选取市民关注、居民区周边、破损严重的背街小巷实施大中修改造。完成</w:t>
      </w:r>
      <w:r>
        <w:rPr>
          <w:rFonts w:ascii="仿宋_GB2312" w:hAnsi="仿宋_GB2312" w:eastAsia="仿宋_GB2312" w:cs="仿宋_GB2312"/>
          <w:color w:val="auto"/>
          <w:sz w:val="32"/>
          <w:szCs w:val="32"/>
        </w:rPr>
        <w:t>25</w:t>
      </w:r>
      <w:r>
        <w:rPr>
          <w:rFonts w:hint="eastAsia" w:ascii="仿宋_GB2312" w:hAnsi="仿宋_GB2312" w:eastAsia="仿宋_GB2312" w:cs="仿宋_GB2312"/>
          <w:color w:val="auto"/>
          <w:sz w:val="32"/>
          <w:szCs w:val="32"/>
        </w:rPr>
        <w:t>个以上老旧小区（含回迁小区）提质改造工作，完善安防、环卫、消防、照明、绿化、水电、燃气、供暖、通信等基础设施和建筑修缮，提升养老、托育、医疗等生活配套服务。加快组建老旧小区业主委员会，推进准物业或无物业小区长效管理。</w:t>
      </w:r>
    </w:p>
    <w:p>
      <w:pPr>
        <w:pStyle w:val="2"/>
        <w:spacing w:line="290" w:lineRule="exact"/>
        <w:ind w:left="1157"/>
        <w:rPr>
          <w:color w:val="auto"/>
        </w:rPr>
      </w:pPr>
    </w:p>
    <w:bookmarkEnd w:id="126"/>
    <w:p>
      <w:pPr>
        <w:pStyle w:val="31"/>
        <w:numPr>
          <w:ilvl w:val="0"/>
          <w:numId w:val="8"/>
        </w:numPr>
        <w:spacing w:line="579" w:lineRule="exact"/>
        <w:ind w:firstLineChars="0"/>
        <w:jc w:val="center"/>
        <w:outlineLvl w:val="1"/>
        <w:rPr>
          <w:rFonts w:ascii="黑体" w:hAnsi="黑体" w:eastAsia="黑体" w:cs="黑体"/>
          <w:bCs/>
          <w:color w:val="auto"/>
          <w:sz w:val="32"/>
          <w:szCs w:val="32"/>
        </w:rPr>
      </w:pPr>
      <w:bookmarkStart w:id="130" w:name="_Toc59116937"/>
      <w:r>
        <w:rPr>
          <w:rFonts w:hint="eastAsia" w:ascii="黑体" w:hAnsi="黑体" w:eastAsia="黑体" w:cs="黑体"/>
          <w:bCs/>
          <w:color w:val="auto"/>
          <w:sz w:val="32"/>
          <w:szCs w:val="32"/>
        </w:rPr>
        <w:t>高标准建设城市基础设施</w:t>
      </w:r>
      <w:bookmarkEnd w:id="130"/>
    </w:p>
    <w:p>
      <w:pPr>
        <w:pStyle w:val="2"/>
        <w:spacing w:line="290" w:lineRule="exact"/>
        <w:ind w:left="1157"/>
        <w:rPr>
          <w:color w:val="auto"/>
        </w:rPr>
      </w:pP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统筹存量和增量、地上和地下、传统和新型基础设施的系统布局，构建集约高效、智能绿色、安全可靠现代化基础设施体系，建设韧性城市。</w:t>
      </w:r>
    </w:p>
    <w:p>
      <w:pPr>
        <w:spacing w:line="579" w:lineRule="exact"/>
        <w:ind w:firstLine="660" w:firstLineChars="200"/>
        <w:rPr>
          <w:rFonts w:ascii="仿宋_GB2312" w:hAnsi="仿宋_GB2312" w:eastAsia="仿宋_GB2312" w:cs="仿宋_GB2312"/>
          <w:bCs/>
          <w:color w:val="auto"/>
          <w:sz w:val="32"/>
          <w:szCs w:val="32"/>
        </w:rPr>
      </w:pPr>
      <w:bookmarkStart w:id="131" w:name="_Toc8672"/>
      <w:r>
        <w:rPr>
          <w:rFonts w:hint="eastAsia" w:ascii="仿宋_GB2312" w:hAnsi="仿宋_GB2312" w:eastAsia="仿宋_GB2312" w:cs="仿宋_GB2312"/>
          <w:b/>
          <w:color w:val="auto"/>
          <w:sz w:val="32"/>
          <w:szCs w:val="32"/>
        </w:rPr>
        <w:t>构建立体综合交通系统。航空方面。</w:t>
      </w:r>
      <w:r>
        <w:rPr>
          <w:rFonts w:hint="eastAsia" w:ascii="仿宋_GB2312" w:hAnsi="仿宋_GB2312" w:eastAsia="仿宋_GB2312" w:cs="仿宋_GB2312"/>
          <w:color w:val="auto"/>
          <w:sz w:val="32"/>
          <w:szCs w:val="32"/>
        </w:rPr>
        <w:t>外迁沈丹铁路，</w:t>
      </w:r>
      <w:r>
        <w:rPr>
          <w:rFonts w:hint="eastAsia" w:ascii="仿宋_GB2312" w:hAnsi="仿宋_GB2312" w:eastAsia="仿宋_GB2312" w:cs="仿宋_GB2312"/>
          <w:bCs/>
          <w:color w:val="auto"/>
          <w:sz w:val="32"/>
          <w:szCs w:val="32"/>
        </w:rPr>
        <w:t>推进桃仙机场二跑道等重点基础设施建设，积极争取第五航权，承接沈阳至第三国的客货业务。</w:t>
      </w:r>
      <w:r>
        <w:rPr>
          <w:rFonts w:hint="eastAsia" w:ascii="仿宋_GB2312" w:hAnsi="仿宋_GB2312" w:eastAsia="仿宋_GB2312" w:cs="仿宋_GB2312"/>
          <w:b/>
          <w:color w:val="auto"/>
          <w:sz w:val="32"/>
          <w:szCs w:val="32"/>
        </w:rPr>
        <w:t>轨道交通方面</w:t>
      </w:r>
      <w:r>
        <w:rPr>
          <w:rFonts w:hint="eastAsia" w:ascii="仿宋_GB2312" w:hAnsi="仿宋_GB2312" w:eastAsia="仿宋_GB2312" w:cs="仿宋_GB2312"/>
          <w:bCs/>
          <w:color w:val="auto"/>
          <w:sz w:val="32"/>
          <w:szCs w:val="32"/>
        </w:rPr>
        <w:t>。争取沈白高铁在棋盘山高坎地区设立高铁车站，配合建设地铁1号线东延线、2号线南延线和地铁4号线，新建棋盘山新型轨道交通系统，对有轨电车进行提速改造。</w:t>
      </w:r>
      <w:r>
        <w:rPr>
          <w:rFonts w:hint="eastAsia" w:ascii="仿宋_GB2312" w:hAnsi="仿宋_GB2312" w:eastAsia="仿宋_GB2312" w:cs="仿宋_GB2312"/>
          <w:b/>
          <w:color w:val="auto"/>
          <w:sz w:val="32"/>
          <w:szCs w:val="32"/>
        </w:rPr>
        <w:t>道路交通方面</w:t>
      </w:r>
      <w:r>
        <w:rPr>
          <w:rFonts w:hint="eastAsia" w:ascii="仿宋_GB2312" w:hAnsi="仿宋_GB2312" w:eastAsia="仿宋_GB2312" w:cs="仿宋_GB2312"/>
          <w:bCs/>
          <w:color w:val="auto"/>
          <w:sz w:val="32"/>
          <w:szCs w:val="32"/>
        </w:rPr>
        <w:t>。围绕</w:t>
      </w:r>
      <w:r>
        <w:rPr>
          <w:rFonts w:hint="eastAsia" w:ascii="仿宋_GB2312" w:eastAsia="仿宋_GB2312"/>
          <w:bCs/>
          <w:color w:val="auto"/>
          <w:sz w:val="32"/>
          <w:szCs w:val="32"/>
        </w:rPr>
        <w:t>构建城市骨架，</w:t>
      </w:r>
      <w:r>
        <w:rPr>
          <w:rFonts w:hint="eastAsia" w:ascii="仿宋_GB2312" w:eastAsia="仿宋_GB2312"/>
          <w:color w:val="auto"/>
          <w:sz w:val="32"/>
          <w:szCs w:val="32"/>
        </w:rPr>
        <w:t>建设</w:t>
      </w:r>
      <w:r>
        <w:rPr>
          <w:rFonts w:hint="eastAsia" w:ascii="仿宋_GB2312" w:hAnsi="仿宋_GB2312" w:eastAsia="仿宋_GB2312" w:cs="仿宋_GB2312"/>
          <w:bCs/>
          <w:color w:val="auto"/>
          <w:sz w:val="32"/>
          <w:szCs w:val="32"/>
        </w:rPr>
        <w:t>浑南大道快速路（长青街-东三环）、长青街快速路（现状长青快速路-三环长青收费站）、沈抚二号线（文溯街-三环西三街）、文溯街（浑南大道-二环快速路）、全运路（富民南街-长青街）、长安街（浑南大道-金帆路）、白塔河路（沈中大街-长青街）、</w:t>
      </w:r>
      <w:r>
        <w:rPr>
          <w:rFonts w:hint="eastAsia" w:ascii="仿宋_GB2312" w:hAnsi="仿宋_GB2312" w:eastAsia="仿宋_GB2312" w:cs="仿宋_GB2312"/>
          <w:color w:val="auto"/>
          <w:sz w:val="32"/>
          <w:szCs w:val="32"/>
        </w:rPr>
        <w:t>白塔河二路（富民街-文溯西一街）</w:t>
      </w:r>
      <w:r>
        <w:rPr>
          <w:rFonts w:hint="eastAsia" w:ascii="仿宋_GB2312" w:eastAsia="仿宋_GB2312"/>
          <w:color w:val="auto"/>
          <w:sz w:val="32"/>
          <w:szCs w:val="32"/>
        </w:rPr>
        <w:t>等，方便浑南区融入全市高快速系统；推进</w:t>
      </w:r>
      <w:r>
        <w:rPr>
          <w:rFonts w:hint="eastAsia" w:ascii="仿宋_GB2312" w:hAnsi="仿宋_GB2312" w:eastAsia="仿宋_GB2312" w:cs="仿宋_GB2312"/>
          <w:bCs/>
          <w:color w:val="auto"/>
          <w:sz w:val="32"/>
          <w:szCs w:val="32"/>
        </w:rPr>
        <w:t>金帆远航复合通道（胜利大街-长安街）、</w:t>
      </w:r>
      <w:r>
        <w:rPr>
          <w:rFonts w:hint="eastAsia" w:ascii="仿宋_GB2312" w:eastAsia="仿宋_GB2312"/>
          <w:color w:val="auto"/>
          <w:sz w:val="32"/>
          <w:szCs w:val="32"/>
        </w:rPr>
        <w:t>货运通道等主干路网系统建设，衔接全市高快速系统和路网主骨架，实现南北主城区一体化发展。围绕服务产业发展，结合浑南区“一核两极三组团五板块”空间发展格局，</w:t>
      </w:r>
      <w:r>
        <w:rPr>
          <w:rFonts w:hint="eastAsia" w:ascii="仿宋_GB2312" w:hAnsi="仿宋_GB2312" w:eastAsia="仿宋_GB2312" w:cs="仿宋_GB2312"/>
          <w:bCs/>
          <w:color w:val="auto"/>
          <w:sz w:val="32"/>
          <w:szCs w:val="32"/>
        </w:rPr>
        <w:t>规划打通马宋路至工农路通道，新增一条棋盘山地区与市区联系通道，建设北滨河路（四环路浑河北岸-抚顺）、伯官大街北延长线（沈通线-马宋路）</w:t>
      </w:r>
      <w:r>
        <w:rPr>
          <w:rFonts w:hint="eastAsia" w:ascii="仿宋_GB2312" w:eastAsia="仿宋_GB2312"/>
          <w:color w:val="auto"/>
          <w:sz w:val="32"/>
          <w:szCs w:val="32"/>
        </w:rPr>
        <w:t>等，</w:t>
      </w:r>
      <w:r>
        <w:rPr>
          <w:rFonts w:hint="eastAsia" w:ascii="仿宋_GB2312" w:hAnsi="仿宋_GB2312" w:eastAsia="仿宋_GB2312" w:cs="仿宋_GB2312"/>
          <w:bCs/>
          <w:color w:val="auto"/>
          <w:sz w:val="32"/>
          <w:szCs w:val="32"/>
        </w:rPr>
        <w:t>方便棋盘山地区对外交通联系，完善棋盘山地区内部中下马、双水、中旅地区、世博园东部地区路网系统建设；新建文溯桥、金紫桥两处跨浑河通道，方便沿线跨浑河交通联系；</w:t>
      </w:r>
      <w:r>
        <w:rPr>
          <w:rFonts w:hint="eastAsia" w:ascii="仿宋_GB2312" w:eastAsia="仿宋_GB2312"/>
          <w:color w:val="auto"/>
          <w:sz w:val="32"/>
          <w:szCs w:val="32"/>
        </w:rPr>
        <w:t>进一步完善组团和板块内配套路网系统建设，</w:t>
      </w:r>
      <w:r>
        <w:rPr>
          <w:rFonts w:hint="eastAsia" w:ascii="仿宋_GB2312" w:hAnsi="仿宋_GB2312" w:eastAsia="仿宋_GB2312" w:cs="仿宋_GB2312"/>
          <w:bCs/>
          <w:color w:val="auto"/>
          <w:sz w:val="32"/>
          <w:szCs w:val="32"/>
        </w:rPr>
        <w:t>打通断头路、瓶颈路，完善各居住区配套路网，</w:t>
      </w:r>
      <w:r>
        <w:rPr>
          <w:rFonts w:hint="eastAsia" w:ascii="仿宋_GB2312" w:eastAsia="仿宋_GB2312"/>
          <w:color w:val="auto"/>
          <w:sz w:val="32"/>
          <w:szCs w:val="32"/>
        </w:rPr>
        <w:t>强化重点区域之间交通联系，拉开城市发展空间。围绕推进多式联运，</w:t>
      </w:r>
      <w:r>
        <w:rPr>
          <w:rFonts w:hint="eastAsia" w:ascii="仿宋_GB2312" w:hAnsi="仿宋_GB2312" w:eastAsia="仿宋_GB2312" w:cs="仿宋_GB2312"/>
          <w:bCs/>
          <w:color w:val="auto"/>
          <w:sz w:val="32"/>
          <w:szCs w:val="32"/>
        </w:rPr>
        <w:t>完善南部</w:t>
      </w:r>
      <w:r>
        <w:rPr>
          <w:rFonts w:hint="eastAsia" w:ascii="仿宋_GB2312" w:eastAsia="仿宋_GB2312"/>
          <w:color w:val="auto"/>
          <w:sz w:val="32"/>
          <w:szCs w:val="32"/>
        </w:rPr>
        <w:t>道路交通基础设施支撑系统，重点建设智慧谷一二街、桃仙一街、沈本一街等道路，加强与桃仙机场、沈阳南站交通联系，推进临空经济区一体化发展。围绕枢纽建设，</w:t>
      </w:r>
      <w:r>
        <w:rPr>
          <w:rFonts w:hint="eastAsia" w:ascii="仿宋_GB2312" w:hAnsi="仿宋_GB2312" w:eastAsia="仿宋_GB2312" w:cs="仿宋_GB2312"/>
          <w:bCs/>
          <w:color w:val="auto"/>
          <w:sz w:val="32"/>
          <w:szCs w:val="32"/>
        </w:rPr>
        <w:t>建设世博园、中下马、白塔河路综合交通枢纽，完善奥体中心综合交通枢纽；新建沈丹高速与双深路互通立交，方便浑南进出三环高速，争取沈吉高速世博园站、沈丹高速桃仙机场站对沈阳牌照小汽车通行免费。到2</w:t>
      </w:r>
      <w:r>
        <w:rPr>
          <w:rFonts w:ascii="仿宋_GB2312" w:hAnsi="仿宋_GB2312" w:eastAsia="仿宋_GB2312" w:cs="仿宋_GB2312"/>
          <w:bCs/>
          <w:color w:val="auto"/>
          <w:sz w:val="32"/>
          <w:szCs w:val="32"/>
        </w:rPr>
        <w:t>025</w:t>
      </w:r>
      <w:r>
        <w:rPr>
          <w:rFonts w:hint="eastAsia" w:ascii="仿宋_GB2312" w:hAnsi="仿宋_GB2312" w:eastAsia="仿宋_GB2312" w:cs="仿宋_GB2312"/>
          <w:bCs/>
          <w:color w:val="auto"/>
          <w:sz w:val="32"/>
          <w:szCs w:val="32"/>
        </w:rPr>
        <w:t>年，完成道路建设</w:t>
      </w:r>
      <w:r>
        <w:rPr>
          <w:rFonts w:ascii="仿宋_GB2312" w:hAnsi="仿宋_GB2312" w:eastAsia="仿宋_GB2312" w:cs="仿宋_GB2312"/>
          <w:bCs/>
          <w:color w:val="auto"/>
          <w:sz w:val="32"/>
          <w:szCs w:val="32"/>
        </w:rPr>
        <w:t>240</w:t>
      </w:r>
      <w:r>
        <w:rPr>
          <w:rFonts w:hint="eastAsia" w:ascii="仿宋_GB2312" w:hAnsi="仿宋_GB2312" w:eastAsia="仿宋_GB2312" w:cs="仿宋_GB2312"/>
          <w:bCs/>
          <w:color w:val="auto"/>
          <w:sz w:val="32"/>
          <w:szCs w:val="32"/>
        </w:rPr>
        <w:t>公里。</w:t>
      </w:r>
      <w:r>
        <w:rPr>
          <w:rFonts w:hint="eastAsia" w:ascii="仿宋_GB2312" w:hAnsi="仿宋_GB2312" w:eastAsia="仿宋_GB2312" w:cs="仿宋_GB2312"/>
          <w:b/>
          <w:color w:val="auto"/>
          <w:sz w:val="32"/>
          <w:szCs w:val="32"/>
        </w:rPr>
        <w:t>公共交通方面</w:t>
      </w:r>
      <w:r>
        <w:rPr>
          <w:rFonts w:hint="eastAsia" w:ascii="仿宋_GB2312" w:hAnsi="仿宋_GB2312" w:eastAsia="仿宋_GB2312" w:cs="仿宋_GB2312"/>
          <w:bCs/>
          <w:color w:val="auto"/>
          <w:sz w:val="32"/>
          <w:szCs w:val="32"/>
        </w:rPr>
        <w:t>。结合地铁站点、重点建设区域以及王滨街道等远郊街道公交服务薄弱地区，优化、调整、新增常规公交线路，扩大公交线网覆盖范围，提高公交分担率，实现公交站点500米半径全覆盖。</w:t>
      </w:r>
      <w:r>
        <w:rPr>
          <w:rFonts w:hint="eastAsia" w:ascii="仿宋_GB2312" w:hAnsi="仿宋_GB2312" w:eastAsia="仿宋_GB2312" w:cs="仿宋_GB2312"/>
          <w:b/>
          <w:color w:val="auto"/>
          <w:sz w:val="32"/>
          <w:szCs w:val="32"/>
        </w:rPr>
        <w:t>慢道系统方面</w:t>
      </w:r>
      <w:r>
        <w:rPr>
          <w:rFonts w:hint="eastAsia" w:ascii="仿宋_GB2312" w:hAnsi="仿宋_GB2312" w:eastAsia="仿宋_GB2312" w:cs="仿宋_GB2312"/>
          <w:bCs/>
          <w:color w:val="auto"/>
          <w:sz w:val="32"/>
          <w:szCs w:val="32"/>
        </w:rPr>
        <w:t>。完善浑南“百里水环”慢道系统，建设</w:t>
      </w:r>
      <w:r>
        <w:rPr>
          <w:rFonts w:hint="eastAsia" w:ascii="仿宋_GB2312" w:hAnsi="仿宋_GB2312" w:eastAsia="仿宋_GB2312" w:cs="仿宋_GB2312"/>
          <w:color w:val="auto"/>
          <w:sz w:val="32"/>
          <w:szCs w:val="32"/>
        </w:rPr>
        <w:t>棋盘山、森林公园、浑河、蒲河、满堂河等度假区网络化慢道</w:t>
      </w:r>
      <w:r>
        <w:rPr>
          <w:rFonts w:hint="eastAsia" w:ascii="仿宋_GB2312" w:hAnsi="仿宋_GB2312" w:eastAsia="仿宋_GB2312" w:cs="仿宋_GB2312"/>
          <w:bCs/>
          <w:color w:val="auto"/>
          <w:sz w:val="32"/>
          <w:szCs w:val="32"/>
        </w:rPr>
        <w:t>系统，增设行人立体过街设施，构建“步行友好示范区”。</w:t>
      </w:r>
      <w:r>
        <w:rPr>
          <w:rFonts w:hint="eastAsia" w:ascii="仿宋_GB2312" w:hAnsi="仿宋_GB2312" w:eastAsia="仿宋_GB2312" w:cs="仿宋_GB2312"/>
          <w:b/>
          <w:color w:val="auto"/>
          <w:sz w:val="32"/>
          <w:szCs w:val="32"/>
        </w:rPr>
        <w:t>停车场方面</w:t>
      </w:r>
      <w:r>
        <w:rPr>
          <w:rFonts w:hint="eastAsia" w:ascii="仿宋_GB2312" w:hAnsi="仿宋_GB2312" w:eastAsia="仿宋_GB2312" w:cs="仿宋_GB2312"/>
          <w:bCs/>
          <w:color w:val="auto"/>
          <w:sz w:val="32"/>
          <w:szCs w:val="32"/>
        </w:rPr>
        <w:t>。新建路外公共停车场和“P+R”换乘停车场，增加停车位供给。</w:t>
      </w:r>
      <w:r>
        <w:rPr>
          <w:rFonts w:hint="eastAsia" w:ascii="仿宋_GB2312" w:hAnsi="仿宋_GB2312" w:eastAsia="仿宋_GB2312" w:cs="仿宋_GB2312"/>
          <w:b/>
          <w:color w:val="auto"/>
          <w:sz w:val="32"/>
          <w:szCs w:val="32"/>
        </w:rPr>
        <w:t>智慧绿色交通方面</w:t>
      </w:r>
      <w:r>
        <w:rPr>
          <w:rFonts w:hint="eastAsia" w:ascii="仿宋_GB2312" w:hAnsi="仿宋_GB2312" w:eastAsia="仿宋_GB2312" w:cs="仿宋_GB2312"/>
          <w:bCs/>
          <w:color w:val="auto"/>
          <w:sz w:val="32"/>
          <w:szCs w:val="32"/>
        </w:rPr>
        <w:t>。大力推进汽车充电桩建设，支撑新能源汽车推广应用。大力推进智慧交通系统建设，启动自动驾驶道路试点。</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完善市政配套设施。</w:t>
      </w:r>
      <w:r>
        <w:rPr>
          <w:rFonts w:hint="eastAsia" w:ascii="仿宋_GB2312" w:hAnsi="仿宋_GB2312" w:eastAsia="仿宋_GB2312" w:cs="仿宋_GB2312"/>
          <w:color w:val="auto"/>
          <w:sz w:val="32"/>
          <w:szCs w:val="32"/>
        </w:rPr>
        <w:t>实施市政设施提升改造攻坚战，加强供电、供水、供气、供暖、管道、排水排污等设施建设。</w:t>
      </w:r>
      <w:r>
        <w:rPr>
          <w:rFonts w:hint="eastAsia" w:ascii="仿宋_GB2312" w:hAnsi="仿宋_GB2312" w:eastAsia="仿宋_GB2312" w:cs="仿宋_GB2312"/>
          <w:b/>
          <w:bCs/>
          <w:color w:val="auto"/>
          <w:sz w:val="32"/>
          <w:szCs w:val="32"/>
        </w:rPr>
        <w:t>供电方面</w:t>
      </w:r>
      <w:r>
        <w:rPr>
          <w:rFonts w:hint="eastAsia" w:ascii="仿宋_GB2312" w:hAnsi="仿宋_GB2312" w:eastAsia="仿宋_GB2312" w:cs="仿宋_GB2312"/>
          <w:color w:val="auto"/>
          <w:sz w:val="32"/>
          <w:szCs w:val="32"/>
        </w:rPr>
        <w:t>。构建充足稳定的供电系统，加强双回路电力保障，建设220kV远航、沈抚和全运变电所，建设</w:t>
      </w:r>
      <w:r>
        <w:rPr>
          <w:rFonts w:ascii="仿宋_GB2312" w:hAnsi="仿宋_GB2312" w:eastAsia="仿宋_GB2312" w:cs="仿宋_GB2312"/>
          <w:color w:val="auto"/>
          <w:sz w:val="32"/>
          <w:szCs w:val="32"/>
        </w:rPr>
        <w:t>11</w:t>
      </w:r>
      <w:r>
        <w:rPr>
          <w:rFonts w:hint="eastAsia" w:ascii="仿宋_GB2312" w:hAnsi="仿宋_GB2312" w:eastAsia="仿宋_GB2312" w:cs="仿宋_GB2312"/>
          <w:color w:val="auto"/>
          <w:sz w:val="32"/>
          <w:szCs w:val="32"/>
        </w:rPr>
        <w:t>座66kV变电所。</w:t>
      </w:r>
      <w:r>
        <w:rPr>
          <w:rFonts w:hint="eastAsia" w:ascii="仿宋_GB2312" w:hAnsi="仿宋_GB2312" w:eastAsia="仿宋_GB2312" w:cs="仿宋_GB2312"/>
          <w:b/>
          <w:bCs/>
          <w:color w:val="auto"/>
          <w:sz w:val="32"/>
          <w:szCs w:val="32"/>
        </w:rPr>
        <w:t>供水方面</w:t>
      </w:r>
      <w:r>
        <w:rPr>
          <w:rFonts w:hint="eastAsia" w:ascii="仿宋_GB2312" w:hAnsi="仿宋_GB2312" w:eastAsia="仿宋_GB2312" w:cs="仿宋_GB2312"/>
          <w:color w:val="auto"/>
          <w:sz w:val="32"/>
          <w:szCs w:val="32"/>
        </w:rPr>
        <w:t>。规划建设李相、新城2号、双马等3座配水厂，总供水能力达到65.7万吨/日。在核心区、棋盘山、柏叶、李相、祝家等地区新建供水主干管网195公里，逐步完成58个小区的自备井置换工程。</w:t>
      </w:r>
      <w:r>
        <w:rPr>
          <w:rFonts w:hint="eastAsia" w:ascii="仿宋_GB2312" w:hAnsi="仿宋_GB2312" w:eastAsia="仿宋_GB2312" w:cs="仿宋_GB2312"/>
          <w:b/>
          <w:bCs/>
          <w:color w:val="auto"/>
          <w:sz w:val="32"/>
          <w:szCs w:val="32"/>
        </w:rPr>
        <w:t>供气方面</w:t>
      </w:r>
      <w:r>
        <w:rPr>
          <w:rFonts w:hint="eastAsia" w:ascii="仿宋_GB2312" w:hAnsi="仿宋_GB2312" w:eastAsia="仿宋_GB2312" w:cs="仿宋_GB2312"/>
          <w:color w:val="auto"/>
          <w:sz w:val="32"/>
          <w:szCs w:val="32"/>
        </w:rPr>
        <w:t>。在棋盘山、柏叶、东湖地区规划新建4座高中压调压站，逐步完善三环内金阳大街以西、祝科街以东区域及棋盘山、柏叶、李相等区域燃气管网系统，规划建设燃气管道220公里，为区域用户及地块开发建设配套。</w:t>
      </w:r>
      <w:r>
        <w:rPr>
          <w:rFonts w:hint="eastAsia" w:ascii="仿宋_GB2312" w:hAnsi="仿宋_GB2312" w:eastAsia="仿宋_GB2312" w:cs="仿宋_GB2312"/>
          <w:b/>
          <w:bCs/>
          <w:color w:val="auto"/>
          <w:sz w:val="32"/>
          <w:szCs w:val="32"/>
        </w:rPr>
        <w:t>供暖方面</w:t>
      </w:r>
      <w:r>
        <w:rPr>
          <w:rFonts w:hint="eastAsia" w:ascii="仿宋_GB2312" w:hAnsi="仿宋_GB2312" w:eastAsia="仿宋_GB2312" w:cs="仿宋_GB2312"/>
          <w:color w:val="auto"/>
          <w:sz w:val="32"/>
          <w:szCs w:val="32"/>
        </w:rPr>
        <w:t>。围绕重点落地项目和住宅小区配套供暖设施，保障生产生活需要。</w:t>
      </w:r>
      <w:r>
        <w:rPr>
          <w:rFonts w:hint="eastAsia" w:ascii="仿宋_GB2312" w:hAnsi="仿宋_GB2312" w:eastAsia="仿宋_GB2312" w:cs="仿宋_GB2312"/>
          <w:b/>
          <w:bCs/>
          <w:color w:val="auto"/>
          <w:sz w:val="32"/>
          <w:szCs w:val="32"/>
        </w:rPr>
        <w:t>管道建设方面</w:t>
      </w:r>
      <w:r>
        <w:rPr>
          <w:rFonts w:hint="eastAsia" w:ascii="仿宋_GB2312" w:hAnsi="仿宋_GB2312" w:eastAsia="仿宋_GB2312" w:cs="仿宋_GB2312"/>
          <w:color w:val="auto"/>
          <w:sz w:val="32"/>
          <w:szCs w:val="32"/>
        </w:rPr>
        <w:t>。加快棋盘山旅游度假区铺设智慧景区基础管道50公里。</w:t>
      </w:r>
      <w:r>
        <w:rPr>
          <w:rFonts w:hint="eastAsia" w:ascii="仿宋_GB2312" w:hAnsi="仿宋_GB2312" w:eastAsia="仿宋_GB2312" w:cs="仿宋_GB2312"/>
          <w:b/>
          <w:bCs/>
          <w:color w:val="auto"/>
          <w:sz w:val="32"/>
          <w:szCs w:val="32"/>
        </w:rPr>
        <w:t>排水排污方面</w:t>
      </w:r>
      <w:r>
        <w:rPr>
          <w:rFonts w:hint="eastAsia" w:ascii="仿宋_GB2312" w:hAnsi="仿宋_GB2312" w:eastAsia="仿宋_GB2312" w:cs="仿宋_GB2312"/>
          <w:color w:val="auto"/>
          <w:sz w:val="32"/>
          <w:szCs w:val="32"/>
        </w:rPr>
        <w:t>。完善安全可靠的污水处理系统，新建双马、柏叶等4座污水处理厂，新建新园污水泵站，完善森林公园景区污水站，新建串联英达、高坎及国王湖区域小型污水站的截流管线，保障污水“零”排放。建设桃仙、杨官河污水厂再生水管线，全面提升再生水品质。完善城市排水防涝设施，新建王士屯、文溯等</w:t>
      </w:r>
      <w:r>
        <w:rPr>
          <w:rFonts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rPr>
        <w:t>座雨水泵站，扩建数码园雨水泵站。到2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年，完成</w:t>
      </w:r>
      <w:r>
        <w:rPr>
          <w:rFonts w:hint="eastAsia" w:ascii="仿宋_GB2312" w:hAnsi="仿宋_GB2312" w:eastAsia="仿宋_GB2312" w:cs="仿宋_GB2312"/>
          <w:bCs/>
          <w:color w:val="auto"/>
          <w:sz w:val="32"/>
          <w:szCs w:val="32"/>
        </w:rPr>
        <w:t>排水管线</w:t>
      </w:r>
      <w:r>
        <w:rPr>
          <w:rFonts w:hint="eastAsia" w:ascii="仿宋_GB2312" w:hAnsi="仿宋_GB2312" w:eastAsia="仿宋_GB2312" w:cs="仿宋_GB2312"/>
          <w:color w:val="auto"/>
          <w:sz w:val="32"/>
          <w:szCs w:val="32"/>
        </w:rPr>
        <w:t>建设</w:t>
      </w:r>
      <w:r>
        <w:rPr>
          <w:rFonts w:hint="eastAsia" w:ascii="仿宋_GB2312" w:hAnsi="仿宋_GB2312" w:eastAsia="仿宋_GB2312" w:cs="仿宋_GB2312"/>
          <w:bCs/>
          <w:color w:val="auto"/>
          <w:sz w:val="32"/>
          <w:szCs w:val="32"/>
        </w:rPr>
        <w:t>362公里。</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优化城市景观建设。</w:t>
      </w:r>
      <w:r>
        <w:rPr>
          <w:rFonts w:hint="eastAsia" w:ascii="仿宋_GB2312" w:hAnsi="仿宋_GB2312" w:eastAsia="仿宋_GB2312" w:cs="仿宋_GB2312"/>
          <w:color w:val="auto"/>
          <w:sz w:val="32"/>
          <w:szCs w:val="32"/>
        </w:rPr>
        <w:t>重点实施满堂河、蒲河、泗水河、张官河、杨官河、大沙河等河流生态补水，加强两侧景观生态建设，营造北方特色湿地生态景观。重点提升改造棋盘山、森林公园景区内生态景观环境，完善人性化旅游服务设施。启动石台子山城等历史人文景点建设，填补旅游度假区文化产业空白。实施增绿工程和增花添彩工程，完善市政道路绿化配套设施建设，积极推进口袋公园、小区观园、街头花园、绿地、临时绿化等增绿项目，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年绿地面积达到3</w:t>
      </w:r>
      <w:r>
        <w:rPr>
          <w:rFonts w:ascii="仿宋_GB2312" w:hAnsi="仿宋_GB2312" w:eastAsia="仿宋_GB2312" w:cs="仿宋_GB2312"/>
          <w:color w:val="auto"/>
          <w:sz w:val="32"/>
          <w:szCs w:val="32"/>
        </w:rPr>
        <w:t>554</w:t>
      </w:r>
      <w:r>
        <w:rPr>
          <w:rFonts w:hint="eastAsia" w:ascii="仿宋_GB2312" w:hAnsi="仿宋_GB2312" w:eastAsia="仿宋_GB2312" w:cs="仿宋_GB2312"/>
          <w:color w:val="auto"/>
          <w:sz w:val="32"/>
          <w:szCs w:val="32"/>
        </w:rPr>
        <w:t>公顷。全面推动海绵城市建设，增加城市透水性表面，针对红线宽度40米以上有条件道路，路内绿化带逐步实现下凹绿地、植草沟等海绵工程生态改造，提高城市主干路的雨水渗蓄滞功能。增加慢道系统人文景观和多种功能性娱乐健身设施，整合联通形成80公里东部旅游大道，与支线道路组成全长240公里旅游路网系统。吸纳社会资金沿沈李线实施旱改水5000亩，建成城市湿地公园。</w:t>
      </w:r>
    </w:p>
    <w:p>
      <w:pPr>
        <w:pStyle w:val="2"/>
        <w:spacing w:line="290" w:lineRule="exact"/>
        <w:ind w:left="1157"/>
        <w:rPr>
          <w:color w:val="auto"/>
        </w:rPr>
      </w:pPr>
    </w:p>
    <w:bookmarkEnd w:id="131"/>
    <w:p>
      <w:pPr>
        <w:pStyle w:val="31"/>
        <w:numPr>
          <w:ilvl w:val="0"/>
          <w:numId w:val="8"/>
        </w:numPr>
        <w:spacing w:line="579" w:lineRule="exact"/>
        <w:ind w:firstLineChars="0"/>
        <w:jc w:val="center"/>
        <w:outlineLvl w:val="1"/>
        <w:rPr>
          <w:rFonts w:ascii="黑体" w:hAnsi="黑体" w:eastAsia="黑体" w:cs="黑体"/>
          <w:bCs/>
          <w:color w:val="auto"/>
          <w:sz w:val="32"/>
          <w:szCs w:val="32"/>
        </w:rPr>
      </w:pPr>
      <w:bookmarkStart w:id="132" w:name="_Toc59116938"/>
      <w:r>
        <w:rPr>
          <w:rFonts w:hint="eastAsia" w:ascii="黑体" w:hAnsi="黑体" w:eastAsia="黑体" w:cs="黑体"/>
          <w:bCs/>
          <w:color w:val="auto"/>
          <w:sz w:val="32"/>
          <w:szCs w:val="32"/>
        </w:rPr>
        <w:t>加强城市精细化管理</w:t>
      </w:r>
      <w:bookmarkEnd w:id="132"/>
    </w:p>
    <w:p>
      <w:pPr>
        <w:pStyle w:val="2"/>
        <w:spacing w:line="290" w:lineRule="exact"/>
        <w:ind w:left="1157"/>
        <w:rPr>
          <w:color w:val="auto"/>
        </w:rPr>
      </w:pP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坚持以为人本，加强智慧城市建设，推进精细化管理，提升城市管理效能，整洁市容环境，规范城市运行，推进城市管理科学化、精细化、智慧化水平大幅提高。</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加强智慧城市建设。</w:t>
      </w:r>
      <w:r>
        <w:rPr>
          <w:rFonts w:hint="eastAsia" w:ascii="仿宋_GB2312" w:hAnsi="仿宋_GB2312" w:eastAsia="仿宋_GB2312" w:cs="仿宋_GB2312"/>
          <w:color w:val="auto"/>
          <w:sz w:val="32"/>
          <w:szCs w:val="32"/>
        </w:rPr>
        <w:t>运用物联网、云计算、大数据、空间地理信息集成等新一代信息技术，建设集感知、分析、服务、监察等功能于一体的“城市大脑”，对公共资源进行智能化调配，整体提升城市治理能力和治理水平。前瞻布局5G移动宽带等新型信息网络，打造高速泛在信息网络通道，建设成为5G核心引领区和应用示范区。加强水、电、气、热、建筑、桥梁、道路、地下管网、灯杆等城市设施的智能化感知和监控管理水平，推动城市物联网、智慧路灯、智慧站牌等新型承载网络、新型智能设施和集成载体的统筹部署和共建共享。加强公安、司法、信访、城管、生态、水务、自然资源、规划、交通、应急、公共安全、供电、供水、供气、消防、教育、卫健、社会保障、企业服务、市场监管等领域智慧应用体系建设。加强棋盘山旅游度假区各景区智慧化建设，实施精细化旅游服务管理，打造科学化、智慧化、人性化景区新模式。到2025 年，“城市大脑”基本建成，城市基础数据100%实现数字化、智能化。</w:t>
      </w:r>
    </w:p>
    <w:p>
      <w:pPr>
        <w:spacing w:line="579" w:lineRule="exact"/>
        <w:ind w:firstLine="660" w:firstLineChars="200"/>
        <w:rPr>
          <w:rFonts w:ascii="宋体" w:hAnsi="宋体" w:cs="宋体"/>
          <w:b/>
          <w:color w:val="auto"/>
          <w:sz w:val="44"/>
          <w:szCs w:val="44"/>
        </w:rPr>
      </w:pPr>
      <w:r>
        <w:rPr>
          <w:rFonts w:hint="eastAsia" w:ascii="仿宋_GB2312" w:hAnsi="仿宋_GB2312" w:eastAsia="仿宋_GB2312" w:cs="仿宋_GB2312"/>
          <w:b/>
          <w:color w:val="auto"/>
          <w:sz w:val="32"/>
          <w:szCs w:val="32"/>
        </w:rPr>
        <w:t>加强城市精细化管理。</w:t>
      </w:r>
      <w:r>
        <w:rPr>
          <w:rFonts w:hint="eastAsia" w:ascii="仿宋_GB2312" w:hAnsi="仿宋_GB2312" w:eastAsia="仿宋_GB2312" w:cs="仿宋_GB2312"/>
          <w:color w:val="auto"/>
          <w:sz w:val="32"/>
          <w:szCs w:val="32"/>
        </w:rPr>
        <w:t>以提升市容环境类、宣传广告类、施工管理类、突发事件类、街面秩序类等城市事件处置能力为核心，优化数字化城管指挥平台功能，构建监督网格机制，提升处置效率，优化形成“政府主导、统一调度、部门联动、高效处置”的数字城管工作体系。实施智慧警务工程，持续开展“平安城市”视频监控体系建设，推行“大数据+移动警务”和交通智慧指挥体系建设，以大数据驱动警务创新，全力打造警务智慧管理新模式。推进城市网格化管理，提升城市综合管理效能。提升老旧小区、背街小巷等市容管理水平，持续开展城乡环境卫生专项整治。深入巩固全国文明城市、国家卫生城市、食品安全示范城市等成果。</w:t>
      </w:r>
    </w:p>
    <w:p>
      <w:pPr>
        <w:pStyle w:val="2"/>
        <w:spacing w:line="579" w:lineRule="exact"/>
        <w:rPr>
          <w:color w:val="auto"/>
        </w:rPr>
      </w:pPr>
    </w:p>
    <w:p>
      <w:pPr>
        <w:pStyle w:val="2"/>
        <w:spacing w:line="579" w:lineRule="exact"/>
        <w:rPr>
          <w:color w:val="auto"/>
        </w:rPr>
      </w:pPr>
    </w:p>
    <w:p>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pPr>
        <w:pStyle w:val="31"/>
        <w:keepNext/>
        <w:spacing w:line="290" w:lineRule="exact"/>
        <w:ind w:firstLine="0" w:firstLineChars="0"/>
        <w:outlineLvl w:val="0"/>
        <w:rPr>
          <w:rFonts w:ascii="宋体" w:hAnsi="宋体" w:cs="宋体"/>
          <w:b/>
          <w:color w:val="auto"/>
          <w:sz w:val="44"/>
          <w:szCs w:val="44"/>
        </w:rPr>
      </w:pPr>
      <w:bookmarkStart w:id="133" w:name="_Toc59116939"/>
    </w:p>
    <w:p>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提升社会民生保障能力</w:t>
      </w:r>
      <w:bookmarkEnd w:id="133"/>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bookmarkStart w:id="134" w:name="_Toc6172"/>
      <w:r>
        <w:rPr>
          <w:rFonts w:hint="eastAsia" w:ascii="仿宋_GB2312" w:hAnsi="仿宋_GB2312" w:eastAsia="仿宋_GB2312" w:cs="仿宋_GB2312"/>
          <w:color w:val="auto"/>
          <w:sz w:val="32"/>
          <w:szCs w:val="32"/>
        </w:rPr>
        <w:t>以改善人民生活、增进人民福祉为出发点，结合区域人口发展趋势，尽力而为、量力而行，制定公共服务供给计划，坚持社会共建共治共享理念，健全文化、体育、教育、医疗、养老、社会保障等基本公共服务体系，全面提升人民群众的获得感、幸福感、安全感。</w:t>
      </w:r>
    </w:p>
    <w:p>
      <w:pPr>
        <w:pStyle w:val="31"/>
        <w:keepNext/>
        <w:spacing w:line="290" w:lineRule="exact"/>
        <w:ind w:firstLine="0" w:firstLineChars="0"/>
        <w:outlineLvl w:val="0"/>
        <w:rPr>
          <w:color w:val="auto"/>
        </w:rPr>
      </w:pPr>
    </w:p>
    <w:p>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35" w:name="_Toc59116940"/>
      <w:r>
        <w:rPr>
          <w:rFonts w:hint="eastAsia" w:ascii="黑体" w:hAnsi="黑体" w:eastAsia="黑体" w:cs="黑体"/>
          <w:bCs/>
          <w:color w:val="auto"/>
          <w:sz w:val="32"/>
          <w:szCs w:val="32"/>
        </w:rPr>
        <w:t>推进文体事业繁荣发展</w:t>
      </w:r>
      <w:bookmarkEnd w:id="135"/>
    </w:p>
    <w:p>
      <w:pPr>
        <w:pStyle w:val="31"/>
        <w:keepNext/>
        <w:spacing w:line="290" w:lineRule="exact"/>
        <w:ind w:firstLine="0" w:firstLineChars="0"/>
        <w:outlineLvl w:val="0"/>
        <w:rPr>
          <w:color w:val="auto"/>
        </w:rPr>
      </w:pPr>
    </w:p>
    <w:bookmarkEnd w:id="134"/>
    <w:p>
      <w:pPr>
        <w:spacing w:line="579" w:lineRule="exact"/>
        <w:ind w:firstLine="660" w:firstLineChars="200"/>
        <w:rPr>
          <w:rFonts w:ascii="仿宋_GB2312" w:hAnsi="仿宋_GB2312" w:eastAsia="仿宋_GB2312" w:cs="仿宋_GB2312"/>
          <w:color w:val="auto"/>
          <w:sz w:val="32"/>
          <w:szCs w:val="32"/>
        </w:rPr>
      </w:pPr>
      <w:bookmarkStart w:id="136" w:name="_Toc25856"/>
      <w:bookmarkStart w:id="137" w:name="_Toc1747"/>
      <w:r>
        <w:rPr>
          <w:rFonts w:hint="eastAsia" w:ascii="仿宋_GB2312" w:hAnsi="仿宋_GB2312" w:eastAsia="仿宋_GB2312" w:cs="仿宋_GB2312"/>
          <w:color w:val="auto"/>
          <w:sz w:val="32"/>
          <w:szCs w:val="32"/>
        </w:rPr>
        <w:t>以社会主义核心价值观为引领，以“打造让人年轻十年的地方”为目标，构建“高新文化+休闲文化+潮生活文化”新城市文化体系，建设文体休闲胜地，打造1</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分钟文体生活圈，建设“新浑南、新文化、新生活”文化品牌，着力建设文化强区。</w:t>
      </w: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构建新城市文化体系。</w:t>
      </w:r>
      <w:r>
        <w:rPr>
          <w:rFonts w:hint="eastAsia" w:ascii="仿宋_GB2312" w:hAnsi="仿宋_GB2312" w:eastAsia="仿宋_GB2312" w:cs="仿宋_GB2312"/>
          <w:bCs/>
          <w:color w:val="auto"/>
          <w:sz w:val="32"/>
          <w:szCs w:val="32"/>
        </w:rPr>
        <w:t>立足高新产业基础构建高新文化，围绕文体和旅游资源构建休闲文化，吸引高知人群、商务人群、青年人群构建潮生活文化，形成高新文化、休闲文化、潮生活文化融合发展新城市文化体系。建设城市系列、科技体验中心、科技旅游、工业旅游、网红打卡地、地质公园、景观生态绿地等新城市文化空间，建设智能泛在的生活场景，作为新城市文化重要载体。组织科技节、音乐节、体育赛事、人才节、旅游节、低碳消费节等文化活动，形成新生活方式。</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建设文体休闲胜地。</w:t>
      </w:r>
      <w:r>
        <w:rPr>
          <w:rFonts w:hint="eastAsia" w:ascii="仿宋_GB2312" w:hAnsi="仿宋_GB2312" w:eastAsia="仿宋_GB2312" w:cs="仿宋_GB2312"/>
          <w:bCs/>
          <w:color w:val="auto"/>
          <w:sz w:val="32"/>
          <w:szCs w:val="32"/>
        </w:rPr>
        <w:t>依托高新区打造高新文化胜地，以棋盘山地区、东南山区为核心打造休闲文化胜地，以浑南沿岸、中央公园、莫子山为核心打造潮生活文化胜地。</w:t>
      </w:r>
      <w:r>
        <w:rPr>
          <w:rFonts w:hint="eastAsia" w:ascii="仿宋_GB2312" w:hAnsi="仿宋_GB2312" w:eastAsia="仿宋_GB2312" w:cs="仿宋_GB2312"/>
          <w:b/>
          <w:color w:val="auto"/>
          <w:sz w:val="32"/>
          <w:szCs w:val="32"/>
        </w:rPr>
        <w:t>打造高新文化胜地</w:t>
      </w:r>
      <w:r>
        <w:rPr>
          <w:rFonts w:hint="eastAsia" w:ascii="仿宋_GB2312" w:hAnsi="仿宋_GB2312" w:eastAsia="仿宋_GB2312" w:cs="仿宋_GB2312"/>
          <w:bCs/>
          <w:color w:val="auto"/>
          <w:sz w:val="32"/>
          <w:szCs w:val="32"/>
        </w:rPr>
        <w:t>。推动科技与文化融合，依托大科学装置、新松机器人、东软集团等发展工业旅游，依托辽宁科技馆、陨石山地质公园等科技观光，常态化举办科技文化节。到2025年建成10个以上“辽宁省文化和科技融合示范基地”。</w:t>
      </w:r>
      <w:r>
        <w:rPr>
          <w:rFonts w:hint="eastAsia" w:ascii="仿宋_GB2312" w:hAnsi="仿宋_GB2312" w:eastAsia="仿宋_GB2312" w:cs="仿宋_GB2312"/>
          <w:b/>
          <w:color w:val="auto"/>
          <w:sz w:val="32"/>
          <w:szCs w:val="32"/>
        </w:rPr>
        <w:t>打造休闲文化胜地</w:t>
      </w:r>
      <w:r>
        <w:rPr>
          <w:rFonts w:hint="eastAsia" w:ascii="仿宋_GB2312" w:hAnsi="仿宋_GB2312" w:eastAsia="仿宋_GB2312" w:cs="仿宋_GB2312"/>
          <w:bCs/>
          <w:color w:val="auto"/>
          <w:sz w:val="32"/>
          <w:szCs w:val="32"/>
        </w:rPr>
        <w:t>。建设棋盘山国家级旅游度假区，打造大棋盘山生态格局，推进重点景区旅游产品升级和“网红打卡地”建设，整合全区旅游资源，开发精品旅游线路，串联棋盘山冰雪大世界、东北亚滑雪场等项目引爆冰雪IP、做大冰雪经济，引进龙头性、引领性重大项目，建设生态旅游休闲胜地。</w:t>
      </w:r>
      <w:r>
        <w:rPr>
          <w:rFonts w:hint="eastAsia" w:ascii="仿宋_GB2312" w:hAnsi="仿宋_GB2312" w:eastAsia="仿宋_GB2312" w:cs="仿宋_GB2312"/>
          <w:color w:val="auto"/>
          <w:sz w:val="32"/>
          <w:szCs w:val="32"/>
        </w:rPr>
        <w:t>发展东部区域乡村旅游，建设精品民宿，布局极限运动、野外探索等户外体育休闲项目，建设马术赛事中心和自行车综合赛道，发展射击、射箭训练竞赛和群众性射击、射箭休闲活动。</w:t>
      </w:r>
      <w:r>
        <w:rPr>
          <w:rFonts w:hint="eastAsia" w:ascii="仿宋_GB2312" w:hAnsi="仿宋_GB2312" w:eastAsia="仿宋_GB2312" w:cs="仿宋_GB2312"/>
          <w:b/>
          <w:bCs/>
          <w:color w:val="auto"/>
          <w:sz w:val="32"/>
          <w:szCs w:val="32"/>
        </w:rPr>
        <w:t>打造潮生活文化胜地</w:t>
      </w:r>
      <w:r>
        <w:rPr>
          <w:rFonts w:hint="eastAsia" w:ascii="仿宋_GB2312" w:hAnsi="仿宋_GB2312" w:eastAsia="仿宋_GB2312" w:cs="仿宋_GB2312"/>
          <w:color w:val="auto"/>
          <w:sz w:val="32"/>
          <w:szCs w:val="32"/>
        </w:rPr>
        <w:t>。依托浑河母亲河的自然资源和李铁足球公园、篮球小镇、奥体中心、省体育馆，打造浑河体育健身休闲带，突出全民健身主题，重点发展水上、冰上、足篮球、跑酷、骑行、体育竞赛表演等运动项目，</w:t>
      </w:r>
      <w:r>
        <w:rPr>
          <w:rFonts w:hint="eastAsia" w:ascii="仿宋_GB2312" w:hAnsi="仿宋_GB2312" w:eastAsia="仿宋_GB2312" w:cs="仿宋_GB2312"/>
          <w:bCs/>
          <w:color w:val="auto"/>
          <w:sz w:val="32"/>
          <w:szCs w:val="32"/>
        </w:rPr>
        <w:t>建设辽篮黄金主场，引入赛艇、橄榄球等高端赛事。</w:t>
      </w:r>
      <w:r>
        <w:rPr>
          <w:rFonts w:hint="eastAsia" w:ascii="仿宋_GB2312" w:hAnsi="仿宋_GB2312" w:eastAsia="仿宋_GB2312" w:cs="仿宋_GB2312"/>
          <w:color w:val="auto"/>
          <w:sz w:val="32"/>
          <w:szCs w:val="32"/>
        </w:rPr>
        <w:t>提质升级中央公园，依托省博物馆、科技馆、图书馆、档案馆等场馆提升文化服务功能，增加绿植和人造山地，引入滑板、轮滑、橄榄球、街头足篮球、自行车竞速、攀岩、跑酷、街舞等文旅体项目，做精做优“浑南之夏”“炫彩喷泉”等精品优势项目，建设环中央公园灯光炫彩跑道。</w:t>
      </w:r>
      <w:bookmarkEnd w:id="136"/>
      <w:r>
        <w:rPr>
          <w:rFonts w:hint="eastAsia" w:ascii="仿宋_GB2312" w:hAnsi="仿宋_GB2312" w:eastAsia="仿宋_GB2312" w:cs="仿宋_GB2312"/>
          <w:color w:val="auto"/>
          <w:sz w:val="32"/>
          <w:szCs w:val="32"/>
        </w:rPr>
        <w:t>依托莫子山建设大师小镇，建立大师工作室、大师艺术馆，集聚雕像家李象群等艺术名人、盛京满绣杨晓桐等非遗传承人、影视剧作家等文化创意名人；规划青年运动公园，建设智慧篮球场、智慧足球场等设施。</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打造1</w:t>
      </w:r>
      <w:r>
        <w:rPr>
          <w:rFonts w:ascii="仿宋_GB2312" w:hAnsi="仿宋_GB2312" w:eastAsia="仿宋_GB2312" w:cs="仿宋_GB2312"/>
          <w:b/>
          <w:color w:val="auto"/>
          <w:sz w:val="32"/>
          <w:szCs w:val="32"/>
        </w:rPr>
        <w:t>5</w:t>
      </w:r>
      <w:r>
        <w:rPr>
          <w:rFonts w:hint="eastAsia" w:ascii="仿宋_GB2312" w:hAnsi="仿宋_GB2312" w:eastAsia="仿宋_GB2312" w:cs="仿宋_GB2312"/>
          <w:b/>
          <w:color w:val="auto"/>
          <w:sz w:val="32"/>
          <w:szCs w:val="32"/>
        </w:rPr>
        <w:t>分钟文体生活圈。</w:t>
      </w:r>
      <w:r>
        <w:rPr>
          <w:rFonts w:hint="eastAsia" w:ascii="仿宋_GB2312" w:hAnsi="仿宋_GB2312" w:eastAsia="仿宋_GB2312" w:cs="仿宋_GB2312"/>
          <w:bCs/>
          <w:color w:val="auto"/>
          <w:sz w:val="32"/>
          <w:szCs w:val="32"/>
        </w:rPr>
        <w:t>提升公共文化供给水平，高水平建设文体设施，以浑南“人”字型廊道为主要空间布局，打造城市系列、炫彩系列等品牌IP。陆续推出城市书房、城市收藏、城市家园、城市体育馆、城市音乐厅、城市演艺中心、城市展厅、城市画廊、城市绿道、口袋公园等休闲设施，进一步拓展炫彩跑道、炫彩乐园、炫彩喷泉等炫彩活动内容，做到居民出门1</w:t>
      </w:r>
      <w:r>
        <w:rPr>
          <w:rFonts w:ascii="仿宋_GB2312" w:hAnsi="仿宋_GB2312" w:eastAsia="仿宋_GB2312" w:cs="仿宋_GB2312"/>
          <w:bCs/>
          <w:color w:val="auto"/>
          <w:sz w:val="32"/>
          <w:szCs w:val="32"/>
        </w:rPr>
        <w:t>5</w:t>
      </w:r>
      <w:r>
        <w:rPr>
          <w:rFonts w:hint="eastAsia" w:ascii="仿宋_GB2312" w:hAnsi="仿宋_GB2312" w:eastAsia="仿宋_GB2312" w:cs="仿宋_GB2312"/>
          <w:bCs/>
          <w:color w:val="auto"/>
          <w:sz w:val="32"/>
          <w:szCs w:val="32"/>
        </w:rPr>
        <w:t>分钟见公园、见体育设施、见休闲场地、见文化场馆。</w:t>
      </w:r>
    </w:p>
    <w:p>
      <w:pPr>
        <w:spacing w:line="579" w:lineRule="exact"/>
        <w:ind w:firstLine="660" w:firstLineChars="200"/>
        <w:rPr>
          <w:rFonts w:ascii="仿宋_GB2312" w:hAnsi="仿宋_GB2312" w:eastAsia="仿宋_GB2312" w:cs="仿宋_GB2312"/>
          <w:color w:val="auto"/>
          <w:sz w:val="32"/>
          <w:szCs w:val="32"/>
        </w:rPr>
      </w:pPr>
      <w:bookmarkStart w:id="138" w:name="_Toc3898"/>
      <w:r>
        <w:rPr>
          <w:rFonts w:hint="eastAsia" w:ascii="仿宋_GB2312" w:hAnsi="仿宋_GB2312" w:eastAsia="仿宋_GB2312" w:cs="仿宋_GB2312"/>
          <w:b/>
          <w:color w:val="auto"/>
          <w:sz w:val="32"/>
          <w:szCs w:val="32"/>
        </w:rPr>
        <w:t>积极塑造城市品牌</w:t>
      </w:r>
      <w:bookmarkEnd w:id="138"/>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开展城市品牌传播顶层设计，提炼城市品牌内涵。以互联网思维、全媒体视角，建设全省领先的融媒体中心，以内容建设为根本，增强媒体信息内容的核心竞争力，以先进技术为支撑，适应移动化趋势，把传统媒体的内容原创、权威报道、深度解读等通过互联网传播形态和移动终端广泛延伸。加强区内视觉规划，综合运用全媒体方式、艺术化形式，制作有品质、有格调的内容，积极策划国际国内有影响力的品牌活动。规划建设地标性城市建筑，打造特色网红打卡地，提升区域热度和关注度。加强精神文明宣传教育，推进新时代文明实践中心建设，建成一批文明街道、文明社区、文明单位，提高市民文明素质和文明水平。</w:t>
      </w:r>
    </w:p>
    <w:p>
      <w:pPr>
        <w:pStyle w:val="31"/>
        <w:keepNext/>
        <w:spacing w:line="290" w:lineRule="exact"/>
        <w:ind w:firstLine="0" w:firstLineChars="0"/>
        <w:outlineLvl w:val="0"/>
        <w:rPr>
          <w:color w:val="auto"/>
        </w:rPr>
      </w:pPr>
    </w:p>
    <w:bookmarkEnd w:id="137"/>
    <w:p>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39" w:name="_Toc59116941"/>
      <w:r>
        <w:rPr>
          <w:rFonts w:hint="eastAsia" w:ascii="黑体" w:hAnsi="黑体" w:eastAsia="黑体" w:cs="黑体"/>
          <w:bCs/>
          <w:color w:val="auto"/>
          <w:sz w:val="32"/>
          <w:szCs w:val="32"/>
        </w:rPr>
        <w:t>促进教育优质均衡高速发展</w:t>
      </w:r>
      <w:bookmarkEnd w:id="139"/>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bookmarkStart w:id="140" w:name="_Toc7759"/>
      <w:bookmarkStart w:id="141" w:name="_Toc6563"/>
      <w:r>
        <w:rPr>
          <w:rFonts w:hint="eastAsia" w:ascii="仿宋_GB2312" w:hAnsi="仿宋_GB2312" w:eastAsia="仿宋_GB2312" w:cs="仿宋_GB2312"/>
          <w:color w:val="auto"/>
          <w:sz w:val="32"/>
          <w:szCs w:val="32"/>
        </w:rPr>
        <w:t>大力推进教育领域综合改革，落实立德树人根本任务，推进德智体美劳全面发展，尽快补齐教育资源短板，推动各级教育高质量高水平普及，建设高素质专业化创新型教师队伍，加快推进教育信息化进程，建设智慧教育强区，办好人民满意的教育。</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补齐教育资源</w:t>
      </w:r>
      <w:bookmarkEnd w:id="140"/>
      <w:r>
        <w:rPr>
          <w:rFonts w:hint="eastAsia" w:ascii="仿宋_GB2312" w:hAnsi="仿宋_GB2312" w:eastAsia="仿宋_GB2312" w:cs="仿宋_GB2312"/>
          <w:b/>
          <w:color w:val="auto"/>
          <w:sz w:val="32"/>
          <w:szCs w:val="32"/>
        </w:rPr>
        <w:t>短板</w:t>
      </w:r>
      <w:r>
        <w:rPr>
          <w:rFonts w:hint="eastAsia" w:ascii="仿宋_GB2312" w:hAnsi="仿宋_GB2312" w:eastAsia="仿宋_GB2312" w:cs="仿宋_GB2312"/>
          <w:color w:val="auto"/>
          <w:sz w:val="32"/>
          <w:szCs w:val="32"/>
        </w:rPr>
        <w:t>。</w:t>
      </w:r>
      <w:bookmarkStart w:id="142" w:name="_Toc563"/>
      <w:r>
        <w:rPr>
          <w:rFonts w:hint="eastAsia" w:ascii="仿宋_GB2312" w:hAnsi="仿宋_GB2312" w:eastAsia="仿宋_GB2312" w:cs="仿宋_GB2312"/>
          <w:color w:val="auto"/>
          <w:sz w:val="32"/>
          <w:szCs w:val="32"/>
        </w:rPr>
        <w:t>加强新市府周边、棋盘山地区、东湖地区等重点区域高品质教育资源供给，加强小区配套教育设施建设与管理。高标准、特色化推进智慧一小、沈阳教育研究院附属中学等新学校建设，到2025年，新建学校</w:t>
      </w:r>
      <w:r>
        <w:rPr>
          <w:rFonts w:ascii="仿宋_GB2312" w:hAnsi="仿宋_GB2312" w:eastAsia="仿宋_GB2312" w:cs="仿宋_GB2312"/>
          <w:color w:val="auto"/>
          <w:sz w:val="32"/>
          <w:szCs w:val="32"/>
        </w:rPr>
        <w:t>29</w:t>
      </w:r>
      <w:r>
        <w:rPr>
          <w:rFonts w:hint="eastAsia" w:ascii="仿宋_GB2312" w:hAnsi="仿宋_GB2312" w:eastAsia="仿宋_GB2312" w:cs="仿宋_GB2312"/>
          <w:color w:val="auto"/>
          <w:sz w:val="32"/>
          <w:szCs w:val="32"/>
        </w:rPr>
        <w:t>所，其中小学</w:t>
      </w:r>
      <w:r>
        <w:rPr>
          <w:rFonts w:ascii="仿宋_GB2312" w:hAnsi="仿宋_GB2312" w:eastAsia="仿宋_GB2312" w:cs="仿宋_GB2312"/>
          <w:color w:val="auto"/>
          <w:sz w:val="32"/>
          <w:szCs w:val="32"/>
        </w:rPr>
        <w:t>16</w:t>
      </w:r>
      <w:r>
        <w:rPr>
          <w:rFonts w:hint="eastAsia" w:ascii="仿宋_GB2312" w:hAnsi="仿宋_GB2312" w:eastAsia="仿宋_GB2312" w:cs="仿宋_GB2312"/>
          <w:color w:val="auto"/>
          <w:sz w:val="32"/>
          <w:szCs w:val="32"/>
        </w:rPr>
        <w:t>所、初中</w:t>
      </w:r>
      <w:r>
        <w:rPr>
          <w:rFonts w:ascii="仿宋_GB2312" w:hAnsi="仿宋_GB2312" w:eastAsia="仿宋_GB2312" w:cs="仿宋_GB2312"/>
          <w:color w:val="auto"/>
          <w:sz w:val="32"/>
          <w:szCs w:val="32"/>
        </w:rPr>
        <w:t>7</w:t>
      </w:r>
      <w:r>
        <w:rPr>
          <w:rFonts w:hint="eastAsia" w:ascii="仿宋_GB2312" w:hAnsi="仿宋_GB2312" w:eastAsia="仿宋_GB2312" w:cs="仿宋_GB2312"/>
          <w:color w:val="auto"/>
          <w:sz w:val="32"/>
          <w:szCs w:val="32"/>
        </w:rPr>
        <w:t>所、九年一贯制学校</w:t>
      </w:r>
      <w:r>
        <w:rPr>
          <w:rFonts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t>所、高中1所、国际学校</w:t>
      </w:r>
      <w:r>
        <w:rPr>
          <w:rFonts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t>所（含高中）、职业技术学院1所（含高中）。立足区域“高新”特色，建设机器人、智慧工厂、城市精细化管理等领域主题中小学实践教育基地。</w:t>
      </w:r>
    </w:p>
    <w:bookmarkEnd w:id="142"/>
    <w:p>
      <w:pPr>
        <w:spacing w:line="579" w:lineRule="exact"/>
        <w:ind w:firstLine="660" w:firstLineChars="200"/>
        <w:rPr>
          <w:color w:val="auto"/>
        </w:rPr>
      </w:pPr>
      <w:bookmarkStart w:id="143" w:name="_Toc10221"/>
      <w:r>
        <w:rPr>
          <w:rFonts w:hint="eastAsia" w:ascii="仿宋_GB2312" w:hAnsi="仿宋_GB2312" w:eastAsia="仿宋_GB2312" w:cs="仿宋_GB2312"/>
          <w:b/>
          <w:color w:val="auto"/>
          <w:sz w:val="32"/>
          <w:szCs w:val="32"/>
        </w:rPr>
        <w:t>着力构建高质量教育体系。</w:t>
      </w:r>
      <w:r>
        <w:rPr>
          <w:rFonts w:hint="eastAsia" w:ascii="仿宋_GB2312" w:hAnsi="仿宋_GB2312" w:eastAsia="仿宋_GB2312" w:cs="仿宋_GB2312"/>
          <w:color w:val="auto"/>
          <w:sz w:val="32"/>
          <w:szCs w:val="32"/>
        </w:rPr>
        <w:t>优质普惠发展学前教育，推进连锁化、品牌化、集团化学前教育发展，满足多元化学前教育需求，到2025年高品质幼儿园占比达到80%以上，普惠性幼儿园覆盖率达到85%。优质均衡发展义务教育，创新办学体制机制，积极推动集团化办学，叫响“智慧”“创新”两大教育品牌，全面提升教育教学质量，加快优质教育资源向农村薄弱学校辐射，在全市率先完成义务教育优质均衡示范区创建工作，到2025年义务教育优质资源覆盖率达到100%，跻身“全国基础教育强区”行列。优质特色发展高中教育，加强品牌校建设，深化与本溪高中等名校合作，加快推进沈阳市第五十一中学向全市一流高中迈进，打造第二所省级示范高中，全面提升办学质量。深化产教融合发展，规划建设高质量职业技术学院、应用学院。积极培育满足区域产业发展所需的高层次职业技能人才。深入推进教育评价改革，用科学评价引领区域教育高质量发展。立足“高新”属性，整合科技馆、中科院、新松、向日葵等科技资源，与教育深度融合发展，塑造浑南“科普教育”特色。</w:t>
      </w:r>
    </w:p>
    <w:bookmarkEnd w:id="143"/>
    <w:p>
      <w:pPr>
        <w:spacing w:line="579" w:lineRule="exact"/>
        <w:ind w:firstLine="660" w:firstLineChars="200"/>
        <w:rPr>
          <w:rFonts w:ascii="仿宋_GB2312" w:hAnsi="仿宋_GB2312" w:eastAsia="仿宋_GB2312" w:cs="仿宋_GB2312"/>
          <w:color w:val="auto"/>
          <w:sz w:val="32"/>
          <w:szCs w:val="32"/>
        </w:rPr>
      </w:pPr>
      <w:bookmarkStart w:id="144" w:name="_Toc4419"/>
      <w:r>
        <w:rPr>
          <w:rFonts w:hint="eastAsia" w:ascii="仿宋_GB2312" w:hAnsi="仿宋_GB2312" w:eastAsia="仿宋_GB2312" w:cs="仿宋_GB2312"/>
          <w:b/>
          <w:color w:val="auto"/>
          <w:sz w:val="32"/>
          <w:szCs w:val="32"/>
        </w:rPr>
        <w:t>全面加强教师队伍建设</w:t>
      </w:r>
      <w:bookmarkEnd w:id="144"/>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将师德师风建设作为教师队伍建设的第一要务，突出全员全方位全过程师德养成，推动师德师风建设常态化、长效化。按照“高端引领、注重实绩、按需所用、好中选优”的原则，引进一批省市教育专家、优秀骨干校长、优秀教师和班主任，多措并举保证教师需求。加强教师队伍专业培训，深入实施精英校长、领航人才培养计划，聘请第三方平台开展教师专业技能培训工作，努力造就一支师德高尚、业务精湛、结构合理、充满活力的高素质专业化教师队伍。持续提高全区教师的工资待遇，确保义务教育教师平均工资收入水平不低于当地公务员平均工资收入水平。到2025年，省市区级领军团队人数达到千名。</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建设智慧教育示范区。</w:t>
      </w:r>
      <w:r>
        <w:rPr>
          <w:rFonts w:hint="eastAsia" w:ascii="仿宋_GB2312" w:hAnsi="仿宋_GB2312" w:eastAsia="仿宋_GB2312" w:cs="仿宋_GB2312"/>
          <w:color w:val="auto"/>
          <w:sz w:val="32"/>
          <w:szCs w:val="32"/>
        </w:rPr>
        <w:t>全面落实国家《教育信息化2.0行动计划》，提升教育信息化应用水平，建立数字教育资源共建共享机制，在全市率先实现教育现代化。积极对接区内智慧教育科技企业，推进智慧教室、“三个课堂”等教育信息化重大项目建设，建设智慧教育示范场景，加快应用5G、物联网、大数据、人工智能等现代信息技术，推动教育与科技融合发展，提高校园智慧化水平，高标准建设“未来学校”。实施大数据精准教学分析、教育决策、线上教学、综合评价等系统工程，探索教学信息化典型应用模式。</w:t>
      </w:r>
    </w:p>
    <w:p>
      <w:pPr>
        <w:pStyle w:val="31"/>
        <w:keepNext/>
        <w:spacing w:line="290" w:lineRule="exact"/>
        <w:ind w:firstLine="0" w:firstLineChars="0"/>
        <w:outlineLvl w:val="0"/>
        <w:rPr>
          <w:color w:val="auto"/>
        </w:rPr>
      </w:pPr>
    </w:p>
    <w:p>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45" w:name="_Toc59116942"/>
      <w:r>
        <w:rPr>
          <w:rFonts w:hint="eastAsia" w:ascii="黑体" w:hAnsi="黑体" w:eastAsia="黑体" w:cs="黑体"/>
          <w:bCs/>
          <w:color w:val="auto"/>
          <w:sz w:val="32"/>
          <w:szCs w:val="32"/>
        </w:rPr>
        <w:t>全面提升医疗卫生</w:t>
      </w:r>
      <w:bookmarkEnd w:id="141"/>
      <w:r>
        <w:rPr>
          <w:rFonts w:hint="eastAsia" w:ascii="黑体" w:hAnsi="黑体" w:eastAsia="黑体" w:cs="黑体"/>
          <w:bCs/>
          <w:color w:val="auto"/>
          <w:sz w:val="32"/>
          <w:szCs w:val="32"/>
        </w:rPr>
        <w:t>水平</w:t>
      </w:r>
      <w:bookmarkEnd w:id="145"/>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bookmarkStart w:id="146" w:name="_Toc30600"/>
      <w:r>
        <w:rPr>
          <w:rFonts w:hint="eastAsia" w:ascii="仿宋_GB2312" w:hAnsi="仿宋_GB2312" w:eastAsia="仿宋_GB2312" w:cs="仿宋_GB2312"/>
          <w:color w:val="auto"/>
          <w:sz w:val="32"/>
          <w:szCs w:val="32"/>
        </w:rPr>
        <w:t>坚持以保障人民健康为中心，牢固树立“大卫生、大健康”理念，秉承预防为主、防治结合、中西医并重的原则，全力推动现代化康养医疗中心、标准化区级医疗中心、国际化高端医疗中心、公共卫生服务中心“四大医疗中心”建设，完善医疗服务和公共卫生服务体系，建设“健康浑南”。</w:t>
      </w:r>
    </w:p>
    <w:bookmarkEnd w:id="146"/>
    <w:p>
      <w:pPr>
        <w:spacing w:line="579" w:lineRule="exact"/>
        <w:ind w:firstLine="660" w:firstLineChars="200"/>
        <w:rPr>
          <w:rFonts w:ascii="仿宋_GB2312" w:hAnsi="仿宋_GB2312" w:eastAsia="仿宋_GB2312" w:cs="仿宋_GB2312"/>
          <w:color w:val="auto"/>
          <w:sz w:val="32"/>
          <w:szCs w:val="32"/>
        </w:rPr>
      </w:pPr>
      <w:bookmarkStart w:id="147" w:name="_Toc27704"/>
      <w:r>
        <w:rPr>
          <w:rFonts w:hint="eastAsia" w:ascii="仿宋_GB2312" w:hAnsi="仿宋_GB2312" w:eastAsia="仿宋_GB2312" w:cs="仿宋_GB2312"/>
          <w:b/>
          <w:bCs/>
          <w:color w:val="auto"/>
          <w:sz w:val="32"/>
          <w:szCs w:val="32"/>
        </w:rPr>
        <w:t>合理布局医疗卫生资源。</w:t>
      </w:r>
      <w:r>
        <w:rPr>
          <w:rFonts w:hint="eastAsia" w:ascii="仿宋_GB2312" w:hAnsi="仿宋_GB2312" w:eastAsia="仿宋_GB2312" w:cs="仿宋_GB2312"/>
          <w:color w:val="auto"/>
          <w:sz w:val="32"/>
          <w:szCs w:val="32"/>
        </w:rPr>
        <w:t>推动省市区属以及民营医院、医疗机构多层次联动，优化三级医疗网络布局，到“十四五”末期，建成辽宁省传染病医疗救治中心、中国医科大学附属第一医院浑南院区、沈阳市口腔医院浑南院区等5个区域级医疗中心；新建街区级卫生服务中心3个；改造提升乡镇卫生院</w:t>
      </w:r>
      <w:r>
        <w:rPr>
          <w:rFonts w:ascii="仿宋_GB2312" w:hAnsi="仿宋_GB2312" w:eastAsia="仿宋_GB2312" w:cs="仿宋_GB2312"/>
          <w:color w:val="auto"/>
          <w:sz w:val="32"/>
          <w:szCs w:val="32"/>
        </w:rPr>
        <w:t>7</w:t>
      </w:r>
      <w:r>
        <w:rPr>
          <w:rFonts w:hint="eastAsia" w:ascii="仿宋_GB2312" w:hAnsi="仿宋_GB2312" w:eastAsia="仿宋_GB2312" w:cs="仿宋_GB2312"/>
          <w:color w:val="auto"/>
          <w:sz w:val="32"/>
          <w:szCs w:val="32"/>
        </w:rPr>
        <w:t>个；新建社区卫生服务站12个，改造提升8个，到“十四五”末期建成社区卫生服务站20个；采用集装箱模式，新建集中采购药品和集中组织村医的公立村级卫生室76个，形成15分钟健康服务圈。高标准规划建设1-2家三级医院，加强与知名医院合作，积极引进高水平卫生专业技术人才，打造品牌医院。新建或改建中医院或中西医结合医院，推进浑南中心医院新址建设、搬迁。探索创新城市社区卫生服务站、农村卫生室建设和管理模式。积极引进省市大型公立医院、综合医院、专科诊疗、医学检验和社会办医疗机构。推进中医药事业发展，加快中医医疗机构建设。推动区属公立医院至少配备1辆流动CT车，实现送医疗下乡。到2025年，平均每千人常住人口床位数达到7.3张。</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大力发展国际医疗</w:t>
      </w:r>
      <w:r>
        <w:rPr>
          <w:rFonts w:hint="eastAsia" w:ascii="仿宋_GB2312" w:hAnsi="仿宋_GB2312" w:eastAsia="仿宋_GB2312" w:cs="仿宋_GB2312"/>
          <w:color w:val="auto"/>
          <w:sz w:val="32"/>
          <w:szCs w:val="32"/>
        </w:rPr>
        <w:t>。借助自贸区优势和全市医疗资源，在用足药品进口口岸、综保区政策的基础上，争取特许试点政策，联合内外资医疗机构，建设国际医院、保税医院、保税药店，提供低成本高质量国际化医疗服务。争取试点开展干细胞临床研究、试验和应用，发展干细胞产业。全面推动东北国际医院、中国医科大学附属第一医院浑南院区高端发展，打造成为高水平国际化医院。</w:t>
      </w:r>
    </w:p>
    <w:p>
      <w:pPr>
        <w:spacing w:line="579" w:lineRule="exact"/>
        <w:ind w:firstLine="660" w:firstLineChars="200"/>
        <w:rPr>
          <w:color w:val="auto"/>
        </w:rPr>
      </w:pPr>
      <w:r>
        <w:rPr>
          <w:rFonts w:hint="eastAsia" w:ascii="仿宋_GB2312" w:hAnsi="仿宋_GB2312" w:eastAsia="仿宋_GB2312" w:cs="仿宋_GB2312"/>
          <w:b/>
          <w:bCs/>
          <w:color w:val="auto"/>
          <w:sz w:val="32"/>
          <w:szCs w:val="32"/>
        </w:rPr>
        <w:t>推动医疗服务模式创新。</w:t>
      </w:r>
      <w:r>
        <w:rPr>
          <w:rFonts w:hint="eastAsia" w:ascii="仿宋_GB2312" w:hAnsi="仿宋_GB2312" w:eastAsia="仿宋_GB2312" w:cs="仿宋_GB2312"/>
          <w:color w:val="auto"/>
          <w:sz w:val="32"/>
          <w:szCs w:val="32"/>
        </w:rPr>
        <w:t>持续深化对外医联体、对内医共体发展模式，加强与北部战区总医院、省人民医院等大型医院的医联体建设。推进基层医疗能力建设，提升基层医疗机构门诊医疗服务、急诊急救、住院、检验检查等服务能力，积极开展“双向转诊”。采用“区聘乡管村用”方式，实现村卫生室和乡镇卫生院一体化管理。加快“互联网+健康”发展，开展远程医疗、在线医疗服务，拓展沈阳云医院、东软熙康互联网医院、区域人口健康信息平台和健康浑南在线应用，建设远程医疗中心。完善医疗信息化建设，推动人口数据库、电子健康档案和电子病历等数据库资源整合，建设区域人口健康信息综合平台。到2025年，平均每千人口执业（助理）医师数4.4人，居民健康素养水平达到25%，平均每千人口执业护士数5.9人。</w:t>
      </w:r>
    </w:p>
    <w:bookmarkEnd w:id="147"/>
    <w:p>
      <w:pPr>
        <w:spacing w:line="579" w:lineRule="exact"/>
        <w:ind w:firstLine="660" w:firstLineChars="200"/>
        <w:rPr>
          <w:rFonts w:ascii="仿宋_GB2312" w:hAnsi="仿宋_GB2312" w:eastAsia="仿宋_GB2312" w:cs="仿宋_GB2312"/>
          <w:color w:val="auto"/>
          <w:sz w:val="32"/>
          <w:szCs w:val="32"/>
        </w:rPr>
      </w:pPr>
      <w:bookmarkStart w:id="148" w:name="_Toc18624"/>
      <w:r>
        <w:rPr>
          <w:rFonts w:hint="eastAsia" w:ascii="仿宋_GB2312" w:hAnsi="仿宋_GB2312" w:eastAsia="仿宋_GB2312" w:cs="仿宋_GB2312"/>
          <w:b/>
          <w:color w:val="auto"/>
          <w:sz w:val="32"/>
          <w:szCs w:val="32"/>
        </w:rPr>
        <w:t>健全公共卫生服务体系。</w:t>
      </w:r>
      <w:bookmarkEnd w:id="148"/>
      <w:r>
        <w:rPr>
          <w:rFonts w:hint="eastAsia" w:ascii="仿宋_GB2312" w:hAnsi="仿宋_GB2312" w:eastAsia="仿宋_GB2312" w:cs="仿宋_GB2312"/>
          <w:color w:val="auto"/>
          <w:sz w:val="32"/>
          <w:szCs w:val="32"/>
        </w:rPr>
        <w:t>加强疾病预防控制体系建设，完善传染病疫情和突发公共卫生事件监测预警处置机制，加强慢性非传染性疾病预防能力，健全医疗救治、科技支撑、物质保障体系，提高应对突发公共卫生事件能力。完善公共卫生服务体系，建设疾病控制（卫生监督）中心、妇幼保健中心。加强专业人员配备，保障公共服务卫生质量。推进健康浑南行动实施，落实健康促进区建设。加强慢性病防治工作，推动国家慢性病综合防控示范区创建工作，推进全民健康生活方式行动。</w:t>
      </w:r>
    </w:p>
    <w:p>
      <w:pPr>
        <w:pStyle w:val="31"/>
        <w:keepNext/>
        <w:spacing w:line="290" w:lineRule="exact"/>
        <w:ind w:firstLine="0" w:firstLineChars="0"/>
        <w:outlineLvl w:val="0"/>
        <w:rPr>
          <w:color w:val="auto"/>
        </w:rPr>
      </w:pPr>
    </w:p>
    <w:p>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49" w:name="_Toc29202"/>
      <w:bookmarkStart w:id="150" w:name="_Toc12384"/>
      <w:bookmarkStart w:id="151" w:name="_Toc59116943"/>
      <w:r>
        <w:rPr>
          <w:rFonts w:hint="eastAsia" w:ascii="黑体" w:hAnsi="黑体" w:eastAsia="黑体" w:cs="黑体"/>
          <w:bCs/>
          <w:color w:val="auto"/>
          <w:sz w:val="32"/>
          <w:szCs w:val="32"/>
        </w:rPr>
        <w:t>持续完善社会保障</w:t>
      </w:r>
      <w:bookmarkEnd w:id="149"/>
      <w:bookmarkEnd w:id="150"/>
      <w:r>
        <w:rPr>
          <w:rFonts w:hint="eastAsia" w:ascii="黑体" w:hAnsi="黑体" w:eastAsia="黑体" w:cs="黑体"/>
          <w:bCs/>
          <w:color w:val="auto"/>
          <w:sz w:val="32"/>
          <w:szCs w:val="32"/>
        </w:rPr>
        <w:t>体系</w:t>
      </w:r>
      <w:bookmarkEnd w:id="151"/>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发挥社会保障兜底保障作用，落实社会保障改革制度，进一步扩大社会保障覆盖范围，健全多层次社会保障体系，全面提升基本民生保障水平。</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加快养老服务体系建设。</w:t>
      </w:r>
      <w:r>
        <w:rPr>
          <w:rFonts w:hint="eastAsia" w:ascii="仿宋_GB2312" w:hAnsi="仿宋_GB2312" w:eastAsia="仿宋_GB2312" w:cs="仿宋_GB2312"/>
          <w:bCs/>
          <w:color w:val="auto"/>
          <w:sz w:val="32"/>
          <w:szCs w:val="32"/>
        </w:rPr>
        <w:t>营造养老、孝老、敬老的社会环境，</w:t>
      </w:r>
      <w:r>
        <w:rPr>
          <w:rFonts w:hint="eastAsia" w:ascii="仿宋_GB2312" w:hAnsi="仿宋_GB2312" w:eastAsia="仿宋_GB2312" w:cs="仿宋_GB2312"/>
          <w:color w:val="auto"/>
          <w:sz w:val="32"/>
          <w:szCs w:val="32"/>
        </w:rPr>
        <w:t>统筹各类养老服务资源，完善以居家为基础、社区为依托、机构为补充的养老服务体系。加强养老服务设施建设，新建居住区每百户配套建设居家养老服务设施建筑面积不低于35平方米。新建农村养老试点村10个，积极应对农村老龄化、空巢化。持续推进公建民营养老创新服务模式，促进民营资本进入养老市场。优化养老服务信息化平台管理，提升养老标准化水平。加强专业性养老服务队伍建设。加强医养结合，支持养老机构开展医疗服务，到2025年养老机构护理型床位占比55%以上，每千名老人拥有养老床位100个，每百张护理型床位配备社工至少一名。到2025年，建成区域性居家养老服务中心30个，实现全区民办养老机构床位占比80%，新增社区养老服务站10个，建成社区养老服务站80个，形成</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分钟嵌入式养老服务圈。</w:t>
      </w:r>
    </w:p>
    <w:p>
      <w:pPr>
        <w:spacing w:line="579" w:lineRule="exact"/>
        <w:ind w:firstLine="660" w:firstLineChars="200"/>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多层次提升社会保障水平。</w:t>
      </w:r>
      <w:r>
        <w:rPr>
          <w:rFonts w:hint="eastAsia" w:ascii="仿宋_GB2312" w:hAnsi="仿宋_GB2312" w:eastAsia="仿宋_GB2312" w:cs="仿宋_GB2312"/>
          <w:bCs/>
          <w:color w:val="auto"/>
          <w:sz w:val="32"/>
          <w:szCs w:val="32"/>
        </w:rPr>
        <w:t>着力提升住房保障水平，加快建立多主体供给、多渠道保障、租购并举的住房保障制度。</w:t>
      </w:r>
      <w:r>
        <w:rPr>
          <w:rFonts w:hint="eastAsia" w:ascii="仿宋_GB2312" w:hAnsi="仿宋_GB2312" w:eastAsia="仿宋_GB2312" w:cs="仿宋_GB2312"/>
          <w:color w:val="auto"/>
          <w:sz w:val="32"/>
          <w:szCs w:val="32"/>
        </w:rPr>
        <w:t>提高城乡居民养老保险统筹层次，完善城乡居民基本医疗保险制度，全面落实被征地农民社会保障政策，</w:t>
      </w:r>
      <w:r>
        <w:rPr>
          <w:rFonts w:hint="eastAsia" w:ascii="仿宋_GB2312" w:eastAsia="仿宋_GB2312"/>
          <w:color w:val="auto"/>
          <w:sz w:val="32"/>
          <w:szCs w:val="32"/>
        </w:rPr>
        <w:t>实现应保尽保。</w:t>
      </w:r>
      <w:r>
        <w:rPr>
          <w:rFonts w:hint="eastAsia" w:ascii="仿宋_GB2312" w:hAnsi="仿宋_GB2312" w:eastAsia="仿宋_GB2312" w:cs="仿宋_GB2312"/>
          <w:color w:val="auto"/>
          <w:sz w:val="32"/>
          <w:szCs w:val="32"/>
        </w:rPr>
        <w:t>建立保护妇女合法权益联动机制，完善农村留守妇女儿童关爱服务体系，推进未成年人保护和儿童福利体系建设，切实保障妇女儿童合法权益。建设一批示范性、普惠性托育机构，增加婴幼儿照护服务有效供给。健全残疾人社会保障制度，建立以个性化服务、就近服务和居家生活服务为中心的残疾人生活保障体系，维护残疾人群体合法权益，提升残疾人生活质量。完善双拥优抚安置体系，优化优抚对象抚恤和生活补助标准自然增长机制，推进退役士兵职业教育和技能培训，提升退役士兵就业创业能力。</w:t>
      </w:r>
      <w:r>
        <w:rPr>
          <w:rFonts w:hint="eastAsia" w:ascii="仿宋_GB2312" w:eastAsia="仿宋_GB2312"/>
          <w:color w:val="auto"/>
          <w:sz w:val="32"/>
          <w:szCs w:val="32"/>
        </w:rPr>
        <w:t>“十四五”期末，社会保险实现应保尽保，养老金及时足额发放，社会保险待遇水平稳步提高。</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完善城乡社会救助体系建设。</w:t>
      </w:r>
      <w:r>
        <w:rPr>
          <w:rFonts w:hint="eastAsia" w:ascii="仿宋_GB2312" w:hAnsi="仿宋_GB2312" w:eastAsia="仿宋_GB2312" w:cs="仿宋_GB2312"/>
          <w:color w:val="auto"/>
          <w:sz w:val="32"/>
          <w:szCs w:val="32"/>
        </w:rPr>
        <w:t>开展城乡社会救助制度建设，健全以基本生活救助为主，专项救助、急难社会救助为补充的分类救助体系，持续提高城乡低保和特困人员救护供养标准，逐年提高社会救助整体保障水平，城乡最低生活保障标准、特困供养和孤儿养育标准年均增长不低于7%。优化农村低保和扶贫开发，推进城乡社会救助服务水平均等化。创新社会救助方式，积极发展服务类社会救助，推广“物质+服务”救助方式，推进社会力量参与社会救助体系。加快社会救助信息管理体系建设，搭建信息化服务平台。</w:t>
      </w:r>
    </w:p>
    <w:p>
      <w:pPr>
        <w:pStyle w:val="31"/>
        <w:keepNext/>
        <w:spacing w:line="290" w:lineRule="exact"/>
        <w:ind w:firstLine="0" w:firstLineChars="0"/>
        <w:outlineLvl w:val="0"/>
        <w:rPr>
          <w:color w:val="auto"/>
        </w:rPr>
      </w:pPr>
    </w:p>
    <w:p>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52" w:name="_Toc22310"/>
      <w:bookmarkStart w:id="153" w:name="_Toc2850"/>
      <w:bookmarkStart w:id="154" w:name="_Toc59116944"/>
      <w:bookmarkStart w:id="155" w:name="_Toc4689"/>
      <w:r>
        <w:rPr>
          <w:rFonts w:hint="eastAsia" w:ascii="黑体" w:hAnsi="黑体" w:eastAsia="黑体" w:cs="黑体"/>
          <w:bCs/>
          <w:color w:val="auto"/>
          <w:sz w:val="32"/>
          <w:szCs w:val="32"/>
        </w:rPr>
        <w:t>积极促进就业创业</w:t>
      </w:r>
      <w:bookmarkEnd w:id="152"/>
      <w:bookmarkEnd w:id="153"/>
      <w:bookmarkEnd w:id="154"/>
    </w:p>
    <w:p>
      <w:pPr>
        <w:pStyle w:val="31"/>
        <w:keepNext/>
        <w:spacing w:line="290" w:lineRule="exact"/>
        <w:ind w:firstLine="0" w:firstLineChars="0"/>
        <w:outlineLvl w:val="0"/>
        <w:rPr>
          <w:color w:val="auto"/>
        </w:rPr>
      </w:pPr>
    </w:p>
    <w:bookmarkEnd w:id="155"/>
    <w:p>
      <w:pPr>
        <w:spacing w:line="579" w:lineRule="exact"/>
        <w:ind w:firstLine="660" w:firstLineChars="200"/>
        <w:rPr>
          <w:rFonts w:ascii="仿宋_GB2312" w:hAnsi="仿宋_GB2312" w:eastAsia="仿宋_GB2312" w:cs="仿宋_GB2312"/>
          <w:color w:val="auto"/>
          <w:sz w:val="32"/>
          <w:szCs w:val="32"/>
        </w:rPr>
      </w:pPr>
      <w:bookmarkStart w:id="156" w:name="_Toc6386"/>
      <w:r>
        <w:rPr>
          <w:rFonts w:hint="eastAsia" w:ascii="仿宋_GB2312" w:hAnsi="仿宋_GB2312" w:eastAsia="仿宋_GB2312" w:cs="仿宋_GB2312"/>
          <w:color w:val="auto"/>
          <w:sz w:val="32"/>
          <w:szCs w:val="32"/>
        </w:rPr>
        <w:t>全面落实国家和省市出台的就业创业政策，强化就业优先政策,千方百计稳定和扩大就业,完善重点群体就业支持体系。提升就业公共服务，完善职业技能培训制度，实施就业需求调查和失业监测预警机制，促进多渠道灵活就业，</w:t>
      </w:r>
      <w:r>
        <w:rPr>
          <w:rFonts w:hint="eastAsia" w:ascii="仿宋_GB2312" w:hAnsi="ˎ̥" w:eastAsia="仿宋_GB2312"/>
          <w:color w:val="auto"/>
          <w:sz w:val="32"/>
          <w:szCs w:val="32"/>
        </w:rPr>
        <w:t>“十四五”时期</w:t>
      </w:r>
      <w:r>
        <w:rPr>
          <w:rFonts w:ascii="仿宋_GB2312" w:hAnsi="ˎ̥" w:eastAsia="仿宋_GB2312"/>
          <w:color w:val="auto"/>
          <w:sz w:val="32"/>
          <w:szCs w:val="32"/>
        </w:rPr>
        <w:t>，</w:t>
      </w:r>
      <w:r>
        <w:rPr>
          <w:rFonts w:hint="eastAsia" w:ascii="仿宋_GB2312" w:hAnsi="ˎ̥" w:eastAsia="仿宋_GB2312"/>
          <w:color w:val="auto"/>
          <w:sz w:val="32"/>
          <w:szCs w:val="32"/>
        </w:rPr>
        <w:t>实现</w:t>
      </w:r>
      <w:r>
        <w:rPr>
          <w:rFonts w:hint="eastAsia" w:ascii="仿宋_GB2312" w:eastAsia="仿宋_GB2312"/>
          <w:color w:val="auto"/>
          <w:sz w:val="32"/>
          <w:szCs w:val="32"/>
        </w:rPr>
        <w:t>每年培训</w:t>
      </w:r>
      <w:r>
        <w:rPr>
          <w:rFonts w:ascii="仿宋_GB2312" w:eastAsia="仿宋_GB2312"/>
          <w:color w:val="auto"/>
          <w:sz w:val="32"/>
          <w:szCs w:val="32"/>
        </w:rPr>
        <w:t>1000</w:t>
      </w:r>
      <w:r>
        <w:rPr>
          <w:rFonts w:hint="eastAsia" w:ascii="仿宋_GB2312" w:eastAsia="仿宋_GB2312"/>
          <w:color w:val="auto"/>
          <w:sz w:val="32"/>
          <w:szCs w:val="32"/>
        </w:rPr>
        <w:t>人以上，对零就业家庭等就业困难群体兜底安置公益性岗位，实现安置动态为零。实施就业优先政策，促进创业带动就业，支持大学生和各类人才返乡入乡就业创业，有针对性地加强农民就业技能培训，</w:t>
      </w:r>
      <w:r>
        <w:rPr>
          <w:rFonts w:hint="eastAsia" w:ascii="仿宋_GB2312" w:hAnsi="仿宋_GB2312" w:eastAsia="仿宋_GB2312" w:cs="仿宋_GB2312"/>
          <w:color w:val="auto"/>
          <w:sz w:val="32"/>
          <w:szCs w:val="32"/>
        </w:rPr>
        <w:t>每年新增和开发就业岗位</w:t>
      </w:r>
      <w:r>
        <w:rPr>
          <w:rFonts w:ascii="仿宋_GB2312" w:hAnsi="仿宋_GB2312" w:eastAsia="仿宋_GB2312" w:cs="仿宋_GB2312"/>
          <w:color w:val="auto"/>
          <w:sz w:val="32"/>
          <w:szCs w:val="32"/>
        </w:rPr>
        <w:t>15000</w:t>
      </w:r>
      <w:r>
        <w:rPr>
          <w:rFonts w:hint="eastAsia" w:ascii="仿宋_GB2312" w:hAnsi="仿宋_GB2312" w:eastAsia="仿宋_GB2312" w:cs="仿宋_GB2312"/>
          <w:color w:val="auto"/>
          <w:sz w:val="32"/>
          <w:szCs w:val="32"/>
        </w:rPr>
        <w:t>个，城镇失业人口实现就业4500人以上，农村剩余劳动力转移（含劳务输出）4000人以上。扩宽城乡居民收入来源，持续增加居民收入，缩小城乡居民收入差距，</w:t>
      </w:r>
      <w:r>
        <w:rPr>
          <w:rFonts w:hint="eastAsia" w:ascii="仿宋_GB2312" w:eastAsia="仿宋_GB2312"/>
          <w:color w:val="auto"/>
          <w:kern w:val="0"/>
          <w:sz w:val="32"/>
          <w:szCs w:val="32"/>
        </w:rPr>
        <w:t>完善</w:t>
      </w:r>
      <w:r>
        <w:rPr>
          <w:rFonts w:ascii="仿宋_GB2312" w:eastAsia="仿宋_GB2312"/>
          <w:color w:val="auto"/>
          <w:kern w:val="0"/>
          <w:sz w:val="32"/>
          <w:szCs w:val="32"/>
        </w:rPr>
        <w:t>企业职工工资正常增长和支付保障机制，</w:t>
      </w:r>
      <w:r>
        <w:rPr>
          <w:rFonts w:hint="eastAsia" w:ascii="仿宋_GB2312" w:hAnsi="仿宋_GB2312" w:eastAsia="仿宋_GB2312" w:cs="仿宋_GB2312"/>
          <w:color w:val="auto"/>
          <w:sz w:val="32"/>
          <w:szCs w:val="32"/>
        </w:rPr>
        <w:t>稳步提升农民生产经营收入、农民工资性收入和农民可转移收入，实现居民收入与经济发展同步增长。到2025年，农村居民人均可支配收入年均增长9%，城镇居民人均可支配收入年均增长8.5%。</w:t>
      </w:r>
    </w:p>
    <w:p>
      <w:pPr>
        <w:pStyle w:val="31"/>
        <w:keepNext/>
        <w:spacing w:line="290" w:lineRule="exact"/>
        <w:ind w:firstLine="0" w:firstLineChars="0"/>
        <w:outlineLvl w:val="0"/>
        <w:rPr>
          <w:color w:val="auto"/>
        </w:rPr>
      </w:pPr>
    </w:p>
    <w:p>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57" w:name="_Toc25476"/>
      <w:bookmarkStart w:id="158" w:name="_Toc59116945"/>
      <w:r>
        <w:rPr>
          <w:rFonts w:hint="eastAsia" w:ascii="黑体" w:hAnsi="黑体" w:eastAsia="黑体" w:cs="黑体"/>
          <w:bCs/>
          <w:color w:val="auto"/>
          <w:sz w:val="32"/>
          <w:szCs w:val="32"/>
        </w:rPr>
        <w:t>持续完善安全体系</w:t>
      </w:r>
      <w:bookmarkEnd w:id="156"/>
      <w:bookmarkEnd w:id="157"/>
      <w:bookmarkEnd w:id="158"/>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贯彻落实安全观，把安全发展贯穿经济社会发展各领域和全过程，切实维护国家安全、经济安全、人民生命安全，健全应急处置管理机制，防范化解各类安全风险，加强维护社会稳定，统筹推进“平安浑南”建设，不断提高人民群众安全感。</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提高维护国家安全能力</w:t>
      </w:r>
      <w:r>
        <w:rPr>
          <w:rFonts w:hint="eastAsia" w:ascii="仿宋_GB2312" w:hAnsi="仿宋_GB2312" w:eastAsia="仿宋_GB2312" w:cs="仿宋_GB2312"/>
          <w:color w:val="auto"/>
          <w:sz w:val="32"/>
          <w:szCs w:val="32"/>
        </w:rPr>
        <w:t>。严格落实意识形态工作责任制，巩固壮大主流思想舆论，提升网络综合治理水平。推进国家安全教育常态化、制度化、长效化，广泛开展国家安全宣传教育，增强全民国家安全意识，建设国家安全人民防线。加强国防动员和后备力量建设。</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加强维护经济安全</w:t>
      </w:r>
      <w:r>
        <w:rPr>
          <w:rFonts w:hint="eastAsia" w:ascii="仿宋_GB2312" w:hAnsi="仿宋_GB2312" w:eastAsia="仿宋_GB2312" w:cs="仿宋_GB2312"/>
          <w:color w:val="auto"/>
          <w:sz w:val="32"/>
          <w:szCs w:val="32"/>
        </w:rPr>
        <w:t>。强化经济安全风险预警、防控机制和能力建设，增强产业链供应链本地布局配套系统性、协同性、稳定性，做好水、电、气、交通、通信、网络等重点工程运营维护。强化债务风险监控，稳步推进政府债务化解，切实防范政府性债务风险。切实增强新形势下粮食安全意识，压实粮食安全责任，守住守牢粮食安全底线。</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全力维护人民生命安全。</w:t>
      </w:r>
      <w:r>
        <w:rPr>
          <w:rFonts w:hint="eastAsia" w:ascii="仿宋_GB2312" w:hAnsi="仿宋_GB2312" w:eastAsia="仿宋_GB2312" w:cs="仿宋_GB2312"/>
          <w:color w:val="auto"/>
          <w:sz w:val="32"/>
          <w:szCs w:val="32"/>
        </w:rPr>
        <w:t>加强城市安全风险源现代化治理，建设“网状”风险管控责任与措施体系，建立城市安全信息更新与风险管控长效机制。加强食品药品安全监管，提升食品药品智慧化监管手段和风险应急检验检测能力。加强对食品生产、流通、消费全链条智慧监管，建立食品安全社会共治体系，建设食品安全专业监管队伍，提升食品安全治理能力。推进安全生产预防控制体系建设，完善安全生产体系，有效遏制危险化学品、建筑施工、交通等重特大安全事故，严防重大安全事故发生。完善公共消防基础设施建设，创新消防安全管理，对重大火灾隐患实施政府挂牌督办。发挥气象防灾减灾第一道防线作用，完善自然灾害监测、预报和服务机制。开展防汛抗旱体制机制创新，建立跨市际边界河流汛期科学调度机制，将白塔堡河、白塔堡河支流防洪标准提升至10年一遇，全面提高水安全保障能力。提升社会公众防灾减灾意识和自救互救技能，建设防灾减灾科普宣传教育基地。加强人防工程体系建设，积极组织开展人防宣传教育活动，拓展人防宣传教育范围。</w:t>
      </w:r>
    </w:p>
    <w:p>
      <w:pPr>
        <w:spacing w:line="579" w:lineRule="exact"/>
        <w:ind w:firstLine="660" w:firstLineChars="200"/>
        <w:rPr>
          <w:color w:val="auto"/>
        </w:rPr>
      </w:pPr>
      <w:r>
        <w:rPr>
          <w:rFonts w:hint="eastAsia" w:ascii="仿宋_GB2312" w:hAnsi="仿宋_GB2312" w:eastAsia="仿宋_GB2312" w:cs="仿宋_GB2312"/>
          <w:b/>
          <w:bCs/>
          <w:color w:val="auto"/>
          <w:sz w:val="32"/>
          <w:szCs w:val="32"/>
        </w:rPr>
        <w:t>健全应急处置管理机制。</w:t>
      </w:r>
      <w:r>
        <w:rPr>
          <w:rFonts w:hint="eastAsia" w:ascii="仿宋_GB2312" w:hAnsi="仿宋_GB2312" w:eastAsia="仿宋_GB2312" w:cs="仿宋_GB2312"/>
          <w:color w:val="auto"/>
          <w:sz w:val="32"/>
          <w:szCs w:val="32"/>
        </w:rPr>
        <w:t>完善统一指挥、专常兼备、反应灵敏、上下联动的应急管理体制，进一步健全应急综合指挥平台，加强应急管理能力标准化建设，构建实战化、扁平化、合成化应急处置模式。推进网格化应急管理体系建设，加强应急物资保障体系建设，提高防灾减灾救灾能力。</w:t>
      </w:r>
    </w:p>
    <w:p>
      <w:pPr>
        <w:spacing w:line="579" w:lineRule="exact"/>
        <w:ind w:firstLine="660" w:firstLineChars="200"/>
        <w:rPr>
          <w:rFonts w:ascii="宋体" w:hAnsi="宋体" w:cs="宋体"/>
          <w:b/>
          <w:color w:val="auto"/>
          <w:sz w:val="44"/>
          <w:szCs w:val="44"/>
        </w:rPr>
      </w:pPr>
      <w:r>
        <w:rPr>
          <w:rFonts w:hint="eastAsia" w:ascii="仿宋_GB2312" w:hAnsi="仿宋_GB2312" w:eastAsia="仿宋_GB2312" w:cs="仿宋_GB2312"/>
          <w:b/>
          <w:bCs/>
          <w:color w:val="auto"/>
          <w:sz w:val="32"/>
          <w:szCs w:val="32"/>
        </w:rPr>
        <w:t>加强维护社会稳定。</w:t>
      </w:r>
      <w:r>
        <w:rPr>
          <w:rFonts w:hint="eastAsia" w:ascii="仿宋_GB2312" w:hAnsi="仿宋_GB2312" w:eastAsia="仿宋_GB2312" w:cs="仿宋_GB2312"/>
          <w:color w:val="auto"/>
          <w:sz w:val="32"/>
          <w:szCs w:val="32"/>
        </w:rPr>
        <w:t>坚持和发展新时代“枫桥经验”，畅通和规范群众诉求表达、利益协调、权益保障通道，构建源头防控、排查梳理、纠纷化解、应急处置的社会矛盾综合治理机制。加强社会治安防控体系建设，坚决防范和打击暴力恐怖、黑恶势力。</w:t>
      </w:r>
    </w:p>
    <w:p>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pPr>
        <w:pStyle w:val="31"/>
        <w:keepNext/>
        <w:spacing w:line="290" w:lineRule="exact"/>
        <w:ind w:firstLine="0" w:firstLineChars="0"/>
        <w:outlineLvl w:val="0"/>
        <w:rPr>
          <w:rFonts w:ascii="宋体" w:hAnsi="宋体" w:cs="宋体"/>
          <w:b/>
          <w:color w:val="auto"/>
          <w:sz w:val="44"/>
          <w:szCs w:val="44"/>
        </w:rPr>
      </w:pPr>
      <w:bookmarkStart w:id="159" w:name="_Toc59116946"/>
    </w:p>
    <w:p>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推进乡村振兴发展</w:t>
      </w:r>
      <w:bookmarkEnd w:id="159"/>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bookmarkStart w:id="160" w:name="_Toc55855163"/>
      <w:bookmarkStart w:id="161" w:name="_Toc12766"/>
      <w:r>
        <w:rPr>
          <w:rFonts w:hint="eastAsia" w:ascii="仿宋_GB2312" w:hAnsi="仿宋_GB2312" w:eastAsia="仿宋_GB2312" w:cs="仿宋_GB2312"/>
          <w:color w:val="auto"/>
          <w:sz w:val="32"/>
          <w:szCs w:val="32"/>
        </w:rPr>
        <w:t>大力推进全域城镇化，以深化农村综合改革为突破口，补齐农村基础设施和公共服务短板，大力发展现代农业，拓展农民增收渠道，不断提升乡村建设水平，推进乡村振兴发展。到2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年，粮食总产量稳定在18万吨，高标准农田建设面积达到6万亩,农业总产值达到</w:t>
      </w:r>
      <w:r>
        <w:rPr>
          <w:rFonts w:ascii="仿宋_GB2312" w:hAnsi="仿宋_GB2312" w:eastAsia="仿宋_GB2312" w:cs="仿宋_GB2312"/>
          <w:color w:val="auto"/>
          <w:sz w:val="32"/>
          <w:szCs w:val="32"/>
        </w:rPr>
        <w:t>14.8</w:t>
      </w:r>
      <w:r>
        <w:rPr>
          <w:rFonts w:hint="eastAsia" w:ascii="仿宋_GB2312" w:hAnsi="仿宋_GB2312" w:eastAsia="仿宋_GB2312" w:cs="仿宋_GB2312"/>
          <w:color w:val="auto"/>
          <w:sz w:val="32"/>
          <w:szCs w:val="32"/>
        </w:rPr>
        <w:t>亿元。</w:t>
      </w:r>
    </w:p>
    <w:p>
      <w:pPr>
        <w:pStyle w:val="31"/>
        <w:keepNext/>
        <w:spacing w:line="290" w:lineRule="exact"/>
        <w:ind w:firstLine="0" w:firstLineChars="0"/>
        <w:outlineLvl w:val="0"/>
        <w:rPr>
          <w:color w:val="auto"/>
        </w:rPr>
      </w:pPr>
    </w:p>
    <w:p>
      <w:pPr>
        <w:pStyle w:val="31"/>
        <w:numPr>
          <w:ilvl w:val="0"/>
          <w:numId w:val="10"/>
        </w:numPr>
        <w:spacing w:line="579" w:lineRule="exact"/>
        <w:ind w:firstLineChars="0"/>
        <w:jc w:val="center"/>
        <w:outlineLvl w:val="1"/>
        <w:rPr>
          <w:rFonts w:ascii="黑体" w:hAnsi="黑体" w:eastAsia="黑体" w:cs="黑体"/>
          <w:bCs/>
          <w:color w:val="auto"/>
          <w:sz w:val="32"/>
          <w:szCs w:val="32"/>
        </w:rPr>
      </w:pPr>
      <w:bookmarkStart w:id="162" w:name="_Toc59116947"/>
      <w:r>
        <w:rPr>
          <w:rFonts w:hint="eastAsia" w:ascii="黑体" w:hAnsi="黑体" w:eastAsia="黑体" w:cs="黑体"/>
          <w:bCs/>
          <w:color w:val="auto"/>
          <w:sz w:val="32"/>
          <w:szCs w:val="32"/>
        </w:rPr>
        <w:t>加强乡村发展</w:t>
      </w:r>
      <w:bookmarkEnd w:id="160"/>
      <w:r>
        <w:rPr>
          <w:rFonts w:hint="eastAsia" w:ascii="黑体" w:hAnsi="黑体" w:eastAsia="黑体" w:cs="黑体"/>
          <w:bCs/>
          <w:color w:val="auto"/>
          <w:sz w:val="32"/>
          <w:szCs w:val="32"/>
        </w:rPr>
        <w:t>顶层设计</w:t>
      </w:r>
      <w:bookmarkEnd w:id="162"/>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以全域城镇化为导向，优化制定乡村发展战略，对城乡融合区域和乡村地区，分批次、差异化重点推进基础设施、公共服务等方面城镇化。</w:t>
      </w:r>
    </w:p>
    <w:p>
      <w:pPr>
        <w:spacing w:line="579" w:lineRule="exact"/>
        <w:ind w:firstLine="66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优化城乡融合区域发展策略</w:t>
      </w:r>
      <w:r>
        <w:rPr>
          <w:rFonts w:hint="eastAsia" w:ascii="仿宋_GB2312" w:hAnsi="仿宋_GB2312" w:eastAsia="仿宋_GB2312" w:cs="仿宋_GB2312"/>
          <w:color w:val="auto"/>
          <w:sz w:val="32"/>
          <w:szCs w:val="32"/>
        </w:rPr>
        <w:t>。以张沙布、罗官屯、李相、柏叶、双马、苇塘等城乡融合区域为重点，根据不同村庄的发展现状、区位条件、资源禀赋分类推进更新改造，在条件成熟的区域，试点农民不离土、不离乡的就地城镇化模式，推动城市地区文体、教育、医疗等公共服务向城乡融合区域延伸。</w:t>
      </w:r>
      <w:r>
        <w:rPr>
          <w:rFonts w:hint="eastAsia" w:ascii="仿宋_GB2312" w:hAnsi="仿宋_GB2312" w:eastAsia="仿宋_GB2312" w:cs="仿宋_GB2312"/>
          <w:color w:val="auto"/>
          <w:sz w:val="32"/>
        </w:rPr>
        <w:t>加强乡村文化传承研究</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rPr>
        <w:t>保护村庄文物古迹、传统民居、自然和田园景观等整体空间形态与环境，形成新型城镇化与村庄文脉继承的良性机制。</w:t>
      </w:r>
    </w:p>
    <w:p>
      <w:pPr>
        <w:spacing w:line="579" w:lineRule="exact"/>
        <w:ind w:firstLine="660" w:firstLineChars="200"/>
        <w:rPr>
          <w:rFonts w:ascii="仿宋_GB2312" w:hAnsi="仿宋_GB2312" w:eastAsia="仿宋_GB2312" w:cs="仿宋_GB2312"/>
          <w:color w:val="auto"/>
          <w:sz w:val="32"/>
        </w:rPr>
      </w:pPr>
      <w:r>
        <w:rPr>
          <w:rFonts w:hint="eastAsia" w:ascii="仿宋_GB2312" w:hAnsi="仿宋_GB2312" w:eastAsia="仿宋_GB2312" w:cs="仿宋_GB2312"/>
          <w:b/>
          <w:bCs/>
          <w:color w:val="auto"/>
          <w:sz w:val="32"/>
          <w:szCs w:val="32"/>
        </w:rPr>
        <w:t>优化乡村地区发展策略</w:t>
      </w:r>
      <w:r>
        <w:rPr>
          <w:rFonts w:hint="eastAsia" w:ascii="仿宋_GB2312" w:hAnsi="仿宋_GB2312" w:eastAsia="仿宋_GB2312" w:cs="仿宋_GB2312"/>
          <w:color w:val="auto"/>
          <w:sz w:val="32"/>
          <w:szCs w:val="32"/>
        </w:rPr>
        <w:t>。以王滨、祝家、李相、高坎、满堂街道的乡村区域为重点，科学把握乡村特色，分类编制村庄规划。充分尊重民意有序开展土地综合整治，</w:t>
      </w:r>
      <w:r>
        <w:rPr>
          <w:rFonts w:hint="eastAsia" w:ascii="仿宋_GB2312" w:hAnsi="仿宋_GB2312" w:eastAsia="仿宋_GB2312" w:cs="仿宋_GB2312"/>
          <w:color w:val="auto"/>
          <w:sz w:val="32"/>
        </w:rPr>
        <w:t>强化产业支撑，优化环境、提振人气，保护保留乡村风貌，建设宜居宜业的美丽村庄</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rPr>
        <w:t>对于因人口流失特别严重的村庄，通过生态宜居搬迁、农村集聚发展搬迁等方式实施村庄搬迁撤并，统筹解决村民生计、生态保护等问题。</w:t>
      </w:r>
    </w:p>
    <w:p>
      <w:pPr>
        <w:pStyle w:val="31"/>
        <w:keepNext/>
        <w:spacing w:line="290" w:lineRule="exact"/>
        <w:ind w:firstLine="0" w:firstLineChars="0"/>
        <w:outlineLvl w:val="0"/>
        <w:rPr>
          <w:color w:val="auto"/>
        </w:rPr>
      </w:pPr>
    </w:p>
    <w:p>
      <w:pPr>
        <w:pStyle w:val="31"/>
        <w:numPr>
          <w:ilvl w:val="0"/>
          <w:numId w:val="10"/>
        </w:numPr>
        <w:spacing w:line="579" w:lineRule="exact"/>
        <w:ind w:firstLineChars="0"/>
        <w:jc w:val="center"/>
        <w:outlineLvl w:val="1"/>
        <w:rPr>
          <w:rFonts w:ascii="黑体" w:hAnsi="黑体" w:eastAsia="黑体" w:cs="黑体"/>
          <w:bCs/>
          <w:color w:val="auto"/>
          <w:sz w:val="32"/>
          <w:szCs w:val="32"/>
        </w:rPr>
      </w:pPr>
      <w:bookmarkStart w:id="163" w:name="_Toc55855164"/>
      <w:bookmarkStart w:id="164" w:name="_Toc59116948"/>
      <w:r>
        <w:rPr>
          <w:rFonts w:hint="eastAsia" w:ascii="黑体" w:hAnsi="黑体" w:eastAsia="黑体" w:cs="黑体"/>
          <w:bCs/>
          <w:color w:val="auto"/>
          <w:sz w:val="32"/>
          <w:szCs w:val="32"/>
        </w:rPr>
        <w:t>提升现代农业</w:t>
      </w:r>
      <w:bookmarkEnd w:id="163"/>
      <w:r>
        <w:rPr>
          <w:rFonts w:hint="eastAsia" w:ascii="黑体" w:hAnsi="黑体" w:eastAsia="黑体" w:cs="黑体"/>
          <w:bCs/>
          <w:color w:val="auto"/>
          <w:sz w:val="32"/>
          <w:szCs w:val="32"/>
        </w:rPr>
        <w:t>发展质量</w:t>
      </w:r>
      <w:bookmarkEnd w:id="164"/>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优化农业生产结构，发展特色农业、智慧农业和数字农业、休闲农业，推进农业与二三产业融合发展，加强与沈阳农业大学等校地合作，积极培育农业产业化龙头企业，丰富乡村经济业态，增强乡村振兴的内生动力。实施</w:t>
      </w:r>
      <w:r>
        <w:rPr>
          <w:rFonts w:ascii="仿宋_GB2312" w:hAnsi="仿宋_GB2312" w:eastAsia="仿宋_GB2312" w:cs="仿宋_GB2312"/>
          <w:color w:val="auto"/>
          <w:sz w:val="32"/>
          <w:szCs w:val="32"/>
        </w:rPr>
        <w:t>32</w:t>
      </w:r>
      <w:r>
        <w:rPr>
          <w:rFonts w:hint="eastAsia" w:ascii="仿宋_GB2312" w:hAnsi="仿宋_GB2312" w:eastAsia="仿宋_GB2312" w:cs="仿宋_GB2312"/>
          <w:color w:val="auto"/>
          <w:sz w:val="32"/>
          <w:szCs w:val="32"/>
        </w:rPr>
        <w:t>个“特色乡村”提升计划，形成“一村一特色”（详见图</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大力发展特色农业</w:t>
      </w:r>
      <w:r>
        <w:rPr>
          <w:rFonts w:hint="eastAsia" w:ascii="仿宋_GB2312" w:hAnsi="仿宋_GB2312" w:eastAsia="仿宋_GB2312" w:cs="仿宋_GB2312"/>
          <w:color w:val="auto"/>
          <w:sz w:val="32"/>
          <w:szCs w:val="32"/>
        </w:rPr>
        <w:t>。加大农业结构调整力度，调减玉米播种面积，发展高附加值经济作物，到2025年全区经济作物达7万亩，较“十三五”期末增长66.7%。做优沙地沟大杏、寒富苹果、品牌蓝莓等特色水果种植业，推动农产品“三标一品”认证，辐射带动周边地区种植特色水果1.5万亩。以大东北花木文旅小镇建设辐射带动李相南井、新大地花卉产业，到2025年建成投资百亿元辐射东北及内蒙古的现代花木产业园。以王滨街道为核心，发展红薯、杂粮2.5万亩，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年实现红薯产值达到</w:t>
      </w:r>
      <w:r>
        <w:rPr>
          <w:rFonts w:ascii="仿宋_GB2312" w:hAnsi="仿宋_GB2312" w:eastAsia="仿宋_GB2312" w:cs="仿宋_GB2312"/>
          <w:color w:val="auto"/>
          <w:sz w:val="32"/>
          <w:szCs w:val="32"/>
        </w:rPr>
        <w:t>1.2</w:t>
      </w:r>
      <w:r>
        <w:rPr>
          <w:rFonts w:hint="eastAsia" w:ascii="仿宋_GB2312" w:hAnsi="仿宋_GB2312" w:eastAsia="仿宋_GB2312" w:cs="仿宋_GB2312"/>
          <w:color w:val="auto"/>
          <w:sz w:val="32"/>
          <w:szCs w:val="32"/>
        </w:rPr>
        <w:t>亿元。巩固提升中草药种植面积，引进优新品种，发展中草药</w:t>
      </w:r>
      <w:r>
        <w:rPr>
          <w:rFonts w:ascii="仿宋_GB2312" w:hAnsi="仿宋_GB2312" w:eastAsia="仿宋_GB2312" w:cs="仿宋_GB2312"/>
          <w:color w:val="auto"/>
          <w:sz w:val="32"/>
          <w:szCs w:val="32"/>
        </w:rPr>
        <w:t>2.5</w:t>
      </w:r>
      <w:r>
        <w:rPr>
          <w:rFonts w:hint="eastAsia" w:ascii="仿宋_GB2312" w:hAnsi="仿宋_GB2312" w:eastAsia="仿宋_GB2312" w:cs="仿宋_GB2312"/>
          <w:color w:val="auto"/>
          <w:sz w:val="32"/>
          <w:szCs w:val="32"/>
        </w:rPr>
        <w:t>万亩，推进王滨中草药谷建设。加强对接京东、华狐等电商平台和服务机构，打造特色农产品IP，大力发展农产品直播电商、冷链物流和农产品电商物流，拓宽农产品销售渠道。延长农产品深加工产业链，完善冷库、分拣深加工等配套设施，加强运营王滨红薯淀粉厂，推动建设后康草莓果汁厂、后沟花生油厂、荒地中草药加工厂、兴盛水果罐头加工厂，推动青草沟手工酒、锶泉水等品牌化发展。加大培育农业生产、农产品加工龙头企业，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年，农业产业化龙头企业</w:t>
      </w:r>
      <w:r>
        <w:rPr>
          <w:rFonts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rPr>
        <w:t>家以上。</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着力发展智慧农业和数字农业。</w:t>
      </w:r>
      <w:r>
        <w:rPr>
          <w:rFonts w:hint="eastAsia" w:ascii="仿宋_GB2312" w:hAnsi="仿宋_GB2312" w:eastAsia="仿宋_GB2312" w:cs="仿宋_GB2312"/>
          <w:color w:val="auto"/>
          <w:sz w:val="32"/>
          <w:szCs w:val="32"/>
        </w:rPr>
        <w:t>推动“互联网+”农业行动，加速物联网、人工智能等新一代信息技术与农业融合，推动设施农业智慧化改造，实施家庭农场、种植大户智慧管理，探索农产品安全追溯，重点推动大东北花木文旅小镇等设施农业和规模化农业生产项目开展智慧农业试点示范，积极招引一批智慧农业龙头企业，建设智慧农业示范项目，打造高标准科技农业示范小镇。在祝家、王滨建立教学实践基地，围绕人才培养、科技创新、成果转化等开展合作。补齐区、街道、社区（村）农业技术推广短板，组建2至3个区域性农业技术推广机构，形成布局合理、职能优化、服务高效的农业技术推广网络。加强农业技术人才引进和培训，提升设施农业机械化和自动化水平。</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积极发展休闲农业。</w:t>
      </w:r>
      <w:r>
        <w:rPr>
          <w:rFonts w:hint="eastAsia" w:ascii="仿宋_GB2312" w:hAnsi="仿宋_GB2312" w:eastAsia="仿宋_GB2312" w:cs="仿宋_GB2312"/>
          <w:color w:val="auto"/>
          <w:sz w:val="32"/>
          <w:szCs w:val="32"/>
        </w:rPr>
        <w:t>完善沈棋线、长祝常富线、沈李线等三条都市休闲农业线路，</w:t>
      </w:r>
      <w:r>
        <w:rPr>
          <w:rFonts w:hint="eastAsia" w:eastAsia="仿宋_GB2312" w:cs="仿宋_GB2312"/>
          <w:color w:val="auto"/>
          <w:sz w:val="32"/>
          <w:szCs w:val="32"/>
        </w:rPr>
        <w:t>策划打造一批符合乡村环境特点的观光农业、采摘农业、认领农业、共享农业等</w:t>
      </w:r>
      <w:r>
        <w:rPr>
          <w:rFonts w:hint="eastAsia" w:ascii="仿宋_GB2312" w:hAnsi="仿宋_GB2312" w:eastAsia="仿宋_GB2312" w:cs="仿宋_GB2312"/>
          <w:color w:val="auto"/>
          <w:sz w:val="32"/>
          <w:szCs w:val="32"/>
        </w:rPr>
        <w:t>田园综合体、采摘园、休闲农业园、特色农家乐、精品民宿及</w:t>
      </w:r>
      <w:r>
        <w:rPr>
          <w:rFonts w:hint="eastAsia" w:eastAsia="仿宋_GB2312" w:cs="仿宋_GB2312"/>
          <w:color w:val="auto"/>
          <w:sz w:val="32"/>
          <w:szCs w:val="32"/>
        </w:rPr>
        <w:t>农商旅融合项目</w:t>
      </w:r>
      <w:r>
        <w:rPr>
          <w:rFonts w:hint="eastAsia" w:ascii="仿宋_GB2312" w:hAnsi="仿宋_GB2312" w:eastAsia="仿宋_GB2312" w:cs="仿宋_GB2312"/>
          <w:color w:val="auto"/>
          <w:sz w:val="32"/>
          <w:szCs w:val="32"/>
        </w:rPr>
        <w:t>，打造一批市民休闲精品“打卡地”，到2025年休闲农业点位150家。围绕沈棋线建设提升十里画廊、十里芳华民宿综合体、华夏民俗村、甜果驿站农乐园、宏硕采摘园等重点项目。围绕长祝常富线，推进祝家全域旅游开发，建设提升大东北花木文旅小镇、风车谷童话小镇、魏家沟田园综合体、哈雷青山农场、省农博会会展中心、祝家百年大集等重点项目；争取省马术协会落户，提升4个马术俱乐部运营能力，修建</w:t>
      </w:r>
      <w:r>
        <w:rPr>
          <w:rFonts w:ascii="仿宋_GB2312" w:hAnsi="仿宋_GB2312" w:eastAsia="仿宋_GB2312" w:cs="仿宋_GB2312"/>
          <w:color w:val="auto"/>
          <w:sz w:val="32"/>
          <w:szCs w:val="32"/>
        </w:rPr>
        <w:t>200</w:t>
      </w:r>
      <w:r>
        <w:rPr>
          <w:rFonts w:hint="eastAsia" w:ascii="仿宋_GB2312" w:hAnsi="仿宋_GB2312" w:eastAsia="仿宋_GB2312" w:cs="仿宋_GB2312"/>
          <w:color w:val="auto"/>
          <w:sz w:val="32"/>
          <w:szCs w:val="32"/>
        </w:rPr>
        <w:t>公里马术耐力赛道，每年举办3-</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场马术赛事；围绕辽宁省体育局柏叶训练基地，建设自行车景观道和专业赛道。围绕沈李线建设提升王士兰生态园、满族民俗村等重点项目。推动乡村休闲旅游与棋盘山旅游度假区、中华寺景区、朝阳寺、陨石山地质公园等充分融合发展。</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加强农田基础设施改造</w:t>
      </w:r>
      <w:r>
        <w:rPr>
          <w:rFonts w:hint="eastAsia" w:ascii="仿宋_GB2312" w:hAnsi="仿宋_GB2312" w:eastAsia="仿宋_GB2312" w:cs="仿宋_GB2312"/>
          <w:color w:val="auto"/>
          <w:sz w:val="32"/>
          <w:szCs w:val="32"/>
        </w:rPr>
        <w:t>。加强高标准农田建设，严守耕地保护红线,稳定粮食生产，提高粮食综合产能，每年计划建设0</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至</w:t>
      </w:r>
      <w:r>
        <w:rPr>
          <w:rFonts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rPr>
        <w:t>万亩高标准农田。继续实施“黑土地”计划，每年实施保护性耕作3万亩。加快土地流转速度，在国家政策允许范围内，实施全域性农田整治，山水田园路综合规划，腾挪形成产业发展空间。提升设施农业生产发展水平，到2025年设施农业智慧化率达到70%。开展土壤肥力、田间道路、灌溉能力、新品种推广、品牌建设五个方面标准提升工作，加大7万亩大豆保护区基础设施建设。推行农业种植品种选育、田间管理、加工等环节标准化生产，到2025年全区农业标准化生产覆盖率达75%。</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推进农业绿色发展</w:t>
      </w:r>
      <w:r>
        <w:rPr>
          <w:rFonts w:hint="eastAsia" w:ascii="仿宋_GB2312" w:hAnsi="仿宋_GB2312" w:eastAsia="仿宋_GB2312" w:cs="仿宋_GB2312"/>
          <w:color w:val="auto"/>
          <w:sz w:val="32"/>
          <w:szCs w:val="32"/>
        </w:rPr>
        <w:t>。实施化肥零增长行动，推广缓释肥，提高农家肥和有机肥施用量，改善施肥方式，推广测土配方施肥技术。运用化学诱控、生物防治、科学用药等防控措施，确保农药使用零增长。加强畜禽养殖粪污治理，取缔浑河、白塔堡河等河流两岸畜禽养殖，鼓励标准化规模养殖场发展。加强秸秆污染综合治理，到2025年秸秆肥料化、能源化、饲料化综合利用率93%，秸秆离田率100%。</w:t>
      </w:r>
    </w:p>
    <w:p>
      <w:pPr>
        <w:pStyle w:val="31"/>
        <w:keepNext/>
        <w:spacing w:line="290" w:lineRule="exact"/>
        <w:ind w:firstLine="0" w:firstLineChars="0"/>
        <w:outlineLvl w:val="0"/>
        <w:rPr>
          <w:color w:val="auto"/>
        </w:rPr>
      </w:pPr>
    </w:p>
    <w:p>
      <w:pPr>
        <w:pStyle w:val="31"/>
        <w:numPr>
          <w:ilvl w:val="0"/>
          <w:numId w:val="10"/>
        </w:numPr>
        <w:spacing w:line="579" w:lineRule="exact"/>
        <w:ind w:firstLineChars="0"/>
        <w:jc w:val="center"/>
        <w:outlineLvl w:val="1"/>
        <w:rPr>
          <w:rFonts w:ascii="黑体" w:hAnsi="黑体" w:eastAsia="黑体" w:cs="黑体"/>
          <w:bCs/>
          <w:color w:val="auto"/>
          <w:sz w:val="32"/>
          <w:szCs w:val="32"/>
        </w:rPr>
      </w:pPr>
      <w:bookmarkStart w:id="165" w:name="_Toc55855165"/>
      <w:bookmarkStart w:id="166" w:name="_Toc59116949"/>
      <w:r>
        <w:rPr>
          <w:rFonts w:hint="eastAsia" w:ascii="黑体" w:hAnsi="黑体" w:eastAsia="黑体" w:cs="黑体"/>
          <w:bCs/>
          <w:color w:val="auto"/>
          <w:sz w:val="32"/>
          <w:szCs w:val="32"/>
        </w:rPr>
        <w:t>提升乡村建设水平</w:t>
      </w:r>
      <w:bookmarkEnd w:id="165"/>
      <w:bookmarkEnd w:id="166"/>
    </w:p>
    <w:p>
      <w:pPr>
        <w:pStyle w:val="31"/>
        <w:keepNext/>
        <w:spacing w:line="290" w:lineRule="exact"/>
        <w:ind w:firstLine="0" w:firstLineChars="0"/>
        <w:outlineLvl w:val="0"/>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eastAsia="仿宋_GB2312" w:cs="仿宋_GB2312"/>
          <w:color w:val="auto"/>
          <w:sz w:val="32"/>
          <w:szCs w:val="32"/>
        </w:rPr>
        <w:t>积极实施全域城镇化，推动水、电、气、热等基础设施向农村无差别延伸，加强基本公共服务和社会保障，</w:t>
      </w:r>
      <w:r>
        <w:rPr>
          <w:rFonts w:hint="eastAsia" w:ascii="仿宋_GB2312" w:hAnsi="仿宋_GB2312" w:eastAsia="仿宋_GB2312" w:cs="仿宋_GB2312"/>
          <w:color w:val="auto"/>
          <w:sz w:val="32"/>
          <w:szCs w:val="32"/>
        </w:rPr>
        <w:t>持续改善农村人居环境，</w:t>
      </w:r>
      <w:r>
        <w:rPr>
          <w:rFonts w:hint="eastAsia" w:eastAsia="仿宋_GB2312" w:cs="仿宋_GB2312"/>
          <w:color w:val="auto"/>
          <w:sz w:val="32"/>
          <w:szCs w:val="32"/>
        </w:rPr>
        <w:t>建设美丽乡村。</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推动农村基础设施提档升级。</w:t>
      </w:r>
      <w:r>
        <w:rPr>
          <w:rFonts w:hint="eastAsia" w:ascii="仿宋_GB2312" w:hAnsi="仿宋_GB2312" w:eastAsia="仿宋_GB2312" w:cs="仿宋_GB2312"/>
          <w:color w:val="auto"/>
          <w:sz w:val="32"/>
          <w:szCs w:val="32"/>
        </w:rPr>
        <w:t>推进“四好农村路”建设，按照年均不低于农村公路总里程7%的规模实施农村公路维修改造工程，完善农村</w:t>
      </w:r>
      <w:r>
        <w:rPr>
          <w:rFonts w:ascii="仿宋_GB2312" w:hAnsi="仿宋_GB2312" w:eastAsia="仿宋_GB2312" w:cs="仿宋_GB2312"/>
          <w:color w:val="auto"/>
          <w:sz w:val="32"/>
          <w:szCs w:val="32"/>
        </w:rPr>
        <w:t>地区</w:t>
      </w:r>
      <w:r>
        <w:rPr>
          <w:rFonts w:hint="eastAsia" w:ascii="仿宋_GB2312" w:hAnsi="仿宋_GB2312" w:eastAsia="仿宋_GB2312" w:cs="仿宋_GB2312"/>
          <w:color w:val="auto"/>
          <w:sz w:val="32"/>
          <w:szCs w:val="32"/>
        </w:rPr>
        <w:t>交通运输网络。推动城市公交线路向农村地区进一步延伸。实施农田水利设施提质升级工程，改造提升农村饮水安全工程，保证农民喝上安全水、放心水。推动农村能源设施网络体系建设，提高农村清洁能源自给率和消费比重，加快生物质供热、规模化生物质燃气、规模化大型沼气等技术推广。加大电网改造力度，实现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kV线路全覆盖。提升新一代农村信息基础设施建设，提高农村光纤宽带接入能力，实施信息进村入户工程，深化农业农村大数据创新应用，推广远程教育、远程医疗、金融服务进村等信息服务。</w:t>
      </w:r>
    </w:p>
    <w:p>
      <w:pPr>
        <w:spacing w:line="579" w:lineRule="exact"/>
        <w:ind w:firstLine="660" w:firstLineChars="200"/>
        <w:rPr>
          <w:rFonts w:eastAsia="仿宋_GB2312" w:cs="仿宋_GB2312"/>
          <w:color w:val="auto"/>
          <w:sz w:val="32"/>
          <w:szCs w:val="32"/>
        </w:rPr>
      </w:pPr>
      <w:r>
        <w:rPr>
          <w:rFonts w:hint="eastAsia" w:ascii="仿宋_GB2312" w:hAnsi="仿宋_GB2312" w:eastAsia="仿宋_GB2312" w:cs="仿宋_GB2312"/>
          <w:b/>
          <w:color w:val="auto"/>
          <w:sz w:val="32"/>
          <w:szCs w:val="32"/>
        </w:rPr>
        <w:t>持续改善农村人居环境。</w:t>
      </w:r>
      <w:r>
        <w:rPr>
          <w:rFonts w:hint="eastAsia" w:ascii="仿宋_GB2312" w:hAnsi="仿宋_GB2312" w:eastAsia="仿宋_GB2312" w:cs="仿宋_GB2312"/>
          <w:bCs/>
          <w:color w:val="auto"/>
          <w:sz w:val="32"/>
          <w:szCs w:val="32"/>
        </w:rPr>
        <w:t>推进村庄绿化美化，</w:t>
      </w:r>
      <w:r>
        <w:rPr>
          <w:rFonts w:hint="eastAsia" w:ascii="仿宋_GB2312" w:hAnsi="仿宋_GB2312" w:eastAsia="仿宋_GB2312" w:cs="仿宋_GB2312"/>
          <w:color w:val="auto"/>
          <w:sz w:val="32"/>
          <w:szCs w:val="32"/>
        </w:rPr>
        <w:t>开展老屋改造、墙面粉饰等村庄美化工程</w:t>
      </w:r>
      <w:r>
        <w:rPr>
          <w:rFonts w:hint="eastAsia" w:ascii="仿宋_GB2312" w:hAnsi="仿宋_GB2312" w:eastAsia="仿宋_GB2312" w:cs="仿宋_GB2312"/>
          <w:bCs/>
          <w:color w:val="auto"/>
          <w:sz w:val="32"/>
          <w:szCs w:val="32"/>
        </w:rPr>
        <w:t>，实施道路硬化、</w:t>
      </w:r>
      <w:r>
        <w:rPr>
          <w:rFonts w:hint="eastAsia" w:ascii="仿宋_GB2312" w:hAnsi="仿宋_GB2312" w:eastAsia="仿宋_GB2312" w:cs="仿宋_GB2312"/>
          <w:color w:val="auto"/>
          <w:sz w:val="32"/>
          <w:szCs w:val="32"/>
        </w:rPr>
        <w:t>路灯亮化。</w:t>
      </w:r>
      <w:r>
        <w:rPr>
          <w:rFonts w:hint="eastAsia" w:ascii="仿宋_GB2312" w:hAnsi="仿宋_GB2312" w:eastAsia="仿宋_GB2312" w:cs="仿宋_GB2312"/>
          <w:bCs/>
          <w:color w:val="auto"/>
          <w:sz w:val="32"/>
          <w:szCs w:val="32"/>
        </w:rPr>
        <w:t>持续推进村庄清洁行动、农村厕所革命、农村生活垃圾治理、农作物残留物集中处理，</w:t>
      </w:r>
      <w:r>
        <w:rPr>
          <w:rFonts w:hint="eastAsia" w:ascii="仿宋_GB2312" w:hAnsi="仿宋_GB2312" w:eastAsia="仿宋_GB2312" w:cs="仿宋_GB2312"/>
          <w:color w:val="auto"/>
          <w:sz w:val="32"/>
          <w:szCs w:val="32"/>
        </w:rPr>
        <w:t>不断提升村屯卫生环境，到2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年农村生活垃圾处置体系实现全覆盖。</w:t>
      </w:r>
      <w:r>
        <w:rPr>
          <w:rFonts w:hint="eastAsia" w:ascii="仿宋_GB2312" w:hAnsi="仿宋_GB2312" w:eastAsia="仿宋_GB2312" w:cs="仿宋_GB2312"/>
          <w:bCs/>
          <w:color w:val="auto"/>
          <w:sz w:val="32"/>
          <w:szCs w:val="32"/>
        </w:rPr>
        <w:t>推动农村生活污水治理，重点加大对农村地区黑臭水体治理。推动畜禽养殖废弃物资源化利用，有效减少环境污染。</w:t>
      </w:r>
      <w:r>
        <w:rPr>
          <w:rFonts w:hint="eastAsia" w:ascii="仿宋_GB2312" w:hAnsi="仿宋_GB2312" w:eastAsia="仿宋_GB2312" w:cs="仿宋_GB2312"/>
          <w:color w:val="auto"/>
          <w:sz w:val="32"/>
          <w:szCs w:val="32"/>
        </w:rPr>
        <w:t>保护培育东南山区森林资源，开展植树造林，提高森林覆盖率。</w:t>
      </w:r>
      <w:r>
        <w:rPr>
          <w:rFonts w:hint="eastAsia" w:eastAsia="仿宋_GB2312" w:cs="仿宋_GB2312"/>
          <w:color w:val="auto"/>
          <w:sz w:val="32"/>
          <w:szCs w:val="32"/>
        </w:rPr>
        <w:t>到2</w:t>
      </w:r>
      <w:r>
        <w:rPr>
          <w:rFonts w:eastAsia="仿宋_GB2312" w:cs="仿宋_GB2312"/>
          <w:color w:val="auto"/>
          <w:sz w:val="32"/>
          <w:szCs w:val="32"/>
        </w:rPr>
        <w:t>025</w:t>
      </w:r>
      <w:r>
        <w:rPr>
          <w:rFonts w:hint="eastAsia" w:eastAsia="仿宋_GB2312" w:cs="仿宋_GB2312"/>
          <w:color w:val="auto"/>
          <w:sz w:val="32"/>
          <w:szCs w:val="32"/>
        </w:rPr>
        <w:t>年，美丽示范村达到</w:t>
      </w:r>
      <w:r>
        <w:rPr>
          <w:rFonts w:eastAsia="仿宋_GB2312" w:cs="仿宋_GB2312"/>
          <w:color w:val="auto"/>
          <w:sz w:val="32"/>
          <w:szCs w:val="32"/>
        </w:rPr>
        <w:t>70</w:t>
      </w:r>
      <w:r>
        <w:rPr>
          <w:rFonts w:hint="eastAsia" w:eastAsia="仿宋_GB2312" w:cs="仿宋_GB2312"/>
          <w:color w:val="auto"/>
          <w:sz w:val="32"/>
          <w:szCs w:val="32"/>
        </w:rPr>
        <w:t>个以上。</w:t>
      </w:r>
    </w:p>
    <w:p>
      <w:pPr>
        <w:pStyle w:val="31"/>
        <w:keepNext/>
        <w:spacing w:line="290" w:lineRule="exact"/>
        <w:ind w:firstLine="0" w:firstLineChars="0"/>
        <w:outlineLvl w:val="0"/>
        <w:rPr>
          <w:color w:val="auto"/>
        </w:rPr>
      </w:pPr>
    </w:p>
    <w:p>
      <w:pPr>
        <w:pStyle w:val="31"/>
        <w:numPr>
          <w:ilvl w:val="0"/>
          <w:numId w:val="10"/>
        </w:numPr>
        <w:spacing w:line="579" w:lineRule="exact"/>
        <w:ind w:firstLineChars="0"/>
        <w:jc w:val="center"/>
        <w:outlineLvl w:val="1"/>
        <w:rPr>
          <w:rFonts w:ascii="黑体" w:hAnsi="黑体" w:eastAsia="黑体" w:cs="黑体"/>
          <w:bCs/>
          <w:color w:val="auto"/>
          <w:sz w:val="32"/>
          <w:szCs w:val="32"/>
        </w:rPr>
      </w:pPr>
      <w:bookmarkStart w:id="167" w:name="_Toc59116950"/>
      <w:bookmarkStart w:id="168" w:name="_Toc55855166"/>
      <w:r>
        <w:rPr>
          <w:rFonts w:hint="eastAsia" w:ascii="黑体" w:hAnsi="黑体" w:eastAsia="黑体" w:cs="黑体"/>
          <w:bCs/>
          <w:color w:val="auto"/>
          <w:sz w:val="32"/>
          <w:szCs w:val="32"/>
        </w:rPr>
        <w:t>深化农村综合改革</w:t>
      </w:r>
      <w:bookmarkEnd w:id="167"/>
      <w:bookmarkEnd w:id="168"/>
    </w:p>
    <w:p>
      <w:pPr>
        <w:pStyle w:val="31"/>
        <w:keepNext/>
        <w:spacing w:line="290" w:lineRule="exact"/>
        <w:ind w:firstLine="0" w:firstLineChars="0"/>
        <w:outlineLvl w:val="0"/>
        <w:rPr>
          <w:color w:val="auto"/>
        </w:rPr>
      </w:pPr>
    </w:p>
    <w:p>
      <w:pPr>
        <w:spacing w:line="579" w:lineRule="exact"/>
        <w:ind w:firstLine="660" w:firstLineChars="200"/>
        <w:rPr>
          <w:rFonts w:eastAsia="仿宋_GB2312" w:cs="仿宋_GB2312"/>
          <w:color w:val="auto"/>
          <w:sz w:val="32"/>
          <w:szCs w:val="32"/>
        </w:rPr>
      </w:pPr>
      <w:r>
        <w:rPr>
          <w:rFonts w:hint="eastAsia" w:eastAsia="仿宋_GB2312" w:cs="仿宋_GB2312"/>
          <w:color w:val="auto"/>
          <w:sz w:val="32"/>
          <w:szCs w:val="32"/>
        </w:rPr>
        <w:t>建立健全城乡融合发展机制，积极探索宅基地、农房的市场化利用，推动城乡要素平等交换、双向流动，优化乡村治理体制，增强农业农村发展活力。</w:t>
      </w: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推进农业农村改革。</w:t>
      </w:r>
      <w:r>
        <w:rPr>
          <w:rFonts w:hint="eastAsia" w:ascii="仿宋_GB2312" w:hAnsi="仿宋_GB2312" w:eastAsia="仿宋_GB2312" w:cs="仿宋_GB2312"/>
          <w:bCs/>
          <w:color w:val="auto"/>
          <w:sz w:val="32"/>
          <w:szCs w:val="32"/>
        </w:rPr>
        <w:t>以探索宅基地所有权、资格权、使用权“三权分置”为重点，进一步深化农村宅基地制度改革，规范宅基地管理，盘活利用农村闲置宅基地。满足农民务农需要，探索就地城镇化模式，就近改善农民居住条件和人居环境。推进经营性资产股份合作制改革，确保集体经济发展成果惠及本集体所有成员。推广东湖街道“资源变资产、资金变股金、农民变股东”的“三变”改革经验，出台集体建设用地入市、开发利用相关实施细则，盘活农村集体资产。鼓励国资企业、重点农业产业化龙头企业参与土地流转，开展规模化生产。支持发展壮大村集体经济，重点探索发展设施农业、农产品加工、生态旅游等业态。探索民宿项目开办许可制度，建立审批流程，推动民宿产业发展。</w:t>
      </w:r>
    </w:p>
    <w:p>
      <w:pPr>
        <w:spacing w:line="579" w:lineRule="exact"/>
        <w:ind w:firstLine="660" w:firstLineChars="200"/>
        <w:rPr>
          <w:rFonts w:eastAsia="仿宋_GB2312" w:cs="仿宋_GB2312"/>
          <w:color w:val="auto"/>
          <w:sz w:val="32"/>
          <w:szCs w:val="32"/>
        </w:rPr>
        <w:sectPr>
          <w:pgSz w:w="11906" w:h="16838"/>
          <w:pgMar w:top="2098" w:right="1474" w:bottom="1985" w:left="1588" w:header="851" w:footer="992" w:gutter="0"/>
          <w:cols w:space="425" w:num="1"/>
          <w:docGrid w:type="linesAndChars" w:linePitch="299" w:charSpace="2048"/>
        </w:sectPr>
      </w:pPr>
      <w:r>
        <w:rPr>
          <w:rFonts w:hint="eastAsia" w:eastAsia="仿宋_GB2312" w:cs="仿宋_GB2312"/>
          <w:b/>
          <w:bCs/>
          <w:color w:val="auto"/>
          <w:sz w:val="32"/>
          <w:szCs w:val="32"/>
        </w:rPr>
        <w:t>优化乡村治理体制。</w:t>
      </w:r>
      <w:r>
        <w:rPr>
          <w:rFonts w:hint="eastAsia" w:eastAsia="仿宋_GB2312" w:cs="仿宋_GB2312"/>
          <w:color w:val="auto"/>
          <w:sz w:val="32"/>
          <w:szCs w:val="32"/>
        </w:rPr>
        <w:t>健全党组织领导下的乡村治理体系，坚持农村基层党组织领导地位不动摇。发展壮大村级集体经济，以社区（村）为单位研究制定发展壮大村级集体经济规划，开展消除集体经济“空壳村”提升薄弱村行动。依法依章选优配强村（居）委会班子、“两委”班子成员，健全下设委员会，全面实现书记、主任“一肩挑”。夯实村级组织经费保障，全面实施村级事务阳光工程。积极开展法治乡村建设，以街道、社区（村）为依托，建立10家公共法律服务站，218家公共法律服务室。开展平安乡村建设，加强诉源治理，畅通和规范群众诉求表达、利益协调、权益保障通道。完善社会矛盾多元预防调处化解综合机制，以“评理说事点”建设为契机，推进专业化调解工作“关口”前移、“触手”延伸，努力将矛盾化解在基层。加强农村安全生产、应急、食药品、交通、消防等安全管理。</w:t>
      </w:r>
    </w:p>
    <w:p>
      <w:pPr>
        <w:pStyle w:val="2"/>
        <w:spacing w:line="579" w:lineRule="exact"/>
        <w:jc w:val="center"/>
        <w:rPr>
          <w:color w:val="auto"/>
        </w:rPr>
      </w:pPr>
      <w:r>
        <w:rPr>
          <w:color w:val="auto"/>
        </w:rPr>
        <w:drawing>
          <wp:anchor distT="0" distB="0" distL="114300" distR="114300" simplePos="0" relativeHeight="251660288" behindDoc="0" locked="0" layoutInCell="1" allowOverlap="1">
            <wp:simplePos x="0" y="0"/>
            <wp:positionH relativeFrom="margin">
              <wp:posOffset>-537845</wp:posOffset>
            </wp:positionH>
            <wp:positionV relativeFrom="margin">
              <wp:posOffset>-201930</wp:posOffset>
            </wp:positionV>
            <wp:extent cx="6299835" cy="875284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b="1816"/>
                    <a:stretch>
                      <a:fillRect/>
                    </a:stretch>
                  </pic:blipFill>
                  <pic:spPr>
                    <a:xfrm>
                      <a:off x="0" y="0"/>
                      <a:ext cx="6300000" cy="8752660"/>
                    </a:xfrm>
                    <a:prstGeom prst="rect">
                      <a:avLst/>
                    </a:prstGeom>
                    <a:noFill/>
                    <a:ln>
                      <a:noFill/>
                    </a:ln>
                  </pic:spPr>
                </pic:pic>
              </a:graphicData>
            </a:graphic>
          </wp:anchor>
        </w:drawing>
      </w:r>
      <w:r>
        <w:rPr>
          <w:rFonts w:hint="eastAsia" w:ascii="宋体" w:hAnsi="宋体" w:cs="仿宋"/>
          <w:b/>
          <w:bCs/>
          <w:color w:val="auto"/>
          <w:sz w:val="32"/>
        </w:rPr>
        <w:t>图</w:t>
      </w:r>
      <w:r>
        <w:rPr>
          <w:rFonts w:ascii="宋体" w:hAnsi="宋体" w:cs="仿宋"/>
          <w:b/>
          <w:bCs/>
          <w:color w:val="auto"/>
          <w:sz w:val="32"/>
        </w:rPr>
        <w:t xml:space="preserve">3 </w:t>
      </w:r>
      <w:r>
        <w:rPr>
          <w:rFonts w:hint="eastAsia" w:ascii="宋体" w:hAnsi="宋体" w:cs="仿宋"/>
          <w:b/>
          <w:bCs/>
          <w:color w:val="auto"/>
          <w:sz w:val="32"/>
        </w:rPr>
        <w:t>浑南区“十四五”特色乡村布局示意图</w:t>
      </w:r>
    </w:p>
    <w:p>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pPr>
        <w:keepNext/>
        <w:spacing w:line="290" w:lineRule="exact"/>
        <w:outlineLvl w:val="0"/>
        <w:rPr>
          <w:rFonts w:ascii="宋体" w:hAnsi="宋体" w:cs="宋体"/>
          <w:b/>
          <w:color w:val="auto"/>
          <w:sz w:val="44"/>
          <w:szCs w:val="44"/>
        </w:rPr>
      </w:pPr>
      <w:bookmarkStart w:id="169" w:name="_Toc59116951"/>
    </w:p>
    <w:p>
      <w:pPr>
        <w:keepNext/>
        <w:spacing w:line="579" w:lineRule="exact"/>
        <w:jc w:val="center"/>
        <w:outlineLvl w:val="0"/>
        <w:rPr>
          <w:rFonts w:ascii="宋体" w:hAnsi="宋体" w:cs="宋体"/>
          <w:b/>
          <w:color w:val="auto"/>
          <w:sz w:val="44"/>
          <w:szCs w:val="44"/>
        </w:rPr>
      </w:pPr>
      <w:r>
        <w:rPr>
          <w:rFonts w:hint="eastAsia" w:ascii="宋体" w:hAnsi="宋体" w:cs="宋体"/>
          <w:b/>
          <w:color w:val="auto"/>
          <w:sz w:val="44"/>
          <w:szCs w:val="44"/>
        </w:rPr>
        <w:t>第十一章 加强生态文明建设与环境保护</w:t>
      </w:r>
      <w:bookmarkEnd w:id="169"/>
    </w:p>
    <w:p>
      <w:pPr>
        <w:keepNext/>
        <w:spacing w:line="290" w:lineRule="exact"/>
        <w:outlineLvl w:val="0"/>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贯彻总书记“绿水青山就是金山银山”理念，加强生态文明建设，推进棋盘山地区、一河两岸、东南山区等重点区域生态环境综合治理，着力解决城镇污染、农村污染、工业污染等环境问题，加快形成绿色发展方式，打造青山、碧水、蓝天、净土的高品质生活环境，让城市融入大自然，让居民望得见山、看得见水、记得住乡愁。</w:t>
      </w:r>
    </w:p>
    <w:p>
      <w:pPr>
        <w:keepNext/>
        <w:spacing w:line="290" w:lineRule="exact"/>
        <w:outlineLvl w:val="0"/>
        <w:rPr>
          <w:color w:val="auto"/>
        </w:rPr>
      </w:pPr>
    </w:p>
    <w:p>
      <w:pPr>
        <w:pStyle w:val="31"/>
        <w:numPr>
          <w:ilvl w:val="0"/>
          <w:numId w:val="11"/>
        </w:numPr>
        <w:spacing w:line="579" w:lineRule="exact"/>
        <w:ind w:firstLineChars="0"/>
        <w:jc w:val="center"/>
        <w:outlineLvl w:val="1"/>
        <w:rPr>
          <w:rFonts w:ascii="黑体" w:hAnsi="黑体" w:eastAsia="黑体" w:cs="黑体"/>
          <w:bCs/>
          <w:color w:val="auto"/>
          <w:sz w:val="32"/>
          <w:szCs w:val="32"/>
        </w:rPr>
      </w:pPr>
      <w:r>
        <w:rPr>
          <w:color w:val="auto"/>
        </w:rPr>
        <w:fldChar w:fldCharType="begin"/>
      </w:r>
      <w:r>
        <w:rPr>
          <w:color w:val="auto"/>
        </w:rPr>
        <w:instrText xml:space="preserve"> HYPERLINK \l "_Toc13905" </w:instrText>
      </w:r>
      <w:r>
        <w:rPr>
          <w:color w:val="auto"/>
        </w:rPr>
        <w:fldChar w:fldCharType="separate"/>
      </w:r>
      <w:bookmarkStart w:id="170" w:name="_Toc59116952"/>
      <w:r>
        <w:rPr>
          <w:rFonts w:hint="eastAsia" w:ascii="黑体" w:hAnsi="黑体" w:eastAsia="黑体" w:cs="黑体"/>
          <w:bCs/>
          <w:color w:val="auto"/>
          <w:sz w:val="32"/>
          <w:szCs w:val="32"/>
        </w:rPr>
        <w:t>加强生态保护和修复</w:t>
      </w:r>
      <w:bookmarkEnd w:id="170"/>
      <w:r>
        <w:rPr>
          <w:rFonts w:hint="eastAsia" w:ascii="黑体" w:hAnsi="黑体" w:eastAsia="黑体" w:cs="黑体"/>
          <w:bCs/>
          <w:color w:val="auto"/>
          <w:sz w:val="32"/>
          <w:szCs w:val="32"/>
        </w:rPr>
        <w:fldChar w:fldCharType="end"/>
      </w:r>
    </w:p>
    <w:p>
      <w:pPr>
        <w:keepNext/>
        <w:spacing w:line="290" w:lineRule="exact"/>
        <w:outlineLvl w:val="0"/>
        <w:rPr>
          <w:color w:val="auto"/>
        </w:rPr>
      </w:pPr>
    </w:p>
    <w:p>
      <w:pPr>
        <w:spacing w:line="579" w:lineRule="exact"/>
        <w:ind w:firstLine="66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以改善生态环境质量为核心，以保障和维护生态功能为主线，加强生态文明建设，推进重点区域生态环境综合治理，完善环境基础设施建设，完善森林生态功能。</w:t>
      </w:r>
      <w:r>
        <w:rPr>
          <w:rFonts w:hint="eastAsia" w:ascii="仿宋_GB2312" w:hAnsi="仿宋_GB2312" w:eastAsia="仿宋_GB2312" w:cs="仿宋_GB2312"/>
          <w:color w:val="auto"/>
          <w:sz w:val="32"/>
          <w:szCs w:val="32"/>
          <w:lang w:eastAsia="zh-CN"/>
        </w:rPr>
        <w:t>鼓励支持社会资本参与区域生态保护和修复。</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加强生态文明建设。</w:t>
      </w:r>
      <w:r>
        <w:rPr>
          <w:rFonts w:hint="eastAsia" w:ascii="仿宋_GB2312" w:hAnsi="仿宋_GB2312" w:eastAsia="仿宋_GB2312" w:cs="仿宋_GB2312"/>
          <w:color w:val="auto"/>
          <w:sz w:val="32"/>
          <w:szCs w:val="32"/>
        </w:rPr>
        <w:t>开展生态文明制度体系建设，构建生态环保责任体系和考核体系，加强中央环保督察整改落实，持续改善生态环境质量。深入生态文明宣传教育，积极通过媒体渠道增强教育广度，增强全民节约意识、环保意识、生态意识，形成合理消费的社会风尚，营造爱护生态环境的良好风气。建立环境信息公开透明制度，持续完善社会监督制度，健全公众参与机制，维护公众环境权益。</w:t>
      </w: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加强重点区域生态环境综合治理</w:t>
      </w:r>
      <w:r>
        <w:rPr>
          <w:rFonts w:hint="eastAsia" w:ascii="仿宋_GB2312" w:hAnsi="仿宋_GB2312" w:eastAsia="仿宋_GB2312" w:cs="仿宋_GB2312"/>
          <w:bCs/>
          <w:color w:val="auto"/>
          <w:sz w:val="32"/>
          <w:szCs w:val="32"/>
        </w:rPr>
        <w:t>。坚持生态优先战略，推进棋盘山地区开发建设，加大生态类项目建设力度，加强森林生态和秀湖水环境监测和保护工作，全面推动域内景区环境质量提质升级。围绕“一河两岸”加速滨水景观带建设，大力推进奥林匹克生态公园等重点项目建设，加快两岸绿化景观建设。依托东南山区发展以保护性耕种为主的绿色农业，实施化肥、农药零增长行动，协调运用理化诱控、生物防治、科学用药等防控措施，完善农膜收回利用体系，积极开展畜禽养殖粪污治理和秸秆污染综合治理。</w:t>
      </w: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完善环境基础设施建设。</w:t>
      </w:r>
      <w:r>
        <w:rPr>
          <w:rFonts w:hint="eastAsia" w:ascii="仿宋_GB2312" w:hAnsi="仿宋_GB2312" w:eastAsia="仿宋_GB2312" w:cs="仿宋_GB2312"/>
          <w:bCs/>
          <w:color w:val="auto"/>
          <w:sz w:val="32"/>
          <w:szCs w:val="32"/>
        </w:rPr>
        <w:t>推进空间、总量、准入环境管理，健全生态保护红线、环境质量底线、资源利用上线和生态环境准入清单“三线一单”。建立自然生态空间用途管制制度，推进自然资源生态空间统一确权登记。加强城市污水收集系统、集中供热（气）以及清洁能源供给等基础设施建设。加快提升产业园区环境基础设施供给和规范化水平，提高产业园区环境监测监控能力。在生物医药产业集聚区，规划布局医疗废弃物处置配套设施。</w:t>
      </w: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优化森林生态功能。</w:t>
      </w:r>
      <w:r>
        <w:rPr>
          <w:rFonts w:hint="eastAsia" w:ascii="仿宋_GB2312" w:hAnsi="仿宋_GB2312" w:eastAsia="仿宋_GB2312" w:cs="仿宋_GB2312"/>
          <w:bCs/>
          <w:color w:val="auto"/>
          <w:sz w:val="32"/>
          <w:szCs w:val="32"/>
        </w:rPr>
        <w:t>重点针对棋盘山地区、东南山区，深入实施青山工程、国土绿化提升工程、重点生态功能区保护与恢复工程。加快智慧林业建设，提升林政执法、森林防火和森林病虫害防治水平，加大森林防火监督检查力度。加强古树名木保护，监督相关管护单位落实管护责任。保护和发展地带性生物，开展就地保护、迁地保护和引繁育珍稀植物和野生动物，设置珍稀濒危动植物监测点、野生动物驯养繁殖基地和野生动物救助站。</w:t>
      </w:r>
      <w:r>
        <w:rPr>
          <w:rFonts w:hint="eastAsia" w:ascii="仿宋_GB2312" w:hAnsi="仿宋_GB2312" w:eastAsia="仿宋_GB2312" w:cs="仿宋_GB2312"/>
          <w:color w:val="auto"/>
          <w:sz w:val="32"/>
          <w:szCs w:val="32"/>
        </w:rPr>
        <w:t>按照“绿水村边合、青山郭外斜”的绿化目标，实施宜林地、难造林地、无立木林地、林间隙地及林缘200米坡耕地造林，全面提高森林覆盖率。</w:t>
      </w:r>
      <w:r>
        <w:rPr>
          <w:rFonts w:hint="eastAsia" w:ascii="仿宋_GB2312" w:hAnsi="仿宋_GB2312" w:eastAsia="仿宋_GB2312" w:cs="仿宋_GB2312"/>
          <w:bCs/>
          <w:color w:val="auto"/>
          <w:sz w:val="32"/>
          <w:szCs w:val="32"/>
        </w:rPr>
        <w:t>到2025年，森林保有量达到24.6万亩，森林覆盖率达到19.7%。</w:t>
      </w:r>
    </w:p>
    <w:p>
      <w:pPr>
        <w:keepNext/>
        <w:spacing w:line="290" w:lineRule="exact"/>
        <w:outlineLvl w:val="0"/>
        <w:rPr>
          <w:color w:val="auto"/>
        </w:rPr>
      </w:pPr>
    </w:p>
    <w:p>
      <w:pPr>
        <w:pStyle w:val="31"/>
        <w:numPr>
          <w:ilvl w:val="0"/>
          <w:numId w:val="11"/>
        </w:numPr>
        <w:spacing w:line="579" w:lineRule="exact"/>
        <w:ind w:firstLineChars="0"/>
        <w:jc w:val="center"/>
        <w:outlineLvl w:val="1"/>
        <w:rPr>
          <w:rFonts w:ascii="黑体" w:hAnsi="黑体" w:eastAsia="黑体" w:cs="黑体"/>
          <w:bCs/>
          <w:color w:val="auto"/>
          <w:sz w:val="32"/>
          <w:szCs w:val="32"/>
        </w:rPr>
      </w:pPr>
      <w:r>
        <w:rPr>
          <w:color w:val="auto"/>
        </w:rPr>
        <w:fldChar w:fldCharType="begin"/>
      </w:r>
      <w:r>
        <w:rPr>
          <w:color w:val="auto"/>
        </w:rPr>
        <w:instrText xml:space="preserve"> HYPERLINK \l "_Toc3181" </w:instrText>
      </w:r>
      <w:r>
        <w:rPr>
          <w:color w:val="auto"/>
        </w:rPr>
        <w:fldChar w:fldCharType="separate"/>
      </w:r>
      <w:bookmarkStart w:id="171" w:name="_Toc59116953"/>
      <w:r>
        <w:rPr>
          <w:rFonts w:hint="eastAsia" w:ascii="黑体" w:hAnsi="黑体" w:eastAsia="黑体" w:cs="黑体"/>
          <w:bCs/>
          <w:color w:val="auto"/>
          <w:sz w:val="32"/>
          <w:szCs w:val="32"/>
        </w:rPr>
        <w:t>加强城乡环境综合治理</w:t>
      </w:r>
      <w:bookmarkEnd w:id="171"/>
      <w:r>
        <w:rPr>
          <w:rFonts w:hint="eastAsia" w:ascii="黑体" w:hAnsi="黑体" w:eastAsia="黑体" w:cs="黑体"/>
          <w:bCs/>
          <w:color w:val="auto"/>
          <w:sz w:val="32"/>
          <w:szCs w:val="32"/>
        </w:rPr>
        <w:fldChar w:fldCharType="end"/>
      </w:r>
    </w:p>
    <w:p>
      <w:pPr>
        <w:keepNext/>
        <w:spacing w:line="290" w:lineRule="exact"/>
        <w:outlineLvl w:val="0"/>
        <w:rPr>
          <w:color w:val="auto"/>
        </w:rPr>
      </w:pPr>
    </w:p>
    <w:bookmarkEnd w:id="161"/>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提升城乡污染治理能力为目标，推动科技化、数字化手段融入水污染、大气污染、土壤污染防治工程，搭建现代化城乡环境监管体系，全面提升城乡环境综合治理能力，为全区的“蓝天、碧水、净土”保驾护航。</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加强水污染防治。</w:t>
      </w:r>
      <w:r>
        <w:rPr>
          <w:rFonts w:hint="eastAsia" w:ascii="仿宋_GB2312" w:hAnsi="仿宋_GB2312" w:eastAsia="仿宋_GB2312" w:cs="仿宋_GB2312"/>
          <w:color w:val="auto"/>
          <w:sz w:val="32"/>
          <w:szCs w:val="32"/>
        </w:rPr>
        <w:t>推进河长制实施，落实好河湖管护责任，夯实治水基础，持续开展河湖管理范围划界。深入推进白塔堡河、沈抚运河、桃仙河等重点河流垃圾综合治理，实现全区11条大小河流的排污口分类规范管理。新建和完善污水收集与处理设施，提高城市和农村污水收集处理能力。加强城市雨污分流设施建设，实施现有管网雨污分流改造和雨污混接点摘除工程，完善城市污水收集管网，打通断头管网，彻底消除污水直排和雨污混排。加强全域黑臭水体内源治理。到2025年，城市污水收集及处理率达到100%，地表水全面达到V类以上，主要污染物（化学需氧量、氨氮）排放减少10%。</w:t>
      </w: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全面推进大气污染治理。</w:t>
      </w:r>
      <w:r>
        <w:rPr>
          <w:rFonts w:hint="eastAsia" w:ascii="仿宋_GB2312" w:hAnsi="仿宋_GB2312" w:eastAsia="仿宋_GB2312" w:cs="仿宋_GB2312"/>
          <w:bCs/>
          <w:color w:val="auto"/>
          <w:sz w:val="32"/>
          <w:szCs w:val="32"/>
        </w:rPr>
        <w:t>完善扬尘防治监管体系，全面加强建筑工地、市政工程、建（构）筑物拆除等扬尘治理。加强工业企业大气污染综合治理，开展“散乱污”企业整治攻坚，推动落后产能淘汰，优化排污权、用能权、碳排放权等市场化交易配置机制。全面推进煤炭减量替代，推行热电联产或大型集中供热，加强燃煤设施清洁能源改造，提高清洁能源使用比例。统筹开展油、路、车治理和机动车污染防治。发挥秸秆智慧管控试点作用，进一步提升秸秆综合利用和禁烧效率，重点解决秸秆“收储运”等问题，实现秸秆综合利用效率最优化。到2025年，城市空气质量达标率80%，主要污染物（氮氧化物、挥发性气体VOC）排放减少10%。</w:t>
      </w: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加强土地污染管控。</w:t>
      </w:r>
      <w:r>
        <w:rPr>
          <w:rFonts w:hint="eastAsia" w:ascii="仿宋_GB2312" w:hAnsi="仿宋_GB2312" w:eastAsia="仿宋_GB2312" w:cs="仿宋_GB2312"/>
          <w:bCs/>
          <w:color w:val="auto"/>
          <w:sz w:val="32"/>
          <w:szCs w:val="32"/>
        </w:rPr>
        <w:t>实施土壤污染防治行动计划，有效管控农用地和城市建设用地土壤环境风险，完善分类管理与准入评估制度，建立污染地块名录及开发利用负面清单。建立土壤环境质量监测网络，提升土壤环境信息化管理水平，依托土壤环境大数据推进土壤污染防治工作。深入开展土壤环境质量调查，加强耕地土壤环境分类管理，开展土壤污染治理与修复。到2025年，土壤安全利用率达到100%。</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建立城乡环境监测体系。</w:t>
      </w:r>
      <w:r>
        <w:rPr>
          <w:rFonts w:hint="eastAsia" w:ascii="仿宋_GB2312" w:hAnsi="仿宋_GB2312" w:eastAsia="仿宋_GB2312" w:cs="仿宋_GB2312"/>
          <w:bCs/>
          <w:color w:val="auto"/>
          <w:sz w:val="32"/>
          <w:szCs w:val="32"/>
        </w:rPr>
        <w:t>完善三级网格化环境监督与管理体系，开展污染防治管理体制改革，充分利用第三方服务，统筹管理环保宣贯、突发环境应急、环境污染等重点事项。加强全域环境质量预警监测，构建现代科技融入环境监测、环境监管体系，建立运行土壤环境信息化管理系统，完善水环境风险预警监控网系统，深化空气质量网格化检测系统，健全污染源全过程管控监控系统，开展辖区内白塔堡河、沈抚运河、桃仙河、杨官河、张官河、小沙河、王滨河等7条主要河流11处断面水质在线自动监控、秸秆禁烧智慧管控二期、浑南东路等重点区域周边餐饮油烟排放在线自动监控试点示范，推进生态环境治理能力现代化。推进生态治理协同防治，建立生态环境损害赔偿和诉讼制度，健全大气污染联控联防、流域协同治理、水质联合监测、区域突发环境事件共同响应机制</w:t>
      </w:r>
      <w:r>
        <w:rPr>
          <w:rFonts w:hint="eastAsia" w:ascii="仿宋_GB2312" w:hAnsi="仿宋_GB2312" w:eastAsia="仿宋_GB2312" w:cs="仿宋_GB2312"/>
          <w:color w:val="auto"/>
          <w:sz w:val="32"/>
          <w:szCs w:val="32"/>
        </w:rPr>
        <w:t>。</w:t>
      </w:r>
    </w:p>
    <w:p>
      <w:pPr>
        <w:keepNext/>
        <w:spacing w:line="290" w:lineRule="exact"/>
        <w:outlineLvl w:val="0"/>
        <w:rPr>
          <w:color w:val="auto"/>
        </w:rPr>
      </w:pPr>
    </w:p>
    <w:p>
      <w:pPr>
        <w:pStyle w:val="31"/>
        <w:numPr>
          <w:ilvl w:val="0"/>
          <w:numId w:val="11"/>
        </w:numPr>
        <w:spacing w:line="579" w:lineRule="exact"/>
        <w:ind w:firstLineChars="0"/>
        <w:jc w:val="center"/>
        <w:outlineLvl w:val="1"/>
        <w:rPr>
          <w:rFonts w:ascii="黑体" w:hAnsi="黑体" w:eastAsia="黑体" w:cs="黑体"/>
          <w:bCs/>
          <w:color w:val="auto"/>
          <w:sz w:val="32"/>
          <w:szCs w:val="32"/>
        </w:rPr>
      </w:pPr>
      <w:r>
        <w:rPr>
          <w:color w:val="auto"/>
        </w:rPr>
        <w:fldChar w:fldCharType="begin"/>
      </w:r>
      <w:r>
        <w:rPr>
          <w:color w:val="auto"/>
        </w:rPr>
        <w:instrText xml:space="preserve"> HYPERLINK \l "_Toc1113" </w:instrText>
      </w:r>
      <w:r>
        <w:rPr>
          <w:color w:val="auto"/>
        </w:rPr>
        <w:fldChar w:fldCharType="separate"/>
      </w:r>
      <w:bookmarkStart w:id="172" w:name="_Toc59116954"/>
      <w:r>
        <w:rPr>
          <w:rFonts w:hint="eastAsia" w:ascii="黑体" w:hAnsi="黑体" w:eastAsia="黑体" w:cs="黑体"/>
          <w:bCs/>
          <w:color w:val="auto"/>
          <w:sz w:val="32"/>
          <w:szCs w:val="32"/>
        </w:rPr>
        <w:t>加快</w:t>
      </w:r>
      <w:r>
        <w:rPr>
          <w:rFonts w:hint="eastAsia" w:ascii="黑体" w:hAnsi="黑体" w:eastAsia="黑体" w:cs="黑体"/>
          <w:bCs/>
          <w:color w:val="auto"/>
          <w:sz w:val="32"/>
          <w:szCs w:val="32"/>
        </w:rPr>
        <w:fldChar w:fldCharType="end"/>
      </w:r>
      <w:r>
        <w:rPr>
          <w:rFonts w:hint="eastAsia" w:ascii="黑体" w:hAnsi="黑体" w:eastAsia="黑体" w:cs="黑体"/>
          <w:bCs/>
          <w:color w:val="auto"/>
          <w:sz w:val="32"/>
          <w:szCs w:val="32"/>
        </w:rPr>
        <w:t>形成绿色发展方式</w:t>
      </w:r>
      <w:bookmarkEnd w:id="172"/>
    </w:p>
    <w:p>
      <w:pPr>
        <w:keepNext/>
        <w:spacing w:line="290" w:lineRule="exact"/>
        <w:outlineLvl w:val="0"/>
        <w:rPr>
          <w:color w:val="auto"/>
        </w:rPr>
      </w:pP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以“减量化、再利用、资源化”为原则，加快产业绿色转型，推进节能减排降耗，推行绿色循环发展方式，形成绿色发展方式，努力在碳达峰、碳中和方面走在全省前列。</w:t>
      </w: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加快产业绿色转型</w:t>
      </w:r>
      <w:r>
        <w:rPr>
          <w:rFonts w:hint="eastAsia" w:ascii="仿宋_GB2312" w:hAnsi="仿宋_GB2312" w:eastAsia="仿宋_GB2312" w:cs="仿宋_GB2312"/>
          <w:bCs/>
          <w:color w:val="auto"/>
          <w:sz w:val="32"/>
          <w:szCs w:val="32"/>
        </w:rPr>
        <w:t>。依托沈飞民机、东软医疗、航天三菱、新松机器人等重点企业，推动企业优化制造流程、采用先进节能技术和装备、加强生产制造管理，加快绿色工厂建设。分类推进园区循环化发展，鼓励机器人产业园、民用航空产业园、新能源汽车产业园等园区产业链式发展、分工协作，建立物质流、资金流、产品链结合的循环经济体。鼓励生物医药产业园、眼健康产业园等园区推广绿色低碳生产工艺技术，强化原料预处理技术的研发与应用，降低能源资源消耗和污染物排放。加快构建绿色产业发展政策体系，实施产业绿色化改造工程，争创国家级绿色发展示范园区，打造全省首个零碳产业园区。</w:t>
      </w: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推进企业节能减排降耗</w:t>
      </w:r>
      <w:r>
        <w:rPr>
          <w:rFonts w:hint="eastAsia" w:ascii="仿宋_GB2312" w:hAnsi="仿宋_GB2312" w:eastAsia="仿宋_GB2312" w:cs="仿宋_GB2312"/>
          <w:bCs/>
          <w:color w:val="auto"/>
          <w:sz w:val="32"/>
          <w:szCs w:val="32"/>
        </w:rPr>
        <w:t>。鼓励重点能耗企业节能技术改造，引进先进节能降耗技术或设备，推广能源梯级利用、余热余压利用、蒸汽冷凝水回收等技术工艺，降低企业能耗水平。鼓励企业从源头设计、过程控制、产品输出全流程实行清洁生产，降低污染物排放，对污染物排放超标、使用有毒有害原料以及排放有毒有害物质的企业实施清洁生产审核。实施重点节能工程，围绕制造业、建筑业、交通运输业等重点产业领域，供暖及热电联产等民生环节开展节能行动，提升能源利用效率。</w:t>
      </w: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推行绿色循环发展方式</w:t>
      </w:r>
      <w:r>
        <w:rPr>
          <w:rFonts w:hint="eastAsia" w:ascii="仿宋_GB2312" w:hAnsi="仿宋_GB2312" w:eastAsia="仿宋_GB2312" w:cs="仿宋_GB2312"/>
          <w:bCs/>
          <w:color w:val="auto"/>
          <w:sz w:val="32"/>
          <w:szCs w:val="32"/>
        </w:rPr>
        <w:t>。推动全社会树立践行文明、节约、绿色、低碳、循环的消费理念，提高节能、节水、节材、节粮意识。组织开展节俭养德全民节约行动、建筑节能行动、低碳出行行动等活动。强化再生资源回收与生活垃圾分类收运“两网融合”。鼓励市场化运作模式参与垃圾分类回收，实现生活垃圾、餐厨废弃物资源化利用和无害化处理。</w:t>
      </w:r>
    </w:p>
    <w:p>
      <w:pPr>
        <w:pStyle w:val="2"/>
        <w:spacing w:line="579" w:lineRule="exact"/>
        <w:rPr>
          <w:color w:val="auto"/>
        </w:rPr>
      </w:pPr>
    </w:p>
    <w:p>
      <w:pPr>
        <w:pStyle w:val="2"/>
        <w:spacing w:line="579" w:lineRule="exact"/>
        <w:rPr>
          <w:color w:val="auto"/>
        </w:rPr>
      </w:pPr>
    </w:p>
    <w:p>
      <w:pPr>
        <w:pStyle w:val="2"/>
        <w:spacing w:line="579" w:lineRule="exact"/>
        <w:rPr>
          <w:color w:val="auto"/>
        </w:rPr>
      </w:pPr>
    </w:p>
    <w:p>
      <w:pPr>
        <w:pStyle w:val="2"/>
        <w:spacing w:line="579" w:lineRule="exact"/>
        <w:rPr>
          <w:color w:val="auto"/>
        </w:rPr>
      </w:pPr>
    </w:p>
    <w:p>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pPr>
        <w:keepNext/>
        <w:spacing w:line="290" w:lineRule="exact"/>
        <w:jc w:val="center"/>
        <w:outlineLvl w:val="0"/>
        <w:rPr>
          <w:rFonts w:ascii="宋体" w:hAnsi="宋体" w:cs="宋体"/>
          <w:b/>
          <w:color w:val="auto"/>
          <w:sz w:val="44"/>
          <w:szCs w:val="44"/>
        </w:rPr>
      </w:pPr>
      <w:bookmarkStart w:id="173" w:name="_Toc59116955"/>
    </w:p>
    <w:p>
      <w:pPr>
        <w:keepNext/>
        <w:spacing w:line="579" w:lineRule="exact"/>
        <w:jc w:val="center"/>
        <w:outlineLvl w:val="0"/>
        <w:rPr>
          <w:rFonts w:ascii="宋体" w:hAnsi="宋体" w:cs="宋体"/>
          <w:b/>
          <w:color w:val="auto"/>
          <w:sz w:val="44"/>
          <w:szCs w:val="44"/>
        </w:rPr>
      </w:pPr>
      <w:r>
        <w:rPr>
          <w:rFonts w:hint="eastAsia" w:ascii="宋体" w:hAnsi="宋体" w:cs="宋体"/>
          <w:b/>
          <w:color w:val="auto"/>
          <w:sz w:val="44"/>
          <w:szCs w:val="44"/>
        </w:rPr>
        <w:t>第十二章 优化营商环境和持续深化改革</w:t>
      </w:r>
      <w:bookmarkEnd w:id="173"/>
    </w:p>
    <w:p>
      <w:pPr>
        <w:keepNext/>
        <w:spacing w:line="290" w:lineRule="exact"/>
        <w:jc w:val="center"/>
        <w:outlineLvl w:val="0"/>
        <w:rPr>
          <w:color w:val="auto"/>
        </w:rPr>
      </w:pPr>
    </w:p>
    <w:p>
      <w:pPr>
        <w:spacing w:line="579" w:lineRule="exact"/>
        <w:ind w:firstLine="660" w:firstLineChars="200"/>
        <w:rPr>
          <w:rFonts w:ascii="仿宋_GB2312" w:hAnsi="仿宋_GB2312" w:eastAsia="仿宋_GB2312" w:cs="仿宋_GB2312"/>
          <w:color w:val="auto"/>
          <w:sz w:val="32"/>
          <w:szCs w:val="32"/>
        </w:rPr>
      </w:pPr>
      <w:bookmarkStart w:id="174" w:name="_Toc19978"/>
      <w:r>
        <w:rPr>
          <w:rFonts w:hint="eastAsia" w:ascii="仿宋_GB2312" w:hAnsi="仿宋_GB2312" w:eastAsia="仿宋_GB2312" w:cs="仿宋_GB2312"/>
          <w:color w:val="auto"/>
          <w:sz w:val="32"/>
          <w:szCs w:val="32"/>
        </w:rPr>
        <w:t>突出问题导向，从习近平新时代中国特色社会主义思想中寻找遵循，系统推进营商环境、经济、社会、管理体制等领域改革，大胆试、大胆闯、自主改，推动更多能够解决问题的办法合法化，形成一批高水平制度创新成果。</w:t>
      </w:r>
    </w:p>
    <w:p>
      <w:pPr>
        <w:keepNext/>
        <w:spacing w:line="290" w:lineRule="exact"/>
        <w:jc w:val="center"/>
        <w:outlineLvl w:val="0"/>
        <w:rPr>
          <w:color w:val="auto"/>
        </w:rPr>
      </w:pPr>
    </w:p>
    <w:p>
      <w:pPr>
        <w:pStyle w:val="31"/>
        <w:numPr>
          <w:ilvl w:val="0"/>
          <w:numId w:val="12"/>
        </w:numPr>
        <w:spacing w:line="579" w:lineRule="exact"/>
        <w:ind w:firstLineChars="0"/>
        <w:jc w:val="center"/>
        <w:outlineLvl w:val="1"/>
        <w:rPr>
          <w:rFonts w:ascii="黑体" w:hAnsi="黑体" w:eastAsia="黑体" w:cs="黑体"/>
          <w:bCs/>
          <w:color w:val="auto"/>
          <w:sz w:val="32"/>
          <w:szCs w:val="32"/>
        </w:rPr>
      </w:pPr>
      <w:bookmarkStart w:id="175" w:name="_Toc59116956"/>
      <w:r>
        <w:rPr>
          <w:rFonts w:hint="eastAsia" w:ascii="黑体" w:hAnsi="黑体" w:eastAsia="黑体" w:cs="黑体"/>
          <w:bCs/>
          <w:color w:val="auto"/>
          <w:sz w:val="32"/>
          <w:szCs w:val="32"/>
        </w:rPr>
        <w:t>全面优化营商环境</w:t>
      </w:r>
      <w:bookmarkEnd w:id="174"/>
      <w:bookmarkEnd w:id="175"/>
    </w:p>
    <w:p>
      <w:pPr>
        <w:keepNext/>
        <w:spacing w:line="290" w:lineRule="exact"/>
        <w:jc w:val="center"/>
        <w:outlineLvl w:val="0"/>
        <w:rPr>
          <w:color w:val="auto"/>
        </w:rPr>
      </w:pP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围绕创新发展和新经济成长需要，按照市场化、法治化、国际化要求，对标国际国内一流标准，全力打造办事方便、法治良好、成本竞争力强、生态宜居的营商环境，</w:t>
      </w:r>
      <w:r>
        <w:rPr>
          <w:rFonts w:ascii="仿宋_GB2312" w:hAnsi="仿宋_GB2312" w:eastAsia="仿宋_GB2312" w:cs="仿宋_GB2312"/>
          <w:bCs/>
          <w:color w:val="auto"/>
          <w:sz w:val="32"/>
          <w:szCs w:val="32"/>
        </w:rPr>
        <w:t>全力推动民营经济快速发展</w:t>
      </w:r>
      <w:r>
        <w:rPr>
          <w:rFonts w:hint="eastAsia" w:ascii="仿宋_GB2312" w:hAnsi="仿宋_GB2312" w:eastAsia="仿宋_GB2312" w:cs="仿宋_GB2312"/>
          <w:bCs/>
          <w:color w:val="auto"/>
          <w:sz w:val="32"/>
          <w:szCs w:val="32"/>
        </w:rPr>
        <w:t>。</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持续优化审批流程</w:t>
      </w:r>
      <w:r>
        <w:rPr>
          <w:rFonts w:hint="eastAsia" w:ascii="仿宋_GB2312" w:hAnsi="仿宋_GB2312" w:eastAsia="仿宋_GB2312" w:cs="仿宋_GB2312"/>
          <w:bCs/>
          <w:color w:val="auto"/>
          <w:sz w:val="32"/>
          <w:szCs w:val="32"/>
        </w:rPr>
        <w:t>。以企业实际感受和“网上实办率”为主要检验标准，</w:t>
      </w:r>
      <w:r>
        <w:rPr>
          <w:rFonts w:hint="eastAsia" w:ascii="仿宋_GB2312" w:hAnsi="仿宋_GB2312" w:eastAsia="仿宋_GB2312" w:cs="仿宋_GB2312"/>
          <w:color w:val="auto"/>
          <w:sz w:val="32"/>
          <w:szCs w:val="32"/>
        </w:rPr>
        <w:t>全面推进“一网一门一次”改革，进一步优化审批服务模式，推动政务服务“全程网办”“掌上通办”。推行“先批后审、以管代审”“告知承诺制”行政审批制度改革，实施涉企服务事项容缺受理全覆盖，扩大先批后审、以函代证、以管代审施用范围，全面提升行政审批效率。以政务服务标准化建设为抓手，建立“前台统一受理、后台分类审批、统一窗口出件”的集成服务模式。落实“一枚印章管审批”工作机制，优化电力供应、用水用气、财产登记、融资信贷、跨国贸易等重点领域审批流程。提升“浑南会客厅”功能，打造从项目注册准入到验收投产的全生命周期、一站式服务“会客厅”。</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营造良好法治环境</w:t>
      </w:r>
      <w:r>
        <w:rPr>
          <w:rFonts w:hint="eastAsia" w:ascii="仿宋_GB2312" w:hAnsi="仿宋_GB2312" w:eastAsia="仿宋_GB2312" w:cs="仿宋_GB2312"/>
          <w:bCs/>
          <w:color w:val="auto"/>
          <w:sz w:val="32"/>
          <w:szCs w:val="32"/>
        </w:rPr>
        <w:t>。加强法治政府、法治社会一体建设，提高依法行政水平，促进司法公正，深入开展法制宣传教育，做好“八五”普法工作，推进全面依法治区，在全社会形成学法尊法守法用法的良好法治氛围。依法保护企业家人身财产安全，牢固树立“谦抑、审慎、善意、文明、规范”司法执法理念和“各类市场主体平等保护”办案理念，实行企业家羁押报备机制和涉企行政处罚报备机制，对涉企案件审慎立案。复制推广沈阳国际软件园警务工作站和首创社区警务营商驿站模式，为企业及员工办理公安、消防、外事、交通等事务提供就近办理条件。成立商事争议诉前调解中心，为企业提供一站式多品类的纠纷化解渠道。设立自贸区沈阳片区法院、知识产权案件巡回审判庭</w:t>
      </w:r>
      <w:r>
        <w:rPr>
          <w:rFonts w:hint="eastAsia" w:ascii="仿宋_GB2312" w:hAnsi="仿宋_GB2312" w:eastAsia="仿宋_GB2312" w:cs="仿宋_GB2312"/>
          <w:color w:val="auto"/>
          <w:sz w:val="32"/>
        </w:rPr>
        <w:t>，畅通内外资企业维权援助渠道。</w:t>
      </w:r>
      <w:r>
        <w:rPr>
          <w:rFonts w:hint="eastAsia" w:ascii="仿宋_GB2312" w:hAnsi="仿宋_GB2312" w:eastAsia="仿宋_GB2312" w:cs="仿宋_GB2312"/>
          <w:color w:val="auto"/>
          <w:sz w:val="32"/>
          <w:szCs w:val="32"/>
        </w:rPr>
        <w:t>建立企业法律公共服务平台，整合律师、公证、司法鉴定、调解、仲裁等公共法律服务资源，全面提升公共法律服务能力和水平。整合情报、信息、网安、图侦、技侦职能，建立一流的合成作战中心，严厉打击涉企违法犯罪活动。</w:t>
      </w:r>
      <w:r>
        <w:rPr>
          <w:rFonts w:hint="eastAsia" w:ascii="仿宋_GB2312" w:hAnsi="仿宋_GB2312" w:eastAsia="仿宋_GB2312" w:cs="仿宋_GB2312"/>
          <w:bCs/>
          <w:color w:val="auto"/>
          <w:sz w:val="32"/>
          <w:szCs w:val="32"/>
        </w:rPr>
        <w:t>做好诚信政府建设，推行招商项目落地、政策兑现等流程透明化，营造“说到必做到、承诺必兑现”的守信氛围。</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增强成本竞争力</w:t>
      </w:r>
      <w:r>
        <w:rPr>
          <w:rFonts w:hint="eastAsia" w:ascii="仿宋_GB2312" w:hAnsi="仿宋_GB2312" w:eastAsia="仿宋_GB2312" w:cs="仿宋_GB2312"/>
          <w:bCs/>
          <w:color w:val="auto"/>
          <w:sz w:val="32"/>
          <w:szCs w:val="32"/>
        </w:rPr>
        <w:t>。从财政支持、流程优化、平台搭建等方面着力，大力</w:t>
      </w:r>
      <w:r>
        <w:rPr>
          <w:rFonts w:hint="eastAsia" w:ascii="仿宋_GB2312" w:hAnsi="仿宋_GB2312" w:eastAsia="仿宋_GB2312" w:cs="仿宋_GB2312"/>
          <w:color w:val="auto"/>
          <w:sz w:val="32"/>
          <w:szCs w:val="32"/>
        </w:rPr>
        <w:t>降低企业税费、用能、物流、融资、用工、制度性交易、用地等负担和成本，打造全省成本最优区。落实国家税费减免政策，实行“浑南会客厅”涉企事项零收费，降低企业开办成本，减免涉企行政事业性收费，降低企业税费负担。压缩报装办理时限，优化调整缴费方式，降低企业用气、用电、用水、采暖成本。实施规上工业企业物流费用补贴，降低企业物流成本。实施上市费用补贴、信贷费率补贴、贷款贴息等融资补贴，搭建企业融资对接平台，降低企业融资成本。加大企业稳岗支持，发放以工代训援企补贴，减免新办企业社会保险缴费，降低企业用工成本。实施工业、生产性服务业项目建设工程前期费用补贴，发放高新技术企业认定成本补贴，降低企业制度性交易成本。</w:t>
      </w: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构建新经济治理体系</w:t>
      </w:r>
      <w:r>
        <w:rPr>
          <w:rFonts w:hint="eastAsia" w:ascii="仿宋_GB2312" w:hAnsi="仿宋_GB2312" w:eastAsia="仿宋_GB2312" w:cs="仿宋_GB2312"/>
          <w:bCs/>
          <w:color w:val="auto"/>
          <w:sz w:val="32"/>
          <w:szCs w:val="32"/>
        </w:rPr>
        <w:t>。出台《关于服务新经济实施包容审慎监管指导意见》，对城市大脑、互联网医疗、跨境电商、直播零售、民宿等新业态，从创新监管模式、探索分类监管、推行柔性执法、完善行政裁量、规范行政监察、健全信用约束机制等方面着手推进包容审慎监管。争取研究院有限公司等新经济产业组织“绿色审批通道”试点。探索“业界共治”新模式，选取新一代信息技术等1</w:t>
      </w:r>
      <w:r>
        <w:rPr>
          <w:rFonts w:ascii="仿宋_GB2312" w:hAnsi="仿宋_GB2312" w:eastAsia="仿宋_GB2312" w:cs="仿宋_GB2312"/>
          <w:bCs/>
          <w:color w:val="auto"/>
          <w:sz w:val="32"/>
          <w:szCs w:val="32"/>
        </w:rPr>
        <w:t>0</w:t>
      </w:r>
      <w:r>
        <w:rPr>
          <w:rFonts w:hint="eastAsia" w:ascii="仿宋_GB2312" w:hAnsi="仿宋_GB2312" w:eastAsia="仿宋_GB2312" w:cs="仿宋_GB2312"/>
          <w:bCs/>
          <w:color w:val="auto"/>
          <w:sz w:val="32"/>
          <w:szCs w:val="32"/>
        </w:rPr>
        <w:t>条优势产业链以及文旅、体育、金融等产业领域，构建由政府、企业、协会、联盟、智库等构成的理事会，成立市场化运作的理事会秘书处负责日常运营，对秘书处充分授权，赋予承担更多公共服务职能，实现政府与市场关系从单向管理转变为共建共治。建立新经济治理大数据平台和综合指挥中心，连通各部门经济数据，对企业、园区、行业、产业等发展情况实现在线监测、管理、展示，动态进行全区经济运行分析。</w:t>
      </w:r>
    </w:p>
    <w:p>
      <w:pPr>
        <w:keepNext/>
        <w:spacing w:line="290" w:lineRule="exact"/>
        <w:jc w:val="center"/>
        <w:outlineLvl w:val="0"/>
        <w:rPr>
          <w:color w:val="auto"/>
        </w:rPr>
      </w:pPr>
    </w:p>
    <w:p>
      <w:pPr>
        <w:pStyle w:val="31"/>
        <w:numPr>
          <w:ilvl w:val="0"/>
          <w:numId w:val="12"/>
        </w:numPr>
        <w:spacing w:line="579" w:lineRule="exact"/>
        <w:ind w:firstLineChars="0"/>
        <w:jc w:val="center"/>
        <w:outlineLvl w:val="1"/>
        <w:rPr>
          <w:rFonts w:ascii="黑体" w:hAnsi="黑体" w:eastAsia="黑体" w:cs="黑体"/>
          <w:bCs/>
          <w:color w:val="auto"/>
          <w:sz w:val="32"/>
          <w:szCs w:val="32"/>
        </w:rPr>
      </w:pPr>
      <w:bookmarkStart w:id="176" w:name="_Toc27552"/>
      <w:bookmarkStart w:id="177" w:name="_Toc59116957"/>
      <w:r>
        <w:rPr>
          <w:rFonts w:hint="eastAsia" w:ascii="黑体" w:hAnsi="黑体" w:eastAsia="黑体" w:cs="黑体"/>
          <w:bCs/>
          <w:color w:val="auto"/>
          <w:sz w:val="32"/>
          <w:szCs w:val="32"/>
        </w:rPr>
        <w:t>推进重点经济领域</w:t>
      </w:r>
      <w:bookmarkEnd w:id="176"/>
      <w:r>
        <w:rPr>
          <w:rFonts w:hint="eastAsia" w:ascii="黑体" w:hAnsi="黑体" w:eastAsia="黑体" w:cs="黑体"/>
          <w:bCs/>
          <w:color w:val="auto"/>
          <w:sz w:val="32"/>
          <w:szCs w:val="32"/>
        </w:rPr>
        <w:t>改革</w:t>
      </w:r>
      <w:bookmarkEnd w:id="177"/>
    </w:p>
    <w:p>
      <w:pPr>
        <w:keepNext/>
        <w:spacing w:line="290" w:lineRule="exact"/>
        <w:jc w:val="center"/>
        <w:outlineLvl w:val="0"/>
        <w:rPr>
          <w:color w:val="auto"/>
        </w:rPr>
      </w:pPr>
    </w:p>
    <w:p>
      <w:pPr>
        <w:spacing w:line="579" w:lineRule="exact"/>
        <w:ind w:firstLine="660" w:firstLineChars="200"/>
        <w:rPr>
          <w:rFonts w:ascii="仿宋_GB2312" w:hAnsi="仿宋_GB2312" w:eastAsia="仿宋_GB2312" w:cs="仿宋_GB2312"/>
          <w:bCs/>
          <w:color w:val="auto"/>
          <w:sz w:val="32"/>
        </w:rPr>
      </w:pPr>
      <w:r>
        <w:rPr>
          <w:rFonts w:hint="eastAsia" w:ascii="仿宋_GB2312" w:hAnsi="仿宋_GB2312" w:eastAsia="仿宋_GB2312" w:cs="仿宋_GB2312"/>
          <w:bCs/>
          <w:color w:val="auto"/>
          <w:sz w:val="32"/>
        </w:rPr>
        <w:t>以有利于增添经济发展动力、培育壮大新经济为重点，深化自贸区、双自联动、土地、国资国企等经济领域改革，更好解决经济发展面临的突出矛盾和问题。</w:t>
      </w:r>
    </w:p>
    <w:p>
      <w:pPr>
        <w:spacing w:line="579" w:lineRule="exact"/>
        <w:ind w:firstLine="660" w:firstLineChars="200"/>
        <w:rPr>
          <w:rFonts w:ascii="仿宋_GB2312" w:hAnsi="仿宋_GB2312" w:eastAsia="仿宋_GB2312" w:cs="仿宋_GB2312"/>
          <w:bCs/>
          <w:color w:val="auto"/>
          <w:sz w:val="32"/>
        </w:rPr>
      </w:pPr>
      <w:r>
        <w:rPr>
          <w:rFonts w:hint="eastAsia" w:ascii="仿宋_GB2312" w:hAnsi="仿宋_GB2312" w:eastAsia="仿宋_GB2312" w:cs="仿宋_GB2312"/>
          <w:b/>
          <w:color w:val="auto"/>
          <w:sz w:val="32"/>
        </w:rPr>
        <w:t>积极推进自贸区制度创新</w:t>
      </w:r>
      <w:r>
        <w:rPr>
          <w:rFonts w:hint="eastAsia" w:ascii="仿宋_GB2312" w:hAnsi="仿宋_GB2312" w:eastAsia="仿宋_GB2312" w:cs="仿宋_GB2312"/>
          <w:bCs/>
          <w:color w:val="auto"/>
          <w:sz w:val="32"/>
        </w:rPr>
        <w:t>。成立自贸区制度创新专职内设机构，常态化开展企业制度创新对接工作，兼顾行政管理、贸易便利化、金融、产业、科技、教育、人才、国企改革、法制等多个方面，聚焦生命健康产业促进、金融功能提升等重点领域集中发力形成一批企业受益面广、经济带动性强、风险可控的制度创新成果。聚焦生命健康产业促进，实施药品、医疗器械上市许可人制度，争取进口药品和医疗器械特殊审批，推动跨境电子商务进口药品试点。聚焦金融功能提升，实施一次性外债登记，推动跨境电商信用融资、仓单质押融资，建设区块链无抵押纯信用金融授信平台，开展合格境外有限合伙人（QFLP）试点，推动投贷联动试点，推动集合贷创新业务，推动美元服务贸易付款便利化。</w:t>
      </w:r>
    </w:p>
    <w:p>
      <w:pPr>
        <w:spacing w:line="579" w:lineRule="exact"/>
        <w:ind w:firstLine="660" w:firstLineChars="200"/>
        <w:rPr>
          <w:rFonts w:ascii="仿宋_GB2312" w:hAnsi="仿宋_GB2312" w:eastAsia="仿宋_GB2312" w:cs="仿宋_GB2312"/>
          <w:bCs/>
          <w:color w:val="auto"/>
          <w:sz w:val="32"/>
          <w:szCs w:val="32"/>
        </w:rPr>
      </w:pPr>
      <w:bookmarkStart w:id="178" w:name="_Toc21431"/>
      <w:r>
        <w:rPr>
          <w:rFonts w:hint="eastAsia" w:ascii="仿宋_GB2312" w:hAnsi="仿宋_GB2312" w:eastAsia="仿宋_GB2312" w:cs="仿宋_GB2312"/>
          <w:b/>
          <w:color w:val="auto"/>
          <w:sz w:val="32"/>
          <w:szCs w:val="32"/>
        </w:rPr>
        <w:t>推动“双自联动”改革。</w:t>
      </w:r>
      <w:r>
        <w:rPr>
          <w:rFonts w:hint="eastAsia" w:ascii="仿宋_GB2312" w:hAnsi="仿宋_GB2312" w:eastAsia="仿宋_GB2312" w:cs="仿宋_GB2312"/>
          <w:color w:val="auto"/>
          <w:sz w:val="32"/>
          <w:szCs w:val="32"/>
        </w:rPr>
        <w:t>制订“双自联动”改革方案，</w:t>
      </w:r>
      <w:r>
        <w:rPr>
          <w:rFonts w:hint="eastAsia" w:ascii="仿宋_GB2312" w:hAnsi="仿宋_GB2312" w:eastAsia="仿宋_GB2312" w:cs="仿宋_GB2312"/>
          <w:bCs/>
          <w:color w:val="auto"/>
          <w:sz w:val="32"/>
          <w:szCs w:val="32"/>
        </w:rPr>
        <w:t>围绕行政管理、贸易便利化、新业态培育、金融创新、科技创新等领域，联合推进制度创新，</w:t>
      </w:r>
      <w:r>
        <w:rPr>
          <w:rFonts w:hint="eastAsia" w:ascii="仿宋_GB2312" w:hAnsi="仿宋_GB2312" w:eastAsia="仿宋_GB2312" w:cs="仿宋_GB2312"/>
          <w:color w:val="auto"/>
          <w:sz w:val="32"/>
          <w:szCs w:val="32"/>
        </w:rPr>
        <w:t>建立自贸区、自创区（高新区）政策叠加机制。发挥自贸区对外开放作用，面向日、韩、俄等国家，以高新区优势产业链为重点，推进国际科技人文交流、国际实验室建设、国际技术转移等，推动人才、资本、技术、知识等要素跨境流动。利用综保区保税政策，支持高新区院所、科技企业开展保税研发，支持医疗机构开展保税医疗服务。发挥海关特殊监管区域“境内关外”政策优势，支持高新区企业开展保税加工、保税维修再制造等业务。</w:t>
      </w:r>
      <w:r>
        <w:rPr>
          <w:rFonts w:hint="eastAsia" w:ascii="仿宋_GB2312" w:eastAsia="仿宋_GB2312"/>
          <w:color w:val="auto"/>
          <w:sz w:val="32"/>
          <w:szCs w:val="32"/>
        </w:rPr>
        <w:t>推动自贸区金融服务扩大覆盖范围，引导自贸区融资租赁、商业保理、创投基金等金融机构服务高新区企业。</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深化土地要素改革。</w:t>
      </w:r>
      <w:r>
        <w:rPr>
          <w:rFonts w:hint="eastAsia" w:ascii="仿宋_GB2312" w:hAnsi="仿宋_GB2312" w:eastAsia="仿宋_GB2312" w:cs="仿宋_GB2312"/>
          <w:color w:val="auto"/>
          <w:sz w:val="32"/>
          <w:szCs w:val="32"/>
        </w:rPr>
        <w:t>在符合国土空间规划和用途管制的前提下，推动不同产业用地类型合理转换，择优项目试点创新型产业用地（M</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等混合产业用地供给。深化产业用地市场化配置改革，试点长期租赁、先租后让、弹性年期供应等工业用地市场化供应方式。树立“以亩产论英雄”“以效益论英雄”的用地导向，建立资源利用效率评价办法，在产业准入、土地供应、项目审批、政策支持等方面对“高产田”和“低产田”分类施策，引导土地资源向优质企业集中。试点标准地制度，建立项目用地投资强度、容积率、单位面积产出、环保、能耗等准入标准，作为核定项目用地规模、实施项目准入和退出的工作指引。建立产业用地土地使用权退出机制及产业用地全生命周期监管机制。建立招商项目选址优化机制，实现各产业链项目相对集中布局。建立落地项目事后评估机制，引导各项目聚焦主业做大做强。实施差别化要素配置政策，提高低效用地持有成本。</w:t>
      </w: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加快国资国企改革</w:t>
      </w:r>
      <w:r>
        <w:rPr>
          <w:rFonts w:hint="eastAsia" w:ascii="仿宋_GB2312" w:hAnsi="仿宋_GB2312" w:eastAsia="仿宋_GB2312" w:cs="仿宋_GB2312"/>
          <w:bCs/>
          <w:color w:val="auto"/>
          <w:sz w:val="32"/>
          <w:szCs w:val="32"/>
        </w:rPr>
        <w:t>。充分发挥国有企业党的领导作用，完善中国特色现代企业制度，明确党委、董事会、管理层等各治理主体的权责边界，健全国有企业法人治理结构，完善国资监管体制，实现“管企业”向“管资本”转变。完善“5+N”国资管理运营体系建设，做强做大高发投集团、棋盘山开发建设集团、公共服务集团、建设集团、福园集团等5大国资集团，支持国资企业开展兼并重组。鼓励国有企业差异化施策，推进混合所有制改革，建立差异化负责人薪酬制度，推行国有企业市场化选聘经理层和契约化、任期制管理。</w:t>
      </w:r>
    </w:p>
    <w:p>
      <w:pPr>
        <w:keepNext/>
        <w:spacing w:line="290" w:lineRule="exact"/>
        <w:jc w:val="center"/>
        <w:outlineLvl w:val="0"/>
        <w:rPr>
          <w:color w:val="auto"/>
        </w:rPr>
      </w:pPr>
    </w:p>
    <w:bookmarkEnd w:id="178"/>
    <w:p>
      <w:pPr>
        <w:pStyle w:val="31"/>
        <w:numPr>
          <w:ilvl w:val="0"/>
          <w:numId w:val="12"/>
        </w:numPr>
        <w:spacing w:line="579" w:lineRule="exact"/>
        <w:ind w:firstLineChars="0"/>
        <w:jc w:val="center"/>
        <w:outlineLvl w:val="1"/>
        <w:rPr>
          <w:rFonts w:ascii="黑体" w:hAnsi="黑体" w:eastAsia="黑体" w:cs="黑体"/>
          <w:bCs/>
          <w:color w:val="auto"/>
          <w:sz w:val="32"/>
          <w:szCs w:val="32"/>
        </w:rPr>
      </w:pPr>
      <w:bookmarkStart w:id="179" w:name="_Toc59116958"/>
      <w:bookmarkStart w:id="180" w:name="_Toc2572"/>
      <w:r>
        <w:rPr>
          <w:rFonts w:hint="eastAsia" w:ascii="黑体" w:hAnsi="黑体" w:eastAsia="黑体" w:cs="黑体"/>
          <w:bCs/>
          <w:color w:val="auto"/>
          <w:sz w:val="32"/>
          <w:szCs w:val="32"/>
        </w:rPr>
        <w:t>推动社会治理改革</w:t>
      </w:r>
      <w:bookmarkEnd w:id="179"/>
      <w:bookmarkEnd w:id="180"/>
    </w:p>
    <w:p>
      <w:pPr>
        <w:keepNext/>
        <w:spacing w:line="290" w:lineRule="exact"/>
        <w:jc w:val="center"/>
        <w:outlineLvl w:val="0"/>
        <w:rPr>
          <w:color w:val="auto"/>
        </w:rPr>
      </w:pPr>
    </w:p>
    <w:p>
      <w:pPr>
        <w:pStyle w:val="2"/>
        <w:spacing w:line="579" w:lineRule="exact"/>
        <w:ind w:left="102" w:firstLine="660" w:firstLineChars="200"/>
        <w:rPr>
          <w:rFonts w:ascii="仿宋_GB2312" w:hAnsi="仿宋_GB2312" w:eastAsia="仿宋_GB2312" w:cs="仿宋_GB2312"/>
          <w:color w:val="auto"/>
          <w:sz w:val="32"/>
        </w:rPr>
      </w:pPr>
      <w:r>
        <w:rPr>
          <w:rFonts w:hint="eastAsia" w:ascii="仿宋_GB2312" w:hAnsi="仿宋_GB2312" w:eastAsia="仿宋_GB2312" w:cs="仿宋_GB2312"/>
          <w:color w:val="auto"/>
          <w:sz w:val="32"/>
        </w:rPr>
        <w:t>以推进社会治理体系和治理能力现代化为目标，深入推进社会治理改革，全力打造高效联动、上下贯通、运转灵活的基层社会治理体系，真正实现民有所呼、我有所应，打通服务群众“最后一公里”。</w:t>
      </w:r>
    </w:p>
    <w:p>
      <w:pPr>
        <w:spacing w:line="579" w:lineRule="exact"/>
        <w:ind w:firstLine="660" w:firstLineChars="200"/>
        <w:rPr>
          <w:rFonts w:ascii="仿宋_GB2312" w:hAnsi="仿宋_GB2312" w:eastAsia="仿宋_GB2312" w:cs="仿宋_GB2312"/>
          <w:color w:val="auto"/>
          <w:sz w:val="32"/>
          <w:szCs w:val="32"/>
        </w:rPr>
      </w:pPr>
      <w:bookmarkStart w:id="181" w:name="_Toc11086"/>
      <w:r>
        <w:rPr>
          <w:rFonts w:hint="eastAsia" w:ascii="仿宋_GB2312" w:hAnsi="仿宋_GB2312" w:eastAsia="仿宋_GB2312" w:cs="仿宋_GB2312"/>
          <w:b/>
          <w:color w:val="auto"/>
          <w:sz w:val="32"/>
          <w:szCs w:val="32"/>
        </w:rPr>
        <w:t>加强社区治理体系建设</w:t>
      </w:r>
      <w:bookmarkEnd w:id="181"/>
      <w:bookmarkStart w:id="182" w:name="_Toc1466"/>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加快信息化、智能化融入社区治理，构建社区党组织、社区居民委员会、社区服务站“三合一”模式，推进社区、社会组织、社会工作和社会志愿者“四社联动”，形成共建共享的城乡社区治理新格局。持续深化城乡社区网格化治理体系建设，推动精细网格化社区管理和服务升级，将城市管理、社会治理和公共服务事项纳入社区网格规范管理。推进“评理说事点”高质量全覆盖，完善社区协商议事机制成果采纳、实施、反馈和应用。</w:t>
      </w:r>
      <w:bookmarkEnd w:id="182"/>
      <w:r>
        <w:rPr>
          <w:rFonts w:hint="eastAsia" w:ascii="仿宋_GB2312" w:hAnsi="仿宋_GB2312" w:eastAsia="仿宋_GB2312" w:cs="仿宋_GB2312"/>
          <w:color w:val="auto"/>
          <w:sz w:val="32"/>
          <w:szCs w:val="32"/>
        </w:rPr>
        <w:t>持续提高三级党群服务中心覆盖面，提升“红色驿站”建设水平，突出政治功能、服务功能、文化功能，促进党建工作与智慧城市建设深度融合，打造党建引领基层社会治理的主阵地。</w:t>
      </w:r>
      <w:r>
        <w:rPr>
          <w:rFonts w:hint="eastAsia" w:ascii="仿宋_GB2312" w:hAnsi="仿宋" w:eastAsia="仿宋_GB2312" w:cs="仿宋"/>
          <w:color w:val="auto"/>
          <w:sz w:val="32"/>
        </w:rPr>
        <w:t>提升区级政务服务中心服务水平，将街道行政审批、公共服务事项全部向党群服务中心（便民服务中心）集中，加快社区便民服务驿站设施建设。</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推进“大数据+社会治理”。</w:t>
      </w:r>
      <w:r>
        <w:rPr>
          <w:rFonts w:hint="eastAsia" w:ascii="仿宋_GB2312" w:hAnsi="仿宋_GB2312" w:eastAsia="仿宋_GB2312" w:cs="仿宋_GB2312"/>
          <w:color w:val="auto"/>
          <w:sz w:val="32"/>
          <w:szCs w:val="32"/>
        </w:rPr>
        <w:t xml:space="preserve">充分利用AI和大数据治理城市，推动社区服务信息化和智能化，推进“互联网+社区”、“网络+网格”和“智慧社区”建设，优化浑南区社会治理综合指挥服务中心建设，为基层社会治理提供数据化、在线化、智能化决策平台，实现“数据向上汇集、服务向下延伸”，及时反映社情民意，快速解决群众合理诉求，最大限度减少隐患、防范风险、化解矛盾、促进和谐，推动基层社会治理现代化。加快社会信用体系建设，通过沈阳公共信用信息平台，实现信用信息“一张网”和“一站式”查询，推动有关部门加快建立“红黑名单”及其管理制度，依法开展守信联合激励和失信联合惩戒，坚决依法依规实施市场和行业禁入措施。数据驱动档案事业转型升级，运用大数据落实档案工作“存量数字化、增量电子化”，加快档案数字化和电子化的进程，提高档案检索、查询、安全监管的信息化水平。 </w:t>
      </w:r>
    </w:p>
    <w:p>
      <w:pPr>
        <w:spacing w:line="579" w:lineRule="exact"/>
        <w:ind w:firstLine="660" w:firstLineChars="200"/>
        <w:rPr>
          <w:rFonts w:ascii="仿宋_GB2312" w:hAnsi="仿宋_GB2312" w:eastAsia="仿宋_GB2312" w:cs="仿宋_GB2312"/>
          <w:color w:val="auto"/>
          <w:sz w:val="32"/>
        </w:rPr>
      </w:pPr>
      <w:r>
        <w:rPr>
          <w:rFonts w:hint="eastAsia" w:ascii="仿宋_GB2312" w:hAnsi="仿宋_GB2312" w:eastAsia="仿宋_GB2312" w:cs="仿宋_GB2312"/>
          <w:b/>
          <w:color w:val="auto"/>
          <w:sz w:val="32"/>
          <w:szCs w:val="32"/>
        </w:rPr>
        <w:t>创新社会“共治共享”机制。</w:t>
      </w:r>
      <w:r>
        <w:rPr>
          <w:rFonts w:hint="eastAsia" w:ascii="仿宋_GB2312" w:hAnsi="仿宋_GB2312" w:eastAsia="仿宋_GB2312" w:cs="仿宋_GB2312"/>
          <w:color w:val="auto"/>
          <w:sz w:val="32"/>
        </w:rPr>
        <w:t>建立健全党组织领导下的群众参与机制，对涉及事关群众切身利益的问题，通过协商会、听证会、恳谈会等方式，组织引导群众积极参与，共同推动问题解决，增强群众参与基层社会治理的广度和深度。</w:t>
      </w:r>
      <w:r>
        <w:rPr>
          <w:rFonts w:hint="eastAsia" w:ascii="仿宋_GB2312" w:hAnsi="仿宋_GB2312" w:eastAsia="仿宋_GB2312" w:cs="仿宋_GB2312"/>
          <w:color w:val="auto"/>
          <w:sz w:val="32"/>
          <w:szCs w:val="32"/>
        </w:rPr>
        <w:t>完善社区民主选举、民主协商、民主决策、民主管理、民主监督制度，实现民事民议、民事民办、民事民管。推进行政执法权限和力量向街道下沉，将基层“看得见、管得着”发生频次较高的领域，采取委托或相对集中行政处罚权的方式交由街道综合执法队直接承担。加大街道综合执法队伍与职能部门专业执法队伍联合执法力度，确保问题在基层发现、在一线解决。加强监督体制创新，提升督查力度，实现督查部门对整改落实情况全程督查督办。狠抓纪检监察共治，充分发挥人大、政协、纪检监察的作用，进一步调整和理顺各项工作落实单位和个人，落实纪检部门对责任单位领导依法依规进行问责追责，构建完整的领导、组织、指挥、协调、监督、考评运行模式。鼓励区内外媒体运用专题栏目聚焦报道社会发展动态，</w:t>
      </w:r>
      <w:r>
        <w:rPr>
          <w:rFonts w:hint="eastAsia" w:ascii="仿宋_GB2312" w:hAnsi="仿宋_GB2312" w:eastAsia="仿宋_GB2312" w:cs="仿宋_GB2312"/>
          <w:color w:val="auto"/>
          <w:sz w:val="32"/>
        </w:rPr>
        <w:t>形成多层次、全方位宣传引导体系。</w:t>
      </w: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加快社会组织培养和专业化发展。</w:t>
      </w:r>
      <w:r>
        <w:rPr>
          <w:rFonts w:hint="eastAsia" w:ascii="仿宋_GB2312" w:hAnsi="仿宋_GB2312" w:eastAsia="仿宋_GB2312" w:cs="仿宋_GB2312"/>
          <w:color w:val="auto"/>
          <w:sz w:val="32"/>
          <w:szCs w:val="32"/>
        </w:rPr>
        <w:t>加快孵化培育与现代社会治理结构相适应的公益性、互助性、枢纽型社会组织，出台社会组织评价管理办法，根据评价结果提供相应的政策保障。提高政府采购专业社会服务数量，建立专业化的政府采购社会服务评价指标，加强对中标机构的服务前、服务中、服务后监管与考核。</w:t>
      </w:r>
    </w:p>
    <w:p>
      <w:pPr>
        <w:pStyle w:val="2"/>
        <w:spacing w:line="290" w:lineRule="exact"/>
        <w:ind w:left="102"/>
        <w:rPr>
          <w:color w:val="auto"/>
        </w:rPr>
      </w:pPr>
    </w:p>
    <w:p>
      <w:pPr>
        <w:pStyle w:val="31"/>
        <w:numPr>
          <w:ilvl w:val="0"/>
          <w:numId w:val="12"/>
        </w:numPr>
        <w:spacing w:line="579" w:lineRule="exact"/>
        <w:ind w:firstLineChars="0"/>
        <w:jc w:val="center"/>
        <w:outlineLvl w:val="1"/>
        <w:rPr>
          <w:rFonts w:ascii="黑体" w:hAnsi="黑体" w:eastAsia="黑体" w:cs="黑体"/>
          <w:bCs/>
          <w:color w:val="auto"/>
          <w:sz w:val="32"/>
          <w:szCs w:val="32"/>
        </w:rPr>
      </w:pPr>
      <w:bookmarkStart w:id="183" w:name="_Toc18731"/>
      <w:bookmarkStart w:id="184" w:name="_Toc59116959"/>
      <w:r>
        <w:rPr>
          <w:rFonts w:hint="eastAsia" w:ascii="黑体" w:hAnsi="黑体" w:eastAsia="黑体" w:cs="黑体"/>
          <w:bCs/>
          <w:color w:val="auto"/>
          <w:sz w:val="32"/>
          <w:szCs w:val="32"/>
        </w:rPr>
        <w:t>深化管理体制改革</w:t>
      </w:r>
      <w:bookmarkEnd w:id="183"/>
      <w:bookmarkEnd w:id="184"/>
    </w:p>
    <w:p>
      <w:pPr>
        <w:pStyle w:val="2"/>
        <w:spacing w:line="290" w:lineRule="exact"/>
        <w:ind w:left="102"/>
        <w:rPr>
          <w:color w:val="auto"/>
        </w:rPr>
      </w:pPr>
    </w:p>
    <w:p>
      <w:pPr>
        <w:pStyle w:val="2"/>
        <w:spacing w:line="579" w:lineRule="exact"/>
        <w:ind w:left="102" w:firstLine="660" w:firstLineChars="200"/>
        <w:rPr>
          <w:rFonts w:ascii="仿宋_GB2312" w:hAnsi="仿宋" w:eastAsia="仿宋_GB2312" w:cs="仿宋"/>
          <w:color w:val="auto"/>
          <w:sz w:val="32"/>
        </w:rPr>
      </w:pPr>
      <w:r>
        <w:rPr>
          <w:rFonts w:hint="eastAsia" w:ascii="仿宋_GB2312" w:hAnsi="仿宋" w:eastAsia="仿宋_GB2312" w:cs="仿宋"/>
          <w:color w:val="auto"/>
          <w:sz w:val="32"/>
        </w:rPr>
        <w:t>以“小政府，大服务”为主线，推进“管委会+公司”改革、行政管理体制改革、街道和社区改革、干部管理制度改革，转变政府职能，提高政府效能，使政府系统全面适应社会主义现代化建设的新形势、新任务和新要求。</w:t>
      </w:r>
    </w:p>
    <w:p>
      <w:pPr>
        <w:spacing w:line="579" w:lineRule="exact"/>
        <w:ind w:firstLine="660" w:firstLineChars="200"/>
        <w:rPr>
          <w:rFonts w:ascii="仿宋_GB2312" w:hAnsi="仿宋" w:eastAsia="仿宋_GB2312" w:cs="仿宋"/>
          <w:b/>
          <w:bCs/>
          <w:color w:val="auto"/>
          <w:sz w:val="32"/>
          <w:szCs w:val="32"/>
        </w:rPr>
      </w:pPr>
      <w:r>
        <w:rPr>
          <w:rFonts w:hint="eastAsia" w:ascii="仿宋_GB2312" w:hAnsi="仿宋" w:eastAsia="仿宋_GB2312" w:cs="仿宋"/>
          <w:b/>
          <w:bCs/>
          <w:color w:val="auto"/>
          <w:sz w:val="32"/>
          <w:szCs w:val="32"/>
        </w:rPr>
        <w:t>推进“管委会+公司”改革</w:t>
      </w:r>
      <w:r>
        <w:rPr>
          <w:rFonts w:hint="eastAsia" w:ascii="仿宋_GB2312" w:hAnsi="仿宋" w:eastAsia="仿宋_GB2312" w:cs="仿宋"/>
          <w:color w:val="auto"/>
          <w:sz w:val="32"/>
          <w:szCs w:val="32"/>
        </w:rPr>
        <w:t>。推动高新区、自贸区、棋盘山旅游度假区等深入推进“小管委会+大公司”运营模式。推动各管委会由服务者向服务组织者转变，持续精简优化人员结构，联合专业化市场力量，共同做好发展规划、政策制定落实、企业培育、项目建设推进、环境营造等工作。推动高发投集团立足产业导入、产业培育需要，重点</w:t>
      </w:r>
      <w:r>
        <w:rPr>
          <w:rFonts w:hint="eastAsia" w:ascii="仿宋_GB2312" w:hAnsi="黑体" w:eastAsia="仿宋_GB2312"/>
          <w:color w:val="auto"/>
          <w:sz w:val="32"/>
        </w:rPr>
        <w:t>提升产业招商、产业投资、开发建设、产业平台载体运营及服务四大业务能力</w:t>
      </w:r>
      <w:r>
        <w:rPr>
          <w:rFonts w:hint="eastAsia" w:ascii="仿宋_GB2312" w:eastAsia="仿宋_GB2312"/>
          <w:bCs/>
          <w:color w:val="auto"/>
          <w:sz w:val="32"/>
        </w:rPr>
        <w:t>，</w:t>
      </w:r>
      <w:r>
        <w:rPr>
          <w:rFonts w:hint="eastAsia" w:ascii="仿宋_GB2312" w:hAnsi="仿宋" w:eastAsia="仿宋_GB2312" w:cs="仿宋"/>
          <w:bCs/>
          <w:color w:val="auto"/>
          <w:sz w:val="32"/>
          <w:szCs w:val="32"/>
        </w:rPr>
        <w:t>加强</w:t>
      </w:r>
      <w:r>
        <w:rPr>
          <w:rFonts w:hint="eastAsia" w:ascii="仿宋_GB2312" w:hAnsi="仿宋" w:eastAsia="仿宋_GB2312" w:cs="仿宋"/>
          <w:color w:val="auto"/>
          <w:sz w:val="32"/>
          <w:szCs w:val="32"/>
        </w:rPr>
        <w:t>链接国内外高科技园区、资本、技术、创新人才</w:t>
      </w:r>
      <w:r>
        <w:rPr>
          <w:rFonts w:hint="eastAsia" w:ascii="仿宋_GB2312" w:hAnsi="仿宋" w:eastAsia="仿宋_GB2312" w:cs="仿宋"/>
          <w:bCs/>
          <w:color w:val="auto"/>
          <w:sz w:val="32"/>
          <w:szCs w:val="32"/>
        </w:rPr>
        <w:t>，成为高新技术产业和新经济新业态培育的主力军。</w:t>
      </w:r>
      <w:r>
        <w:rPr>
          <w:rFonts w:hint="eastAsia" w:ascii="仿宋_GB2312" w:hAnsi="仿宋" w:eastAsia="仿宋_GB2312" w:cs="仿宋"/>
          <w:color w:val="auto"/>
          <w:sz w:val="32"/>
          <w:szCs w:val="32"/>
        </w:rPr>
        <w:t>发挥棋盘山文旅集团在重大基础设施建设、文化产业运营、生态环境建设、文化特色小镇、精品民宿等领域的优势，为“大棋盘山”生态格局建设服务。推动自贸投提升新兴产业投资、贸易和投资便利化服务、国际高端要素导入等功能。</w:t>
      </w:r>
    </w:p>
    <w:p>
      <w:pPr>
        <w:spacing w:line="579" w:lineRule="exact"/>
        <w:ind w:firstLine="660" w:firstLineChars="200"/>
        <w:rPr>
          <w:rFonts w:ascii="仿宋_GB2312" w:hAnsi="仿宋" w:eastAsia="仿宋_GB2312" w:cs="仿宋"/>
          <w:color w:val="auto"/>
          <w:sz w:val="32"/>
          <w:szCs w:val="32"/>
        </w:rPr>
      </w:pPr>
      <w:r>
        <w:rPr>
          <w:rFonts w:hint="eastAsia" w:ascii="仿宋_GB2312" w:hAnsi="仿宋" w:eastAsia="仿宋_GB2312" w:cs="仿宋"/>
          <w:b/>
          <w:bCs/>
          <w:color w:val="auto"/>
          <w:sz w:val="32"/>
          <w:szCs w:val="32"/>
        </w:rPr>
        <w:t>深化行政管理体制改革</w:t>
      </w:r>
      <w:r>
        <w:rPr>
          <w:rFonts w:hint="eastAsia" w:ascii="仿宋_GB2312" w:hAnsi="仿宋" w:eastAsia="仿宋_GB2312" w:cs="仿宋"/>
          <w:color w:val="auto"/>
          <w:sz w:val="32"/>
          <w:szCs w:val="32"/>
        </w:rPr>
        <w:t>。实施“大部制”改革，调整优化事业单位布局。积极推进行政区和高新区、自贸区、棋盘山开发区管理体制和运营模式改革，打造一体化发展模式。围绕招商引资、项目建设、企业服务、城市治理等领域，采取成立领导小组、建立跨部门联席会、加强部门人员调配等措施，探索建立行之有效的跨部门协作机制。采用组织诊断工具，定期对政府组织架构、关键部门组织能力进行诊断，按诊断结果动态优化政府机构。推进财政资金网上审批等智慧政务工程，全面提高政府办公效率。</w:t>
      </w:r>
      <w:r>
        <w:rPr>
          <w:rFonts w:hint="eastAsia" w:ascii="仿宋_GB2312" w:hAnsi="仿宋_GB2312" w:eastAsia="仿宋_GB2312" w:cs="仿宋_GB2312"/>
          <w:color w:val="auto"/>
          <w:sz w:val="32"/>
          <w:szCs w:val="32"/>
        </w:rPr>
        <w:t>围绕提升群团组织的凝心聚力作用，深化各级工会、共青团、妇联、科协、残联、工商联等群团组织改革，聚焦新阶层、新领域、新群体，推动组织力量和服务活动双下沉，建立基层人、财、物、场地共享机制。</w:t>
      </w:r>
    </w:p>
    <w:p>
      <w:pPr>
        <w:spacing w:line="579" w:lineRule="exact"/>
        <w:ind w:firstLine="660" w:firstLineChars="200"/>
        <w:rPr>
          <w:rFonts w:ascii="仿宋_GB2312" w:hAnsi="仿宋" w:eastAsia="仿宋_GB2312" w:cs="仿宋"/>
          <w:color w:val="auto"/>
          <w:sz w:val="32"/>
        </w:rPr>
      </w:pPr>
      <w:r>
        <w:rPr>
          <w:rFonts w:hint="eastAsia" w:ascii="仿宋_GB2312" w:hAnsi="仿宋" w:eastAsia="仿宋_GB2312" w:cs="仿宋"/>
          <w:b/>
          <w:bCs/>
          <w:color w:val="auto"/>
          <w:sz w:val="32"/>
          <w:szCs w:val="32"/>
        </w:rPr>
        <w:t>深化街道和社区改革。</w:t>
      </w:r>
      <w:r>
        <w:rPr>
          <w:rFonts w:hint="eastAsia" w:ascii="仿宋_GB2312" w:hAnsi="仿宋" w:eastAsia="仿宋_GB2312" w:cs="仿宋"/>
          <w:color w:val="auto"/>
          <w:sz w:val="32"/>
        </w:rPr>
        <w:t>针对涉农街道辖区内城市社区、农村社区不同特点，差异化界定企业培育、产业发展、城市有机更新、稳定居民收入、社区治理等工作内容，确保街道职能与辖区内城镇化进程适应。推行“不等街道吹哨、部门主动报到”，进一步完善公共服务、公共管理、公共安全等方面区、街道、社区三级联动机制。强化街道经济职能，深化财政分配制度改革，赋予街道更大的人权、财权、事权。依法厘清街道与社区的权责边界，通过政府购买服务方式为社区减负。</w:t>
      </w:r>
    </w:p>
    <w:p>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加强干部管理改革</w:t>
      </w:r>
      <w:r>
        <w:rPr>
          <w:rFonts w:hint="eastAsia" w:ascii="仿宋_GB2312" w:hAnsi="仿宋_GB2312" w:eastAsia="仿宋_GB2312" w:cs="仿宋_GB2312"/>
          <w:bCs/>
          <w:color w:val="auto"/>
          <w:sz w:val="32"/>
          <w:szCs w:val="32"/>
        </w:rPr>
        <w:t>。进一步优化干部的考核和奖惩机制，聚焦重点任务开展“揭榜挂帅”“赛道比拼”活动，落实落细鼓励激励、容错免责、干部召回“三项机制”，形成“以干成事情论英雄、以解决实际问题论能力、以高质量发展项目和高水平制度创新成果论业绩”的干部考核导向，</w:t>
      </w:r>
      <w:r>
        <w:rPr>
          <w:rFonts w:hint="eastAsia" w:ascii="仿宋_GB2312" w:hAnsi="Calibri" w:eastAsia="仿宋_GB2312" w:cs="仿宋_GB2312"/>
          <w:color w:val="auto"/>
          <w:kern w:val="0"/>
          <w:sz w:val="32"/>
          <w:szCs w:val="32"/>
        </w:rPr>
        <w:t>建立激励机制和容错纠错机制，旗帜鲜明地为敢于担当、踏实做事、不谋私利的干部撑腰鼓劲</w:t>
      </w:r>
      <w:r>
        <w:rPr>
          <w:rFonts w:hint="eastAsia" w:ascii="仿宋_GB2312" w:hAnsi="仿宋_GB2312" w:eastAsia="仿宋_GB2312" w:cs="仿宋_GB2312"/>
          <w:bCs/>
          <w:color w:val="auto"/>
          <w:sz w:val="32"/>
          <w:szCs w:val="32"/>
        </w:rPr>
        <w:t>。加强年轻干部源头建设，持续更新年轻干部储备库，重点挖掘培养一批具有经济管理、科技创新、外经贸、金融等专业背景的复合型年轻领导干部。建立完善的年轻干部学习与培养机制，联合党校、高校院所、知名企业等定期开展年轻干部新经济培训工作。优化国有企事业单位选人用人机制，畅通企业、社会组织人员进入党政机关、国有企事业单位渠道。打破选人用人中论资排辈的观念和做法, 促进人才合理流动, 积极营造各方面优秀人才脱颖而出的良好环境。</w:t>
      </w:r>
    </w:p>
    <w:p>
      <w:pPr>
        <w:keepNext/>
        <w:spacing w:line="579" w:lineRule="exact"/>
        <w:jc w:val="center"/>
        <w:outlineLvl w:val="0"/>
        <w:rPr>
          <w:rFonts w:ascii="宋体" w:hAnsi="宋体" w:cs="宋体"/>
          <w:b/>
          <w:color w:val="auto"/>
          <w:sz w:val="44"/>
          <w:szCs w:val="44"/>
        </w:rPr>
        <w:sectPr>
          <w:pgSz w:w="11906" w:h="16838"/>
          <w:pgMar w:top="2098" w:right="1474" w:bottom="1985" w:left="1588" w:header="851" w:footer="992" w:gutter="0"/>
          <w:cols w:space="425" w:num="1"/>
          <w:docGrid w:type="linesAndChars" w:linePitch="299" w:charSpace="2048"/>
        </w:sectPr>
      </w:pPr>
    </w:p>
    <w:p>
      <w:pPr>
        <w:keepNext/>
        <w:spacing w:line="290" w:lineRule="exact"/>
        <w:jc w:val="center"/>
        <w:outlineLvl w:val="0"/>
        <w:rPr>
          <w:rFonts w:ascii="宋体" w:hAnsi="宋体" w:cs="宋体"/>
          <w:b/>
          <w:color w:val="auto"/>
          <w:sz w:val="44"/>
          <w:szCs w:val="44"/>
        </w:rPr>
      </w:pPr>
      <w:bookmarkStart w:id="185" w:name="_Toc59116960"/>
    </w:p>
    <w:p>
      <w:pPr>
        <w:keepNext/>
        <w:spacing w:line="579" w:lineRule="exact"/>
        <w:jc w:val="center"/>
        <w:outlineLvl w:val="0"/>
        <w:rPr>
          <w:rFonts w:ascii="宋体" w:hAnsi="宋体" w:cs="宋体"/>
          <w:b/>
          <w:color w:val="auto"/>
          <w:sz w:val="44"/>
          <w:szCs w:val="44"/>
        </w:rPr>
      </w:pPr>
      <w:r>
        <w:rPr>
          <w:rFonts w:hint="eastAsia" w:ascii="宋体" w:hAnsi="宋体" w:cs="宋体"/>
          <w:b/>
          <w:color w:val="auto"/>
          <w:sz w:val="44"/>
          <w:szCs w:val="44"/>
        </w:rPr>
        <w:t>第十三章</w:t>
      </w:r>
      <w:r>
        <w:rPr>
          <w:rFonts w:ascii="宋体" w:hAnsi="宋体" w:cs="宋体"/>
          <w:b/>
          <w:color w:val="auto"/>
          <w:sz w:val="44"/>
          <w:szCs w:val="44"/>
        </w:rPr>
        <w:t xml:space="preserve"> </w:t>
      </w:r>
      <w:r>
        <w:rPr>
          <w:rFonts w:hint="eastAsia" w:ascii="宋体" w:hAnsi="宋体" w:cs="宋体"/>
          <w:b/>
          <w:color w:val="auto"/>
          <w:sz w:val="44"/>
          <w:szCs w:val="44"/>
        </w:rPr>
        <w:t>保障措施</w:t>
      </w:r>
      <w:bookmarkEnd w:id="185"/>
    </w:p>
    <w:p>
      <w:pPr>
        <w:keepNext/>
        <w:spacing w:line="290" w:lineRule="exact"/>
        <w:jc w:val="center"/>
        <w:outlineLvl w:val="0"/>
        <w:rPr>
          <w:color w:val="auto"/>
        </w:rPr>
      </w:pPr>
    </w:p>
    <w:p>
      <w:pPr>
        <w:pStyle w:val="31"/>
        <w:numPr>
          <w:ilvl w:val="0"/>
          <w:numId w:val="13"/>
        </w:numPr>
        <w:spacing w:line="579" w:lineRule="exact"/>
        <w:ind w:firstLineChars="0"/>
        <w:jc w:val="center"/>
        <w:outlineLvl w:val="1"/>
        <w:rPr>
          <w:rFonts w:ascii="黑体" w:hAnsi="黑体" w:eastAsia="黑体" w:cs="黑体"/>
          <w:bCs/>
          <w:color w:val="auto"/>
          <w:sz w:val="32"/>
          <w:szCs w:val="32"/>
        </w:rPr>
      </w:pPr>
      <w:bookmarkStart w:id="186" w:name="_Toc59116961"/>
      <w:r>
        <w:rPr>
          <w:rFonts w:hint="eastAsia" w:ascii="黑体" w:hAnsi="黑体" w:eastAsia="黑体" w:cs="黑体"/>
          <w:bCs/>
          <w:color w:val="auto"/>
          <w:sz w:val="32"/>
          <w:szCs w:val="32"/>
        </w:rPr>
        <w:t>加强党建引领</w:t>
      </w:r>
      <w:bookmarkEnd w:id="186"/>
    </w:p>
    <w:p>
      <w:pPr>
        <w:keepNext/>
        <w:spacing w:line="290" w:lineRule="exact"/>
        <w:jc w:val="center"/>
        <w:outlineLvl w:val="0"/>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坚持以政治建设为统领，教育引导全区党员干部深入学习贯彻习近平新时代中国特色社会主义思想，深入学习运用中国共产党一百年的宝贵经验，坚定理想信念，牢记初心使命，增强“</w:t>
      </w:r>
      <w:bookmarkStart w:id="190" w:name="_GoBack"/>
      <w:r>
        <w:rPr>
          <w:rFonts w:hint="eastAsia" w:ascii="仿宋_GB2312" w:hAnsi="仿宋_GB2312" w:eastAsia="仿宋_GB2312" w:cs="仿宋_GB2312"/>
          <w:color w:val="auto"/>
          <w:sz w:val="32"/>
          <w:szCs w:val="32"/>
        </w:rPr>
        <w:t>四个意识</w:t>
      </w:r>
      <w:bookmarkEnd w:id="190"/>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坚定“四个自信”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做到“两个维护”，不折不扣贯彻落实中央决策部署和省委、市委具体要求。提高党科学执政、民主执政、依法执政水平，保障“十四五”规划的权威性、连续性和稳定性。加强党的建设，进一步推动思想解放，准确把握发展趋势和规律，切实形成与高质量发展要求相适应的思维、体制机制和工作方式。落实全面从严治党主体责任、监督责任，提高党的建设质量。健全正向激励体系，完善容错纠错、规范问责等机制，激发干事创业的精气神。严明纪律规矩，构建监督体系、推进治理体系，以“两个体系”建设的贯通融合，一体推进不敢腐、不能腐、不想腐，营造风清气正的良好政治生态。落实好干部标准，坚持正确选人用人导向，推动能者上、优者奖、庸者下、劣者汰。大力弘扬真抓实干、担当作为的良好作风，推进党组织体系建设，发挥各领域基层党组织和广大党员</w:t>
      </w:r>
      <w:r>
        <w:rPr>
          <w:rFonts w:hint="eastAsia" w:ascii="仿宋_GB2312" w:hAnsi="Calibri" w:eastAsia="仿宋_GB2312" w:cs="仿宋_GB2312"/>
          <w:color w:val="auto"/>
          <w:kern w:val="0"/>
          <w:sz w:val="32"/>
          <w:szCs w:val="32"/>
        </w:rPr>
        <w:t>在“十四五”规划实施中</w:t>
      </w:r>
      <w:r>
        <w:rPr>
          <w:rFonts w:hint="eastAsia" w:ascii="仿宋_GB2312" w:hAnsi="仿宋_GB2312" w:eastAsia="仿宋_GB2312" w:cs="仿宋_GB2312"/>
          <w:color w:val="auto"/>
          <w:sz w:val="32"/>
          <w:szCs w:val="32"/>
        </w:rPr>
        <w:t>战斗堡垒和先锋模范作用。进一步加强党员干部价值观教育，牢记“人人都是营商环境，人人都是开放形象”理念，牢固树立党员干部主动为企业和群众解决实际问题的服务意识。</w:t>
      </w:r>
    </w:p>
    <w:p>
      <w:pPr>
        <w:keepNext/>
        <w:spacing w:line="290" w:lineRule="exact"/>
        <w:jc w:val="center"/>
        <w:outlineLvl w:val="0"/>
        <w:rPr>
          <w:color w:val="auto"/>
        </w:rPr>
      </w:pPr>
    </w:p>
    <w:p>
      <w:pPr>
        <w:pStyle w:val="31"/>
        <w:numPr>
          <w:ilvl w:val="0"/>
          <w:numId w:val="13"/>
        </w:numPr>
        <w:spacing w:line="579" w:lineRule="exact"/>
        <w:ind w:left="1157" w:hanging="1157" w:firstLineChars="0"/>
        <w:jc w:val="center"/>
        <w:outlineLvl w:val="1"/>
        <w:rPr>
          <w:rFonts w:ascii="黑体" w:hAnsi="黑体" w:eastAsia="黑体" w:cs="黑体"/>
          <w:bCs/>
          <w:color w:val="auto"/>
          <w:sz w:val="32"/>
          <w:szCs w:val="32"/>
        </w:rPr>
      </w:pPr>
      <w:bookmarkStart w:id="187" w:name="_Toc59116962"/>
      <w:r>
        <w:rPr>
          <w:rFonts w:hint="eastAsia" w:ascii="黑体" w:hAnsi="黑体" w:eastAsia="黑体" w:cs="黑体"/>
          <w:bCs/>
          <w:color w:val="auto"/>
          <w:sz w:val="32"/>
          <w:szCs w:val="32"/>
        </w:rPr>
        <w:t>构建政策支持体系</w:t>
      </w:r>
      <w:bookmarkEnd w:id="187"/>
    </w:p>
    <w:p>
      <w:pPr>
        <w:keepNext/>
        <w:spacing w:line="290" w:lineRule="exact"/>
        <w:jc w:val="center"/>
        <w:outlineLvl w:val="0"/>
        <w:rPr>
          <w:color w:val="auto"/>
        </w:rPr>
      </w:pPr>
    </w:p>
    <w:p>
      <w:pPr>
        <w:pStyle w:val="2"/>
        <w:spacing w:line="579" w:lineRule="exact"/>
        <w:ind w:firstLine="660" w:firstLineChars="200"/>
        <w:rPr>
          <w:rFonts w:ascii="仿宋_GB2312" w:hAnsi="Calibri" w:eastAsia="仿宋_GB2312" w:cs="仿宋_GB2312"/>
          <w:color w:val="auto"/>
          <w:kern w:val="0"/>
          <w:sz w:val="32"/>
        </w:rPr>
      </w:pPr>
      <w:r>
        <w:rPr>
          <w:rFonts w:hint="eastAsia" w:ascii="仿宋_GB2312" w:hAnsi="仿宋_GB2312" w:eastAsia="仿宋_GB2312" w:cs="仿宋_GB2312"/>
          <w:color w:val="auto"/>
          <w:sz w:val="32"/>
        </w:rPr>
        <w:t>出台“</w:t>
      </w:r>
      <w:r>
        <w:rPr>
          <w:rFonts w:hint="eastAsia" w:ascii="仿宋_GB2312" w:hAnsi="Calibri" w:eastAsia="仿宋_GB2312" w:cs="仿宋_GB2312"/>
          <w:color w:val="auto"/>
          <w:kern w:val="0"/>
          <w:sz w:val="32"/>
        </w:rPr>
        <w:t>产业促进政策2</w:t>
      </w:r>
      <w:r>
        <w:rPr>
          <w:rFonts w:ascii="仿宋_GB2312" w:hAnsi="Calibri" w:eastAsia="仿宋_GB2312" w:cs="仿宋_GB2312"/>
          <w:color w:val="auto"/>
          <w:kern w:val="0"/>
          <w:sz w:val="32"/>
        </w:rPr>
        <w:t>0</w:t>
      </w:r>
      <w:r>
        <w:rPr>
          <w:rFonts w:hint="eastAsia" w:ascii="仿宋_GB2312" w:hAnsi="Calibri" w:eastAsia="仿宋_GB2312" w:cs="仿宋_GB2312"/>
          <w:color w:val="auto"/>
          <w:kern w:val="0"/>
          <w:sz w:val="32"/>
        </w:rPr>
        <w:t>条</w:t>
      </w:r>
      <w:r>
        <w:rPr>
          <w:rFonts w:hint="eastAsia" w:ascii="仿宋_GB2312" w:hAnsi="仿宋_GB2312" w:eastAsia="仿宋_GB2312" w:cs="仿宋_GB2312"/>
          <w:color w:val="auto"/>
          <w:sz w:val="32"/>
        </w:rPr>
        <w:t>”</w:t>
      </w:r>
      <w:r>
        <w:rPr>
          <w:rFonts w:hint="eastAsia" w:ascii="仿宋_GB2312" w:hAnsi="Calibri" w:eastAsia="仿宋_GB2312" w:cs="仿宋_GB2312"/>
          <w:color w:val="auto"/>
          <w:kern w:val="0"/>
          <w:sz w:val="32"/>
        </w:rPr>
        <w:t xml:space="preserve"> “企业上市扶持政策”“成本最优区政策”等政策实施细则，加快政策兑现速度。围绕新经济新业态、现代服务业、文体产业等产业方向，以及中小微企业扶持、场景建设、院地校地深度合作、业界共治理事会运行、对外开放等重点领域出台一批配套政策。争取省市支持，针对高新区、自贸区、旅游度假区、临空经济区等高质量发展需要，建立省市区联动支持机制。把“项目建设”作为落实“十四五”规划的重要抓手，优化重大项目布局，加强项目实施管理，组织实施一批关系全局和长远发展的重大项目，建立</w:t>
      </w:r>
      <w:r>
        <w:rPr>
          <w:rFonts w:hint="eastAsia" w:ascii="仿宋_GB2312" w:hAnsi="仿宋_GB2312" w:eastAsia="仿宋_GB2312" w:cs="仿宋_GB2312"/>
          <w:color w:val="auto"/>
          <w:sz w:val="32"/>
        </w:rPr>
        <w:t>滚动支持机制，</w:t>
      </w:r>
      <w:r>
        <w:rPr>
          <w:rFonts w:hint="eastAsia" w:ascii="仿宋_GB2312" w:hAnsi="Calibri" w:eastAsia="仿宋_GB2312" w:cs="仿宋_GB2312"/>
          <w:color w:val="auto"/>
          <w:kern w:val="0"/>
          <w:sz w:val="32"/>
        </w:rPr>
        <w:t>进一步增强项目投资对经济增长的关键支撑作用。优化财政支出结构和政府投资结构，加大新经济发展、科技创新、公共服务、城乡建设等领域财政支出和项目投入，进一步加强财政绩效管理，提高财政资金使用效益。加大财政资金统筹力度，鼓励社会资本参与投资，集中力量解决重大问题。</w:t>
      </w:r>
    </w:p>
    <w:p>
      <w:pPr>
        <w:pStyle w:val="2"/>
        <w:spacing w:line="290" w:lineRule="exact"/>
        <w:ind w:left="102" w:firstLine="440" w:firstLineChars="200"/>
        <w:rPr>
          <w:color w:val="auto"/>
        </w:rPr>
      </w:pPr>
    </w:p>
    <w:p>
      <w:pPr>
        <w:numPr>
          <w:ilvl w:val="0"/>
          <w:numId w:val="13"/>
        </w:numPr>
        <w:spacing w:line="579" w:lineRule="exact"/>
        <w:ind w:left="1157" w:hanging="1157"/>
        <w:jc w:val="center"/>
        <w:outlineLvl w:val="1"/>
        <w:rPr>
          <w:rFonts w:ascii="黑体" w:hAnsi="黑体" w:eastAsia="黑体" w:cs="黑体"/>
          <w:bCs/>
          <w:color w:val="auto"/>
          <w:sz w:val="32"/>
          <w:szCs w:val="32"/>
        </w:rPr>
      </w:pPr>
      <w:bookmarkStart w:id="188" w:name="_Toc59116963"/>
      <w:r>
        <w:rPr>
          <w:rFonts w:hint="eastAsia" w:ascii="黑体" w:hAnsi="黑体" w:eastAsia="黑体" w:cs="黑体"/>
          <w:bCs/>
          <w:color w:val="auto"/>
          <w:sz w:val="32"/>
          <w:szCs w:val="32"/>
        </w:rPr>
        <w:t>有序推进规划实施</w:t>
      </w:r>
      <w:bookmarkEnd w:id="188"/>
    </w:p>
    <w:p>
      <w:pPr>
        <w:pStyle w:val="2"/>
        <w:spacing w:line="290" w:lineRule="exact"/>
        <w:ind w:left="0"/>
        <w:rPr>
          <w:color w:val="auto"/>
        </w:rPr>
      </w:pPr>
    </w:p>
    <w:p>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成立规划实施领导小组，对规划中重大项目和有关问题进行统筹部署和科学决策。聘请国内知名研究专家以及区内知名企业家、行业协会负责人等成立专家咨询委员会，负责对发展战略和目标、战略任务和部署等重大事项的决策提供咨询和建议，并对发展战略的实施进行监督。区政府制定规划纲要分解方案，结合年度计划的编制，将本纲要确定的规划目标、经济社会指标、工作重点任务、主要项目等内容逐项落实到相关管委会和职能部门。各管委会、各部门要按照职责分工，将规划纲要确定的相关任务纳入本单位年度计划，明确责任人和进度要求，并及时向区政府汇报。完善重点问题跨部门协商机制，保证跨部门事项顺利落实。</w:t>
      </w:r>
    </w:p>
    <w:p>
      <w:pPr>
        <w:pStyle w:val="2"/>
        <w:spacing w:line="290" w:lineRule="exact"/>
        <w:ind w:left="0"/>
        <w:rPr>
          <w:color w:val="auto"/>
        </w:rPr>
      </w:pPr>
    </w:p>
    <w:p>
      <w:pPr>
        <w:pStyle w:val="31"/>
        <w:numPr>
          <w:ilvl w:val="0"/>
          <w:numId w:val="13"/>
        </w:numPr>
        <w:spacing w:line="579" w:lineRule="exact"/>
        <w:ind w:firstLineChars="0"/>
        <w:jc w:val="center"/>
        <w:outlineLvl w:val="1"/>
        <w:rPr>
          <w:rFonts w:ascii="黑体" w:hAnsi="黑体" w:eastAsia="黑体" w:cs="黑体"/>
          <w:bCs/>
          <w:color w:val="auto"/>
          <w:sz w:val="32"/>
          <w:szCs w:val="32"/>
        </w:rPr>
      </w:pPr>
      <w:bookmarkStart w:id="189" w:name="_Toc59116964"/>
      <w:r>
        <w:rPr>
          <w:rFonts w:hint="eastAsia" w:ascii="黑体" w:hAnsi="黑体" w:eastAsia="黑体" w:cs="黑体"/>
          <w:bCs/>
          <w:color w:val="auto"/>
          <w:sz w:val="32"/>
          <w:szCs w:val="32"/>
        </w:rPr>
        <w:t>强化规划实施动态评估</w:t>
      </w:r>
      <w:bookmarkEnd w:id="189"/>
    </w:p>
    <w:p>
      <w:pPr>
        <w:pStyle w:val="2"/>
        <w:spacing w:line="290" w:lineRule="exact"/>
        <w:ind w:left="0"/>
        <w:rPr>
          <w:color w:val="auto"/>
        </w:rPr>
      </w:pPr>
    </w:p>
    <w:p>
      <w:pPr>
        <w:autoSpaceDE w:val="0"/>
        <w:autoSpaceDN w:val="0"/>
        <w:adjustRightInd w:val="0"/>
        <w:spacing w:line="579" w:lineRule="exact"/>
        <w:ind w:firstLine="660" w:firstLineChars="200"/>
        <w:jc w:val="left"/>
        <w:rPr>
          <w:b/>
          <w:color w:val="auto"/>
          <w:sz w:val="28"/>
          <w:szCs w:val="28"/>
        </w:rPr>
      </w:pPr>
      <w:r>
        <w:rPr>
          <w:rFonts w:hint="eastAsia" w:ascii="仿宋_GB2312" w:hAnsi="仿宋_GB2312" w:eastAsia="仿宋_GB2312" w:cs="仿宋_GB2312"/>
          <w:color w:val="auto"/>
          <w:sz w:val="32"/>
          <w:szCs w:val="32"/>
        </w:rPr>
        <w:t>建立规划“编制-实施-评估-调整”的滚动循环机制，加强规划实施动态管理。完善规划指标统计制度，提高规划实施监测分析的及时性、全面性和准确性。开展规划实施情况评估，创新评估方式，增强规划评估的客观性和科学性。职能部门积极对规划相关领域实施情况进行评估，自觉接受区人大及其常委会、区政协和社会各界监督检查。</w:t>
      </w:r>
      <w:r>
        <w:rPr>
          <w:rFonts w:hint="eastAsia" w:ascii="仿宋_GB2312" w:hAnsi="Calibri" w:eastAsia="仿宋_GB2312" w:cs="仿宋_GB2312"/>
          <w:color w:val="auto"/>
          <w:kern w:val="0"/>
          <w:sz w:val="32"/>
          <w:szCs w:val="32"/>
        </w:rPr>
        <w:t>积极引导各种社会力量通过多种途径和方式共同推进规划实施，提高社会参与度。定期向社会公众发布实施信息，自觉接受社会监督，形成发展共建、建设共管、效果共评的生动局面。</w:t>
      </w:r>
    </w:p>
    <w:sectPr>
      <w:pgSz w:w="11906" w:h="16838"/>
      <w:pgMar w:top="2098" w:right="1474" w:bottom="1985" w:left="1588" w:header="851" w:footer="992" w:gutter="0"/>
      <w:cols w:space="425" w:num="1"/>
      <w:docGrid w:type="linesAndChars" w:linePitch="299" w:charSpace="204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libri Light">
    <w:altName w:val="Calibri"/>
    <w:panose1 w:val="020F0302020204030204"/>
    <w:charset w:val="00"/>
    <w:family w:val="swiss"/>
    <w:pitch w:val="default"/>
    <w:sig w:usb0="00000000" w:usb1="00000000" w:usb2="00000000" w:usb3="00000000" w:csb0="2000019F"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pPr>
                            <w:pStyle w:val="10"/>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l3GF10gAAAAMBAAAPAAAAAAAAAAEA&#10;IAAAACIAAABkcnMvZG93bnJldi54bWxQSwECFAAUAAAACACHTuJAO687L9wBAACuAwAADgAAAAAA&#10;AAABACAAAAAhAQAAZHJzL2Uyb0RvYy54bWxQSwUGAAAAAAYABgBZAQAAb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lear" w:pos="8306"/>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452855"/>
    </w:sdtPr>
    <w:sdtContent>
      <w:p>
        <w:pPr>
          <w:pStyle w:val="10"/>
          <w:jc w:val="center"/>
        </w:pPr>
        <w:r>
          <w:fldChar w:fldCharType="begin"/>
        </w:r>
        <w:r>
          <w:instrText xml:space="preserve">PAGE   \* MERGEFORMAT</w:instrText>
        </w:r>
        <w:r>
          <w:fldChar w:fldCharType="separate"/>
        </w:r>
        <w:r>
          <w:rPr>
            <w:lang w:val="zh-CN"/>
          </w:rPr>
          <w:t>III</w:t>
        </w:r>
        <w:r>
          <w:rPr>
            <w:lang w:val="zh-C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884855"/>
    </w:sdtPr>
    <w:sdtContent>
      <w:p>
        <w:pPr>
          <w:pStyle w:val="10"/>
          <w:jc w:val="center"/>
        </w:pPr>
        <w:r>
          <w:fldChar w:fldCharType="begin"/>
        </w:r>
        <w:r>
          <w:instrText xml:space="preserve">PAGE   \* MERGEFORMAT</w:instrText>
        </w:r>
        <w:r>
          <w:fldChar w:fldCharType="separate"/>
        </w:r>
        <w:r>
          <w:rPr>
            <w:lang w:val="zh-CN"/>
          </w:rPr>
          <w:t>94</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396839"/>
    <w:multiLevelType w:val="multilevel"/>
    <w:tmpl w:val="0A396839"/>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96F5D9D"/>
    <w:multiLevelType w:val="multilevel"/>
    <w:tmpl w:val="196F5D9D"/>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8492805"/>
    <w:multiLevelType w:val="multilevel"/>
    <w:tmpl w:val="28492805"/>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BE93A29"/>
    <w:multiLevelType w:val="multilevel"/>
    <w:tmpl w:val="2BE93A29"/>
    <w:lvl w:ilvl="0" w:tentative="0">
      <w:start w:val="1"/>
      <w:numFmt w:val="japaneseCounting"/>
      <w:lvlText w:val="第%1章"/>
      <w:lvlJc w:val="left"/>
      <w:pPr>
        <w:ind w:left="1590" w:hanging="15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D5A057B"/>
    <w:multiLevelType w:val="multilevel"/>
    <w:tmpl w:val="2D5A057B"/>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2DF46CC"/>
    <w:multiLevelType w:val="multilevel"/>
    <w:tmpl w:val="32DF46CC"/>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5EF4A10"/>
    <w:multiLevelType w:val="multilevel"/>
    <w:tmpl w:val="35EF4A10"/>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72F06BE"/>
    <w:multiLevelType w:val="multilevel"/>
    <w:tmpl w:val="472F06BE"/>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1D806D4"/>
    <w:multiLevelType w:val="multilevel"/>
    <w:tmpl w:val="51D806D4"/>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61F28DC"/>
    <w:multiLevelType w:val="multilevel"/>
    <w:tmpl w:val="561F28DC"/>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9485A32"/>
    <w:multiLevelType w:val="multilevel"/>
    <w:tmpl w:val="59485A32"/>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52E68B7"/>
    <w:multiLevelType w:val="multilevel"/>
    <w:tmpl w:val="652E68B7"/>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8FA63C6"/>
    <w:multiLevelType w:val="multilevel"/>
    <w:tmpl w:val="78FA63C6"/>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1"/>
  </w:num>
  <w:num w:numId="3">
    <w:abstractNumId w:val="9"/>
  </w:num>
  <w:num w:numId="4">
    <w:abstractNumId w:val="0"/>
  </w:num>
  <w:num w:numId="5">
    <w:abstractNumId w:val="7"/>
  </w:num>
  <w:num w:numId="6">
    <w:abstractNumId w:val="12"/>
  </w:num>
  <w:num w:numId="7">
    <w:abstractNumId w:val="10"/>
  </w:num>
  <w:num w:numId="8">
    <w:abstractNumId w:val="1"/>
  </w:num>
  <w:num w:numId="9">
    <w:abstractNumId w:val="8"/>
  </w:num>
  <w:num w:numId="10">
    <w:abstractNumId w:val="5"/>
  </w:num>
  <w:num w:numId="11">
    <w:abstractNumId w:val="6"/>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HorizontalSpacing w:val="110"/>
  <w:drawingGridVerticalSpacing w:val="299"/>
  <w:displayHorizont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iZTQ3ZmI1OTFmODUzNzgwMGRlNDBmMWZiZDQzMjEifQ=="/>
  </w:docVars>
  <w:rsids>
    <w:rsidRoot w:val="56D15849"/>
    <w:rsid w:val="00001577"/>
    <w:rsid w:val="00001877"/>
    <w:rsid w:val="00002A8E"/>
    <w:rsid w:val="00002CC2"/>
    <w:rsid w:val="000031B4"/>
    <w:rsid w:val="0000387E"/>
    <w:rsid w:val="0000392F"/>
    <w:rsid w:val="00006154"/>
    <w:rsid w:val="000061EB"/>
    <w:rsid w:val="0000661A"/>
    <w:rsid w:val="00006755"/>
    <w:rsid w:val="00006AD1"/>
    <w:rsid w:val="0000704B"/>
    <w:rsid w:val="0000778C"/>
    <w:rsid w:val="00007B54"/>
    <w:rsid w:val="00007EF5"/>
    <w:rsid w:val="000102E7"/>
    <w:rsid w:val="00010790"/>
    <w:rsid w:val="000107B3"/>
    <w:rsid w:val="00010A29"/>
    <w:rsid w:val="0001112A"/>
    <w:rsid w:val="00011271"/>
    <w:rsid w:val="00011B84"/>
    <w:rsid w:val="00011E0A"/>
    <w:rsid w:val="00012EEA"/>
    <w:rsid w:val="000132D9"/>
    <w:rsid w:val="0001389A"/>
    <w:rsid w:val="00013A14"/>
    <w:rsid w:val="00013B51"/>
    <w:rsid w:val="00013FD3"/>
    <w:rsid w:val="0001442E"/>
    <w:rsid w:val="00015134"/>
    <w:rsid w:val="0001627B"/>
    <w:rsid w:val="00016972"/>
    <w:rsid w:val="000203D7"/>
    <w:rsid w:val="000210BB"/>
    <w:rsid w:val="00022079"/>
    <w:rsid w:val="000220ED"/>
    <w:rsid w:val="000224EF"/>
    <w:rsid w:val="00023332"/>
    <w:rsid w:val="00023C33"/>
    <w:rsid w:val="00024270"/>
    <w:rsid w:val="00025094"/>
    <w:rsid w:val="00026B7F"/>
    <w:rsid w:val="00031B96"/>
    <w:rsid w:val="000321DE"/>
    <w:rsid w:val="00032297"/>
    <w:rsid w:val="00032B8D"/>
    <w:rsid w:val="00033B6B"/>
    <w:rsid w:val="00034642"/>
    <w:rsid w:val="000349D4"/>
    <w:rsid w:val="00034D35"/>
    <w:rsid w:val="000352F3"/>
    <w:rsid w:val="000361DD"/>
    <w:rsid w:val="00036220"/>
    <w:rsid w:val="000363F7"/>
    <w:rsid w:val="000375A2"/>
    <w:rsid w:val="0003799E"/>
    <w:rsid w:val="00040262"/>
    <w:rsid w:val="000402DC"/>
    <w:rsid w:val="0004035F"/>
    <w:rsid w:val="0004166B"/>
    <w:rsid w:val="000419D8"/>
    <w:rsid w:val="0004383E"/>
    <w:rsid w:val="00044E8D"/>
    <w:rsid w:val="00046AC2"/>
    <w:rsid w:val="000470B5"/>
    <w:rsid w:val="00047BFC"/>
    <w:rsid w:val="000501A6"/>
    <w:rsid w:val="00050CAC"/>
    <w:rsid w:val="00050DB7"/>
    <w:rsid w:val="00053C85"/>
    <w:rsid w:val="00054967"/>
    <w:rsid w:val="000560E9"/>
    <w:rsid w:val="0005646F"/>
    <w:rsid w:val="000601F6"/>
    <w:rsid w:val="0006039C"/>
    <w:rsid w:val="00060FCE"/>
    <w:rsid w:val="00061160"/>
    <w:rsid w:val="000616E1"/>
    <w:rsid w:val="0006186F"/>
    <w:rsid w:val="00061D19"/>
    <w:rsid w:val="00061F2E"/>
    <w:rsid w:val="000620D4"/>
    <w:rsid w:val="00062AC0"/>
    <w:rsid w:val="000634D9"/>
    <w:rsid w:val="000641EC"/>
    <w:rsid w:val="0006445C"/>
    <w:rsid w:val="00064684"/>
    <w:rsid w:val="00064C9C"/>
    <w:rsid w:val="00065A27"/>
    <w:rsid w:val="0006682D"/>
    <w:rsid w:val="00066B50"/>
    <w:rsid w:val="00066E54"/>
    <w:rsid w:val="00067039"/>
    <w:rsid w:val="0006792D"/>
    <w:rsid w:val="0006793E"/>
    <w:rsid w:val="00067FC7"/>
    <w:rsid w:val="00070372"/>
    <w:rsid w:val="000707DD"/>
    <w:rsid w:val="00071B00"/>
    <w:rsid w:val="00074073"/>
    <w:rsid w:val="00074084"/>
    <w:rsid w:val="0007455D"/>
    <w:rsid w:val="00074C7F"/>
    <w:rsid w:val="00074DBC"/>
    <w:rsid w:val="0007522D"/>
    <w:rsid w:val="00075866"/>
    <w:rsid w:val="00075BFC"/>
    <w:rsid w:val="000765D6"/>
    <w:rsid w:val="00076D9C"/>
    <w:rsid w:val="000770DC"/>
    <w:rsid w:val="00077156"/>
    <w:rsid w:val="0007716A"/>
    <w:rsid w:val="00077C3B"/>
    <w:rsid w:val="0008021E"/>
    <w:rsid w:val="00080D1C"/>
    <w:rsid w:val="00080FAA"/>
    <w:rsid w:val="0008208F"/>
    <w:rsid w:val="00082718"/>
    <w:rsid w:val="000836B2"/>
    <w:rsid w:val="00083832"/>
    <w:rsid w:val="000845F9"/>
    <w:rsid w:val="00084689"/>
    <w:rsid w:val="0008530F"/>
    <w:rsid w:val="000913F8"/>
    <w:rsid w:val="000914BC"/>
    <w:rsid w:val="00091B3C"/>
    <w:rsid w:val="0009235E"/>
    <w:rsid w:val="000935FF"/>
    <w:rsid w:val="00094179"/>
    <w:rsid w:val="00094D6B"/>
    <w:rsid w:val="000953A0"/>
    <w:rsid w:val="000953C5"/>
    <w:rsid w:val="00095A5D"/>
    <w:rsid w:val="00097473"/>
    <w:rsid w:val="00097763"/>
    <w:rsid w:val="000978E8"/>
    <w:rsid w:val="00097C31"/>
    <w:rsid w:val="000A0848"/>
    <w:rsid w:val="000A1448"/>
    <w:rsid w:val="000A15A1"/>
    <w:rsid w:val="000A228A"/>
    <w:rsid w:val="000A3082"/>
    <w:rsid w:val="000A30D1"/>
    <w:rsid w:val="000A412B"/>
    <w:rsid w:val="000A47DA"/>
    <w:rsid w:val="000A4F6A"/>
    <w:rsid w:val="000A52F6"/>
    <w:rsid w:val="000A5A01"/>
    <w:rsid w:val="000A642B"/>
    <w:rsid w:val="000B078F"/>
    <w:rsid w:val="000B0EA2"/>
    <w:rsid w:val="000B1CE9"/>
    <w:rsid w:val="000B2B48"/>
    <w:rsid w:val="000B33A5"/>
    <w:rsid w:val="000B3866"/>
    <w:rsid w:val="000B3BE7"/>
    <w:rsid w:val="000B4147"/>
    <w:rsid w:val="000B4BFF"/>
    <w:rsid w:val="000B5417"/>
    <w:rsid w:val="000B55A6"/>
    <w:rsid w:val="000B5FB8"/>
    <w:rsid w:val="000B6490"/>
    <w:rsid w:val="000B74A9"/>
    <w:rsid w:val="000B7EE0"/>
    <w:rsid w:val="000B7F0E"/>
    <w:rsid w:val="000C01BA"/>
    <w:rsid w:val="000C06B2"/>
    <w:rsid w:val="000C1120"/>
    <w:rsid w:val="000C156F"/>
    <w:rsid w:val="000C19D5"/>
    <w:rsid w:val="000C1D36"/>
    <w:rsid w:val="000C26F0"/>
    <w:rsid w:val="000C3650"/>
    <w:rsid w:val="000C36CB"/>
    <w:rsid w:val="000C4298"/>
    <w:rsid w:val="000C4DAB"/>
    <w:rsid w:val="000C4E65"/>
    <w:rsid w:val="000C5011"/>
    <w:rsid w:val="000C5032"/>
    <w:rsid w:val="000C5042"/>
    <w:rsid w:val="000C5921"/>
    <w:rsid w:val="000C5A12"/>
    <w:rsid w:val="000C65B4"/>
    <w:rsid w:val="000C6891"/>
    <w:rsid w:val="000C74D7"/>
    <w:rsid w:val="000D2608"/>
    <w:rsid w:val="000D2B25"/>
    <w:rsid w:val="000D2C5D"/>
    <w:rsid w:val="000D3366"/>
    <w:rsid w:val="000D3510"/>
    <w:rsid w:val="000D3A0A"/>
    <w:rsid w:val="000D4880"/>
    <w:rsid w:val="000D4F52"/>
    <w:rsid w:val="000D5D0E"/>
    <w:rsid w:val="000D6147"/>
    <w:rsid w:val="000D6865"/>
    <w:rsid w:val="000D6869"/>
    <w:rsid w:val="000D6E47"/>
    <w:rsid w:val="000E0DB1"/>
    <w:rsid w:val="000E0DED"/>
    <w:rsid w:val="000E0F13"/>
    <w:rsid w:val="000E1A70"/>
    <w:rsid w:val="000E38C7"/>
    <w:rsid w:val="000E39FF"/>
    <w:rsid w:val="000E4123"/>
    <w:rsid w:val="000E46D7"/>
    <w:rsid w:val="000E4CDC"/>
    <w:rsid w:val="000E4D10"/>
    <w:rsid w:val="000E5634"/>
    <w:rsid w:val="000E61D0"/>
    <w:rsid w:val="000E6BF0"/>
    <w:rsid w:val="000E70B8"/>
    <w:rsid w:val="000E774D"/>
    <w:rsid w:val="000E7B08"/>
    <w:rsid w:val="000E7F1E"/>
    <w:rsid w:val="000F029D"/>
    <w:rsid w:val="000F0C56"/>
    <w:rsid w:val="000F3957"/>
    <w:rsid w:val="000F4B3B"/>
    <w:rsid w:val="000F4EF3"/>
    <w:rsid w:val="000F56C4"/>
    <w:rsid w:val="000F5C26"/>
    <w:rsid w:val="000F5C65"/>
    <w:rsid w:val="000F6848"/>
    <w:rsid w:val="000F6BB7"/>
    <w:rsid w:val="000F70CE"/>
    <w:rsid w:val="000F716C"/>
    <w:rsid w:val="000F716D"/>
    <w:rsid w:val="000F71B0"/>
    <w:rsid w:val="000F7637"/>
    <w:rsid w:val="001002FB"/>
    <w:rsid w:val="00100395"/>
    <w:rsid w:val="00101EEF"/>
    <w:rsid w:val="00102617"/>
    <w:rsid w:val="001029F7"/>
    <w:rsid w:val="00104CE7"/>
    <w:rsid w:val="00106069"/>
    <w:rsid w:val="001070D3"/>
    <w:rsid w:val="001071D5"/>
    <w:rsid w:val="001102D3"/>
    <w:rsid w:val="00110DBC"/>
    <w:rsid w:val="00110E76"/>
    <w:rsid w:val="0011168D"/>
    <w:rsid w:val="00111B9B"/>
    <w:rsid w:val="0011277F"/>
    <w:rsid w:val="001128AA"/>
    <w:rsid w:val="0011293F"/>
    <w:rsid w:val="00112C36"/>
    <w:rsid w:val="00112F41"/>
    <w:rsid w:val="001132BF"/>
    <w:rsid w:val="001135DF"/>
    <w:rsid w:val="00113AED"/>
    <w:rsid w:val="00113F0B"/>
    <w:rsid w:val="001159A8"/>
    <w:rsid w:val="00115C17"/>
    <w:rsid w:val="00116508"/>
    <w:rsid w:val="001167CB"/>
    <w:rsid w:val="0012045A"/>
    <w:rsid w:val="001208EF"/>
    <w:rsid w:val="00120CF1"/>
    <w:rsid w:val="00120DBF"/>
    <w:rsid w:val="001210BF"/>
    <w:rsid w:val="001217C6"/>
    <w:rsid w:val="001222C6"/>
    <w:rsid w:val="001228F3"/>
    <w:rsid w:val="00124448"/>
    <w:rsid w:val="001255D1"/>
    <w:rsid w:val="00126C23"/>
    <w:rsid w:val="00130643"/>
    <w:rsid w:val="00130AB8"/>
    <w:rsid w:val="0013107E"/>
    <w:rsid w:val="001313CA"/>
    <w:rsid w:val="0013157F"/>
    <w:rsid w:val="001316D8"/>
    <w:rsid w:val="00132CDD"/>
    <w:rsid w:val="00132F4F"/>
    <w:rsid w:val="0013368D"/>
    <w:rsid w:val="00134110"/>
    <w:rsid w:val="00134307"/>
    <w:rsid w:val="00134466"/>
    <w:rsid w:val="00134A65"/>
    <w:rsid w:val="00135007"/>
    <w:rsid w:val="00136517"/>
    <w:rsid w:val="00137001"/>
    <w:rsid w:val="00137121"/>
    <w:rsid w:val="00137942"/>
    <w:rsid w:val="00137943"/>
    <w:rsid w:val="001400EE"/>
    <w:rsid w:val="00140591"/>
    <w:rsid w:val="001407FA"/>
    <w:rsid w:val="00140F49"/>
    <w:rsid w:val="00141961"/>
    <w:rsid w:val="00141CC6"/>
    <w:rsid w:val="00141FE7"/>
    <w:rsid w:val="00142460"/>
    <w:rsid w:val="0014263E"/>
    <w:rsid w:val="001433FF"/>
    <w:rsid w:val="00143FDC"/>
    <w:rsid w:val="00144294"/>
    <w:rsid w:val="00145453"/>
    <w:rsid w:val="00145DCC"/>
    <w:rsid w:val="001462D2"/>
    <w:rsid w:val="00146548"/>
    <w:rsid w:val="0014671B"/>
    <w:rsid w:val="00146E41"/>
    <w:rsid w:val="0014721A"/>
    <w:rsid w:val="001472D7"/>
    <w:rsid w:val="001478C7"/>
    <w:rsid w:val="00150DD7"/>
    <w:rsid w:val="0015120D"/>
    <w:rsid w:val="001520A4"/>
    <w:rsid w:val="001525D2"/>
    <w:rsid w:val="0015350C"/>
    <w:rsid w:val="00153ACA"/>
    <w:rsid w:val="00154482"/>
    <w:rsid w:val="00154A26"/>
    <w:rsid w:val="00156118"/>
    <w:rsid w:val="00156416"/>
    <w:rsid w:val="00161250"/>
    <w:rsid w:val="00161672"/>
    <w:rsid w:val="001616CA"/>
    <w:rsid w:val="001629E5"/>
    <w:rsid w:val="00162AD4"/>
    <w:rsid w:val="001635C5"/>
    <w:rsid w:val="00164596"/>
    <w:rsid w:val="001666E6"/>
    <w:rsid w:val="001672D0"/>
    <w:rsid w:val="00167501"/>
    <w:rsid w:val="00167F33"/>
    <w:rsid w:val="001705E3"/>
    <w:rsid w:val="00170E15"/>
    <w:rsid w:val="001714DE"/>
    <w:rsid w:val="001718BD"/>
    <w:rsid w:val="001719D0"/>
    <w:rsid w:val="001728AF"/>
    <w:rsid w:val="00173D44"/>
    <w:rsid w:val="001746B5"/>
    <w:rsid w:val="0017478D"/>
    <w:rsid w:val="00174A6E"/>
    <w:rsid w:val="00174F3B"/>
    <w:rsid w:val="001763AA"/>
    <w:rsid w:val="001771B8"/>
    <w:rsid w:val="00177C10"/>
    <w:rsid w:val="0018027D"/>
    <w:rsid w:val="00180386"/>
    <w:rsid w:val="001809A3"/>
    <w:rsid w:val="00180B3B"/>
    <w:rsid w:val="00181630"/>
    <w:rsid w:val="0018255B"/>
    <w:rsid w:val="001825CE"/>
    <w:rsid w:val="0018366E"/>
    <w:rsid w:val="0018383E"/>
    <w:rsid w:val="0018434E"/>
    <w:rsid w:val="00184586"/>
    <w:rsid w:val="00184DAB"/>
    <w:rsid w:val="00184E43"/>
    <w:rsid w:val="001850F3"/>
    <w:rsid w:val="0018548E"/>
    <w:rsid w:val="001854CB"/>
    <w:rsid w:val="00185D52"/>
    <w:rsid w:val="00186329"/>
    <w:rsid w:val="0018761E"/>
    <w:rsid w:val="001924C3"/>
    <w:rsid w:val="001928D7"/>
    <w:rsid w:val="00193022"/>
    <w:rsid w:val="0019309F"/>
    <w:rsid w:val="0019326E"/>
    <w:rsid w:val="001932C3"/>
    <w:rsid w:val="001933F4"/>
    <w:rsid w:val="00193B8B"/>
    <w:rsid w:val="00193E0D"/>
    <w:rsid w:val="00194F8F"/>
    <w:rsid w:val="001955FC"/>
    <w:rsid w:val="00195649"/>
    <w:rsid w:val="0019564F"/>
    <w:rsid w:val="001959EB"/>
    <w:rsid w:val="00195E8A"/>
    <w:rsid w:val="001961E8"/>
    <w:rsid w:val="001965F7"/>
    <w:rsid w:val="00196AAA"/>
    <w:rsid w:val="00196F03"/>
    <w:rsid w:val="001A0224"/>
    <w:rsid w:val="001A0538"/>
    <w:rsid w:val="001A07B7"/>
    <w:rsid w:val="001A1544"/>
    <w:rsid w:val="001A15FF"/>
    <w:rsid w:val="001A47F6"/>
    <w:rsid w:val="001A5277"/>
    <w:rsid w:val="001A5C71"/>
    <w:rsid w:val="001A6EAC"/>
    <w:rsid w:val="001A70E2"/>
    <w:rsid w:val="001A71FD"/>
    <w:rsid w:val="001B0316"/>
    <w:rsid w:val="001B0B80"/>
    <w:rsid w:val="001B0DD8"/>
    <w:rsid w:val="001B280D"/>
    <w:rsid w:val="001B29A6"/>
    <w:rsid w:val="001B2D32"/>
    <w:rsid w:val="001B2FF6"/>
    <w:rsid w:val="001B43B2"/>
    <w:rsid w:val="001B4811"/>
    <w:rsid w:val="001B4BD1"/>
    <w:rsid w:val="001B51DE"/>
    <w:rsid w:val="001B54CF"/>
    <w:rsid w:val="001B5ED2"/>
    <w:rsid w:val="001B6134"/>
    <w:rsid w:val="001B6183"/>
    <w:rsid w:val="001B6B53"/>
    <w:rsid w:val="001C08EA"/>
    <w:rsid w:val="001C0B34"/>
    <w:rsid w:val="001C32E5"/>
    <w:rsid w:val="001C34F3"/>
    <w:rsid w:val="001C3AF7"/>
    <w:rsid w:val="001C4441"/>
    <w:rsid w:val="001C48EF"/>
    <w:rsid w:val="001C4E2B"/>
    <w:rsid w:val="001C654B"/>
    <w:rsid w:val="001C7DC5"/>
    <w:rsid w:val="001D04DE"/>
    <w:rsid w:val="001D17B6"/>
    <w:rsid w:val="001D26D1"/>
    <w:rsid w:val="001D2DC2"/>
    <w:rsid w:val="001D316F"/>
    <w:rsid w:val="001D4BD7"/>
    <w:rsid w:val="001D5797"/>
    <w:rsid w:val="001D61BD"/>
    <w:rsid w:val="001D7154"/>
    <w:rsid w:val="001D75B8"/>
    <w:rsid w:val="001E101A"/>
    <w:rsid w:val="001E143F"/>
    <w:rsid w:val="001E1F92"/>
    <w:rsid w:val="001E3158"/>
    <w:rsid w:val="001E421D"/>
    <w:rsid w:val="001E4519"/>
    <w:rsid w:val="001E58D5"/>
    <w:rsid w:val="001E5B94"/>
    <w:rsid w:val="001E5DDF"/>
    <w:rsid w:val="001E635D"/>
    <w:rsid w:val="001E7502"/>
    <w:rsid w:val="001F08F6"/>
    <w:rsid w:val="001F0F23"/>
    <w:rsid w:val="001F2A4C"/>
    <w:rsid w:val="001F44FA"/>
    <w:rsid w:val="001F4B34"/>
    <w:rsid w:val="00200872"/>
    <w:rsid w:val="00200DB7"/>
    <w:rsid w:val="002029AA"/>
    <w:rsid w:val="00203142"/>
    <w:rsid w:val="00203166"/>
    <w:rsid w:val="0020334A"/>
    <w:rsid w:val="002038A8"/>
    <w:rsid w:val="00203FF3"/>
    <w:rsid w:val="00204317"/>
    <w:rsid w:val="0020459C"/>
    <w:rsid w:val="002046B6"/>
    <w:rsid w:val="00204A59"/>
    <w:rsid w:val="00205A7C"/>
    <w:rsid w:val="00205FB7"/>
    <w:rsid w:val="00206EE6"/>
    <w:rsid w:val="00206FAE"/>
    <w:rsid w:val="00207140"/>
    <w:rsid w:val="0020740A"/>
    <w:rsid w:val="0020772B"/>
    <w:rsid w:val="00210574"/>
    <w:rsid w:val="002106CB"/>
    <w:rsid w:val="0021195F"/>
    <w:rsid w:val="00211D55"/>
    <w:rsid w:val="0021248D"/>
    <w:rsid w:val="00212817"/>
    <w:rsid w:val="002128BF"/>
    <w:rsid w:val="00212E75"/>
    <w:rsid w:val="002136EC"/>
    <w:rsid w:val="0021402E"/>
    <w:rsid w:val="00215287"/>
    <w:rsid w:val="0021597C"/>
    <w:rsid w:val="00216186"/>
    <w:rsid w:val="002169C6"/>
    <w:rsid w:val="002171BB"/>
    <w:rsid w:val="002174C7"/>
    <w:rsid w:val="00217549"/>
    <w:rsid w:val="00217D3D"/>
    <w:rsid w:val="00217F1D"/>
    <w:rsid w:val="002216FF"/>
    <w:rsid w:val="002224CD"/>
    <w:rsid w:val="00222821"/>
    <w:rsid w:val="00222B52"/>
    <w:rsid w:val="002232A4"/>
    <w:rsid w:val="00223C7D"/>
    <w:rsid w:val="00223D1E"/>
    <w:rsid w:val="00223DDB"/>
    <w:rsid w:val="00224575"/>
    <w:rsid w:val="00224896"/>
    <w:rsid w:val="00224A0A"/>
    <w:rsid w:val="002252C2"/>
    <w:rsid w:val="002264AA"/>
    <w:rsid w:val="002264BA"/>
    <w:rsid w:val="00226F3E"/>
    <w:rsid w:val="00227668"/>
    <w:rsid w:val="002279B6"/>
    <w:rsid w:val="00227E34"/>
    <w:rsid w:val="002305BD"/>
    <w:rsid w:val="002307DE"/>
    <w:rsid w:val="00230828"/>
    <w:rsid w:val="0023084B"/>
    <w:rsid w:val="00230F22"/>
    <w:rsid w:val="00231F73"/>
    <w:rsid w:val="00232C25"/>
    <w:rsid w:val="00234F55"/>
    <w:rsid w:val="002352C1"/>
    <w:rsid w:val="002353C9"/>
    <w:rsid w:val="00235AFD"/>
    <w:rsid w:val="00236D71"/>
    <w:rsid w:val="00237118"/>
    <w:rsid w:val="00237273"/>
    <w:rsid w:val="00237435"/>
    <w:rsid w:val="00237991"/>
    <w:rsid w:val="00237B6E"/>
    <w:rsid w:val="00240743"/>
    <w:rsid w:val="002409B3"/>
    <w:rsid w:val="00242104"/>
    <w:rsid w:val="0024232D"/>
    <w:rsid w:val="0024279F"/>
    <w:rsid w:val="00242AF5"/>
    <w:rsid w:val="002434EB"/>
    <w:rsid w:val="00244952"/>
    <w:rsid w:val="00244AA8"/>
    <w:rsid w:val="0024506A"/>
    <w:rsid w:val="00246FCE"/>
    <w:rsid w:val="002509D3"/>
    <w:rsid w:val="00251D89"/>
    <w:rsid w:val="002526FD"/>
    <w:rsid w:val="00253645"/>
    <w:rsid w:val="00253DE8"/>
    <w:rsid w:val="0025497C"/>
    <w:rsid w:val="002556F3"/>
    <w:rsid w:val="00256E45"/>
    <w:rsid w:val="002570CB"/>
    <w:rsid w:val="002608BB"/>
    <w:rsid w:val="00260C1E"/>
    <w:rsid w:val="00260EFC"/>
    <w:rsid w:val="00261EF7"/>
    <w:rsid w:val="00262BF9"/>
    <w:rsid w:val="00262EC7"/>
    <w:rsid w:val="002637ED"/>
    <w:rsid w:val="00263B14"/>
    <w:rsid w:val="00263C00"/>
    <w:rsid w:val="00263C97"/>
    <w:rsid w:val="00264336"/>
    <w:rsid w:val="00264717"/>
    <w:rsid w:val="00264AE6"/>
    <w:rsid w:val="00264B8E"/>
    <w:rsid w:val="00265078"/>
    <w:rsid w:val="00265AC0"/>
    <w:rsid w:val="00265DDC"/>
    <w:rsid w:val="00266410"/>
    <w:rsid w:val="0026746F"/>
    <w:rsid w:val="002717D5"/>
    <w:rsid w:val="00271C50"/>
    <w:rsid w:val="00272303"/>
    <w:rsid w:val="00274CC9"/>
    <w:rsid w:val="00274FC4"/>
    <w:rsid w:val="002766EE"/>
    <w:rsid w:val="00276C67"/>
    <w:rsid w:val="00277D82"/>
    <w:rsid w:val="00277E43"/>
    <w:rsid w:val="00282284"/>
    <w:rsid w:val="0028236A"/>
    <w:rsid w:val="002828BE"/>
    <w:rsid w:val="00282995"/>
    <w:rsid w:val="00282C40"/>
    <w:rsid w:val="002834AF"/>
    <w:rsid w:val="002839F1"/>
    <w:rsid w:val="00284686"/>
    <w:rsid w:val="0028482A"/>
    <w:rsid w:val="00284EA4"/>
    <w:rsid w:val="002852AC"/>
    <w:rsid w:val="00285820"/>
    <w:rsid w:val="00290B59"/>
    <w:rsid w:val="00290F27"/>
    <w:rsid w:val="00291054"/>
    <w:rsid w:val="00291906"/>
    <w:rsid w:val="00291C92"/>
    <w:rsid w:val="00291E3D"/>
    <w:rsid w:val="00292E37"/>
    <w:rsid w:val="00293750"/>
    <w:rsid w:val="002965B7"/>
    <w:rsid w:val="00297BF6"/>
    <w:rsid w:val="002A0036"/>
    <w:rsid w:val="002A0436"/>
    <w:rsid w:val="002A0707"/>
    <w:rsid w:val="002A1CEA"/>
    <w:rsid w:val="002A27F0"/>
    <w:rsid w:val="002A2E97"/>
    <w:rsid w:val="002A4016"/>
    <w:rsid w:val="002A48A6"/>
    <w:rsid w:val="002A4CA3"/>
    <w:rsid w:val="002A59B0"/>
    <w:rsid w:val="002A705D"/>
    <w:rsid w:val="002A7BCF"/>
    <w:rsid w:val="002B0397"/>
    <w:rsid w:val="002B08F2"/>
    <w:rsid w:val="002B23E7"/>
    <w:rsid w:val="002B2E14"/>
    <w:rsid w:val="002B47F0"/>
    <w:rsid w:val="002B4B57"/>
    <w:rsid w:val="002B63B9"/>
    <w:rsid w:val="002B6ED0"/>
    <w:rsid w:val="002B7308"/>
    <w:rsid w:val="002B7A74"/>
    <w:rsid w:val="002C0AA9"/>
    <w:rsid w:val="002C1901"/>
    <w:rsid w:val="002C1BE0"/>
    <w:rsid w:val="002C2DAF"/>
    <w:rsid w:val="002C3097"/>
    <w:rsid w:val="002C38A7"/>
    <w:rsid w:val="002C3C09"/>
    <w:rsid w:val="002C4480"/>
    <w:rsid w:val="002C4742"/>
    <w:rsid w:val="002C66C6"/>
    <w:rsid w:val="002C721D"/>
    <w:rsid w:val="002C753C"/>
    <w:rsid w:val="002C7E3B"/>
    <w:rsid w:val="002D0D6A"/>
    <w:rsid w:val="002D18B2"/>
    <w:rsid w:val="002D1CCA"/>
    <w:rsid w:val="002D28A9"/>
    <w:rsid w:val="002D2905"/>
    <w:rsid w:val="002D2C3A"/>
    <w:rsid w:val="002D323E"/>
    <w:rsid w:val="002D356C"/>
    <w:rsid w:val="002D4269"/>
    <w:rsid w:val="002D4A43"/>
    <w:rsid w:val="002D501D"/>
    <w:rsid w:val="002D586B"/>
    <w:rsid w:val="002D5F70"/>
    <w:rsid w:val="002D5F82"/>
    <w:rsid w:val="002D665C"/>
    <w:rsid w:val="002D6C99"/>
    <w:rsid w:val="002D7E1D"/>
    <w:rsid w:val="002E1943"/>
    <w:rsid w:val="002E25D1"/>
    <w:rsid w:val="002E266E"/>
    <w:rsid w:val="002E2C49"/>
    <w:rsid w:val="002E3A13"/>
    <w:rsid w:val="002E419F"/>
    <w:rsid w:val="002E432C"/>
    <w:rsid w:val="002E4A89"/>
    <w:rsid w:val="002E4AFF"/>
    <w:rsid w:val="002E502C"/>
    <w:rsid w:val="002E5A40"/>
    <w:rsid w:val="002E6648"/>
    <w:rsid w:val="002E69AC"/>
    <w:rsid w:val="002F016D"/>
    <w:rsid w:val="002F0ECA"/>
    <w:rsid w:val="002F16AF"/>
    <w:rsid w:val="002F19EF"/>
    <w:rsid w:val="002F2285"/>
    <w:rsid w:val="002F22D1"/>
    <w:rsid w:val="002F270B"/>
    <w:rsid w:val="002F27FA"/>
    <w:rsid w:val="002F3091"/>
    <w:rsid w:val="002F3105"/>
    <w:rsid w:val="002F312D"/>
    <w:rsid w:val="002F38C6"/>
    <w:rsid w:val="002F4642"/>
    <w:rsid w:val="002F4A49"/>
    <w:rsid w:val="002F4DEB"/>
    <w:rsid w:val="002F5457"/>
    <w:rsid w:val="002F6C87"/>
    <w:rsid w:val="002F6D62"/>
    <w:rsid w:val="003013C8"/>
    <w:rsid w:val="003015A1"/>
    <w:rsid w:val="003031AE"/>
    <w:rsid w:val="003045E0"/>
    <w:rsid w:val="00304C65"/>
    <w:rsid w:val="00305520"/>
    <w:rsid w:val="00306CBB"/>
    <w:rsid w:val="0030717D"/>
    <w:rsid w:val="0031039E"/>
    <w:rsid w:val="00310E70"/>
    <w:rsid w:val="0031193D"/>
    <w:rsid w:val="0031220B"/>
    <w:rsid w:val="003134C9"/>
    <w:rsid w:val="00314975"/>
    <w:rsid w:val="00314EC9"/>
    <w:rsid w:val="00316E17"/>
    <w:rsid w:val="00317000"/>
    <w:rsid w:val="00317DA2"/>
    <w:rsid w:val="003200C2"/>
    <w:rsid w:val="003203CC"/>
    <w:rsid w:val="003222C7"/>
    <w:rsid w:val="00322FC5"/>
    <w:rsid w:val="00324682"/>
    <w:rsid w:val="003263BA"/>
    <w:rsid w:val="00326710"/>
    <w:rsid w:val="00327196"/>
    <w:rsid w:val="00327487"/>
    <w:rsid w:val="003274D8"/>
    <w:rsid w:val="00327A47"/>
    <w:rsid w:val="00327C7F"/>
    <w:rsid w:val="003311AA"/>
    <w:rsid w:val="00331403"/>
    <w:rsid w:val="003331C8"/>
    <w:rsid w:val="003335EE"/>
    <w:rsid w:val="00333AD1"/>
    <w:rsid w:val="00333CA3"/>
    <w:rsid w:val="00333FED"/>
    <w:rsid w:val="003355F5"/>
    <w:rsid w:val="00335875"/>
    <w:rsid w:val="00336192"/>
    <w:rsid w:val="003378FC"/>
    <w:rsid w:val="00340851"/>
    <w:rsid w:val="00341660"/>
    <w:rsid w:val="00341952"/>
    <w:rsid w:val="00342031"/>
    <w:rsid w:val="00342131"/>
    <w:rsid w:val="00342ADA"/>
    <w:rsid w:val="00343091"/>
    <w:rsid w:val="00343106"/>
    <w:rsid w:val="003433ED"/>
    <w:rsid w:val="00344D6A"/>
    <w:rsid w:val="0034560B"/>
    <w:rsid w:val="0034636C"/>
    <w:rsid w:val="00346A98"/>
    <w:rsid w:val="00346AAD"/>
    <w:rsid w:val="00346E7C"/>
    <w:rsid w:val="0035030A"/>
    <w:rsid w:val="00351CFF"/>
    <w:rsid w:val="00352CB7"/>
    <w:rsid w:val="00353210"/>
    <w:rsid w:val="00353BA4"/>
    <w:rsid w:val="00353DB5"/>
    <w:rsid w:val="00355787"/>
    <w:rsid w:val="00355B94"/>
    <w:rsid w:val="00355DDE"/>
    <w:rsid w:val="00357439"/>
    <w:rsid w:val="00357458"/>
    <w:rsid w:val="0035799A"/>
    <w:rsid w:val="00357B33"/>
    <w:rsid w:val="00357D94"/>
    <w:rsid w:val="003604E4"/>
    <w:rsid w:val="0036072F"/>
    <w:rsid w:val="00360CA5"/>
    <w:rsid w:val="003615EF"/>
    <w:rsid w:val="00361665"/>
    <w:rsid w:val="00361C68"/>
    <w:rsid w:val="00362185"/>
    <w:rsid w:val="00362391"/>
    <w:rsid w:val="00362452"/>
    <w:rsid w:val="003631AC"/>
    <w:rsid w:val="0036360D"/>
    <w:rsid w:val="0036362E"/>
    <w:rsid w:val="00363AB3"/>
    <w:rsid w:val="003644F0"/>
    <w:rsid w:val="003646D2"/>
    <w:rsid w:val="00364E70"/>
    <w:rsid w:val="00365BEA"/>
    <w:rsid w:val="00365E71"/>
    <w:rsid w:val="0036750A"/>
    <w:rsid w:val="00367C6E"/>
    <w:rsid w:val="00371891"/>
    <w:rsid w:val="00371A20"/>
    <w:rsid w:val="00371AE5"/>
    <w:rsid w:val="00372CEA"/>
    <w:rsid w:val="003737EA"/>
    <w:rsid w:val="00374A00"/>
    <w:rsid w:val="00374A0B"/>
    <w:rsid w:val="00374ADC"/>
    <w:rsid w:val="00375338"/>
    <w:rsid w:val="0037585C"/>
    <w:rsid w:val="003767C0"/>
    <w:rsid w:val="00376C57"/>
    <w:rsid w:val="00376D51"/>
    <w:rsid w:val="00377C4E"/>
    <w:rsid w:val="00380483"/>
    <w:rsid w:val="00380993"/>
    <w:rsid w:val="00380AAA"/>
    <w:rsid w:val="00381A9F"/>
    <w:rsid w:val="00381C70"/>
    <w:rsid w:val="0038268F"/>
    <w:rsid w:val="00383231"/>
    <w:rsid w:val="00383376"/>
    <w:rsid w:val="003835F9"/>
    <w:rsid w:val="003838E4"/>
    <w:rsid w:val="00383C71"/>
    <w:rsid w:val="00386269"/>
    <w:rsid w:val="00386DFF"/>
    <w:rsid w:val="003872FD"/>
    <w:rsid w:val="00387539"/>
    <w:rsid w:val="003900B7"/>
    <w:rsid w:val="00390BF6"/>
    <w:rsid w:val="00390C55"/>
    <w:rsid w:val="00391114"/>
    <w:rsid w:val="00391772"/>
    <w:rsid w:val="00391A18"/>
    <w:rsid w:val="00391C3D"/>
    <w:rsid w:val="003924EC"/>
    <w:rsid w:val="003926D8"/>
    <w:rsid w:val="00392A09"/>
    <w:rsid w:val="003932A3"/>
    <w:rsid w:val="003935D2"/>
    <w:rsid w:val="00393900"/>
    <w:rsid w:val="0039430A"/>
    <w:rsid w:val="00394B3B"/>
    <w:rsid w:val="00395DE1"/>
    <w:rsid w:val="0039680B"/>
    <w:rsid w:val="003978C4"/>
    <w:rsid w:val="00397FE5"/>
    <w:rsid w:val="003A0531"/>
    <w:rsid w:val="003A067A"/>
    <w:rsid w:val="003A0F6E"/>
    <w:rsid w:val="003A103C"/>
    <w:rsid w:val="003A192E"/>
    <w:rsid w:val="003A1E61"/>
    <w:rsid w:val="003A23DF"/>
    <w:rsid w:val="003A2693"/>
    <w:rsid w:val="003A292E"/>
    <w:rsid w:val="003A3224"/>
    <w:rsid w:val="003A50F3"/>
    <w:rsid w:val="003A6303"/>
    <w:rsid w:val="003A6328"/>
    <w:rsid w:val="003A6762"/>
    <w:rsid w:val="003A6A93"/>
    <w:rsid w:val="003A6EE9"/>
    <w:rsid w:val="003A779F"/>
    <w:rsid w:val="003B019C"/>
    <w:rsid w:val="003B037E"/>
    <w:rsid w:val="003B0DD9"/>
    <w:rsid w:val="003B19F1"/>
    <w:rsid w:val="003B1A1D"/>
    <w:rsid w:val="003B2905"/>
    <w:rsid w:val="003B2BC1"/>
    <w:rsid w:val="003B2D19"/>
    <w:rsid w:val="003B3249"/>
    <w:rsid w:val="003B344B"/>
    <w:rsid w:val="003B39AE"/>
    <w:rsid w:val="003B3FF1"/>
    <w:rsid w:val="003B58B2"/>
    <w:rsid w:val="003B6941"/>
    <w:rsid w:val="003B6C47"/>
    <w:rsid w:val="003B6CD2"/>
    <w:rsid w:val="003B7300"/>
    <w:rsid w:val="003B7CBA"/>
    <w:rsid w:val="003C09BB"/>
    <w:rsid w:val="003C163B"/>
    <w:rsid w:val="003C28DE"/>
    <w:rsid w:val="003C347B"/>
    <w:rsid w:val="003C46DF"/>
    <w:rsid w:val="003C74FD"/>
    <w:rsid w:val="003C7ED3"/>
    <w:rsid w:val="003D0238"/>
    <w:rsid w:val="003D03D3"/>
    <w:rsid w:val="003D0D1E"/>
    <w:rsid w:val="003D0D8C"/>
    <w:rsid w:val="003D1289"/>
    <w:rsid w:val="003D177D"/>
    <w:rsid w:val="003D1DF7"/>
    <w:rsid w:val="003D21D6"/>
    <w:rsid w:val="003D25B7"/>
    <w:rsid w:val="003D3815"/>
    <w:rsid w:val="003D4A05"/>
    <w:rsid w:val="003D52C4"/>
    <w:rsid w:val="003D578F"/>
    <w:rsid w:val="003D5C52"/>
    <w:rsid w:val="003D5F7A"/>
    <w:rsid w:val="003D612B"/>
    <w:rsid w:val="003D7C71"/>
    <w:rsid w:val="003E0520"/>
    <w:rsid w:val="003E058A"/>
    <w:rsid w:val="003E0D6E"/>
    <w:rsid w:val="003E14DA"/>
    <w:rsid w:val="003E15F4"/>
    <w:rsid w:val="003E2B99"/>
    <w:rsid w:val="003E44A5"/>
    <w:rsid w:val="003E57B9"/>
    <w:rsid w:val="003E5B17"/>
    <w:rsid w:val="003E5EE4"/>
    <w:rsid w:val="003E68EC"/>
    <w:rsid w:val="003E6D2E"/>
    <w:rsid w:val="003E7465"/>
    <w:rsid w:val="003E7518"/>
    <w:rsid w:val="003E7DCE"/>
    <w:rsid w:val="003F0509"/>
    <w:rsid w:val="003F0A34"/>
    <w:rsid w:val="003F1B03"/>
    <w:rsid w:val="003F29C8"/>
    <w:rsid w:val="003F3234"/>
    <w:rsid w:val="003F38F5"/>
    <w:rsid w:val="003F3933"/>
    <w:rsid w:val="003F3FCB"/>
    <w:rsid w:val="003F4703"/>
    <w:rsid w:val="003F4A93"/>
    <w:rsid w:val="003F5774"/>
    <w:rsid w:val="003F7D10"/>
    <w:rsid w:val="003F7E32"/>
    <w:rsid w:val="003F7F4E"/>
    <w:rsid w:val="003F7F9F"/>
    <w:rsid w:val="004008F0"/>
    <w:rsid w:val="00400ACC"/>
    <w:rsid w:val="00401A71"/>
    <w:rsid w:val="00401BE7"/>
    <w:rsid w:val="00402D83"/>
    <w:rsid w:val="00402EE3"/>
    <w:rsid w:val="00403F20"/>
    <w:rsid w:val="004043FC"/>
    <w:rsid w:val="00404A9B"/>
    <w:rsid w:val="00405D67"/>
    <w:rsid w:val="00406682"/>
    <w:rsid w:val="00406C2C"/>
    <w:rsid w:val="00407CFF"/>
    <w:rsid w:val="0041060C"/>
    <w:rsid w:val="00410617"/>
    <w:rsid w:val="00410C7C"/>
    <w:rsid w:val="00411C6F"/>
    <w:rsid w:val="00413840"/>
    <w:rsid w:val="0041460A"/>
    <w:rsid w:val="004150D7"/>
    <w:rsid w:val="00415400"/>
    <w:rsid w:val="00416210"/>
    <w:rsid w:val="004163C2"/>
    <w:rsid w:val="004165B9"/>
    <w:rsid w:val="00417B87"/>
    <w:rsid w:val="00417E76"/>
    <w:rsid w:val="00420B6B"/>
    <w:rsid w:val="00421556"/>
    <w:rsid w:val="0042168C"/>
    <w:rsid w:val="00422F6A"/>
    <w:rsid w:val="00423698"/>
    <w:rsid w:val="00423D3B"/>
    <w:rsid w:val="004249A2"/>
    <w:rsid w:val="00424DCD"/>
    <w:rsid w:val="00424E44"/>
    <w:rsid w:val="00424F40"/>
    <w:rsid w:val="00425151"/>
    <w:rsid w:val="004254B3"/>
    <w:rsid w:val="00426B55"/>
    <w:rsid w:val="00426D35"/>
    <w:rsid w:val="00427D6D"/>
    <w:rsid w:val="00430E7E"/>
    <w:rsid w:val="00431111"/>
    <w:rsid w:val="0043275A"/>
    <w:rsid w:val="00432A31"/>
    <w:rsid w:val="00433957"/>
    <w:rsid w:val="00433B88"/>
    <w:rsid w:val="00434A10"/>
    <w:rsid w:val="0043594D"/>
    <w:rsid w:val="00435D22"/>
    <w:rsid w:val="00436251"/>
    <w:rsid w:val="00436ABF"/>
    <w:rsid w:val="00437A59"/>
    <w:rsid w:val="00440014"/>
    <w:rsid w:val="00440D16"/>
    <w:rsid w:val="00440E09"/>
    <w:rsid w:val="00441641"/>
    <w:rsid w:val="004422E6"/>
    <w:rsid w:val="00442799"/>
    <w:rsid w:val="00442914"/>
    <w:rsid w:val="00442E0C"/>
    <w:rsid w:val="00443489"/>
    <w:rsid w:val="00443A03"/>
    <w:rsid w:val="0044609C"/>
    <w:rsid w:val="00446999"/>
    <w:rsid w:val="00447163"/>
    <w:rsid w:val="00447E6B"/>
    <w:rsid w:val="00447FEE"/>
    <w:rsid w:val="00450C38"/>
    <w:rsid w:val="0045250B"/>
    <w:rsid w:val="00454522"/>
    <w:rsid w:val="004558E6"/>
    <w:rsid w:val="00455CED"/>
    <w:rsid w:val="00455D9E"/>
    <w:rsid w:val="004566C3"/>
    <w:rsid w:val="00457040"/>
    <w:rsid w:val="004578EA"/>
    <w:rsid w:val="0045792B"/>
    <w:rsid w:val="00457E39"/>
    <w:rsid w:val="004601F0"/>
    <w:rsid w:val="00460A48"/>
    <w:rsid w:val="004614CC"/>
    <w:rsid w:val="00461538"/>
    <w:rsid w:val="00461BDD"/>
    <w:rsid w:val="00461C3D"/>
    <w:rsid w:val="00463FB9"/>
    <w:rsid w:val="004643F9"/>
    <w:rsid w:val="00465156"/>
    <w:rsid w:val="00466448"/>
    <w:rsid w:val="00467152"/>
    <w:rsid w:val="004677E3"/>
    <w:rsid w:val="00467F36"/>
    <w:rsid w:val="00470AAA"/>
    <w:rsid w:val="004717E6"/>
    <w:rsid w:val="00471AFD"/>
    <w:rsid w:val="00471F00"/>
    <w:rsid w:val="004729BC"/>
    <w:rsid w:val="00473182"/>
    <w:rsid w:val="00473E81"/>
    <w:rsid w:val="00474A50"/>
    <w:rsid w:val="00474CF2"/>
    <w:rsid w:val="00475573"/>
    <w:rsid w:val="004758D3"/>
    <w:rsid w:val="004768CD"/>
    <w:rsid w:val="004768D4"/>
    <w:rsid w:val="00477C34"/>
    <w:rsid w:val="004801DD"/>
    <w:rsid w:val="00480411"/>
    <w:rsid w:val="004828EE"/>
    <w:rsid w:val="004842DA"/>
    <w:rsid w:val="004847DE"/>
    <w:rsid w:val="00484A99"/>
    <w:rsid w:val="004851F0"/>
    <w:rsid w:val="0048546B"/>
    <w:rsid w:val="00485FF0"/>
    <w:rsid w:val="00486F0D"/>
    <w:rsid w:val="00487288"/>
    <w:rsid w:val="00487D20"/>
    <w:rsid w:val="00490FBA"/>
    <w:rsid w:val="00491FE4"/>
    <w:rsid w:val="00493345"/>
    <w:rsid w:val="00494255"/>
    <w:rsid w:val="00494422"/>
    <w:rsid w:val="0049626A"/>
    <w:rsid w:val="004963F1"/>
    <w:rsid w:val="00496B89"/>
    <w:rsid w:val="00496E9B"/>
    <w:rsid w:val="004976EE"/>
    <w:rsid w:val="00497E44"/>
    <w:rsid w:val="004A0D77"/>
    <w:rsid w:val="004A25FC"/>
    <w:rsid w:val="004A359C"/>
    <w:rsid w:val="004A359E"/>
    <w:rsid w:val="004A4061"/>
    <w:rsid w:val="004A530F"/>
    <w:rsid w:val="004A5366"/>
    <w:rsid w:val="004A536A"/>
    <w:rsid w:val="004A5405"/>
    <w:rsid w:val="004A5F64"/>
    <w:rsid w:val="004A6FCE"/>
    <w:rsid w:val="004B079B"/>
    <w:rsid w:val="004B201E"/>
    <w:rsid w:val="004B2242"/>
    <w:rsid w:val="004B2E86"/>
    <w:rsid w:val="004B52B3"/>
    <w:rsid w:val="004B5AA9"/>
    <w:rsid w:val="004B5BBA"/>
    <w:rsid w:val="004B63A3"/>
    <w:rsid w:val="004B698D"/>
    <w:rsid w:val="004B7378"/>
    <w:rsid w:val="004B7490"/>
    <w:rsid w:val="004B7B9D"/>
    <w:rsid w:val="004B7EAC"/>
    <w:rsid w:val="004C00B6"/>
    <w:rsid w:val="004C04D0"/>
    <w:rsid w:val="004C0AFE"/>
    <w:rsid w:val="004C0B81"/>
    <w:rsid w:val="004C0C79"/>
    <w:rsid w:val="004C20D6"/>
    <w:rsid w:val="004C2552"/>
    <w:rsid w:val="004C25FD"/>
    <w:rsid w:val="004C397B"/>
    <w:rsid w:val="004C4D19"/>
    <w:rsid w:val="004C4DB5"/>
    <w:rsid w:val="004C5540"/>
    <w:rsid w:val="004C6756"/>
    <w:rsid w:val="004C7156"/>
    <w:rsid w:val="004C7448"/>
    <w:rsid w:val="004D0495"/>
    <w:rsid w:val="004D089B"/>
    <w:rsid w:val="004D0E7B"/>
    <w:rsid w:val="004D177A"/>
    <w:rsid w:val="004D2DFA"/>
    <w:rsid w:val="004D3780"/>
    <w:rsid w:val="004D7037"/>
    <w:rsid w:val="004D7730"/>
    <w:rsid w:val="004E0AFA"/>
    <w:rsid w:val="004E166F"/>
    <w:rsid w:val="004E31B8"/>
    <w:rsid w:val="004E3278"/>
    <w:rsid w:val="004E33A4"/>
    <w:rsid w:val="004E379B"/>
    <w:rsid w:val="004E39BA"/>
    <w:rsid w:val="004E3B17"/>
    <w:rsid w:val="004E3DAF"/>
    <w:rsid w:val="004E4969"/>
    <w:rsid w:val="004E580D"/>
    <w:rsid w:val="004E68A5"/>
    <w:rsid w:val="004E7495"/>
    <w:rsid w:val="004F1E25"/>
    <w:rsid w:val="004F21EA"/>
    <w:rsid w:val="004F26D7"/>
    <w:rsid w:val="004F37CA"/>
    <w:rsid w:val="004F3CEC"/>
    <w:rsid w:val="004F4808"/>
    <w:rsid w:val="004F4A3F"/>
    <w:rsid w:val="004F5002"/>
    <w:rsid w:val="004F5309"/>
    <w:rsid w:val="004F62C4"/>
    <w:rsid w:val="004F7ECE"/>
    <w:rsid w:val="00500935"/>
    <w:rsid w:val="00500E95"/>
    <w:rsid w:val="00501478"/>
    <w:rsid w:val="005016E4"/>
    <w:rsid w:val="0050209D"/>
    <w:rsid w:val="00504086"/>
    <w:rsid w:val="005043CE"/>
    <w:rsid w:val="00504600"/>
    <w:rsid w:val="00506006"/>
    <w:rsid w:val="00506583"/>
    <w:rsid w:val="00507C04"/>
    <w:rsid w:val="005104A6"/>
    <w:rsid w:val="00510C03"/>
    <w:rsid w:val="00511140"/>
    <w:rsid w:val="00512722"/>
    <w:rsid w:val="00512B5D"/>
    <w:rsid w:val="00513DDA"/>
    <w:rsid w:val="0051529E"/>
    <w:rsid w:val="005165ED"/>
    <w:rsid w:val="0051693D"/>
    <w:rsid w:val="00516BF5"/>
    <w:rsid w:val="0051735E"/>
    <w:rsid w:val="0051771E"/>
    <w:rsid w:val="005201C6"/>
    <w:rsid w:val="00520726"/>
    <w:rsid w:val="00520D47"/>
    <w:rsid w:val="00521F76"/>
    <w:rsid w:val="005225DE"/>
    <w:rsid w:val="005229B9"/>
    <w:rsid w:val="00522E13"/>
    <w:rsid w:val="00523F5F"/>
    <w:rsid w:val="00524E14"/>
    <w:rsid w:val="00524E42"/>
    <w:rsid w:val="00525571"/>
    <w:rsid w:val="00525F1A"/>
    <w:rsid w:val="00526050"/>
    <w:rsid w:val="00526267"/>
    <w:rsid w:val="0052670D"/>
    <w:rsid w:val="005267FD"/>
    <w:rsid w:val="00526846"/>
    <w:rsid w:val="00527343"/>
    <w:rsid w:val="00527426"/>
    <w:rsid w:val="00527864"/>
    <w:rsid w:val="00527FE3"/>
    <w:rsid w:val="005305F7"/>
    <w:rsid w:val="00531CCB"/>
    <w:rsid w:val="0053287C"/>
    <w:rsid w:val="005334D6"/>
    <w:rsid w:val="00534E63"/>
    <w:rsid w:val="00535461"/>
    <w:rsid w:val="00535B42"/>
    <w:rsid w:val="00535E83"/>
    <w:rsid w:val="005364E6"/>
    <w:rsid w:val="00536FF1"/>
    <w:rsid w:val="005374C1"/>
    <w:rsid w:val="00540569"/>
    <w:rsid w:val="005412D3"/>
    <w:rsid w:val="00541442"/>
    <w:rsid w:val="00541D90"/>
    <w:rsid w:val="00542D55"/>
    <w:rsid w:val="0054343F"/>
    <w:rsid w:val="005436F0"/>
    <w:rsid w:val="00544034"/>
    <w:rsid w:val="0054442A"/>
    <w:rsid w:val="00545CEA"/>
    <w:rsid w:val="00546A93"/>
    <w:rsid w:val="00546C01"/>
    <w:rsid w:val="00546EDB"/>
    <w:rsid w:val="00547452"/>
    <w:rsid w:val="00551BC4"/>
    <w:rsid w:val="00552605"/>
    <w:rsid w:val="00553BD8"/>
    <w:rsid w:val="0055459C"/>
    <w:rsid w:val="0055576B"/>
    <w:rsid w:val="00556627"/>
    <w:rsid w:val="005576B3"/>
    <w:rsid w:val="00560445"/>
    <w:rsid w:val="00560BA1"/>
    <w:rsid w:val="00561258"/>
    <w:rsid w:val="005613AD"/>
    <w:rsid w:val="00562CE4"/>
    <w:rsid w:val="00562DEF"/>
    <w:rsid w:val="0056370C"/>
    <w:rsid w:val="00564707"/>
    <w:rsid w:val="00564790"/>
    <w:rsid w:val="00565FC4"/>
    <w:rsid w:val="00566628"/>
    <w:rsid w:val="00566964"/>
    <w:rsid w:val="00566997"/>
    <w:rsid w:val="00566C1D"/>
    <w:rsid w:val="00566C6E"/>
    <w:rsid w:val="005672E7"/>
    <w:rsid w:val="0057058D"/>
    <w:rsid w:val="00570DA5"/>
    <w:rsid w:val="00570F0E"/>
    <w:rsid w:val="005714E7"/>
    <w:rsid w:val="005719B3"/>
    <w:rsid w:val="00571FD8"/>
    <w:rsid w:val="00572230"/>
    <w:rsid w:val="00572AD7"/>
    <w:rsid w:val="00573004"/>
    <w:rsid w:val="00573113"/>
    <w:rsid w:val="005744F7"/>
    <w:rsid w:val="0057531B"/>
    <w:rsid w:val="0057606F"/>
    <w:rsid w:val="00577420"/>
    <w:rsid w:val="0057764F"/>
    <w:rsid w:val="00577AB9"/>
    <w:rsid w:val="00577B84"/>
    <w:rsid w:val="00577C6C"/>
    <w:rsid w:val="005800E7"/>
    <w:rsid w:val="00581457"/>
    <w:rsid w:val="00581506"/>
    <w:rsid w:val="00581FDF"/>
    <w:rsid w:val="00582240"/>
    <w:rsid w:val="005842F6"/>
    <w:rsid w:val="00584415"/>
    <w:rsid w:val="00584912"/>
    <w:rsid w:val="005854C0"/>
    <w:rsid w:val="00585DE6"/>
    <w:rsid w:val="00585FCB"/>
    <w:rsid w:val="0058601D"/>
    <w:rsid w:val="00590A4E"/>
    <w:rsid w:val="005917B7"/>
    <w:rsid w:val="0059200C"/>
    <w:rsid w:val="00592189"/>
    <w:rsid w:val="0059225A"/>
    <w:rsid w:val="00593C13"/>
    <w:rsid w:val="0059447F"/>
    <w:rsid w:val="0059485C"/>
    <w:rsid w:val="005968BA"/>
    <w:rsid w:val="00596AB6"/>
    <w:rsid w:val="00596E92"/>
    <w:rsid w:val="005971F7"/>
    <w:rsid w:val="005A01E2"/>
    <w:rsid w:val="005A22AC"/>
    <w:rsid w:val="005A2619"/>
    <w:rsid w:val="005A26CB"/>
    <w:rsid w:val="005A2A26"/>
    <w:rsid w:val="005A2DE4"/>
    <w:rsid w:val="005A2E17"/>
    <w:rsid w:val="005A3573"/>
    <w:rsid w:val="005A3CE4"/>
    <w:rsid w:val="005A4D3A"/>
    <w:rsid w:val="005A5503"/>
    <w:rsid w:val="005A58A1"/>
    <w:rsid w:val="005A5C9A"/>
    <w:rsid w:val="005A611A"/>
    <w:rsid w:val="005A6345"/>
    <w:rsid w:val="005A6CFE"/>
    <w:rsid w:val="005B2080"/>
    <w:rsid w:val="005B20C8"/>
    <w:rsid w:val="005B2182"/>
    <w:rsid w:val="005B264A"/>
    <w:rsid w:val="005B274E"/>
    <w:rsid w:val="005B2D59"/>
    <w:rsid w:val="005B3FF0"/>
    <w:rsid w:val="005B4EA0"/>
    <w:rsid w:val="005B60FB"/>
    <w:rsid w:val="005B6728"/>
    <w:rsid w:val="005B7CAF"/>
    <w:rsid w:val="005C06BC"/>
    <w:rsid w:val="005C0868"/>
    <w:rsid w:val="005C1039"/>
    <w:rsid w:val="005C196B"/>
    <w:rsid w:val="005C2838"/>
    <w:rsid w:val="005C2E80"/>
    <w:rsid w:val="005C2F4B"/>
    <w:rsid w:val="005C420B"/>
    <w:rsid w:val="005C5032"/>
    <w:rsid w:val="005C5487"/>
    <w:rsid w:val="005C5D18"/>
    <w:rsid w:val="005C6956"/>
    <w:rsid w:val="005C6C75"/>
    <w:rsid w:val="005C77EB"/>
    <w:rsid w:val="005C7FC5"/>
    <w:rsid w:val="005D0583"/>
    <w:rsid w:val="005D0996"/>
    <w:rsid w:val="005D0A19"/>
    <w:rsid w:val="005D1685"/>
    <w:rsid w:val="005D25EE"/>
    <w:rsid w:val="005D281B"/>
    <w:rsid w:val="005D28AF"/>
    <w:rsid w:val="005D3D9D"/>
    <w:rsid w:val="005D42CB"/>
    <w:rsid w:val="005D536F"/>
    <w:rsid w:val="005D5B18"/>
    <w:rsid w:val="005D6055"/>
    <w:rsid w:val="005D643E"/>
    <w:rsid w:val="005D73C6"/>
    <w:rsid w:val="005E0F1B"/>
    <w:rsid w:val="005E1ADF"/>
    <w:rsid w:val="005E3CA4"/>
    <w:rsid w:val="005E449E"/>
    <w:rsid w:val="005E4567"/>
    <w:rsid w:val="005E46EC"/>
    <w:rsid w:val="005E4D82"/>
    <w:rsid w:val="005E53EC"/>
    <w:rsid w:val="005E5C05"/>
    <w:rsid w:val="005E7107"/>
    <w:rsid w:val="005F071E"/>
    <w:rsid w:val="005F0AC3"/>
    <w:rsid w:val="005F0BFE"/>
    <w:rsid w:val="005F1DB1"/>
    <w:rsid w:val="005F2817"/>
    <w:rsid w:val="005F2DC8"/>
    <w:rsid w:val="005F2FA6"/>
    <w:rsid w:val="005F3368"/>
    <w:rsid w:val="005F4260"/>
    <w:rsid w:val="005F4454"/>
    <w:rsid w:val="005F4CA0"/>
    <w:rsid w:val="005F5E6C"/>
    <w:rsid w:val="005F5F62"/>
    <w:rsid w:val="005F5F7E"/>
    <w:rsid w:val="005F633E"/>
    <w:rsid w:val="005F6414"/>
    <w:rsid w:val="006000BE"/>
    <w:rsid w:val="0060028C"/>
    <w:rsid w:val="00600953"/>
    <w:rsid w:val="006028F5"/>
    <w:rsid w:val="00603DD1"/>
    <w:rsid w:val="006042C7"/>
    <w:rsid w:val="006042E9"/>
    <w:rsid w:val="00604ECC"/>
    <w:rsid w:val="00605FAE"/>
    <w:rsid w:val="00606B97"/>
    <w:rsid w:val="00607282"/>
    <w:rsid w:val="0060765D"/>
    <w:rsid w:val="00610EE6"/>
    <w:rsid w:val="00612C04"/>
    <w:rsid w:val="00613F16"/>
    <w:rsid w:val="00614011"/>
    <w:rsid w:val="006142D9"/>
    <w:rsid w:val="00614E57"/>
    <w:rsid w:val="00616598"/>
    <w:rsid w:val="00616C5E"/>
    <w:rsid w:val="00621564"/>
    <w:rsid w:val="0062195E"/>
    <w:rsid w:val="00621C37"/>
    <w:rsid w:val="006226D1"/>
    <w:rsid w:val="00622A1E"/>
    <w:rsid w:val="00622FC7"/>
    <w:rsid w:val="00623229"/>
    <w:rsid w:val="0062326A"/>
    <w:rsid w:val="0062405E"/>
    <w:rsid w:val="00624100"/>
    <w:rsid w:val="00624E49"/>
    <w:rsid w:val="00626502"/>
    <w:rsid w:val="00626F18"/>
    <w:rsid w:val="006315F8"/>
    <w:rsid w:val="0063268A"/>
    <w:rsid w:val="00632716"/>
    <w:rsid w:val="00634178"/>
    <w:rsid w:val="006346DB"/>
    <w:rsid w:val="00634AAB"/>
    <w:rsid w:val="00636318"/>
    <w:rsid w:val="006364DD"/>
    <w:rsid w:val="0063697C"/>
    <w:rsid w:val="00636AD6"/>
    <w:rsid w:val="00637DAB"/>
    <w:rsid w:val="006406E4"/>
    <w:rsid w:val="00641ABF"/>
    <w:rsid w:val="00641C3A"/>
    <w:rsid w:val="00641D9A"/>
    <w:rsid w:val="006428FE"/>
    <w:rsid w:val="00642F54"/>
    <w:rsid w:val="00643775"/>
    <w:rsid w:val="00643892"/>
    <w:rsid w:val="00643F90"/>
    <w:rsid w:val="00645225"/>
    <w:rsid w:val="006452EE"/>
    <w:rsid w:val="00647658"/>
    <w:rsid w:val="00647A61"/>
    <w:rsid w:val="0065054D"/>
    <w:rsid w:val="006508BE"/>
    <w:rsid w:val="00651580"/>
    <w:rsid w:val="00651E86"/>
    <w:rsid w:val="00652037"/>
    <w:rsid w:val="00654040"/>
    <w:rsid w:val="00655129"/>
    <w:rsid w:val="00655548"/>
    <w:rsid w:val="00655C71"/>
    <w:rsid w:val="00655F5B"/>
    <w:rsid w:val="00656899"/>
    <w:rsid w:val="006569F0"/>
    <w:rsid w:val="00656E37"/>
    <w:rsid w:val="00656EC5"/>
    <w:rsid w:val="00657398"/>
    <w:rsid w:val="00657F4C"/>
    <w:rsid w:val="006602E0"/>
    <w:rsid w:val="00660A86"/>
    <w:rsid w:val="00660A95"/>
    <w:rsid w:val="00661DD3"/>
    <w:rsid w:val="00662102"/>
    <w:rsid w:val="00662177"/>
    <w:rsid w:val="00662495"/>
    <w:rsid w:val="0066276C"/>
    <w:rsid w:val="0066297A"/>
    <w:rsid w:val="006631A6"/>
    <w:rsid w:val="00663533"/>
    <w:rsid w:val="006658C9"/>
    <w:rsid w:val="00665C57"/>
    <w:rsid w:val="00667F36"/>
    <w:rsid w:val="00670844"/>
    <w:rsid w:val="00670CA8"/>
    <w:rsid w:val="00671B42"/>
    <w:rsid w:val="00671DDA"/>
    <w:rsid w:val="00672660"/>
    <w:rsid w:val="00673E05"/>
    <w:rsid w:val="006746E5"/>
    <w:rsid w:val="00675729"/>
    <w:rsid w:val="00675D4E"/>
    <w:rsid w:val="00675E47"/>
    <w:rsid w:val="00677BF3"/>
    <w:rsid w:val="006803CF"/>
    <w:rsid w:val="006815E0"/>
    <w:rsid w:val="00681D92"/>
    <w:rsid w:val="00684001"/>
    <w:rsid w:val="006841EB"/>
    <w:rsid w:val="00685347"/>
    <w:rsid w:val="00686612"/>
    <w:rsid w:val="00686D24"/>
    <w:rsid w:val="0068726B"/>
    <w:rsid w:val="00687DAB"/>
    <w:rsid w:val="00693207"/>
    <w:rsid w:val="006934BB"/>
    <w:rsid w:val="00693900"/>
    <w:rsid w:val="00694A01"/>
    <w:rsid w:val="00694B96"/>
    <w:rsid w:val="00695778"/>
    <w:rsid w:val="0069640B"/>
    <w:rsid w:val="006A0FB1"/>
    <w:rsid w:val="006A1DA3"/>
    <w:rsid w:val="006A3542"/>
    <w:rsid w:val="006A3C63"/>
    <w:rsid w:val="006A3F34"/>
    <w:rsid w:val="006A4F67"/>
    <w:rsid w:val="006A5497"/>
    <w:rsid w:val="006A5D5C"/>
    <w:rsid w:val="006A6B28"/>
    <w:rsid w:val="006A715A"/>
    <w:rsid w:val="006B1080"/>
    <w:rsid w:val="006B1CA0"/>
    <w:rsid w:val="006B27AD"/>
    <w:rsid w:val="006B31A8"/>
    <w:rsid w:val="006B37AB"/>
    <w:rsid w:val="006B3D9E"/>
    <w:rsid w:val="006B43B4"/>
    <w:rsid w:val="006B46C8"/>
    <w:rsid w:val="006B4874"/>
    <w:rsid w:val="006B4BC8"/>
    <w:rsid w:val="006B66A3"/>
    <w:rsid w:val="006B6ABB"/>
    <w:rsid w:val="006B71E1"/>
    <w:rsid w:val="006B790D"/>
    <w:rsid w:val="006C07C4"/>
    <w:rsid w:val="006C0ED8"/>
    <w:rsid w:val="006C1B6A"/>
    <w:rsid w:val="006C220D"/>
    <w:rsid w:val="006C35AA"/>
    <w:rsid w:val="006C3CE3"/>
    <w:rsid w:val="006C42F1"/>
    <w:rsid w:val="006C4A5C"/>
    <w:rsid w:val="006C4C00"/>
    <w:rsid w:val="006C53DC"/>
    <w:rsid w:val="006C74D7"/>
    <w:rsid w:val="006C79A5"/>
    <w:rsid w:val="006D0185"/>
    <w:rsid w:val="006D04FC"/>
    <w:rsid w:val="006D090D"/>
    <w:rsid w:val="006D1888"/>
    <w:rsid w:val="006D232F"/>
    <w:rsid w:val="006D2B51"/>
    <w:rsid w:val="006D38C7"/>
    <w:rsid w:val="006D3AB7"/>
    <w:rsid w:val="006D3FF0"/>
    <w:rsid w:val="006D4780"/>
    <w:rsid w:val="006D6C7C"/>
    <w:rsid w:val="006D70D7"/>
    <w:rsid w:val="006D7262"/>
    <w:rsid w:val="006D770B"/>
    <w:rsid w:val="006E097F"/>
    <w:rsid w:val="006E1194"/>
    <w:rsid w:val="006E1E2B"/>
    <w:rsid w:val="006E1EFE"/>
    <w:rsid w:val="006E2383"/>
    <w:rsid w:val="006E2943"/>
    <w:rsid w:val="006E3F80"/>
    <w:rsid w:val="006E3FA3"/>
    <w:rsid w:val="006E40B5"/>
    <w:rsid w:val="006E4A31"/>
    <w:rsid w:val="006E601D"/>
    <w:rsid w:val="006E626B"/>
    <w:rsid w:val="006E627B"/>
    <w:rsid w:val="006E6D1C"/>
    <w:rsid w:val="006E7230"/>
    <w:rsid w:val="006E77BD"/>
    <w:rsid w:val="006E7A81"/>
    <w:rsid w:val="006E7AB6"/>
    <w:rsid w:val="006F0778"/>
    <w:rsid w:val="006F0E7A"/>
    <w:rsid w:val="006F139F"/>
    <w:rsid w:val="006F37EE"/>
    <w:rsid w:val="006F391C"/>
    <w:rsid w:val="006F43ED"/>
    <w:rsid w:val="006F4B45"/>
    <w:rsid w:val="006F5076"/>
    <w:rsid w:val="006F6563"/>
    <w:rsid w:val="006F668E"/>
    <w:rsid w:val="006F7183"/>
    <w:rsid w:val="006F71E0"/>
    <w:rsid w:val="006F774F"/>
    <w:rsid w:val="006F7CC3"/>
    <w:rsid w:val="007001CA"/>
    <w:rsid w:val="00700D7D"/>
    <w:rsid w:val="007011C3"/>
    <w:rsid w:val="007019BB"/>
    <w:rsid w:val="00702838"/>
    <w:rsid w:val="00703425"/>
    <w:rsid w:val="0070386F"/>
    <w:rsid w:val="00703BC3"/>
    <w:rsid w:val="00703F64"/>
    <w:rsid w:val="00704A85"/>
    <w:rsid w:val="00704B7A"/>
    <w:rsid w:val="00705A01"/>
    <w:rsid w:val="00705D2A"/>
    <w:rsid w:val="00706A8C"/>
    <w:rsid w:val="00706D5D"/>
    <w:rsid w:val="00707412"/>
    <w:rsid w:val="007077D3"/>
    <w:rsid w:val="007105CA"/>
    <w:rsid w:val="007109C8"/>
    <w:rsid w:val="00710C25"/>
    <w:rsid w:val="00710DF8"/>
    <w:rsid w:val="007110D8"/>
    <w:rsid w:val="00711619"/>
    <w:rsid w:val="0071194D"/>
    <w:rsid w:val="0071310A"/>
    <w:rsid w:val="00713330"/>
    <w:rsid w:val="00713657"/>
    <w:rsid w:val="007142D2"/>
    <w:rsid w:val="007147EE"/>
    <w:rsid w:val="00714829"/>
    <w:rsid w:val="00714E4F"/>
    <w:rsid w:val="00715063"/>
    <w:rsid w:val="00715506"/>
    <w:rsid w:val="00715748"/>
    <w:rsid w:val="00715DA6"/>
    <w:rsid w:val="0071703D"/>
    <w:rsid w:val="007173A1"/>
    <w:rsid w:val="0071794D"/>
    <w:rsid w:val="00722A4B"/>
    <w:rsid w:val="00722A8D"/>
    <w:rsid w:val="00722B06"/>
    <w:rsid w:val="00722E19"/>
    <w:rsid w:val="00722ED4"/>
    <w:rsid w:val="00723E23"/>
    <w:rsid w:val="00723F04"/>
    <w:rsid w:val="0072427C"/>
    <w:rsid w:val="00725F84"/>
    <w:rsid w:val="007260FA"/>
    <w:rsid w:val="00727007"/>
    <w:rsid w:val="0072760B"/>
    <w:rsid w:val="007301F7"/>
    <w:rsid w:val="00730DBB"/>
    <w:rsid w:val="00732001"/>
    <w:rsid w:val="007321A9"/>
    <w:rsid w:val="0073352B"/>
    <w:rsid w:val="0073398B"/>
    <w:rsid w:val="00734447"/>
    <w:rsid w:val="007348E7"/>
    <w:rsid w:val="007370CE"/>
    <w:rsid w:val="00737DDF"/>
    <w:rsid w:val="00740721"/>
    <w:rsid w:val="00740AB6"/>
    <w:rsid w:val="007422B1"/>
    <w:rsid w:val="007426D1"/>
    <w:rsid w:val="00743C7E"/>
    <w:rsid w:val="007448BC"/>
    <w:rsid w:val="007451E9"/>
    <w:rsid w:val="00745CCF"/>
    <w:rsid w:val="00746328"/>
    <w:rsid w:val="0074747A"/>
    <w:rsid w:val="007474EA"/>
    <w:rsid w:val="00747841"/>
    <w:rsid w:val="00747BA1"/>
    <w:rsid w:val="00747D1D"/>
    <w:rsid w:val="00747D3F"/>
    <w:rsid w:val="00750625"/>
    <w:rsid w:val="00750E4A"/>
    <w:rsid w:val="00750F2E"/>
    <w:rsid w:val="00752229"/>
    <w:rsid w:val="00752C2C"/>
    <w:rsid w:val="007530B0"/>
    <w:rsid w:val="00753185"/>
    <w:rsid w:val="00753CC7"/>
    <w:rsid w:val="007550A1"/>
    <w:rsid w:val="007564CC"/>
    <w:rsid w:val="00757101"/>
    <w:rsid w:val="00757500"/>
    <w:rsid w:val="00757A5D"/>
    <w:rsid w:val="00757EAD"/>
    <w:rsid w:val="007603D5"/>
    <w:rsid w:val="00761773"/>
    <w:rsid w:val="00761FD2"/>
    <w:rsid w:val="007623CC"/>
    <w:rsid w:val="00762566"/>
    <w:rsid w:val="00762B1C"/>
    <w:rsid w:val="0076417A"/>
    <w:rsid w:val="00764670"/>
    <w:rsid w:val="00764D1E"/>
    <w:rsid w:val="00764DAB"/>
    <w:rsid w:val="00766242"/>
    <w:rsid w:val="00770634"/>
    <w:rsid w:val="00770B67"/>
    <w:rsid w:val="00770EA5"/>
    <w:rsid w:val="00772AFB"/>
    <w:rsid w:val="00772E4D"/>
    <w:rsid w:val="00772FD7"/>
    <w:rsid w:val="00773886"/>
    <w:rsid w:val="007740BE"/>
    <w:rsid w:val="0077477F"/>
    <w:rsid w:val="007757F5"/>
    <w:rsid w:val="00777188"/>
    <w:rsid w:val="007774AC"/>
    <w:rsid w:val="00777BB8"/>
    <w:rsid w:val="00777FC2"/>
    <w:rsid w:val="00780B23"/>
    <w:rsid w:val="00782D97"/>
    <w:rsid w:val="00783CE9"/>
    <w:rsid w:val="00784569"/>
    <w:rsid w:val="00785C22"/>
    <w:rsid w:val="00786BB2"/>
    <w:rsid w:val="007900A6"/>
    <w:rsid w:val="0079037B"/>
    <w:rsid w:val="007924B8"/>
    <w:rsid w:val="007925E4"/>
    <w:rsid w:val="00792D72"/>
    <w:rsid w:val="00795606"/>
    <w:rsid w:val="007957C6"/>
    <w:rsid w:val="007965B7"/>
    <w:rsid w:val="007966A7"/>
    <w:rsid w:val="00796A45"/>
    <w:rsid w:val="00796F11"/>
    <w:rsid w:val="00797AB6"/>
    <w:rsid w:val="00797E79"/>
    <w:rsid w:val="007A0421"/>
    <w:rsid w:val="007A101C"/>
    <w:rsid w:val="007A13BA"/>
    <w:rsid w:val="007A14FD"/>
    <w:rsid w:val="007A20ED"/>
    <w:rsid w:val="007A23E6"/>
    <w:rsid w:val="007A284F"/>
    <w:rsid w:val="007A2DAE"/>
    <w:rsid w:val="007A32F1"/>
    <w:rsid w:val="007A3893"/>
    <w:rsid w:val="007A51AE"/>
    <w:rsid w:val="007A57A5"/>
    <w:rsid w:val="007A60EF"/>
    <w:rsid w:val="007A6580"/>
    <w:rsid w:val="007A6AA0"/>
    <w:rsid w:val="007A7BE0"/>
    <w:rsid w:val="007B0B0D"/>
    <w:rsid w:val="007B1450"/>
    <w:rsid w:val="007B1EEB"/>
    <w:rsid w:val="007B200A"/>
    <w:rsid w:val="007B271D"/>
    <w:rsid w:val="007B534C"/>
    <w:rsid w:val="007B6004"/>
    <w:rsid w:val="007B6317"/>
    <w:rsid w:val="007B7120"/>
    <w:rsid w:val="007C0722"/>
    <w:rsid w:val="007C2FAC"/>
    <w:rsid w:val="007C37AF"/>
    <w:rsid w:val="007C38CB"/>
    <w:rsid w:val="007C3C9F"/>
    <w:rsid w:val="007C418C"/>
    <w:rsid w:val="007C42F8"/>
    <w:rsid w:val="007C4C4E"/>
    <w:rsid w:val="007C5293"/>
    <w:rsid w:val="007C5376"/>
    <w:rsid w:val="007C57CE"/>
    <w:rsid w:val="007C5A59"/>
    <w:rsid w:val="007C65FE"/>
    <w:rsid w:val="007C7A21"/>
    <w:rsid w:val="007C7C6D"/>
    <w:rsid w:val="007D0DEB"/>
    <w:rsid w:val="007D12D5"/>
    <w:rsid w:val="007D1546"/>
    <w:rsid w:val="007D1878"/>
    <w:rsid w:val="007D2348"/>
    <w:rsid w:val="007D2CAB"/>
    <w:rsid w:val="007D2D7F"/>
    <w:rsid w:val="007D3DBE"/>
    <w:rsid w:val="007D45EE"/>
    <w:rsid w:val="007D477E"/>
    <w:rsid w:val="007D4DA4"/>
    <w:rsid w:val="007D5187"/>
    <w:rsid w:val="007D5F51"/>
    <w:rsid w:val="007D6D8E"/>
    <w:rsid w:val="007D708D"/>
    <w:rsid w:val="007D7977"/>
    <w:rsid w:val="007D7F1A"/>
    <w:rsid w:val="007E0172"/>
    <w:rsid w:val="007E0CCB"/>
    <w:rsid w:val="007E0E45"/>
    <w:rsid w:val="007E210A"/>
    <w:rsid w:val="007E421C"/>
    <w:rsid w:val="007E585F"/>
    <w:rsid w:val="007E5FD5"/>
    <w:rsid w:val="007E60A7"/>
    <w:rsid w:val="007E6529"/>
    <w:rsid w:val="007E7097"/>
    <w:rsid w:val="007E7923"/>
    <w:rsid w:val="007E7C82"/>
    <w:rsid w:val="007F1484"/>
    <w:rsid w:val="007F1938"/>
    <w:rsid w:val="007F23A2"/>
    <w:rsid w:val="007F31CD"/>
    <w:rsid w:val="007F4C14"/>
    <w:rsid w:val="007F5870"/>
    <w:rsid w:val="007F6913"/>
    <w:rsid w:val="007F6A6D"/>
    <w:rsid w:val="007F71B8"/>
    <w:rsid w:val="007F7A45"/>
    <w:rsid w:val="007F7C0A"/>
    <w:rsid w:val="0080180F"/>
    <w:rsid w:val="00802014"/>
    <w:rsid w:val="008020AC"/>
    <w:rsid w:val="008022F9"/>
    <w:rsid w:val="0080259C"/>
    <w:rsid w:val="00802DC5"/>
    <w:rsid w:val="00803546"/>
    <w:rsid w:val="0080354C"/>
    <w:rsid w:val="00803697"/>
    <w:rsid w:val="008037A7"/>
    <w:rsid w:val="0080465F"/>
    <w:rsid w:val="00805C82"/>
    <w:rsid w:val="00806E02"/>
    <w:rsid w:val="00807140"/>
    <w:rsid w:val="00807238"/>
    <w:rsid w:val="00807640"/>
    <w:rsid w:val="00811669"/>
    <w:rsid w:val="008121C0"/>
    <w:rsid w:val="00812784"/>
    <w:rsid w:val="00813272"/>
    <w:rsid w:val="008137C7"/>
    <w:rsid w:val="00814077"/>
    <w:rsid w:val="00816489"/>
    <w:rsid w:val="00816686"/>
    <w:rsid w:val="0082140E"/>
    <w:rsid w:val="0082303E"/>
    <w:rsid w:val="00823859"/>
    <w:rsid w:val="00823F8D"/>
    <w:rsid w:val="00824026"/>
    <w:rsid w:val="008253B6"/>
    <w:rsid w:val="00825C64"/>
    <w:rsid w:val="00826212"/>
    <w:rsid w:val="00826912"/>
    <w:rsid w:val="008272F3"/>
    <w:rsid w:val="00827890"/>
    <w:rsid w:val="0083050D"/>
    <w:rsid w:val="00831406"/>
    <w:rsid w:val="00831653"/>
    <w:rsid w:val="008316E8"/>
    <w:rsid w:val="008318BE"/>
    <w:rsid w:val="00831F12"/>
    <w:rsid w:val="0083264B"/>
    <w:rsid w:val="00832A21"/>
    <w:rsid w:val="0083338E"/>
    <w:rsid w:val="00833D83"/>
    <w:rsid w:val="00834344"/>
    <w:rsid w:val="00835423"/>
    <w:rsid w:val="00835BF0"/>
    <w:rsid w:val="008360D7"/>
    <w:rsid w:val="00836A11"/>
    <w:rsid w:val="00837453"/>
    <w:rsid w:val="0084013D"/>
    <w:rsid w:val="0084125A"/>
    <w:rsid w:val="008414C0"/>
    <w:rsid w:val="0084197F"/>
    <w:rsid w:val="00841D3C"/>
    <w:rsid w:val="00841EFA"/>
    <w:rsid w:val="008432DE"/>
    <w:rsid w:val="00846ADB"/>
    <w:rsid w:val="00846D04"/>
    <w:rsid w:val="00846D05"/>
    <w:rsid w:val="00846D4D"/>
    <w:rsid w:val="00846F6A"/>
    <w:rsid w:val="008474C5"/>
    <w:rsid w:val="00847A61"/>
    <w:rsid w:val="00847D46"/>
    <w:rsid w:val="00850B26"/>
    <w:rsid w:val="00853161"/>
    <w:rsid w:val="00855204"/>
    <w:rsid w:val="008552EF"/>
    <w:rsid w:val="0085564F"/>
    <w:rsid w:val="0085741A"/>
    <w:rsid w:val="0085743E"/>
    <w:rsid w:val="008602F2"/>
    <w:rsid w:val="0086155F"/>
    <w:rsid w:val="00861839"/>
    <w:rsid w:val="00861EA6"/>
    <w:rsid w:val="00861F59"/>
    <w:rsid w:val="00862535"/>
    <w:rsid w:val="0086295E"/>
    <w:rsid w:val="00862EA2"/>
    <w:rsid w:val="00863171"/>
    <w:rsid w:val="008634B8"/>
    <w:rsid w:val="00864830"/>
    <w:rsid w:val="00865A41"/>
    <w:rsid w:val="00865C7E"/>
    <w:rsid w:val="00866084"/>
    <w:rsid w:val="00870196"/>
    <w:rsid w:val="00871389"/>
    <w:rsid w:val="00871E73"/>
    <w:rsid w:val="00872623"/>
    <w:rsid w:val="00872F29"/>
    <w:rsid w:val="0087337D"/>
    <w:rsid w:val="008736BA"/>
    <w:rsid w:val="00873DCE"/>
    <w:rsid w:val="00874FA1"/>
    <w:rsid w:val="0087732D"/>
    <w:rsid w:val="0087754D"/>
    <w:rsid w:val="00880F97"/>
    <w:rsid w:val="008810BE"/>
    <w:rsid w:val="008814AC"/>
    <w:rsid w:val="008821C8"/>
    <w:rsid w:val="00883475"/>
    <w:rsid w:val="00884E0B"/>
    <w:rsid w:val="0088557D"/>
    <w:rsid w:val="00887508"/>
    <w:rsid w:val="00887C58"/>
    <w:rsid w:val="00887E92"/>
    <w:rsid w:val="00887F09"/>
    <w:rsid w:val="00887F1C"/>
    <w:rsid w:val="00892570"/>
    <w:rsid w:val="00892890"/>
    <w:rsid w:val="00892946"/>
    <w:rsid w:val="00892D89"/>
    <w:rsid w:val="00892F78"/>
    <w:rsid w:val="008936A5"/>
    <w:rsid w:val="008942EF"/>
    <w:rsid w:val="0089557B"/>
    <w:rsid w:val="00895854"/>
    <w:rsid w:val="00895881"/>
    <w:rsid w:val="008966ED"/>
    <w:rsid w:val="008968F1"/>
    <w:rsid w:val="0089725B"/>
    <w:rsid w:val="008A1152"/>
    <w:rsid w:val="008A1421"/>
    <w:rsid w:val="008A196A"/>
    <w:rsid w:val="008A2A79"/>
    <w:rsid w:val="008A4397"/>
    <w:rsid w:val="008A5860"/>
    <w:rsid w:val="008A5992"/>
    <w:rsid w:val="008A6AD3"/>
    <w:rsid w:val="008A736E"/>
    <w:rsid w:val="008A7749"/>
    <w:rsid w:val="008A7859"/>
    <w:rsid w:val="008A7FDE"/>
    <w:rsid w:val="008B0D93"/>
    <w:rsid w:val="008B0FA4"/>
    <w:rsid w:val="008B1320"/>
    <w:rsid w:val="008B16DB"/>
    <w:rsid w:val="008B223E"/>
    <w:rsid w:val="008B233F"/>
    <w:rsid w:val="008B25C3"/>
    <w:rsid w:val="008B431C"/>
    <w:rsid w:val="008B4BFE"/>
    <w:rsid w:val="008B4EDC"/>
    <w:rsid w:val="008B4FCF"/>
    <w:rsid w:val="008B518A"/>
    <w:rsid w:val="008B7DBE"/>
    <w:rsid w:val="008C0847"/>
    <w:rsid w:val="008C4798"/>
    <w:rsid w:val="008C5E7D"/>
    <w:rsid w:val="008C5F65"/>
    <w:rsid w:val="008C69C4"/>
    <w:rsid w:val="008C72A2"/>
    <w:rsid w:val="008C7C65"/>
    <w:rsid w:val="008D1E07"/>
    <w:rsid w:val="008D24B0"/>
    <w:rsid w:val="008D37B6"/>
    <w:rsid w:val="008D3A03"/>
    <w:rsid w:val="008D43B0"/>
    <w:rsid w:val="008D449A"/>
    <w:rsid w:val="008D4794"/>
    <w:rsid w:val="008D5492"/>
    <w:rsid w:val="008D57B9"/>
    <w:rsid w:val="008D6464"/>
    <w:rsid w:val="008D69EE"/>
    <w:rsid w:val="008D6EDC"/>
    <w:rsid w:val="008D70CF"/>
    <w:rsid w:val="008D7D17"/>
    <w:rsid w:val="008E1408"/>
    <w:rsid w:val="008E17C0"/>
    <w:rsid w:val="008E1AB6"/>
    <w:rsid w:val="008E3162"/>
    <w:rsid w:val="008E52BB"/>
    <w:rsid w:val="008E6123"/>
    <w:rsid w:val="008E6BC9"/>
    <w:rsid w:val="008E747F"/>
    <w:rsid w:val="008F0466"/>
    <w:rsid w:val="008F21F9"/>
    <w:rsid w:val="008F27CA"/>
    <w:rsid w:val="008F2B99"/>
    <w:rsid w:val="008F2EBF"/>
    <w:rsid w:val="008F3209"/>
    <w:rsid w:val="008F38A5"/>
    <w:rsid w:val="008F3B1E"/>
    <w:rsid w:val="008F3E0B"/>
    <w:rsid w:val="008F5E05"/>
    <w:rsid w:val="008F603B"/>
    <w:rsid w:val="008F672B"/>
    <w:rsid w:val="008F68D0"/>
    <w:rsid w:val="008F7083"/>
    <w:rsid w:val="008F77D0"/>
    <w:rsid w:val="008F78B2"/>
    <w:rsid w:val="008F7F5F"/>
    <w:rsid w:val="00900050"/>
    <w:rsid w:val="00900293"/>
    <w:rsid w:val="00900C1F"/>
    <w:rsid w:val="00901123"/>
    <w:rsid w:val="00901186"/>
    <w:rsid w:val="009021E3"/>
    <w:rsid w:val="00903B18"/>
    <w:rsid w:val="00905D7D"/>
    <w:rsid w:val="00907A58"/>
    <w:rsid w:val="009109D7"/>
    <w:rsid w:val="009112F2"/>
    <w:rsid w:val="009116CA"/>
    <w:rsid w:val="0091255B"/>
    <w:rsid w:val="00912A73"/>
    <w:rsid w:val="00912D9B"/>
    <w:rsid w:val="009134DB"/>
    <w:rsid w:val="00913C2B"/>
    <w:rsid w:val="009144C8"/>
    <w:rsid w:val="00914877"/>
    <w:rsid w:val="0091605E"/>
    <w:rsid w:val="00916530"/>
    <w:rsid w:val="009170DC"/>
    <w:rsid w:val="0091778B"/>
    <w:rsid w:val="00917F9C"/>
    <w:rsid w:val="0092085F"/>
    <w:rsid w:val="00920E4E"/>
    <w:rsid w:val="00920E56"/>
    <w:rsid w:val="0092147C"/>
    <w:rsid w:val="00922031"/>
    <w:rsid w:val="009223B7"/>
    <w:rsid w:val="00922B08"/>
    <w:rsid w:val="00922C1B"/>
    <w:rsid w:val="00923A1F"/>
    <w:rsid w:val="00923F58"/>
    <w:rsid w:val="009243D7"/>
    <w:rsid w:val="009245C2"/>
    <w:rsid w:val="00924E93"/>
    <w:rsid w:val="009259CC"/>
    <w:rsid w:val="00925B21"/>
    <w:rsid w:val="00925BC1"/>
    <w:rsid w:val="00926B38"/>
    <w:rsid w:val="00926D89"/>
    <w:rsid w:val="009270BF"/>
    <w:rsid w:val="00927566"/>
    <w:rsid w:val="0093028D"/>
    <w:rsid w:val="00930E61"/>
    <w:rsid w:val="00930EE0"/>
    <w:rsid w:val="00931BEC"/>
    <w:rsid w:val="00931EF6"/>
    <w:rsid w:val="00932919"/>
    <w:rsid w:val="00932F05"/>
    <w:rsid w:val="009335B0"/>
    <w:rsid w:val="00933615"/>
    <w:rsid w:val="009339A4"/>
    <w:rsid w:val="0093441B"/>
    <w:rsid w:val="00934695"/>
    <w:rsid w:val="00934ADD"/>
    <w:rsid w:val="00934E21"/>
    <w:rsid w:val="00935B2A"/>
    <w:rsid w:val="0093715D"/>
    <w:rsid w:val="009376C1"/>
    <w:rsid w:val="00937DAF"/>
    <w:rsid w:val="00940090"/>
    <w:rsid w:val="009406FD"/>
    <w:rsid w:val="009409F9"/>
    <w:rsid w:val="009418CF"/>
    <w:rsid w:val="009420E3"/>
    <w:rsid w:val="009422C9"/>
    <w:rsid w:val="009429F2"/>
    <w:rsid w:val="00942CC2"/>
    <w:rsid w:val="00943649"/>
    <w:rsid w:val="00943E66"/>
    <w:rsid w:val="00944481"/>
    <w:rsid w:val="009454DD"/>
    <w:rsid w:val="00946570"/>
    <w:rsid w:val="009470B4"/>
    <w:rsid w:val="009476CD"/>
    <w:rsid w:val="00947A36"/>
    <w:rsid w:val="00950029"/>
    <w:rsid w:val="0095109C"/>
    <w:rsid w:val="00954788"/>
    <w:rsid w:val="00954841"/>
    <w:rsid w:val="009548FF"/>
    <w:rsid w:val="00954A04"/>
    <w:rsid w:val="00954A86"/>
    <w:rsid w:val="00955490"/>
    <w:rsid w:val="009555A3"/>
    <w:rsid w:val="0095637D"/>
    <w:rsid w:val="009602FC"/>
    <w:rsid w:val="00960B8B"/>
    <w:rsid w:val="00961285"/>
    <w:rsid w:val="0096261A"/>
    <w:rsid w:val="009630B8"/>
    <w:rsid w:val="00964818"/>
    <w:rsid w:val="00964EBF"/>
    <w:rsid w:val="00964F0F"/>
    <w:rsid w:val="00965495"/>
    <w:rsid w:val="0096593C"/>
    <w:rsid w:val="0096619C"/>
    <w:rsid w:val="009665E0"/>
    <w:rsid w:val="00966722"/>
    <w:rsid w:val="00966FAB"/>
    <w:rsid w:val="009670D0"/>
    <w:rsid w:val="00967423"/>
    <w:rsid w:val="009676BD"/>
    <w:rsid w:val="009678CE"/>
    <w:rsid w:val="0096797E"/>
    <w:rsid w:val="009701E4"/>
    <w:rsid w:val="009718CE"/>
    <w:rsid w:val="0097204C"/>
    <w:rsid w:val="00972515"/>
    <w:rsid w:val="009728F7"/>
    <w:rsid w:val="00972FC3"/>
    <w:rsid w:val="0097378C"/>
    <w:rsid w:val="00973AE5"/>
    <w:rsid w:val="00974FB7"/>
    <w:rsid w:val="00974FE1"/>
    <w:rsid w:val="0097522E"/>
    <w:rsid w:val="00975787"/>
    <w:rsid w:val="00975E55"/>
    <w:rsid w:val="00975EFA"/>
    <w:rsid w:val="0097656E"/>
    <w:rsid w:val="0097696F"/>
    <w:rsid w:val="00976E23"/>
    <w:rsid w:val="00976FCD"/>
    <w:rsid w:val="00977171"/>
    <w:rsid w:val="0097767D"/>
    <w:rsid w:val="009802B9"/>
    <w:rsid w:val="00980497"/>
    <w:rsid w:val="00980F86"/>
    <w:rsid w:val="009810A9"/>
    <w:rsid w:val="00981151"/>
    <w:rsid w:val="00981C8E"/>
    <w:rsid w:val="00982E2D"/>
    <w:rsid w:val="00983E2D"/>
    <w:rsid w:val="00983F72"/>
    <w:rsid w:val="00984310"/>
    <w:rsid w:val="00984391"/>
    <w:rsid w:val="00984644"/>
    <w:rsid w:val="00984995"/>
    <w:rsid w:val="00984AFF"/>
    <w:rsid w:val="009854C4"/>
    <w:rsid w:val="00985D99"/>
    <w:rsid w:val="009873F1"/>
    <w:rsid w:val="00987A7E"/>
    <w:rsid w:val="00987B26"/>
    <w:rsid w:val="00987EF9"/>
    <w:rsid w:val="00990804"/>
    <w:rsid w:val="009908FB"/>
    <w:rsid w:val="00991EC3"/>
    <w:rsid w:val="009921BB"/>
    <w:rsid w:val="009926EB"/>
    <w:rsid w:val="00992BC2"/>
    <w:rsid w:val="0099371E"/>
    <w:rsid w:val="0099447B"/>
    <w:rsid w:val="009947F8"/>
    <w:rsid w:val="009951D8"/>
    <w:rsid w:val="0099552D"/>
    <w:rsid w:val="009956DC"/>
    <w:rsid w:val="009959A3"/>
    <w:rsid w:val="00996B74"/>
    <w:rsid w:val="00997F15"/>
    <w:rsid w:val="009A0180"/>
    <w:rsid w:val="009A1F37"/>
    <w:rsid w:val="009A23BB"/>
    <w:rsid w:val="009A314C"/>
    <w:rsid w:val="009A3553"/>
    <w:rsid w:val="009A3766"/>
    <w:rsid w:val="009A39B8"/>
    <w:rsid w:val="009A3EA9"/>
    <w:rsid w:val="009A4571"/>
    <w:rsid w:val="009A50F7"/>
    <w:rsid w:val="009A5B62"/>
    <w:rsid w:val="009A63BC"/>
    <w:rsid w:val="009A6B41"/>
    <w:rsid w:val="009A6FD5"/>
    <w:rsid w:val="009A7F2A"/>
    <w:rsid w:val="009B0401"/>
    <w:rsid w:val="009B283C"/>
    <w:rsid w:val="009B29BE"/>
    <w:rsid w:val="009B2DCE"/>
    <w:rsid w:val="009B308A"/>
    <w:rsid w:val="009B36D1"/>
    <w:rsid w:val="009B4FBE"/>
    <w:rsid w:val="009B51CF"/>
    <w:rsid w:val="009B5BD3"/>
    <w:rsid w:val="009B5ED5"/>
    <w:rsid w:val="009B6BA8"/>
    <w:rsid w:val="009B7538"/>
    <w:rsid w:val="009C023E"/>
    <w:rsid w:val="009C0829"/>
    <w:rsid w:val="009C0A71"/>
    <w:rsid w:val="009C0DE1"/>
    <w:rsid w:val="009C0EDF"/>
    <w:rsid w:val="009C2EEF"/>
    <w:rsid w:val="009C4101"/>
    <w:rsid w:val="009C47CF"/>
    <w:rsid w:val="009C6387"/>
    <w:rsid w:val="009C6BFC"/>
    <w:rsid w:val="009C6C49"/>
    <w:rsid w:val="009C6CDE"/>
    <w:rsid w:val="009C747B"/>
    <w:rsid w:val="009D1919"/>
    <w:rsid w:val="009D1A6D"/>
    <w:rsid w:val="009D1D96"/>
    <w:rsid w:val="009D262C"/>
    <w:rsid w:val="009D281B"/>
    <w:rsid w:val="009D2A98"/>
    <w:rsid w:val="009D2B65"/>
    <w:rsid w:val="009D3155"/>
    <w:rsid w:val="009D3E5A"/>
    <w:rsid w:val="009D62B6"/>
    <w:rsid w:val="009D62F4"/>
    <w:rsid w:val="009D6FEA"/>
    <w:rsid w:val="009D746F"/>
    <w:rsid w:val="009E030E"/>
    <w:rsid w:val="009E05ED"/>
    <w:rsid w:val="009E07CA"/>
    <w:rsid w:val="009E0D96"/>
    <w:rsid w:val="009E0EE9"/>
    <w:rsid w:val="009E1AEB"/>
    <w:rsid w:val="009E1F6E"/>
    <w:rsid w:val="009E3A71"/>
    <w:rsid w:val="009E40F3"/>
    <w:rsid w:val="009E43BD"/>
    <w:rsid w:val="009E466D"/>
    <w:rsid w:val="009E4AFC"/>
    <w:rsid w:val="009E78E7"/>
    <w:rsid w:val="009E7A02"/>
    <w:rsid w:val="009E7F01"/>
    <w:rsid w:val="009F10E1"/>
    <w:rsid w:val="009F116F"/>
    <w:rsid w:val="009F1623"/>
    <w:rsid w:val="009F2C33"/>
    <w:rsid w:val="009F3289"/>
    <w:rsid w:val="009F3F38"/>
    <w:rsid w:val="009F4ECC"/>
    <w:rsid w:val="009F4FF9"/>
    <w:rsid w:val="009F5396"/>
    <w:rsid w:val="009F546E"/>
    <w:rsid w:val="009F5D13"/>
    <w:rsid w:val="009F76E9"/>
    <w:rsid w:val="009F7BD8"/>
    <w:rsid w:val="00A011B1"/>
    <w:rsid w:val="00A018B5"/>
    <w:rsid w:val="00A0278A"/>
    <w:rsid w:val="00A02CA0"/>
    <w:rsid w:val="00A02E85"/>
    <w:rsid w:val="00A03123"/>
    <w:rsid w:val="00A03A62"/>
    <w:rsid w:val="00A03C57"/>
    <w:rsid w:val="00A050B3"/>
    <w:rsid w:val="00A05370"/>
    <w:rsid w:val="00A061C1"/>
    <w:rsid w:val="00A072C7"/>
    <w:rsid w:val="00A07BE7"/>
    <w:rsid w:val="00A10984"/>
    <w:rsid w:val="00A1244C"/>
    <w:rsid w:val="00A124E7"/>
    <w:rsid w:val="00A13D97"/>
    <w:rsid w:val="00A14D56"/>
    <w:rsid w:val="00A1678F"/>
    <w:rsid w:val="00A20CAC"/>
    <w:rsid w:val="00A20D3B"/>
    <w:rsid w:val="00A20E0D"/>
    <w:rsid w:val="00A21366"/>
    <w:rsid w:val="00A218C3"/>
    <w:rsid w:val="00A232D6"/>
    <w:rsid w:val="00A2334F"/>
    <w:rsid w:val="00A25C9A"/>
    <w:rsid w:val="00A25D2E"/>
    <w:rsid w:val="00A2611D"/>
    <w:rsid w:val="00A26C3C"/>
    <w:rsid w:val="00A275C9"/>
    <w:rsid w:val="00A27608"/>
    <w:rsid w:val="00A2762B"/>
    <w:rsid w:val="00A27CAA"/>
    <w:rsid w:val="00A31814"/>
    <w:rsid w:val="00A32240"/>
    <w:rsid w:val="00A326CB"/>
    <w:rsid w:val="00A329DF"/>
    <w:rsid w:val="00A32B81"/>
    <w:rsid w:val="00A32EF5"/>
    <w:rsid w:val="00A355FA"/>
    <w:rsid w:val="00A359A3"/>
    <w:rsid w:val="00A35FBE"/>
    <w:rsid w:val="00A366C0"/>
    <w:rsid w:val="00A37219"/>
    <w:rsid w:val="00A3787F"/>
    <w:rsid w:val="00A400AF"/>
    <w:rsid w:val="00A41891"/>
    <w:rsid w:val="00A419E8"/>
    <w:rsid w:val="00A43EC4"/>
    <w:rsid w:val="00A44444"/>
    <w:rsid w:val="00A44876"/>
    <w:rsid w:val="00A448A6"/>
    <w:rsid w:val="00A44C4C"/>
    <w:rsid w:val="00A44E58"/>
    <w:rsid w:val="00A45138"/>
    <w:rsid w:val="00A453C7"/>
    <w:rsid w:val="00A46A2B"/>
    <w:rsid w:val="00A47344"/>
    <w:rsid w:val="00A47D48"/>
    <w:rsid w:val="00A50D28"/>
    <w:rsid w:val="00A52ED6"/>
    <w:rsid w:val="00A53F2A"/>
    <w:rsid w:val="00A56339"/>
    <w:rsid w:val="00A56739"/>
    <w:rsid w:val="00A60565"/>
    <w:rsid w:val="00A60900"/>
    <w:rsid w:val="00A60D07"/>
    <w:rsid w:val="00A6178E"/>
    <w:rsid w:val="00A6323A"/>
    <w:rsid w:val="00A642EC"/>
    <w:rsid w:val="00A64C91"/>
    <w:rsid w:val="00A66817"/>
    <w:rsid w:val="00A66C45"/>
    <w:rsid w:val="00A66D09"/>
    <w:rsid w:val="00A7141E"/>
    <w:rsid w:val="00A7169D"/>
    <w:rsid w:val="00A71C18"/>
    <w:rsid w:val="00A72124"/>
    <w:rsid w:val="00A7220D"/>
    <w:rsid w:val="00A72CB9"/>
    <w:rsid w:val="00A73BCD"/>
    <w:rsid w:val="00A740AA"/>
    <w:rsid w:val="00A748E6"/>
    <w:rsid w:val="00A74919"/>
    <w:rsid w:val="00A75833"/>
    <w:rsid w:val="00A760D9"/>
    <w:rsid w:val="00A76D75"/>
    <w:rsid w:val="00A7780A"/>
    <w:rsid w:val="00A8024E"/>
    <w:rsid w:val="00A802EA"/>
    <w:rsid w:val="00A80B9B"/>
    <w:rsid w:val="00A80C72"/>
    <w:rsid w:val="00A81CDA"/>
    <w:rsid w:val="00A827FA"/>
    <w:rsid w:val="00A83394"/>
    <w:rsid w:val="00A84B62"/>
    <w:rsid w:val="00A853AB"/>
    <w:rsid w:val="00A86C2F"/>
    <w:rsid w:val="00A90740"/>
    <w:rsid w:val="00A90813"/>
    <w:rsid w:val="00A90AE0"/>
    <w:rsid w:val="00A90D2E"/>
    <w:rsid w:val="00A90D50"/>
    <w:rsid w:val="00A91545"/>
    <w:rsid w:val="00A92B64"/>
    <w:rsid w:val="00A92C62"/>
    <w:rsid w:val="00A93939"/>
    <w:rsid w:val="00A93E6F"/>
    <w:rsid w:val="00A945CD"/>
    <w:rsid w:val="00A96B52"/>
    <w:rsid w:val="00A971E5"/>
    <w:rsid w:val="00AA06CE"/>
    <w:rsid w:val="00AA07A4"/>
    <w:rsid w:val="00AA0B36"/>
    <w:rsid w:val="00AA1DD0"/>
    <w:rsid w:val="00AA3233"/>
    <w:rsid w:val="00AA3308"/>
    <w:rsid w:val="00AA4A92"/>
    <w:rsid w:val="00AA4C00"/>
    <w:rsid w:val="00AA4DEA"/>
    <w:rsid w:val="00AA5837"/>
    <w:rsid w:val="00AA625D"/>
    <w:rsid w:val="00AA7A5E"/>
    <w:rsid w:val="00AA7B45"/>
    <w:rsid w:val="00AB01E6"/>
    <w:rsid w:val="00AB16E5"/>
    <w:rsid w:val="00AB1747"/>
    <w:rsid w:val="00AB184A"/>
    <w:rsid w:val="00AB3360"/>
    <w:rsid w:val="00AB4743"/>
    <w:rsid w:val="00AB49C5"/>
    <w:rsid w:val="00AB4B96"/>
    <w:rsid w:val="00AB57A9"/>
    <w:rsid w:val="00AB60A1"/>
    <w:rsid w:val="00AB7F75"/>
    <w:rsid w:val="00AC0326"/>
    <w:rsid w:val="00AC0F0E"/>
    <w:rsid w:val="00AC1533"/>
    <w:rsid w:val="00AC1759"/>
    <w:rsid w:val="00AC1D45"/>
    <w:rsid w:val="00AC2C8A"/>
    <w:rsid w:val="00AC3E58"/>
    <w:rsid w:val="00AC53C6"/>
    <w:rsid w:val="00AC5A4E"/>
    <w:rsid w:val="00AC5B44"/>
    <w:rsid w:val="00AC5CA4"/>
    <w:rsid w:val="00AC5CE2"/>
    <w:rsid w:val="00AC6114"/>
    <w:rsid w:val="00AC62B4"/>
    <w:rsid w:val="00AC650E"/>
    <w:rsid w:val="00AC6534"/>
    <w:rsid w:val="00AC68CE"/>
    <w:rsid w:val="00AC6F03"/>
    <w:rsid w:val="00AC6FCD"/>
    <w:rsid w:val="00AC77B1"/>
    <w:rsid w:val="00AC7ACC"/>
    <w:rsid w:val="00AD0285"/>
    <w:rsid w:val="00AD226B"/>
    <w:rsid w:val="00AD2CC9"/>
    <w:rsid w:val="00AD31A4"/>
    <w:rsid w:val="00AD3EBD"/>
    <w:rsid w:val="00AD52BE"/>
    <w:rsid w:val="00AD5639"/>
    <w:rsid w:val="00AD5A76"/>
    <w:rsid w:val="00AD6925"/>
    <w:rsid w:val="00AD6E7A"/>
    <w:rsid w:val="00AD6F20"/>
    <w:rsid w:val="00AE0132"/>
    <w:rsid w:val="00AE084F"/>
    <w:rsid w:val="00AE24A5"/>
    <w:rsid w:val="00AE2FB9"/>
    <w:rsid w:val="00AE3AEE"/>
    <w:rsid w:val="00AE69D1"/>
    <w:rsid w:val="00AE7F6E"/>
    <w:rsid w:val="00AF0731"/>
    <w:rsid w:val="00AF0AD9"/>
    <w:rsid w:val="00AF0C80"/>
    <w:rsid w:val="00AF1415"/>
    <w:rsid w:val="00AF1F52"/>
    <w:rsid w:val="00AF24FB"/>
    <w:rsid w:val="00AF36E3"/>
    <w:rsid w:val="00AF3948"/>
    <w:rsid w:val="00AF3B22"/>
    <w:rsid w:val="00AF3E00"/>
    <w:rsid w:val="00AF42E1"/>
    <w:rsid w:val="00AF48AA"/>
    <w:rsid w:val="00AF4F25"/>
    <w:rsid w:val="00AF58A6"/>
    <w:rsid w:val="00AF5C4F"/>
    <w:rsid w:val="00AF6DEC"/>
    <w:rsid w:val="00B014E4"/>
    <w:rsid w:val="00B01E22"/>
    <w:rsid w:val="00B0203E"/>
    <w:rsid w:val="00B02DB8"/>
    <w:rsid w:val="00B03431"/>
    <w:rsid w:val="00B03498"/>
    <w:rsid w:val="00B034DD"/>
    <w:rsid w:val="00B0483F"/>
    <w:rsid w:val="00B04881"/>
    <w:rsid w:val="00B065B4"/>
    <w:rsid w:val="00B0693F"/>
    <w:rsid w:val="00B072E9"/>
    <w:rsid w:val="00B07D0C"/>
    <w:rsid w:val="00B07DDB"/>
    <w:rsid w:val="00B10028"/>
    <w:rsid w:val="00B103B6"/>
    <w:rsid w:val="00B1090D"/>
    <w:rsid w:val="00B10CE5"/>
    <w:rsid w:val="00B10E12"/>
    <w:rsid w:val="00B11A7A"/>
    <w:rsid w:val="00B11AB2"/>
    <w:rsid w:val="00B132CB"/>
    <w:rsid w:val="00B13C78"/>
    <w:rsid w:val="00B158DA"/>
    <w:rsid w:val="00B16DC8"/>
    <w:rsid w:val="00B22F93"/>
    <w:rsid w:val="00B24213"/>
    <w:rsid w:val="00B25AE7"/>
    <w:rsid w:val="00B2713E"/>
    <w:rsid w:val="00B27236"/>
    <w:rsid w:val="00B27252"/>
    <w:rsid w:val="00B27F49"/>
    <w:rsid w:val="00B30EA0"/>
    <w:rsid w:val="00B312F6"/>
    <w:rsid w:val="00B32918"/>
    <w:rsid w:val="00B32F23"/>
    <w:rsid w:val="00B3333C"/>
    <w:rsid w:val="00B338FA"/>
    <w:rsid w:val="00B364B7"/>
    <w:rsid w:val="00B3659E"/>
    <w:rsid w:val="00B36741"/>
    <w:rsid w:val="00B36951"/>
    <w:rsid w:val="00B36973"/>
    <w:rsid w:val="00B36A80"/>
    <w:rsid w:val="00B40067"/>
    <w:rsid w:val="00B4090E"/>
    <w:rsid w:val="00B4148F"/>
    <w:rsid w:val="00B41B1B"/>
    <w:rsid w:val="00B42495"/>
    <w:rsid w:val="00B45A64"/>
    <w:rsid w:val="00B45F71"/>
    <w:rsid w:val="00B46392"/>
    <w:rsid w:val="00B465CF"/>
    <w:rsid w:val="00B4671E"/>
    <w:rsid w:val="00B470AF"/>
    <w:rsid w:val="00B47213"/>
    <w:rsid w:val="00B47AA0"/>
    <w:rsid w:val="00B47D3D"/>
    <w:rsid w:val="00B511ED"/>
    <w:rsid w:val="00B51D14"/>
    <w:rsid w:val="00B52C03"/>
    <w:rsid w:val="00B5422F"/>
    <w:rsid w:val="00B54A3E"/>
    <w:rsid w:val="00B54D29"/>
    <w:rsid w:val="00B54D90"/>
    <w:rsid w:val="00B55140"/>
    <w:rsid w:val="00B552BD"/>
    <w:rsid w:val="00B5581A"/>
    <w:rsid w:val="00B56598"/>
    <w:rsid w:val="00B56A3E"/>
    <w:rsid w:val="00B57C09"/>
    <w:rsid w:val="00B57D5D"/>
    <w:rsid w:val="00B61549"/>
    <w:rsid w:val="00B62CEE"/>
    <w:rsid w:val="00B63932"/>
    <w:rsid w:val="00B63E87"/>
    <w:rsid w:val="00B6474A"/>
    <w:rsid w:val="00B65096"/>
    <w:rsid w:val="00B650A4"/>
    <w:rsid w:val="00B6643E"/>
    <w:rsid w:val="00B67118"/>
    <w:rsid w:val="00B6794B"/>
    <w:rsid w:val="00B70706"/>
    <w:rsid w:val="00B7151A"/>
    <w:rsid w:val="00B71661"/>
    <w:rsid w:val="00B71709"/>
    <w:rsid w:val="00B71815"/>
    <w:rsid w:val="00B71951"/>
    <w:rsid w:val="00B723C8"/>
    <w:rsid w:val="00B72735"/>
    <w:rsid w:val="00B72C01"/>
    <w:rsid w:val="00B72D2B"/>
    <w:rsid w:val="00B72E44"/>
    <w:rsid w:val="00B730A9"/>
    <w:rsid w:val="00B73EA4"/>
    <w:rsid w:val="00B747CF"/>
    <w:rsid w:val="00B77607"/>
    <w:rsid w:val="00B805F4"/>
    <w:rsid w:val="00B80EBC"/>
    <w:rsid w:val="00B8183C"/>
    <w:rsid w:val="00B81C7C"/>
    <w:rsid w:val="00B8292C"/>
    <w:rsid w:val="00B82BD4"/>
    <w:rsid w:val="00B840CB"/>
    <w:rsid w:val="00B84F20"/>
    <w:rsid w:val="00B85B0E"/>
    <w:rsid w:val="00B87B8E"/>
    <w:rsid w:val="00B906AB"/>
    <w:rsid w:val="00B9164D"/>
    <w:rsid w:val="00B91729"/>
    <w:rsid w:val="00B917EC"/>
    <w:rsid w:val="00B91959"/>
    <w:rsid w:val="00B92010"/>
    <w:rsid w:val="00B92B9A"/>
    <w:rsid w:val="00B92E71"/>
    <w:rsid w:val="00B93ED6"/>
    <w:rsid w:val="00B94440"/>
    <w:rsid w:val="00B9468C"/>
    <w:rsid w:val="00B94A97"/>
    <w:rsid w:val="00B94BBC"/>
    <w:rsid w:val="00B95647"/>
    <w:rsid w:val="00B96338"/>
    <w:rsid w:val="00B96812"/>
    <w:rsid w:val="00B96CE2"/>
    <w:rsid w:val="00B97221"/>
    <w:rsid w:val="00BA057F"/>
    <w:rsid w:val="00BA058A"/>
    <w:rsid w:val="00BA22FA"/>
    <w:rsid w:val="00BA294F"/>
    <w:rsid w:val="00BA2EC1"/>
    <w:rsid w:val="00BA2FC0"/>
    <w:rsid w:val="00BA31C8"/>
    <w:rsid w:val="00BA449D"/>
    <w:rsid w:val="00BA44C5"/>
    <w:rsid w:val="00BA510A"/>
    <w:rsid w:val="00BA580D"/>
    <w:rsid w:val="00BA71D9"/>
    <w:rsid w:val="00BB00F0"/>
    <w:rsid w:val="00BB07DB"/>
    <w:rsid w:val="00BB0F33"/>
    <w:rsid w:val="00BB1766"/>
    <w:rsid w:val="00BB1B36"/>
    <w:rsid w:val="00BB1C6B"/>
    <w:rsid w:val="00BB1D3D"/>
    <w:rsid w:val="00BB264A"/>
    <w:rsid w:val="00BB30B5"/>
    <w:rsid w:val="00BB362C"/>
    <w:rsid w:val="00BB372D"/>
    <w:rsid w:val="00BB3EBA"/>
    <w:rsid w:val="00BB4089"/>
    <w:rsid w:val="00BB4338"/>
    <w:rsid w:val="00BB4376"/>
    <w:rsid w:val="00BB4AD6"/>
    <w:rsid w:val="00BB51B0"/>
    <w:rsid w:val="00BB52F9"/>
    <w:rsid w:val="00BB5477"/>
    <w:rsid w:val="00BB5A33"/>
    <w:rsid w:val="00BB5C0B"/>
    <w:rsid w:val="00BB60D0"/>
    <w:rsid w:val="00BB6954"/>
    <w:rsid w:val="00BB7225"/>
    <w:rsid w:val="00BB7762"/>
    <w:rsid w:val="00BC14A6"/>
    <w:rsid w:val="00BC1500"/>
    <w:rsid w:val="00BC22BB"/>
    <w:rsid w:val="00BC25E8"/>
    <w:rsid w:val="00BC2EFF"/>
    <w:rsid w:val="00BC30FC"/>
    <w:rsid w:val="00BC43E1"/>
    <w:rsid w:val="00BC43F7"/>
    <w:rsid w:val="00BC4519"/>
    <w:rsid w:val="00BC46B0"/>
    <w:rsid w:val="00BC5ADD"/>
    <w:rsid w:val="00BC5C47"/>
    <w:rsid w:val="00BC5E62"/>
    <w:rsid w:val="00BC6229"/>
    <w:rsid w:val="00BC6A5B"/>
    <w:rsid w:val="00BC6E55"/>
    <w:rsid w:val="00BC74DF"/>
    <w:rsid w:val="00BD0A68"/>
    <w:rsid w:val="00BD2117"/>
    <w:rsid w:val="00BD29E9"/>
    <w:rsid w:val="00BD4A88"/>
    <w:rsid w:val="00BD6297"/>
    <w:rsid w:val="00BD7546"/>
    <w:rsid w:val="00BD7C4E"/>
    <w:rsid w:val="00BD7CD3"/>
    <w:rsid w:val="00BE0186"/>
    <w:rsid w:val="00BE1441"/>
    <w:rsid w:val="00BE195C"/>
    <w:rsid w:val="00BE23A4"/>
    <w:rsid w:val="00BE2F29"/>
    <w:rsid w:val="00BE2F6E"/>
    <w:rsid w:val="00BE3DEC"/>
    <w:rsid w:val="00BE46AD"/>
    <w:rsid w:val="00BE6231"/>
    <w:rsid w:val="00BE6BE3"/>
    <w:rsid w:val="00BE6DA5"/>
    <w:rsid w:val="00BE6F08"/>
    <w:rsid w:val="00BE721A"/>
    <w:rsid w:val="00BE77B4"/>
    <w:rsid w:val="00BF05AE"/>
    <w:rsid w:val="00BF0A7F"/>
    <w:rsid w:val="00BF0C86"/>
    <w:rsid w:val="00BF1CA7"/>
    <w:rsid w:val="00BF2184"/>
    <w:rsid w:val="00BF2307"/>
    <w:rsid w:val="00BF2537"/>
    <w:rsid w:val="00BF2F6C"/>
    <w:rsid w:val="00BF40CF"/>
    <w:rsid w:val="00BF4188"/>
    <w:rsid w:val="00BF5600"/>
    <w:rsid w:val="00BF6F4F"/>
    <w:rsid w:val="00BF71B0"/>
    <w:rsid w:val="00BF723F"/>
    <w:rsid w:val="00BF7B22"/>
    <w:rsid w:val="00BF7C53"/>
    <w:rsid w:val="00BF7C6E"/>
    <w:rsid w:val="00BF7E6C"/>
    <w:rsid w:val="00C005C2"/>
    <w:rsid w:val="00C01BB3"/>
    <w:rsid w:val="00C0220C"/>
    <w:rsid w:val="00C036E0"/>
    <w:rsid w:val="00C03907"/>
    <w:rsid w:val="00C04097"/>
    <w:rsid w:val="00C04EA7"/>
    <w:rsid w:val="00C079B5"/>
    <w:rsid w:val="00C07E10"/>
    <w:rsid w:val="00C1036B"/>
    <w:rsid w:val="00C11932"/>
    <w:rsid w:val="00C119EE"/>
    <w:rsid w:val="00C12867"/>
    <w:rsid w:val="00C144BB"/>
    <w:rsid w:val="00C14845"/>
    <w:rsid w:val="00C14EDE"/>
    <w:rsid w:val="00C15745"/>
    <w:rsid w:val="00C15AA7"/>
    <w:rsid w:val="00C15CDD"/>
    <w:rsid w:val="00C16916"/>
    <w:rsid w:val="00C16B73"/>
    <w:rsid w:val="00C1700F"/>
    <w:rsid w:val="00C20D11"/>
    <w:rsid w:val="00C21593"/>
    <w:rsid w:val="00C2190E"/>
    <w:rsid w:val="00C21B70"/>
    <w:rsid w:val="00C21B9C"/>
    <w:rsid w:val="00C22E93"/>
    <w:rsid w:val="00C22F03"/>
    <w:rsid w:val="00C233C1"/>
    <w:rsid w:val="00C23A03"/>
    <w:rsid w:val="00C24EA7"/>
    <w:rsid w:val="00C2515B"/>
    <w:rsid w:val="00C2578D"/>
    <w:rsid w:val="00C26765"/>
    <w:rsid w:val="00C272F4"/>
    <w:rsid w:val="00C27427"/>
    <w:rsid w:val="00C27639"/>
    <w:rsid w:val="00C27947"/>
    <w:rsid w:val="00C27C39"/>
    <w:rsid w:val="00C30215"/>
    <w:rsid w:val="00C308A7"/>
    <w:rsid w:val="00C30DCD"/>
    <w:rsid w:val="00C33341"/>
    <w:rsid w:val="00C3348B"/>
    <w:rsid w:val="00C337CE"/>
    <w:rsid w:val="00C34314"/>
    <w:rsid w:val="00C34426"/>
    <w:rsid w:val="00C365A2"/>
    <w:rsid w:val="00C37047"/>
    <w:rsid w:val="00C37C6F"/>
    <w:rsid w:val="00C37ECA"/>
    <w:rsid w:val="00C40FD4"/>
    <w:rsid w:val="00C41021"/>
    <w:rsid w:val="00C411A6"/>
    <w:rsid w:val="00C43245"/>
    <w:rsid w:val="00C4361D"/>
    <w:rsid w:val="00C43656"/>
    <w:rsid w:val="00C436B2"/>
    <w:rsid w:val="00C436DE"/>
    <w:rsid w:val="00C4433E"/>
    <w:rsid w:val="00C44CEF"/>
    <w:rsid w:val="00C44E5F"/>
    <w:rsid w:val="00C4720E"/>
    <w:rsid w:val="00C472CE"/>
    <w:rsid w:val="00C47B66"/>
    <w:rsid w:val="00C47F21"/>
    <w:rsid w:val="00C5088F"/>
    <w:rsid w:val="00C50B79"/>
    <w:rsid w:val="00C5102B"/>
    <w:rsid w:val="00C51C41"/>
    <w:rsid w:val="00C51DCF"/>
    <w:rsid w:val="00C52EC5"/>
    <w:rsid w:val="00C53A55"/>
    <w:rsid w:val="00C55014"/>
    <w:rsid w:val="00C574CA"/>
    <w:rsid w:val="00C600ED"/>
    <w:rsid w:val="00C60449"/>
    <w:rsid w:val="00C608CB"/>
    <w:rsid w:val="00C60A3B"/>
    <w:rsid w:val="00C61769"/>
    <w:rsid w:val="00C61E47"/>
    <w:rsid w:val="00C62129"/>
    <w:rsid w:val="00C6243A"/>
    <w:rsid w:val="00C628DC"/>
    <w:rsid w:val="00C6301D"/>
    <w:rsid w:val="00C63B1F"/>
    <w:rsid w:val="00C64DFA"/>
    <w:rsid w:val="00C6522A"/>
    <w:rsid w:val="00C65E38"/>
    <w:rsid w:val="00C6662B"/>
    <w:rsid w:val="00C669DF"/>
    <w:rsid w:val="00C67009"/>
    <w:rsid w:val="00C671BD"/>
    <w:rsid w:val="00C67AA2"/>
    <w:rsid w:val="00C706E5"/>
    <w:rsid w:val="00C70705"/>
    <w:rsid w:val="00C7098F"/>
    <w:rsid w:val="00C70FEB"/>
    <w:rsid w:val="00C71011"/>
    <w:rsid w:val="00C71BB2"/>
    <w:rsid w:val="00C71CCB"/>
    <w:rsid w:val="00C72B30"/>
    <w:rsid w:val="00C72D4F"/>
    <w:rsid w:val="00C72EAD"/>
    <w:rsid w:val="00C72F0B"/>
    <w:rsid w:val="00C7360F"/>
    <w:rsid w:val="00C74964"/>
    <w:rsid w:val="00C75A7B"/>
    <w:rsid w:val="00C76CCA"/>
    <w:rsid w:val="00C77B85"/>
    <w:rsid w:val="00C80127"/>
    <w:rsid w:val="00C8013F"/>
    <w:rsid w:val="00C809E8"/>
    <w:rsid w:val="00C80B54"/>
    <w:rsid w:val="00C8232A"/>
    <w:rsid w:val="00C823FF"/>
    <w:rsid w:val="00C8306E"/>
    <w:rsid w:val="00C831D7"/>
    <w:rsid w:val="00C83FC0"/>
    <w:rsid w:val="00C84517"/>
    <w:rsid w:val="00C84A20"/>
    <w:rsid w:val="00C84E86"/>
    <w:rsid w:val="00C851CC"/>
    <w:rsid w:val="00C85618"/>
    <w:rsid w:val="00C85DEA"/>
    <w:rsid w:val="00C865DE"/>
    <w:rsid w:val="00C86D12"/>
    <w:rsid w:val="00C90F5A"/>
    <w:rsid w:val="00C91096"/>
    <w:rsid w:val="00C91657"/>
    <w:rsid w:val="00C91771"/>
    <w:rsid w:val="00C91ABD"/>
    <w:rsid w:val="00C92029"/>
    <w:rsid w:val="00C92078"/>
    <w:rsid w:val="00C928E8"/>
    <w:rsid w:val="00C92BDC"/>
    <w:rsid w:val="00C93532"/>
    <w:rsid w:val="00C93569"/>
    <w:rsid w:val="00C939B2"/>
    <w:rsid w:val="00C95D1B"/>
    <w:rsid w:val="00C95DAC"/>
    <w:rsid w:val="00C965D0"/>
    <w:rsid w:val="00C96C73"/>
    <w:rsid w:val="00C96D09"/>
    <w:rsid w:val="00C9702E"/>
    <w:rsid w:val="00C971E7"/>
    <w:rsid w:val="00C97940"/>
    <w:rsid w:val="00CA1171"/>
    <w:rsid w:val="00CA1C1C"/>
    <w:rsid w:val="00CA3BCC"/>
    <w:rsid w:val="00CA4087"/>
    <w:rsid w:val="00CA584F"/>
    <w:rsid w:val="00CA7C20"/>
    <w:rsid w:val="00CA7D0C"/>
    <w:rsid w:val="00CB033A"/>
    <w:rsid w:val="00CB0388"/>
    <w:rsid w:val="00CB0E06"/>
    <w:rsid w:val="00CB127C"/>
    <w:rsid w:val="00CB1A55"/>
    <w:rsid w:val="00CB1B62"/>
    <w:rsid w:val="00CB2041"/>
    <w:rsid w:val="00CB32C2"/>
    <w:rsid w:val="00CB4B5F"/>
    <w:rsid w:val="00CB4DA4"/>
    <w:rsid w:val="00CB54A6"/>
    <w:rsid w:val="00CB5BD2"/>
    <w:rsid w:val="00CB6622"/>
    <w:rsid w:val="00CB67FF"/>
    <w:rsid w:val="00CB6989"/>
    <w:rsid w:val="00CB754E"/>
    <w:rsid w:val="00CB780D"/>
    <w:rsid w:val="00CB78D4"/>
    <w:rsid w:val="00CB7936"/>
    <w:rsid w:val="00CC00F5"/>
    <w:rsid w:val="00CC1672"/>
    <w:rsid w:val="00CC2057"/>
    <w:rsid w:val="00CC265D"/>
    <w:rsid w:val="00CC2750"/>
    <w:rsid w:val="00CC2FC2"/>
    <w:rsid w:val="00CC40A8"/>
    <w:rsid w:val="00CC44E7"/>
    <w:rsid w:val="00CC453D"/>
    <w:rsid w:val="00CC63E3"/>
    <w:rsid w:val="00CC651E"/>
    <w:rsid w:val="00CC6678"/>
    <w:rsid w:val="00CC6739"/>
    <w:rsid w:val="00CC7F7F"/>
    <w:rsid w:val="00CD01B7"/>
    <w:rsid w:val="00CD03D5"/>
    <w:rsid w:val="00CD096F"/>
    <w:rsid w:val="00CD0D91"/>
    <w:rsid w:val="00CD1029"/>
    <w:rsid w:val="00CD23B5"/>
    <w:rsid w:val="00CD2935"/>
    <w:rsid w:val="00CD4405"/>
    <w:rsid w:val="00CD4747"/>
    <w:rsid w:val="00CD5828"/>
    <w:rsid w:val="00CD5C11"/>
    <w:rsid w:val="00CD5FD1"/>
    <w:rsid w:val="00CD7558"/>
    <w:rsid w:val="00CD7827"/>
    <w:rsid w:val="00CD7F8B"/>
    <w:rsid w:val="00CE11A6"/>
    <w:rsid w:val="00CE1497"/>
    <w:rsid w:val="00CE1A34"/>
    <w:rsid w:val="00CE2123"/>
    <w:rsid w:val="00CE2CB0"/>
    <w:rsid w:val="00CE3086"/>
    <w:rsid w:val="00CE39DA"/>
    <w:rsid w:val="00CE411A"/>
    <w:rsid w:val="00CE477D"/>
    <w:rsid w:val="00CE4BF6"/>
    <w:rsid w:val="00CE4E79"/>
    <w:rsid w:val="00CE572D"/>
    <w:rsid w:val="00CE5E3E"/>
    <w:rsid w:val="00CE7DD8"/>
    <w:rsid w:val="00CF0326"/>
    <w:rsid w:val="00CF045F"/>
    <w:rsid w:val="00CF08E6"/>
    <w:rsid w:val="00CF13AB"/>
    <w:rsid w:val="00CF1A29"/>
    <w:rsid w:val="00CF1B67"/>
    <w:rsid w:val="00CF243B"/>
    <w:rsid w:val="00CF2C3D"/>
    <w:rsid w:val="00CF2EB5"/>
    <w:rsid w:val="00CF2F37"/>
    <w:rsid w:val="00CF432F"/>
    <w:rsid w:val="00CF43DC"/>
    <w:rsid w:val="00CF4986"/>
    <w:rsid w:val="00CF7C59"/>
    <w:rsid w:val="00D00FA4"/>
    <w:rsid w:val="00D0156D"/>
    <w:rsid w:val="00D02471"/>
    <w:rsid w:val="00D02B76"/>
    <w:rsid w:val="00D02C58"/>
    <w:rsid w:val="00D02E39"/>
    <w:rsid w:val="00D030E3"/>
    <w:rsid w:val="00D04041"/>
    <w:rsid w:val="00D04A17"/>
    <w:rsid w:val="00D06433"/>
    <w:rsid w:val="00D0669D"/>
    <w:rsid w:val="00D0738A"/>
    <w:rsid w:val="00D07D4B"/>
    <w:rsid w:val="00D101FA"/>
    <w:rsid w:val="00D12078"/>
    <w:rsid w:val="00D129D4"/>
    <w:rsid w:val="00D12A3D"/>
    <w:rsid w:val="00D13182"/>
    <w:rsid w:val="00D13926"/>
    <w:rsid w:val="00D13A07"/>
    <w:rsid w:val="00D13D6C"/>
    <w:rsid w:val="00D14377"/>
    <w:rsid w:val="00D161CC"/>
    <w:rsid w:val="00D17264"/>
    <w:rsid w:val="00D17832"/>
    <w:rsid w:val="00D17BE7"/>
    <w:rsid w:val="00D204DD"/>
    <w:rsid w:val="00D20EB9"/>
    <w:rsid w:val="00D21685"/>
    <w:rsid w:val="00D21985"/>
    <w:rsid w:val="00D22086"/>
    <w:rsid w:val="00D23562"/>
    <w:rsid w:val="00D23642"/>
    <w:rsid w:val="00D24CE0"/>
    <w:rsid w:val="00D265E9"/>
    <w:rsid w:val="00D26E1E"/>
    <w:rsid w:val="00D272A8"/>
    <w:rsid w:val="00D2775F"/>
    <w:rsid w:val="00D27DA7"/>
    <w:rsid w:val="00D3042C"/>
    <w:rsid w:val="00D313F3"/>
    <w:rsid w:val="00D3271A"/>
    <w:rsid w:val="00D32A32"/>
    <w:rsid w:val="00D32E23"/>
    <w:rsid w:val="00D333C0"/>
    <w:rsid w:val="00D357E0"/>
    <w:rsid w:val="00D35B24"/>
    <w:rsid w:val="00D35B83"/>
    <w:rsid w:val="00D35E99"/>
    <w:rsid w:val="00D35E9F"/>
    <w:rsid w:val="00D362CF"/>
    <w:rsid w:val="00D37280"/>
    <w:rsid w:val="00D3752C"/>
    <w:rsid w:val="00D4145C"/>
    <w:rsid w:val="00D41915"/>
    <w:rsid w:val="00D42049"/>
    <w:rsid w:val="00D430B9"/>
    <w:rsid w:val="00D43688"/>
    <w:rsid w:val="00D43E4B"/>
    <w:rsid w:val="00D44B6A"/>
    <w:rsid w:val="00D44CDC"/>
    <w:rsid w:val="00D44ED2"/>
    <w:rsid w:val="00D46738"/>
    <w:rsid w:val="00D46EF9"/>
    <w:rsid w:val="00D4797B"/>
    <w:rsid w:val="00D510C7"/>
    <w:rsid w:val="00D51371"/>
    <w:rsid w:val="00D514C8"/>
    <w:rsid w:val="00D51C2E"/>
    <w:rsid w:val="00D51FAF"/>
    <w:rsid w:val="00D52618"/>
    <w:rsid w:val="00D52EB7"/>
    <w:rsid w:val="00D52ED5"/>
    <w:rsid w:val="00D53382"/>
    <w:rsid w:val="00D5385D"/>
    <w:rsid w:val="00D53E74"/>
    <w:rsid w:val="00D54868"/>
    <w:rsid w:val="00D549AD"/>
    <w:rsid w:val="00D56251"/>
    <w:rsid w:val="00D56398"/>
    <w:rsid w:val="00D56D9C"/>
    <w:rsid w:val="00D60C76"/>
    <w:rsid w:val="00D624A1"/>
    <w:rsid w:val="00D62AE0"/>
    <w:rsid w:val="00D6385A"/>
    <w:rsid w:val="00D65356"/>
    <w:rsid w:val="00D653D1"/>
    <w:rsid w:val="00D65BF0"/>
    <w:rsid w:val="00D65CB9"/>
    <w:rsid w:val="00D65EA3"/>
    <w:rsid w:val="00D65FC6"/>
    <w:rsid w:val="00D66328"/>
    <w:rsid w:val="00D700BF"/>
    <w:rsid w:val="00D704D6"/>
    <w:rsid w:val="00D7121D"/>
    <w:rsid w:val="00D72B5C"/>
    <w:rsid w:val="00D72FA4"/>
    <w:rsid w:val="00D7335F"/>
    <w:rsid w:val="00D76043"/>
    <w:rsid w:val="00D76A22"/>
    <w:rsid w:val="00D80F00"/>
    <w:rsid w:val="00D814EA"/>
    <w:rsid w:val="00D81F76"/>
    <w:rsid w:val="00D82710"/>
    <w:rsid w:val="00D8290F"/>
    <w:rsid w:val="00D82E43"/>
    <w:rsid w:val="00D83665"/>
    <w:rsid w:val="00D83977"/>
    <w:rsid w:val="00D840B3"/>
    <w:rsid w:val="00D845C3"/>
    <w:rsid w:val="00D84FD0"/>
    <w:rsid w:val="00D8516B"/>
    <w:rsid w:val="00D85E02"/>
    <w:rsid w:val="00D85FDE"/>
    <w:rsid w:val="00D86883"/>
    <w:rsid w:val="00D8695E"/>
    <w:rsid w:val="00D876D9"/>
    <w:rsid w:val="00D90497"/>
    <w:rsid w:val="00D90B47"/>
    <w:rsid w:val="00D90ED7"/>
    <w:rsid w:val="00D9171C"/>
    <w:rsid w:val="00D919FE"/>
    <w:rsid w:val="00D91F14"/>
    <w:rsid w:val="00D9269E"/>
    <w:rsid w:val="00D927DF"/>
    <w:rsid w:val="00D927F6"/>
    <w:rsid w:val="00D929B7"/>
    <w:rsid w:val="00D94D8F"/>
    <w:rsid w:val="00D94FDB"/>
    <w:rsid w:val="00D96E72"/>
    <w:rsid w:val="00D977C5"/>
    <w:rsid w:val="00D97A50"/>
    <w:rsid w:val="00D97F31"/>
    <w:rsid w:val="00DA076F"/>
    <w:rsid w:val="00DA082E"/>
    <w:rsid w:val="00DA0878"/>
    <w:rsid w:val="00DA0FAF"/>
    <w:rsid w:val="00DA118F"/>
    <w:rsid w:val="00DA150C"/>
    <w:rsid w:val="00DA2B19"/>
    <w:rsid w:val="00DA2F9C"/>
    <w:rsid w:val="00DA390C"/>
    <w:rsid w:val="00DA3D3F"/>
    <w:rsid w:val="00DA3F01"/>
    <w:rsid w:val="00DA436A"/>
    <w:rsid w:val="00DA5091"/>
    <w:rsid w:val="00DA578B"/>
    <w:rsid w:val="00DA5CAF"/>
    <w:rsid w:val="00DA625B"/>
    <w:rsid w:val="00DA6929"/>
    <w:rsid w:val="00DA6E70"/>
    <w:rsid w:val="00DB12B7"/>
    <w:rsid w:val="00DB19DA"/>
    <w:rsid w:val="00DB2F3A"/>
    <w:rsid w:val="00DB399E"/>
    <w:rsid w:val="00DB4A83"/>
    <w:rsid w:val="00DB50FC"/>
    <w:rsid w:val="00DB5C7F"/>
    <w:rsid w:val="00DB6E8B"/>
    <w:rsid w:val="00DC059B"/>
    <w:rsid w:val="00DC0B80"/>
    <w:rsid w:val="00DC22A2"/>
    <w:rsid w:val="00DC43C0"/>
    <w:rsid w:val="00DC5CAB"/>
    <w:rsid w:val="00DC5E42"/>
    <w:rsid w:val="00DC670A"/>
    <w:rsid w:val="00DC7532"/>
    <w:rsid w:val="00DC7E45"/>
    <w:rsid w:val="00DD0710"/>
    <w:rsid w:val="00DD19E3"/>
    <w:rsid w:val="00DD33CD"/>
    <w:rsid w:val="00DD48F9"/>
    <w:rsid w:val="00DD4D10"/>
    <w:rsid w:val="00DD5DA5"/>
    <w:rsid w:val="00DD6349"/>
    <w:rsid w:val="00DD668A"/>
    <w:rsid w:val="00DD68AB"/>
    <w:rsid w:val="00DD6D5D"/>
    <w:rsid w:val="00DD6FFE"/>
    <w:rsid w:val="00DD7AF6"/>
    <w:rsid w:val="00DD7F65"/>
    <w:rsid w:val="00DE0C5B"/>
    <w:rsid w:val="00DE1983"/>
    <w:rsid w:val="00DE21EB"/>
    <w:rsid w:val="00DE4211"/>
    <w:rsid w:val="00DE485F"/>
    <w:rsid w:val="00DE5ED0"/>
    <w:rsid w:val="00DE68EE"/>
    <w:rsid w:val="00DE6940"/>
    <w:rsid w:val="00DE6C28"/>
    <w:rsid w:val="00DE7979"/>
    <w:rsid w:val="00DF021A"/>
    <w:rsid w:val="00DF0396"/>
    <w:rsid w:val="00DF0882"/>
    <w:rsid w:val="00DF18BF"/>
    <w:rsid w:val="00DF1AAB"/>
    <w:rsid w:val="00DF1C19"/>
    <w:rsid w:val="00DF1FBE"/>
    <w:rsid w:val="00DF200C"/>
    <w:rsid w:val="00DF2AB4"/>
    <w:rsid w:val="00DF327E"/>
    <w:rsid w:val="00DF3706"/>
    <w:rsid w:val="00DF3F32"/>
    <w:rsid w:val="00DF4084"/>
    <w:rsid w:val="00DF40EF"/>
    <w:rsid w:val="00DF432D"/>
    <w:rsid w:val="00DF44FE"/>
    <w:rsid w:val="00DF4ABD"/>
    <w:rsid w:val="00DF4CFC"/>
    <w:rsid w:val="00DF4DC2"/>
    <w:rsid w:val="00DF4FB7"/>
    <w:rsid w:val="00DF58F2"/>
    <w:rsid w:val="00DF5BA8"/>
    <w:rsid w:val="00DF6469"/>
    <w:rsid w:val="00DF65FC"/>
    <w:rsid w:val="00DF6F85"/>
    <w:rsid w:val="00DF7066"/>
    <w:rsid w:val="00E011D7"/>
    <w:rsid w:val="00E022DB"/>
    <w:rsid w:val="00E0263B"/>
    <w:rsid w:val="00E029F1"/>
    <w:rsid w:val="00E0475D"/>
    <w:rsid w:val="00E04EDF"/>
    <w:rsid w:val="00E06016"/>
    <w:rsid w:val="00E06D4B"/>
    <w:rsid w:val="00E0735E"/>
    <w:rsid w:val="00E07508"/>
    <w:rsid w:val="00E0765F"/>
    <w:rsid w:val="00E07FDA"/>
    <w:rsid w:val="00E103D2"/>
    <w:rsid w:val="00E10CB7"/>
    <w:rsid w:val="00E11930"/>
    <w:rsid w:val="00E11D58"/>
    <w:rsid w:val="00E1223E"/>
    <w:rsid w:val="00E12F8D"/>
    <w:rsid w:val="00E13416"/>
    <w:rsid w:val="00E14322"/>
    <w:rsid w:val="00E162D2"/>
    <w:rsid w:val="00E1669D"/>
    <w:rsid w:val="00E17275"/>
    <w:rsid w:val="00E173F4"/>
    <w:rsid w:val="00E17A58"/>
    <w:rsid w:val="00E17DFD"/>
    <w:rsid w:val="00E20E14"/>
    <w:rsid w:val="00E21DC7"/>
    <w:rsid w:val="00E2303D"/>
    <w:rsid w:val="00E23FBF"/>
    <w:rsid w:val="00E251E1"/>
    <w:rsid w:val="00E259FF"/>
    <w:rsid w:val="00E3003B"/>
    <w:rsid w:val="00E30E8F"/>
    <w:rsid w:val="00E31CD2"/>
    <w:rsid w:val="00E31E91"/>
    <w:rsid w:val="00E32351"/>
    <w:rsid w:val="00E327C0"/>
    <w:rsid w:val="00E330A2"/>
    <w:rsid w:val="00E3356D"/>
    <w:rsid w:val="00E33797"/>
    <w:rsid w:val="00E33F80"/>
    <w:rsid w:val="00E3429A"/>
    <w:rsid w:val="00E34CE7"/>
    <w:rsid w:val="00E35015"/>
    <w:rsid w:val="00E35320"/>
    <w:rsid w:val="00E35439"/>
    <w:rsid w:val="00E35AE6"/>
    <w:rsid w:val="00E35FB3"/>
    <w:rsid w:val="00E362B2"/>
    <w:rsid w:val="00E36A36"/>
    <w:rsid w:val="00E37D0E"/>
    <w:rsid w:val="00E40089"/>
    <w:rsid w:val="00E4134A"/>
    <w:rsid w:val="00E41EEF"/>
    <w:rsid w:val="00E42003"/>
    <w:rsid w:val="00E44AF4"/>
    <w:rsid w:val="00E44F31"/>
    <w:rsid w:val="00E45568"/>
    <w:rsid w:val="00E45C50"/>
    <w:rsid w:val="00E45FCD"/>
    <w:rsid w:val="00E4740D"/>
    <w:rsid w:val="00E478E3"/>
    <w:rsid w:val="00E502CB"/>
    <w:rsid w:val="00E50369"/>
    <w:rsid w:val="00E51003"/>
    <w:rsid w:val="00E528AF"/>
    <w:rsid w:val="00E52C58"/>
    <w:rsid w:val="00E52F8F"/>
    <w:rsid w:val="00E530F2"/>
    <w:rsid w:val="00E532EE"/>
    <w:rsid w:val="00E53E63"/>
    <w:rsid w:val="00E5433C"/>
    <w:rsid w:val="00E54352"/>
    <w:rsid w:val="00E54911"/>
    <w:rsid w:val="00E54A15"/>
    <w:rsid w:val="00E54BCC"/>
    <w:rsid w:val="00E55365"/>
    <w:rsid w:val="00E571DE"/>
    <w:rsid w:val="00E57B21"/>
    <w:rsid w:val="00E57E77"/>
    <w:rsid w:val="00E60008"/>
    <w:rsid w:val="00E606E0"/>
    <w:rsid w:val="00E60B5A"/>
    <w:rsid w:val="00E60E4D"/>
    <w:rsid w:val="00E6149E"/>
    <w:rsid w:val="00E61D95"/>
    <w:rsid w:val="00E62DB7"/>
    <w:rsid w:val="00E63983"/>
    <w:rsid w:val="00E6419A"/>
    <w:rsid w:val="00E64CC2"/>
    <w:rsid w:val="00E662E5"/>
    <w:rsid w:val="00E67987"/>
    <w:rsid w:val="00E67C7E"/>
    <w:rsid w:val="00E7022B"/>
    <w:rsid w:val="00E70297"/>
    <w:rsid w:val="00E702DC"/>
    <w:rsid w:val="00E71197"/>
    <w:rsid w:val="00E72301"/>
    <w:rsid w:val="00E73119"/>
    <w:rsid w:val="00E73A6D"/>
    <w:rsid w:val="00E7460A"/>
    <w:rsid w:val="00E755FF"/>
    <w:rsid w:val="00E76C61"/>
    <w:rsid w:val="00E775E2"/>
    <w:rsid w:val="00E7791D"/>
    <w:rsid w:val="00E803F1"/>
    <w:rsid w:val="00E816DB"/>
    <w:rsid w:val="00E81F00"/>
    <w:rsid w:val="00E821A2"/>
    <w:rsid w:val="00E821A7"/>
    <w:rsid w:val="00E837D0"/>
    <w:rsid w:val="00E840B3"/>
    <w:rsid w:val="00E84464"/>
    <w:rsid w:val="00E8548C"/>
    <w:rsid w:val="00E8597A"/>
    <w:rsid w:val="00E85F49"/>
    <w:rsid w:val="00E877CA"/>
    <w:rsid w:val="00E902B1"/>
    <w:rsid w:val="00E918B3"/>
    <w:rsid w:val="00E91F20"/>
    <w:rsid w:val="00E920AF"/>
    <w:rsid w:val="00E920DA"/>
    <w:rsid w:val="00E92DC7"/>
    <w:rsid w:val="00E9315A"/>
    <w:rsid w:val="00E950B2"/>
    <w:rsid w:val="00E95CEF"/>
    <w:rsid w:val="00E96701"/>
    <w:rsid w:val="00E974B5"/>
    <w:rsid w:val="00EA056F"/>
    <w:rsid w:val="00EA0984"/>
    <w:rsid w:val="00EA0EAA"/>
    <w:rsid w:val="00EA119C"/>
    <w:rsid w:val="00EA2C61"/>
    <w:rsid w:val="00EA3524"/>
    <w:rsid w:val="00EA5106"/>
    <w:rsid w:val="00EA56E3"/>
    <w:rsid w:val="00EA58F0"/>
    <w:rsid w:val="00EA6300"/>
    <w:rsid w:val="00EA75E2"/>
    <w:rsid w:val="00EB0EF4"/>
    <w:rsid w:val="00EB12EF"/>
    <w:rsid w:val="00EB228E"/>
    <w:rsid w:val="00EB2A61"/>
    <w:rsid w:val="00EB2B45"/>
    <w:rsid w:val="00EB3552"/>
    <w:rsid w:val="00EB3993"/>
    <w:rsid w:val="00EB3E32"/>
    <w:rsid w:val="00EB4002"/>
    <w:rsid w:val="00EB4291"/>
    <w:rsid w:val="00EB4542"/>
    <w:rsid w:val="00EB578D"/>
    <w:rsid w:val="00EB651B"/>
    <w:rsid w:val="00EB6BED"/>
    <w:rsid w:val="00EB746C"/>
    <w:rsid w:val="00EC0507"/>
    <w:rsid w:val="00EC09BB"/>
    <w:rsid w:val="00EC0ABA"/>
    <w:rsid w:val="00EC0B45"/>
    <w:rsid w:val="00EC0C14"/>
    <w:rsid w:val="00EC1283"/>
    <w:rsid w:val="00EC1402"/>
    <w:rsid w:val="00EC2013"/>
    <w:rsid w:val="00EC203C"/>
    <w:rsid w:val="00EC2215"/>
    <w:rsid w:val="00EC3435"/>
    <w:rsid w:val="00EC34BC"/>
    <w:rsid w:val="00EC367B"/>
    <w:rsid w:val="00EC36AC"/>
    <w:rsid w:val="00EC4C9D"/>
    <w:rsid w:val="00EC52BE"/>
    <w:rsid w:val="00EC55B5"/>
    <w:rsid w:val="00EC56F3"/>
    <w:rsid w:val="00EC573E"/>
    <w:rsid w:val="00EC629A"/>
    <w:rsid w:val="00EC755A"/>
    <w:rsid w:val="00EC75AC"/>
    <w:rsid w:val="00EC7E74"/>
    <w:rsid w:val="00ED0151"/>
    <w:rsid w:val="00ED1B71"/>
    <w:rsid w:val="00ED2074"/>
    <w:rsid w:val="00ED264A"/>
    <w:rsid w:val="00ED27D9"/>
    <w:rsid w:val="00ED2A2E"/>
    <w:rsid w:val="00ED2B1E"/>
    <w:rsid w:val="00ED2F24"/>
    <w:rsid w:val="00ED3C2D"/>
    <w:rsid w:val="00ED4151"/>
    <w:rsid w:val="00ED45C3"/>
    <w:rsid w:val="00ED46C4"/>
    <w:rsid w:val="00ED4BC3"/>
    <w:rsid w:val="00ED5FA2"/>
    <w:rsid w:val="00ED60B9"/>
    <w:rsid w:val="00ED6164"/>
    <w:rsid w:val="00ED622F"/>
    <w:rsid w:val="00ED6341"/>
    <w:rsid w:val="00ED6609"/>
    <w:rsid w:val="00ED6E08"/>
    <w:rsid w:val="00ED6F6C"/>
    <w:rsid w:val="00ED700D"/>
    <w:rsid w:val="00ED741C"/>
    <w:rsid w:val="00ED7674"/>
    <w:rsid w:val="00EE01FD"/>
    <w:rsid w:val="00EE07AE"/>
    <w:rsid w:val="00EE1D5B"/>
    <w:rsid w:val="00EE2129"/>
    <w:rsid w:val="00EE297F"/>
    <w:rsid w:val="00EE31DF"/>
    <w:rsid w:val="00EE3489"/>
    <w:rsid w:val="00EE3B19"/>
    <w:rsid w:val="00EE3C28"/>
    <w:rsid w:val="00EE4557"/>
    <w:rsid w:val="00EE4888"/>
    <w:rsid w:val="00EE4D18"/>
    <w:rsid w:val="00EE54FB"/>
    <w:rsid w:val="00EE55AC"/>
    <w:rsid w:val="00EE7824"/>
    <w:rsid w:val="00EE7DB0"/>
    <w:rsid w:val="00EF0044"/>
    <w:rsid w:val="00EF12EE"/>
    <w:rsid w:val="00EF2230"/>
    <w:rsid w:val="00EF261F"/>
    <w:rsid w:val="00EF2F9F"/>
    <w:rsid w:val="00EF371D"/>
    <w:rsid w:val="00EF3C11"/>
    <w:rsid w:val="00EF43D0"/>
    <w:rsid w:val="00EF54F1"/>
    <w:rsid w:val="00EF62E2"/>
    <w:rsid w:val="00EF6753"/>
    <w:rsid w:val="00EF7595"/>
    <w:rsid w:val="00EF78A2"/>
    <w:rsid w:val="00EF790D"/>
    <w:rsid w:val="00EF7DF7"/>
    <w:rsid w:val="00F00DC6"/>
    <w:rsid w:val="00F01393"/>
    <w:rsid w:val="00F01C04"/>
    <w:rsid w:val="00F03034"/>
    <w:rsid w:val="00F0495B"/>
    <w:rsid w:val="00F04E6E"/>
    <w:rsid w:val="00F05984"/>
    <w:rsid w:val="00F05DE3"/>
    <w:rsid w:val="00F063EB"/>
    <w:rsid w:val="00F069C7"/>
    <w:rsid w:val="00F06B00"/>
    <w:rsid w:val="00F073E7"/>
    <w:rsid w:val="00F10F37"/>
    <w:rsid w:val="00F11D6C"/>
    <w:rsid w:val="00F121A6"/>
    <w:rsid w:val="00F132AF"/>
    <w:rsid w:val="00F132C3"/>
    <w:rsid w:val="00F13485"/>
    <w:rsid w:val="00F13498"/>
    <w:rsid w:val="00F142EF"/>
    <w:rsid w:val="00F144A3"/>
    <w:rsid w:val="00F14640"/>
    <w:rsid w:val="00F1574E"/>
    <w:rsid w:val="00F166B3"/>
    <w:rsid w:val="00F166C5"/>
    <w:rsid w:val="00F17EAF"/>
    <w:rsid w:val="00F21660"/>
    <w:rsid w:val="00F21B31"/>
    <w:rsid w:val="00F2282C"/>
    <w:rsid w:val="00F24EA4"/>
    <w:rsid w:val="00F250BD"/>
    <w:rsid w:val="00F25C5E"/>
    <w:rsid w:val="00F26314"/>
    <w:rsid w:val="00F265B8"/>
    <w:rsid w:val="00F27C0B"/>
    <w:rsid w:val="00F300DE"/>
    <w:rsid w:val="00F30507"/>
    <w:rsid w:val="00F30905"/>
    <w:rsid w:val="00F30D34"/>
    <w:rsid w:val="00F32040"/>
    <w:rsid w:val="00F32492"/>
    <w:rsid w:val="00F32807"/>
    <w:rsid w:val="00F32CB5"/>
    <w:rsid w:val="00F33917"/>
    <w:rsid w:val="00F33F20"/>
    <w:rsid w:val="00F340D7"/>
    <w:rsid w:val="00F34758"/>
    <w:rsid w:val="00F3505C"/>
    <w:rsid w:val="00F3554D"/>
    <w:rsid w:val="00F363FC"/>
    <w:rsid w:val="00F366D8"/>
    <w:rsid w:val="00F401DD"/>
    <w:rsid w:val="00F40941"/>
    <w:rsid w:val="00F409A4"/>
    <w:rsid w:val="00F40ABC"/>
    <w:rsid w:val="00F41737"/>
    <w:rsid w:val="00F428D5"/>
    <w:rsid w:val="00F42E01"/>
    <w:rsid w:val="00F433CB"/>
    <w:rsid w:val="00F445B8"/>
    <w:rsid w:val="00F44D8B"/>
    <w:rsid w:val="00F455DE"/>
    <w:rsid w:val="00F45C84"/>
    <w:rsid w:val="00F470F7"/>
    <w:rsid w:val="00F503DA"/>
    <w:rsid w:val="00F51364"/>
    <w:rsid w:val="00F51E87"/>
    <w:rsid w:val="00F54232"/>
    <w:rsid w:val="00F5514D"/>
    <w:rsid w:val="00F55DDD"/>
    <w:rsid w:val="00F55F8A"/>
    <w:rsid w:val="00F566F8"/>
    <w:rsid w:val="00F56DD2"/>
    <w:rsid w:val="00F5724E"/>
    <w:rsid w:val="00F57F21"/>
    <w:rsid w:val="00F610E8"/>
    <w:rsid w:val="00F622A1"/>
    <w:rsid w:val="00F627AF"/>
    <w:rsid w:val="00F62D23"/>
    <w:rsid w:val="00F6538C"/>
    <w:rsid w:val="00F65799"/>
    <w:rsid w:val="00F65B3C"/>
    <w:rsid w:val="00F6607C"/>
    <w:rsid w:val="00F66D3E"/>
    <w:rsid w:val="00F66E5F"/>
    <w:rsid w:val="00F66E67"/>
    <w:rsid w:val="00F679BA"/>
    <w:rsid w:val="00F67DA6"/>
    <w:rsid w:val="00F70714"/>
    <w:rsid w:val="00F70BB4"/>
    <w:rsid w:val="00F70D40"/>
    <w:rsid w:val="00F72EC8"/>
    <w:rsid w:val="00F736F6"/>
    <w:rsid w:val="00F73D53"/>
    <w:rsid w:val="00F73FB3"/>
    <w:rsid w:val="00F75138"/>
    <w:rsid w:val="00F75675"/>
    <w:rsid w:val="00F759DF"/>
    <w:rsid w:val="00F76418"/>
    <w:rsid w:val="00F769F5"/>
    <w:rsid w:val="00F777F1"/>
    <w:rsid w:val="00F77811"/>
    <w:rsid w:val="00F77BBB"/>
    <w:rsid w:val="00F77EEB"/>
    <w:rsid w:val="00F802AE"/>
    <w:rsid w:val="00F804B0"/>
    <w:rsid w:val="00F819FB"/>
    <w:rsid w:val="00F839BF"/>
    <w:rsid w:val="00F85665"/>
    <w:rsid w:val="00F87027"/>
    <w:rsid w:val="00F90E69"/>
    <w:rsid w:val="00F9170D"/>
    <w:rsid w:val="00F91BD4"/>
    <w:rsid w:val="00F91F90"/>
    <w:rsid w:val="00F93360"/>
    <w:rsid w:val="00F948F3"/>
    <w:rsid w:val="00F94EEF"/>
    <w:rsid w:val="00F9532A"/>
    <w:rsid w:val="00F960E0"/>
    <w:rsid w:val="00F96889"/>
    <w:rsid w:val="00F97495"/>
    <w:rsid w:val="00F9755C"/>
    <w:rsid w:val="00F979F9"/>
    <w:rsid w:val="00F97CAB"/>
    <w:rsid w:val="00F97EBF"/>
    <w:rsid w:val="00FA0C26"/>
    <w:rsid w:val="00FA229C"/>
    <w:rsid w:val="00FA5CC0"/>
    <w:rsid w:val="00FA6066"/>
    <w:rsid w:val="00FA628E"/>
    <w:rsid w:val="00FA7893"/>
    <w:rsid w:val="00FA79E7"/>
    <w:rsid w:val="00FA7F3B"/>
    <w:rsid w:val="00FB0134"/>
    <w:rsid w:val="00FB023C"/>
    <w:rsid w:val="00FB13ED"/>
    <w:rsid w:val="00FB1521"/>
    <w:rsid w:val="00FB1D17"/>
    <w:rsid w:val="00FB2A6E"/>
    <w:rsid w:val="00FB3102"/>
    <w:rsid w:val="00FB343F"/>
    <w:rsid w:val="00FB4A43"/>
    <w:rsid w:val="00FB4D17"/>
    <w:rsid w:val="00FB6A64"/>
    <w:rsid w:val="00FB6E85"/>
    <w:rsid w:val="00FB72E2"/>
    <w:rsid w:val="00FB7529"/>
    <w:rsid w:val="00FC014E"/>
    <w:rsid w:val="00FC0354"/>
    <w:rsid w:val="00FC038D"/>
    <w:rsid w:val="00FC0672"/>
    <w:rsid w:val="00FC1453"/>
    <w:rsid w:val="00FC2488"/>
    <w:rsid w:val="00FC31ED"/>
    <w:rsid w:val="00FC33CA"/>
    <w:rsid w:val="00FC350F"/>
    <w:rsid w:val="00FC360F"/>
    <w:rsid w:val="00FC4426"/>
    <w:rsid w:val="00FC59F3"/>
    <w:rsid w:val="00FC6CC3"/>
    <w:rsid w:val="00FC6DB9"/>
    <w:rsid w:val="00FC6F04"/>
    <w:rsid w:val="00FD133A"/>
    <w:rsid w:val="00FD23E9"/>
    <w:rsid w:val="00FD2F91"/>
    <w:rsid w:val="00FD3588"/>
    <w:rsid w:val="00FD3D1C"/>
    <w:rsid w:val="00FD4517"/>
    <w:rsid w:val="00FD66C2"/>
    <w:rsid w:val="00FD7B1B"/>
    <w:rsid w:val="00FD7DB0"/>
    <w:rsid w:val="00FE18E7"/>
    <w:rsid w:val="00FE1B8D"/>
    <w:rsid w:val="00FE1F00"/>
    <w:rsid w:val="00FE22AF"/>
    <w:rsid w:val="00FE248D"/>
    <w:rsid w:val="00FE36C0"/>
    <w:rsid w:val="00FE39FE"/>
    <w:rsid w:val="00FE3FE1"/>
    <w:rsid w:val="00FE4173"/>
    <w:rsid w:val="00FE45BF"/>
    <w:rsid w:val="00FE6975"/>
    <w:rsid w:val="00FE6A16"/>
    <w:rsid w:val="00FE6FDA"/>
    <w:rsid w:val="00FF0B2F"/>
    <w:rsid w:val="00FF0C5D"/>
    <w:rsid w:val="00FF13A7"/>
    <w:rsid w:val="00FF15C2"/>
    <w:rsid w:val="00FF347A"/>
    <w:rsid w:val="00FF3EC1"/>
    <w:rsid w:val="00FF4918"/>
    <w:rsid w:val="00FF4E4B"/>
    <w:rsid w:val="00FF5006"/>
    <w:rsid w:val="00FF53FF"/>
    <w:rsid w:val="00FF6122"/>
    <w:rsid w:val="00FF619B"/>
    <w:rsid w:val="00FF6C5B"/>
    <w:rsid w:val="01444A00"/>
    <w:rsid w:val="01846472"/>
    <w:rsid w:val="024F3DFD"/>
    <w:rsid w:val="02832405"/>
    <w:rsid w:val="039D75C2"/>
    <w:rsid w:val="03A31A34"/>
    <w:rsid w:val="03E26AB6"/>
    <w:rsid w:val="03E9791D"/>
    <w:rsid w:val="03EC12E3"/>
    <w:rsid w:val="04D02081"/>
    <w:rsid w:val="04FB3E6B"/>
    <w:rsid w:val="05617DC0"/>
    <w:rsid w:val="05622E82"/>
    <w:rsid w:val="057A7EE8"/>
    <w:rsid w:val="06202708"/>
    <w:rsid w:val="070E4134"/>
    <w:rsid w:val="080824ED"/>
    <w:rsid w:val="081023F4"/>
    <w:rsid w:val="08320D7A"/>
    <w:rsid w:val="085B696E"/>
    <w:rsid w:val="08BD746D"/>
    <w:rsid w:val="0965580F"/>
    <w:rsid w:val="09767297"/>
    <w:rsid w:val="0A000245"/>
    <w:rsid w:val="0AE202A1"/>
    <w:rsid w:val="0B7B370D"/>
    <w:rsid w:val="0C0F1B0C"/>
    <w:rsid w:val="0C2865AB"/>
    <w:rsid w:val="0CA640FE"/>
    <w:rsid w:val="0CB41076"/>
    <w:rsid w:val="0D42689C"/>
    <w:rsid w:val="0D466C89"/>
    <w:rsid w:val="0E531F5E"/>
    <w:rsid w:val="0E5A0865"/>
    <w:rsid w:val="0E752894"/>
    <w:rsid w:val="0E7B7822"/>
    <w:rsid w:val="0E8D0FA1"/>
    <w:rsid w:val="0EA15E9F"/>
    <w:rsid w:val="0F0567B0"/>
    <w:rsid w:val="0F7B1B61"/>
    <w:rsid w:val="0F8A4DC4"/>
    <w:rsid w:val="10AA6014"/>
    <w:rsid w:val="114C09F2"/>
    <w:rsid w:val="11A20B4A"/>
    <w:rsid w:val="12780143"/>
    <w:rsid w:val="12B02930"/>
    <w:rsid w:val="12D9517C"/>
    <w:rsid w:val="13771EC0"/>
    <w:rsid w:val="13EB44AC"/>
    <w:rsid w:val="14325EAB"/>
    <w:rsid w:val="145939C6"/>
    <w:rsid w:val="14926A7F"/>
    <w:rsid w:val="14A44349"/>
    <w:rsid w:val="15591152"/>
    <w:rsid w:val="159E7742"/>
    <w:rsid w:val="15CD7129"/>
    <w:rsid w:val="15E720D3"/>
    <w:rsid w:val="16352D45"/>
    <w:rsid w:val="16A63725"/>
    <w:rsid w:val="16CE6C9E"/>
    <w:rsid w:val="1707367B"/>
    <w:rsid w:val="17492102"/>
    <w:rsid w:val="17B95F9C"/>
    <w:rsid w:val="18BB250F"/>
    <w:rsid w:val="18E01DE1"/>
    <w:rsid w:val="192C35B8"/>
    <w:rsid w:val="19605197"/>
    <w:rsid w:val="1A972013"/>
    <w:rsid w:val="1B8876A0"/>
    <w:rsid w:val="1C2E3ED3"/>
    <w:rsid w:val="1C666158"/>
    <w:rsid w:val="1CFB6468"/>
    <w:rsid w:val="1DC71D12"/>
    <w:rsid w:val="1E33082B"/>
    <w:rsid w:val="1E33246C"/>
    <w:rsid w:val="1E965F6C"/>
    <w:rsid w:val="1EE50795"/>
    <w:rsid w:val="1F36222E"/>
    <w:rsid w:val="1F4C695B"/>
    <w:rsid w:val="1F5D15B9"/>
    <w:rsid w:val="1F8F24C5"/>
    <w:rsid w:val="20034F41"/>
    <w:rsid w:val="20C756EA"/>
    <w:rsid w:val="213700C7"/>
    <w:rsid w:val="213B38B2"/>
    <w:rsid w:val="21693094"/>
    <w:rsid w:val="21C94D2A"/>
    <w:rsid w:val="21D85FF2"/>
    <w:rsid w:val="24110698"/>
    <w:rsid w:val="24A37088"/>
    <w:rsid w:val="259231A9"/>
    <w:rsid w:val="25C20BC1"/>
    <w:rsid w:val="26A96CC4"/>
    <w:rsid w:val="27A33BF2"/>
    <w:rsid w:val="27BA6DF6"/>
    <w:rsid w:val="284A2EBB"/>
    <w:rsid w:val="286251D0"/>
    <w:rsid w:val="2875487A"/>
    <w:rsid w:val="296D5162"/>
    <w:rsid w:val="2A8819DB"/>
    <w:rsid w:val="2B265568"/>
    <w:rsid w:val="2B4D0516"/>
    <w:rsid w:val="2B6A3CB9"/>
    <w:rsid w:val="2BA06C78"/>
    <w:rsid w:val="2BE57034"/>
    <w:rsid w:val="2C1D2DFE"/>
    <w:rsid w:val="2C4864E6"/>
    <w:rsid w:val="2D8A1853"/>
    <w:rsid w:val="2E4B3CF9"/>
    <w:rsid w:val="2EC970AD"/>
    <w:rsid w:val="302A53C1"/>
    <w:rsid w:val="310447F7"/>
    <w:rsid w:val="31C0453D"/>
    <w:rsid w:val="330E5941"/>
    <w:rsid w:val="334007E9"/>
    <w:rsid w:val="34A04EC9"/>
    <w:rsid w:val="34A726EA"/>
    <w:rsid w:val="35362081"/>
    <w:rsid w:val="36166E12"/>
    <w:rsid w:val="36EA2855"/>
    <w:rsid w:val="36F01CBC"/>
    <w:rsid w:val="384E3BDC"/>
    <w:rsid w:val="38A2093D"/>
    <w:rsid w:val="38F3071B"/>
    <w:rsid w:val="394A51C7"/>
    <w:rsid w:val="39D7544C"/>
    <w:rsid w:val="39DD204B"/>
    <w:rsid w:val="3A035138"/>
    <w:rsid w:val="3A5F125F"/>
    <w:rsid w:val="3AC44B8F"/>
    <w:rsid w:val="3C31178C"/>
    <w:rsid w:val="3CE55BBA"/>
    <w:rsid w:val="3DC649BE"/>
    <w:rsid w:val="3DE57117"/>
    <w:rsid w:val="3F11514B"/>
    <w:rsid w:val="3F2F0912"/>
    <w:rsid w:val="401B4131"/>
    <w:rsid w:val="402A1865"/>
    <w:rsid w:val="40E979C3"/>
    <w:rsid w:val="41924C5B"/>
    <w:rsid w:val="41944A5A"/>
    <w:rsid w:val="424835EA"/>
    <w:rsid w:val="42E444CB"/>
    <w:rsid w:val="42F9027C"/>
    <w:rsid w:val="43273655"/>
    <w:rsid w:val="450C3AE3"/>
    <w:rsid w:val="45505486"/>
    <w:rsid w:val="45962509"/>
    <w:rsid w:val="45C512E7"/>
    <w:rsid w:val="45E46485"/>
    <w:rsid w:val="47296E37"/>
    <w:rsid w:val="47315082"/>
    <w:rsid w:val="477B72EE"/>
    <w:rsid w:val="48266957"/>
    <w:rsid w:val="49573C7A"/>
    <w:rsid w:val="4A2C1CD2"/>
    <w:rsid w:val="4A5E23F4"/>
    <w:rsid w:val="4D08693E"/>
    <w:rsid w:val="4D240491"/>
    <w:rsid w:val="4E082F9C"/>
    <w:rsid w:val="4E2F1F30"/>
    <w:rsid w:val="4E5B7B32"/>
    <w:rsid w:val="4F54041A"/>
    <w:rsid w:val="4F7568C2"/>
    <w:rsid w:val="4FE533D4"/>
    <w:rsid w:val="506E1C80"/>
    <w:rsid w:val="50E7413F"/>
    <w:rsid w:val="51076CFE"/>
    <w:rsid w:val="51C65DA1"/>
    <w:rsid w:val="52DA68F4"/>
    <w:rsid w:val="52F00949"/>
    <w:rsid w:val="531C3A34"/>
    <w:rsid w:val="5340411A"/>
    <w:rsid w:val="53587F07"/>
    <w:rsid w:val="53837916"/>
    <w:rsid w:val="54145F3A"/>
    <w:rsid w:val="549A245C"/>
    <w:rsid w:val="54AD594A"/>
    <w:rsid w:val="54EF2478"/>
    <w:rsid w:val="54EF3B09"/>
    <w:rsid w:val="55857796"/>
    <w:rsid w:val="55E43876"/>
    <w:rsid w:val="562F56FB"/>
    <w:rsid w:val="56D15849"/>
    <w:rsid w:val="574A1038"/>
    <w:rsid w:val="57D41B44"/>
    <w:rsid w:val="586735FD"/>
    <w:rsid w:val="591146BA"/>
    <w:rsid w:val="595D137F"/>
    <w:rsid w:val="5A035865"/>
    <w:rsid w:val="5A2F7A3E"/>
    <w:rsid w:val="5AD558E3"/>
    <w:rsid w:val="5B405411"/>
    <w:rsid w:val="5B6B4E0A"/>
    <w:rsid w:val="5C303BA4"/>
    <w:rsid w:val="5C7B7FD4"/>
    <w:rsid w:val="5D8B750D"/>
    <w:rsid w:val="5DBD43DD"/>
    <w:rsid w:val="5E562EF6"/>
    <w:rsid w:val="603E417B"/>
    <w:rsid w:val="60D03948"/>
    <w:rsid w:val="61530321"/>
    <w:rsid w:val="61E92736"/>
    <w:rsid w:val="620E6A40"/>
    <w:rsid w:val="63257D2D"/>
    <w:rsid w:val="639F1D0C"/>
    <w:rsid w:val="646A1E07"/>
    <w:rsid w:val="64FF1AF4"/>
    <w:rsid w:val="65BE1F9F"/>
    <w:rsid w:val="667D1E03"/>
    <w:rsid w:val="67A85590"/>
    <w:rsid w:val="67F36E9D"/>
    <w:rsid w:val="68490764"/>
    <w:rsid w:val="68BB719D"/>
    <w:rsid w:val="6B0468F8"/>
    <w:rsid w:val="6B7B2BAA"/>
    <w:rsid w:val="6BB63FEC"/>
    <w:rsid w:val="6C0445E8"/>
    <w:rsid w:val="6CC8499B"/>
    <w:rsid w:val="6E2471CD"/>
    <w:rsid w:val="6ED6237B"/>
    <w:rsid w:val="6F226988"/>
    <w:rsid w:val="6FD419FF"/>
    <w:rsid w:val="6FDD6C00"/>
    <w:rsid w:val="6FE2324E"/>
    <w:rsid w:val="70051359"/>
    <w:rsid w:val="703D085C"/>
    <w:rsid w:val="70663DC1"/>
    <w:rsid w:val="70F549C7"/>
    <w:rsid w:val="712D1EC7"/>
    <w:rsid w:val="72226D6E"/>
    <w:rsid w:val="72C0596D"/>
    <w:rsid w:val="739773B5"/>
    <w:rsid w:val="73A70677"/>
    <w:rsid w:val="73C552BA"/>
    <w:rsid w:val="745572F3"/>
    <w:rsid w:val="75760E3E"/>
    <w:rsid w:val="75D21F5E"/>
    <w:rsid w:val="762B03DF"/>
    <w:rsid w:val="76FF0F62"/>
    <w:rsid w:val="77C93867"/>
    <w:rsid w:val="7895478E"/>
    <w:rsid w:val="78BF3F20"/>
    <w:rsid w:val="78EE7C27"/>
    <w:rsid w:val="794F035C"/>
    <w:rsid w:val="79F64CFC"/>
    <w:rsid w:val="7A804C3C"/>
    <w:rsid w:val="7A9D507F"/>
    <w:rsid w:val="7AD30451"/>
    <w:rsid w:val="7AD30471"/>
    <w:rsid w:val="7B5C115C"/>
    <w:rsid w:val="7B5C5CF9"/>
    <w:rsid w:val="7B5E0E99"/>
    <w:rsid w:val="7BD367F5"/>
    <w:rsid w:val="7C643ABD"/>
    <w:rsid w:val="7CC5082C"/>
    <w:rsid w:val="7CEE3B9A"/>
    <w:rsid w:val="7D3777BA"/>
    <w:rsid w:val="7EE652AA"/>
    <w:rsid w:val="7EEA0904"/>
    <w:rsid w:val="7FD01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2"/>
    <w:autoRedefine/>
    <w:qFormat/>
    <w:uiPriority w:val="0"/>
    <w:pPr>
      <w:keepNext/>
      <w:keepLines/>
      <w:spacing w:before="340" w:after="330" w:line="576" w:lineRule="auto"/>
      <w:outlineLvl w:val="0"/>
    </w:pPr>
    <w:rPr>
      <w:rFonts w:eastAsia="黑体" w:asciiTheme="minorHAnsi" w:hAnsiTheme="minorHAnsi"/>
      <w:b/>
      <w:kern w:val="44"/>
      <w:sz w:val="32"/>
    </w:rPr>
  </w:style>
  <w:style w:type="paragraph" w:styleId="4">
    <w:name w:val="heading 3"/>
    <w:basedOn w:val="1"/>
    <w:next w:val="1"/>
    <w:link w:val="32"/>
    <w:unhideWhenUsed/>
    <w:qFormat/>
    <w:uiPriority w:val="0"/>
    <w:pPr>
      <w:keepNext/>
      <w:keepLines/>
      <w:spacing w:before="260" w:after="260" w:line="416" w:lineRule="auto"/>
      <w:outlineLvl w:val="2"/>
    </w:pPr>
    <w:rPr>
      <w:b/>
      <w:bCs/>
      <w:sz w:val="32"/>
      <w:szCs w:val="32"/>
    </w:rPr>
  </w:style>
  <w:style w:type="character" w:default="1" w:styleId="19">
    <w:name w:val="Default Paragraph Font"/>
    <w:autoRedefine/>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BodyText"/>
    <w:basedOn w:val="1"/>
    <w:qFormat/>
    <w:uiPriority w:val="0"/>
    <w:pPr>
      <w:ind w:left="101"/>
      <w:textAlignment w:val="baseline"/>
    </w:pPr>
    <w:rPr>
      <w:szCs w:val="32"/>
    </w:rPr>
  </w:style>
  <w:style w:type="paragraph" w:styleId="5">
    <w:name w:val="annotation text"/>
    <w:basedOn w:val="1"/>
    <w:link w:val="28"/>
    <w:autoRedefine/>
    <w:qFormat/>
    <w:uiPriority w:val="0"/>
    <w:pPr>
      <w:jc w:val="left"/>
    </w:pPr>
  </w:style>
  <w:style w:type="paragraph" w:styleId="6">
    <w:name w:val="Body Text"/>
    <w:basedOn w:val="1"/>
    <w:link w:val="30"/>
    <w:autoRedefine/>
    <w:semiHidden/>
    <w:unhideWhenUsed/>
    <w:qFormat/>
    <w:uiPriority w:val="0"/>
    <w:pPr>
      <w:spacing w:after="120"/>
    </w:pPr>
  </w:style>
  <w:style w:type="paragraph" w:styleId="7">
    <w:name w:val="Body Text Indent"/>
    <w:basedOn w:val="1"/>
    <w:link w:val="33"/>
    <w:unhideWhenUsed/>
    <w:qFormat/>
    <w:uiPriority w:val="0"/>
    <w:pPr>
      <w:ind w:left="420" w:leftChars="200"/>
    </w:pPr>
  </w:style>
  <w:style w:type="paragraph" w:styleId="8">
    <w:name w:val="toc 3"/>
    <w:basedOn w:val="1"/>
    <w:next w:val="1"/>
    <w:autoRedefine/>
    <w:qFormat/>
    <w:uiPriority w:val="39"/>
    <w:pPr>
      <w:ind w:left="840" w:leftChars="400"/>
    </w:pPr>
  </w:style>
  <w:style w:type="paragraph" w:styleId="9">
    <w:name w:val="Balloon Text"/>
    <w:basedOn w:val="1"/>
    <w:link w:val="27"/>
    <w:autoRedefine/>
    <w:qFormat/>
    <w:uiPriority w:val="0"/>
    <w:rPr>
      <w:sz w:val="18"/>
      <w:szCs w:val="18"/>
    </w:rPr>
  </w:style>
  <w:style w:type="paragraph" w:styleId="10">
    <w:name w:val="footer"/>
    <w:basedOn w:val="1"/>
    <w:link w:val="25"/>
    <w:autoRedefine/>
    <w:qFormat/>
    <w:uiPriority w:val="99"/>
    <w:pPr>
      <w:tabs>
        <w:tab w:val="center" w:pos="4153"/>
        <w:tab w:val="right" w:pos="8306"/>
      </w:tabs>
      <w:snapToGrid w:val="0"/>
      <w:jc w:val="left"/>
    </w:pPr>
    <w:rPr>
      <w:sz w:val="18"/>
    </w:rPr>
  </w:style>
  <w:style w:type="paragraph" w:styleId="11">
    <w:name w:val="header"/>
    <w:basedOn w:val="1"/>
    <w:link w:val="3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39"/>
    <w:pPr>
      <w:tabs>
        <w:tab w:val="right" w:leader="dot" w:pos="8630"/>
      </w:tabs>
    </w:pPr>
    <w:rPr>
      <w:rFonts w:ascii="宋体" w:hAnsi="宋体" w:cs="宋体"/>
      <w:b/>
      <w:sz w:val="28"/>
    </w:rPr>
  </w:style>
  <w:style w:type="paragraph" w:styleId="13">
    <w:name w:val="toc 2"/>
    <w:basedOn w:val="1"/>
    <w:next w:val="1"/>
    <w:autoRedefine/>
    <w:qFormat/>
    <w:uiPriority w:val="39"/>
    <w:pPr>
      <w:ind w:left="420" w:leftChars="200"/>
    </w:pPr>
  </w:style>
  <w:style w:type="paragraph" w:styleId="14">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rPr>
  </w:style>
  <w:style w:type="paragraph" w:styleId="15">
    <w:name w:val="annotation subject"/>
    <w:basedOn w:val="5"/>
    <w:next w:val="5"/>
    <w:link w:val="29"/>
    <w:autoRedefine/>
    <w:qFormat/>
    <w:uiPriority w:val="0"/>
    <w:rPr>
      <w:b/>
      <w:bCs/>
    </w:rPr>
  </w:style>
  <w:style w:type="paragraph" w:styleId="16">
    <w:name w:val="Body Text First Indent 2"/>
    <w:basedOn w:val="7"/>
    <w:link w:val="35"/>
    <w:unhideWhenUsed/>
    <w:qFormat/>
    <w:uiPriority w:val="0"/>
    <w:pPr>
      <w:ind w:firstLine="420" w:firstLineChars="200"/>
    </w:pPr>
  </w:style>
  <w:style w:type="table" w:styleId="18">
    <w:name w:val="Table Grid"/>
    <w:basedOn w:val="1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basedOn w:val="19"/>
    <w:autoRedefine/>
    <w:unhideWhenUsed/>
    <w:qFormat/>
    <w:uiPriority w:val="99"/>
    <w:rPr>
      <w:color w:val="0563C1" w:themeColor="hyperlink"/>
      <w:u w:val="single"/>
      <w14:textFill>
        <w14:solidFill>
          <w14:schemeClr w14:val="hlink"/>
        </w14:solidFill>
      </w14:textFill>
    </w:rPr>
  </w:style>
  <w:style w:type="character" w:styleId="21">
    <w:name w:val="annotation reference"/>
    <w:basedOn w:val="19"/>
    <w:autoRedefine/>
    <w:qFormat/>
    <w:uiPriority w:val="0"/>
    <w:rPr>
      <w:sz w:val="21"/>
      <w:szCs w:val="21"/>
    </w:rPr>
  </w:style>
  <w:style w:type="character" w:customStyle="1" w:styleId="22">
    <w:name w:val="标题 1 Char"/>
    <w:basedOn w:val="19"/>
    <w:link w:val="3"/>
    <w:autoRedefine/>
    <w:qFormat/>
    <w:uiPriority w:val="0"/>
    <w:rPr>
      <w:rFonts w:eastAsia="黑体" w:asciiTheme="minorHAnsi" w:hAnsiTheme="minorHAnsi"/>
      <w:b/>
      <w:kern w:val="44"/>
      <w:sz w:val="32"/>
      <w:szCs w:val="24"/>
    </w:rPr>
  </w:style>
  <w:style w:type="paragraph" w:customStyle="1" w:styleId="23">
    <w:name w:val="gei正文"/>
    <w:basedOn w:val="1"/>
    <w:qFormat/>
    <w:uiPriority w:val="0"/>
    <w:pPr>
      <w:widowControl/>
      <w:spacing w:line="560" w:lineRule="exact"/>
      <w:ind w:firstLine="200" w:firstLineChars="200"/>
    </w:pPr>
    <w:rPr>
      <w:rFonts w:ascii="仿宋_GB2312" w:eastAsia="仿宋_GB2312"/>
      <w:sz w:val="32"/>
      <w:szCs w:val="32"/>
    </w:rPr>
  </w:style>
  <w:style w:type="character" w:customStyle="1" w:styleId="24">
    <w:name w:val="fontstyle01"/>
    <w:basedOn w:val="19"/>
    <w:qFormat/>
    <w:uiPriority w:val="0"/>
    <w:rPr>
      <w:rFonts w:hint="eastAsia" w:ascii="仿宋_GB2312" w:eastAsia="仿宋_GB2312"/>
      <w:color w:val="000000"/>
      <w:sz w:val="32"/>
      <w:szCs w:val="32"/>
    </w:rPr>
  </w:style>
  <w:style w:type="character" w:customStyle="1" w:styleId="25">
    <w:name w:val="页脚 Char"/>
    <w:link w:val="10"/>
    <w:qFormat/>
    <w:uiPriority w:val="99"/>
    <w:rPr>
      <w:kern w:val="2"/>
      <w:sz w:val="18"/>
      <w:szCs w:val="24"/>
    </w:rPr>
  </w:style>
  <w:style w:type="paragraph" w:customStyle="1" w:styleId="26">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Cs w:val="32"/>
    </w:rPr>
  </w:style>
  <w:style w:type="character" w:customStyle="1" w:styleId="27">
    <w:name w:val="批注框文本 Char"/>
    <w:basedOn w:val="19"/>
    <w:link w:val="9"/>
    <w:qFormat/>
    <w:uiPriority w:val="0"/>
    <w:rPr>
      <w:kern w:val="2"/>
      <w:sz w:val="18"/>
      <w:szCs w:val="18"/>
    </w:rPr>
  </w:style>
  <w:style w:type="character" w:customStyle="1" w:styleId="28">
    <w:name w:val="批注文字 Char"/>
    <w:basedOn w:val="19"/>
    <w:link w:val="5"/>
    <w:qFormat/>
    <w:uiPriority w:val="0"/>
    <w:rPr>
      <w:kern w:val="2"/>
      <w:sz w:val="21"/>
      <w:szCs w:val="24"/>
    </w:rPr>
  </w:style>
  <w:style w:type="character" w:customStyle="1" w:styleId="29">
    <w:name w:val="批注主题 Char"/>
    <w:basedOn w:val="28"/>
    <w:link w:val="15"/>
    <w:qFormat/>
    <w:uiPriority w:val="0"/>
    <w:rPr>
      <w:b/>
      <w:bCs/>
      <w:kern w:val="2"/>
      <w:sz w:val="21"/>
      <w:szCs w:val="24"/>
    </w:rPr>
  </w:style>
  <w:style w:type="character" w:customStyle="1" w:styleId="30">
    <w:name w:val="正文文本 Char"/>
    <w:basedOn w:val="19"/>
    <w:link w:val="6"/>
    <w:semiHidden/>
    <w:qFormat/>
    <w:uiPriority w:val="0"/>
    <w:rPr>
      <w:rFonts w:ascii="Times New Roman" w:hAnsi="Times New Roman"/>
      <w:kern w:val="2"/>
      <w:sz w:val="21"/>
      <w:szCs w:val="24"/>
    </w:rPr>
  </w:style>
  <w:style w:type="paragraph" w:styleId="31">
    <w:name w:val="List Paragraph"/>
    <w:basedOn w:val="1"/>
    <w:qFormat/>
    <w:uiPriority w:val="34"/>
    <w:pPr>
      <w:ind w:firstLine="420" w:firstLineChars="200"/>
    </w:pPr>
  </w:style>
  <w:style w:type="character" w:customStyle="1" w:styleId="32">
    <w:name w:val="标题 3 Char"/>
    <w:basedOn w:val="19"/>
    <w:link w:val="4"/>
    <w:qFormat/>
    <w:uiPriority w:val="0"/>
    <w:rPr>
      <w:rFonts w:ascii="Times New Roman" w:hAnsi="Times New Roman"/>
      <w:b/>
      <w:bCs/>
      <w:kern w:val="2"/>
      <w:sz w:val="32"/>
      <w:szCs w:val="32"/>
    </w:rPr>
  </w:style>
  <w:style w:type="character" w:customStyle="1" w:styleId="33">
    <w:name w:val="正文文本缩进 Char"/>
    <w:basedOn w:val="19"/>
    <w:link w:val="7"/>
    <w:qFormat/>
    <w:uiPriority w:val="0"/>
    <w:rPr>
      <w:rFonts w:ascii="Times New Roman" w:hAnsi="Times New Roman"/>
      <w:kern w:val="2"/>
      <w:sz w:val="21"/>
      <w:szCs w:val="24"/>
    </w:rPr>
  </w:style>
  <w:style w:type="character" w:customStyle="1" w:styleId="34">
    <w:name w:val="页眉 Char"/>
    <w:basedOn w:val="19"/>
    <w:link w:val="11"/>
    <w:qFormat/>
    <w:uiPriority w:val="0"/>
    <w:rPr>
      <w:rFonts w:ascii="Times New Roman" w:hAnsi="Times New Roman"/>
      <w:kern w:val="2"/>
      <w:sz w:val="18"/>
      <w:szCs w:val="24"/>
    </w:rPr>
  </w:style>
  <w:style w:type="character" w:customStyle="1" w:styleId="35">
    <w:name w:val="正文首行缩进 2 Char"/>
    <w:basedOn w:val="33"/>
    <w:link w:val="16"/>
    <w:qFormat/>
    <w:uiPriority w:val="0"/>
    <w:rPr>
      <w:rFonts w:ascii="Times New Roman" w:hAnsi="Times New Roman"/>
      <w:kern w:val="2"/>
      <w:sz w:val="21"/>
      <w:szCs w:val="24"/>
    </w:rPr>
  </w:style>
  <w:style w:type="table" w:customStyle="1" w:styleId="36">
    <w:name w:val="网格型1"/>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7">
    <w:name w:val="_Style 1"/>
    <w:basedOn w:val="1"/>
    <w:qFormat/>
    <w:uiPriority w:val="0"/>
    <w:rPr>
      <w:rFonts w:ascii="Verdana" w:hAnsi="Verdana"/>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AF7CCF-BB09-4ABA-9747-22C66B9005F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131</Pages>
  <Words>10316</Words>
  <Characters>58807</Characters>
  <Lines>490</Lines>
  <Paragraphs>137</Paragraphs>
  <TotalTime>2675</TotalTime>
  <ScaleCrop>false</ScaleCrop>
  <LinksUpToDate>false</LinksUpToDate>
  <CharactersWithSpaces>68986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2021-01-28T07:00:00Z</dcterms:created>
  <dc:creator>付诗雨</dc:creator>
  <cp:lastModifiedBy>杨洋</cp:lastModifiedBy>
  <cp:lastPrinted>2021-11-02T06:56:00Z</cp:lastPrinted>
  <dcterms:modified xsi:type="dcterms:W3CDTF">2024-04-07T08:56:07Z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5B841ECC9F10427A9A54EC9403E001F0</vt:lpwstr>
  </property>
</Properties>
</file>