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83E42">
      <w:pPr>
        <w:jc w:val="right"/>
        <w:rPr>
          <w:rFonts w:ascii="宋体" w:hAnsi="宋体" w:cs="宋体"/>
          <w:b/>
          <w:spacing w:val="12"/>
          <w:w w:val="55"/>
          <w:kern w:val="13"/>
          <w:sz w:val="32"/>
          <w:szCs w:val="32"/>
        </w:rPr>
      </w:pPr>
      <w:r>
        <w:rPr>
          <w:rFonts w:hint="eastAsia" w:ascii="宋体" w:hAnsi="宋体" w:cs="宋体"/>
          <w:b/>
          <w:spacing w:val="12"/>
          <w:w w:val="55"/>
          <w:kern w:val="13"/>
          <w:sz w:val="32"/>
          <w:szCs w:val="32"/>
        </w:rPr>
        <w:t>同意公开</w:t>
      </w:r>
    </w:p>
    <w:p w14:paraId="74574E5B">
      <w:pPr>
        <w:jc w:val="center"/>
        <w:rPr>
          <w:rFonts w:ascii="宋体" w:hAnsi="宋体" w:cs="宋体"/>
          <w:b/>
          <w:color w:val="FF0000"/>
          <w:spacing w:val="12"/>
          <w:w w:val="55"/>
          <w:kern w:val="13"/>
          <w:sz w:val="110"/>
          <w:szCs w:val="110"/>
        </w:rPr>
      </w:pPr>
      <w:r>
        <w:rPr>
          <w:rFonts w:hint="eastAsia" w:ascii="宋体" w:hAnsi="宋体" w:cs="宋体"/>
          <w:b/>
          <w:color w:val="FF0000"/>
          <w:spacing w:val="12"/>
          <w:w w:val="55"/>
          <w:kern w:val="13"/>
          <w:sz w:val="110"/>
          <w:szCs w:val="110"/>
        </w:rPr>
        <w:t>沈阳市浑南区水务事务服务中心</w:t>
      </w:r>
    </w:p>
    <w:p w14:paraId="51C5800F">
      <w:pPr>
        <w:ind w:firstLine="6240" w:firstLineChars="1950"/>
        <w:jc w:val="left"/>
        <w:rPr>
          <w:rFonts w:ascii="楷体" w:hAnsi="楷体" w:eastAsia="仿宋_GB2312"/>
          <w:color w:val="FF0000"/>
          <w:sz w:val="32"/>
        </w:rPr>
      </w:pPr>
      <w:r>
        <w:rPr>
          <w:rFonts w:hint="eastAsia" w:ascii="仿宋" w:hAnsi="仿宋" w:eastAsia="仿宋"/>
          <w:bCs/>
          <w:sz w:val="32"/>
        </w:rPr>
        <w:t>签发人：</w:t>
      </w:r>
      <w:r>
        <w:rPr>
          <w:rFonts w:hint="eastAsia" w:ascii="楷体" w:hAnsi="楷体" w:eastAsia="楷体" w:cs="楷体"/>
          <w:bCs/>
          <w:sz w:val="32"/>
        </w:rPr>
        <w:t>孔  皓</w:t>
      </w:r>
    </w:p>
    <w:p w14:paraId="43066AD6">
      <w:pPr>
        <w:spacing w:after="156" w:afterLines="50"/>
        <w:jc w:val="left"/>
        <w:rPr>
          <w:b/>
          <w:bCs/>
          <w:sz w:val="44"/>
          <w:szCs w:val="44"/>
        </w:rPr>
      </w:pPr>
      <w:r>
        <w:rPr>
          <w:rFonts w:ascii="仿宋_GB2312" w:eastAsia="仿宋_GB2312"/>
          <w:b/>
          <w:bCs/>
          <w:color w:val="FF0000"/>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29210</wp:posOffset>
                </wp:positionV>
                <wp:extent cx="5704840" cy="0"/>
                <wp:effectExtent l="0" t="13970" r="10160" b="16510"/>
                <wp:wrapNone/>
                <wp:docPr id="31" name="Line 2"/>
                <wp:cNvGraphicFramePr/>
                <a:graphic xmlns:a="http://schemas.openxmlformats.org/drawingml/2006/main">
                  <a:graphicData uri="http://schemas.microsoft.com/office/word/2010/wordprocessingShape">
                    <wps:wsp>
                      <wps:cNvCnPr>
                        <a:cxnSpLocks noChangeShapeType="1"/>
                      </wps:cNvCnPr>
                      <wps:spPr bwMode="auto">
                        <a:xfrm>
                          <a:off x="0" y="0"/>
                          <a:ext cx="570484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3.3pt;margin-top:2.3pt;height:0pt;width:449.2pt;z-index:251659264;mso-width-relative:page;mso-height-relative:page;" filled="f" stroked="t" coordsize="21600,21600" o:gfxdata="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ZvXbUAAAABgEAAA8AAAAAAAAAAQAgAAAAIgAAAGRycy9k&#10;b3ducmV2LnhtbFBLAQIUABQAAAAIAIdO4kArzGtozQEAAKEDAAAOAAAAAAAAAAEAIAAAACMBAABk&#10;cnMvZTJvRG9jLnhtbFBLBQYAAAAABgAGAFkBAABiBQAAAAA=&#10;">
                <v:fill on="f" focussize="0,0"/>
                <v:stroke weight="2.25pt" color="#FF0000" joinstyle="round"/>
                <v:imagedata o:title=""/>
                <o:lock v:ext="edit" aspectratio="f"/>
              </v:line>
            </w:pict>
          </mc:Fallback>
        </mc:AlternateContent>
      </w:r>
    </w:p>
    <w:p w14:paraId="659D2FF9">
      <w:pPr>
        <w:widowControl/>
        <w:spacing w:line="600" w:lineRule="exact"/>
        <w:jc w:val="center"/>
        <w:rPr>
          <w:rFonts w:hint="eastAsia" w:ascii="宋体" w:hAnsi="宋体" w:eastAsia="宋体" w:cs="宋体"/>
          <w:b/>
          <w:bCs w:val="0"/>
          <w:color w:val="000000"/>
          <w:kern w:val="0"/>
          <w:sz w:val="44"/>
          <w:szCs w:val="44"/>
          <w:lang w:eastAsia="zh-CN" w:bidi="ar"/>
        </w:rPr>
      </w:pPr>
      <w:r>
        <w:rPr>
          <w:rFonts w:hint="eastAsia" w:ascii="宋体" w:hAnsi="宋体" w:eastAsia="宋体" w:cs="宋体"/>
          <w:b/>
          <w:bCs w:val="0"/>
          <w:color w:val="000000"/>
          <w:kern w:val="0"/>
          <w:sz w:val="44"/>
          <w:szCs w:val="44"/>
          <w:lang w:eastAsia="zh-CN" w:bidi="ar"/>
        </w:rPr>
        <w:t>关于守护基本农田安全扩修河道建议</w:t>
      </w:r>
    </w:p>
    <w:p w14:paraId="3FB74295">
      <w:pPr>
        <w:widowControl/>
        <w:spacing w:line="600" w:lineRule="exact"/>
        <w:jc w:val="center"/>
        <w:rPr>
          <w:rFonts w:hint="eastAsia" w:ascii="宋体" w:hAnsi="宋体" w:eastAsia="宋体" w:cs="宋体"/>
          <w:b/>
          <w:bCs w:val="0"/>
          <w:color w:val="000000"/>
          <w:kern w:val="0"/>
          <w:sz w:val="44"/>
          <w:szCs w:val="44"/>
          <w:lang w:eastAsia="zh-CN" w:bidi="ar"/>
        </w:rPr>
      </w:pPr>
      <w:bookmarkStart w:id="0" w:name="_GoBack"/>
      <w:bookmarkEnd w:id="0"/>
      <w:r>
        <w:rPr>
          <w:rFonts w:hint="eastAsia" w:ascii="宋体" w:hAnsi="宋体" w:eastAsia="宋体" w:cs="宋体"/>
          <w:b/>
          <w:bCs w:val="0"/>
          <w:color w:val="000000"/>
          <w:kern w:val="0"/>
          <w:sz w:val="44"/>
          <w:szCs w:val="44"/>
          <w:lang w:eastAsia="zh-CN" w:bidi="ar"/>
        </w:rPr>
        <w:t>（第</w:t>
      </w:r>
      <w:r>
        <w:rPr>
          <w:rFonts w:hint="eastAsia" w:ascii="宋体" w:hAnsi="宋体" w:eastAsia="宋体" w:cs="宋体"/>
          <w:b/>
          <w:bCs w:val="0"/>
          <w:color w:val="000000"/>
          <w:kern w:val="0"/>
          <w:sz w:val="44"/>
          <w:szCs w:val="44"/>
          <w:lang w:val="en-US" w:eastAsia="zh-CN" w:bidi="ar"/>
        </w:rPr>
        <w:t>0116号</w:t>
      </w:r>
      <w:r>
        <w:rPr>
          <w:rFonts w:hint="eastAsia" w:ascii="宋体" w:hAnsi="宋体" w:eastAsia="宋体" w:cs="宋体"/>
          <w:b/>
          <w:bCs w:val="0"/>
          <w:color w:val="000000"/>
          <w:kern w:val="0"/>
          <w:sz w:val="44"/>
          <w:szCs w:val="44"/>
          <w:lang w:eastAsia="zh-CN" w:bidi="ar"/>
        </w:rPr>
        <w:t>）的答复</w:t>
      </w:r>
    </w:p>
    <w:p w14:paraId="089D9086">
      <w:pPr>
        <w:spacing w:line="540" w:lineRule="exact"/>
        <w:rPr>
          <w:rFonts w:hint="eastAsia" w:ascii="仿宋_GB2312" w:hAnsi="宋体" w:eastAsia="仿宋_GB2312"/>
          <w:sz w:val="32"/>
          <w:szCs w:val="32"/>
        </w:rPr>
      </w:pPr>
    </w:p>
    <w:p w14:paraId="4C12C777">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2312"/>
          <w:color w:val="000000"/>
          <w:kern w:val="0"/>
          <w:sz w:val="32"/>
          <w:highlight w:val="none"/>
          <w:lang w:eastAsia="zh-CN" w:bidi="ar"/>
        </w:rPr>
      </w:pPr>
      <w:r>
        <w:rPr>
          <w:rFonts w:hint="eastAsia" w:ascii="Times New Roman" w:hAnsi="Times New Roman" w:eastAsia="方正仿宋_GB2312"/>
          <w:color w:val="000000"/>
          <w:kern w:val="0"/>
          <w:sz w:val="32"/>
          <w:highlight w:val="none"/>
          <w:lang w:eastAsia="zh-CN" w:bidi="ar"/>
        </w:rPr>
        <w:t>王连勇</w:t>
      </w:r>
      <w:r>
        <w:rPr>
          <w:rFonts w:hint="eastAsia" w:ascii="Times New Roman" w:hAnsi="Times New Roman" w:eastAsia="方正仿宋_GB2312"/>
          <w:color w:val="000000"/>
          <w:kern w:val="0"/>
          <w:sz w:val="32"/>
          <w:highlight w:val="none"/>
          <w:lang w:val="en-US" w:eastAsia="zh-CN" w:bidi="ar"/>
        </w:rPr>
        <w:t>代表</w:t>
      </w:r>
      <w:r>
        <w:rPr>
          <w:rFonts w:hint="eastAsia" w:ascii="Times New Roman" w:hAnsi="Times New Roman" w:eastAsia="方正仿宋_GB2312"/>
          <w:color w:val="000000"/>
          <w:kern w:val="0"/>
          <w:sz w:val="32"/>
          <w:highlight w:val="none"/>
          <w:lang w:eastAsia="zh-CN" w:bidi="ar"/>
        </w:rPr>
        <w:t>：</w:t>
      </w:r>
    </w:p>
    <w:p w14:paraId="3925D2D5">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sz w:val="32"/>
          <w:highlight w:val="none"/>
        </w:rPr>
      </w:pPr>
      <w:r>
        <w:rPr>
          <w:rFonts w:hint="eastAsia" w:ascii="Times New Roman" w:hAnsi="Times New Roman" w:eastAsia="方正仿宋_GB2312"/>
          <w:color w:val="000000"/>
          <w:kern w:val="0"/>
          <w:sz w:val="32"/>
          <w:highlight w:val="none"/>
          <w:lang w:eastAsia="zh-CN" w:bidi="ar"/>
        </w:rPr>
        <w:t>您提出的关于守护基本农田安全扩修河道的建议</w:t>
      </w:r>
      <w:r>
        <w:rPr>
          <w:rFonts w:hint="eastAsia" w:ascii="Times New Roman" w:hAnsi="Times New Roman" w:eastAsia="方正仿宋_GB2312"/>
          <w:color w:val="000000"/>
          <w:kern w:val="0"/>
          <w:sz w:val="32"/>
          <w:highlight w:val="none"/>
          <w:lang w:val="en-US" w:eastAsia="zh-CN" w:bidi="ar"/>
        </w:rPr>
        <w:t>已收悉，浑南区政府高度重视。经研究，现答复如下：</w:t>
      </w:r>
    </w:p>
    <w:p w14:paraId="4904E59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highlight w:val="none"/>
        </w:rPr>
      </w:pPr>
      <w:r>
        <w:rPr>
          <w:rFonts w:hint="eastAsia" w:ascii="黑体" w:hAnsi="黑体" w:eastAsia="黑体" w:cs="黑体"/>
          <w:sz w:val="32"/>
          <w:highlight w:val="none"/>
        </w:rPr>
        <w:t>一、基本情况</w:t>
      </w:r>
    </w:p>
    <w:p w14:paraId="64723F36">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蒲河是浑河右岸主要一级支流，也是流经沈阳市境内中型河流中最大的一条，贯穿沈阳市中部产粮区。</w:t>
      </w:r>
    </w:p>
    <w:p w14:paraId="23E27376">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蒲河从沈阳市浑南区满堂街道的古砬子村进入沈阳境内。从铁岭县百贯屯出发，流到这里作为流入沈阳的第一站。之后它经棋盘山水库，自东北向西南贯穿全市。从古砬子村到棋盘山水库这段流域，蒲河生态环境脆弱，河道水面面积较小，不利于河流生态环境的保护。</w:t>
      </w:r>
    </w:p>
    <w:p w14:paraId="12570CD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000000"/>
          <w:kern w:val="0"/>
          <w:sz w:val="32"/>
          <w:highlight w:val="none"/>
          <w:lang w:bidi="ar"/>
        </w:rPr>
      </w:pPr>
      <w:r>
        <w:rPr>
          <w:rFonts w:hint="eastAsia" w:ascii="黑体" w:hAnsi="黑体" w:eastAsia="黑体" w:cs="黑体"/>
          <w:sz w:val="32"/>
          <w:highlight w:val="none"/>
        </w:rPr>
        <w:t>二、工作开展情况</w:t>
      </w:r>
    </w:p>
    <w:p w14:paraId="5C9B8CB0">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接到王连勇代表“关于守护基本农田安全扩修河道的建议”后，我中心第一时间组织人员、现场勘察2次、累计出动4人，2辆专车、用时2天，进行现场踏勘。目前，王连勇代表提出的“棋盘山东部山区蒲河局部小流域因河道断面狭窄，长期淤积，行洪排涝能力严重不足，每逢汛期水流湍急受阻，多次冲毁沿岸基本农田，导致农作物绝收，直接损害村民切身利益，制约乡村农业可持续发展。”的问题，已悉知。</w:t>
      </w:r>
    </w:p>
    <w:p w14:paraId="27F4D7D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2024年浑南区水务事务服务中心针对蒲河上游问题，立项组织开展了沈阳市浑南区蒲河防洪排涝治理工程。建设地点位于沈阳市境内蒲河干流兴国桥国考断面上游自古拉子村入境至棋盘山水库入湖口，即棋盘山东部山区蒲河段。</w:t>
      </w:r>
    </w:p>
    <w:p w14:paraId="52CEADA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工程总投资</w:t>
      </w:r>
      <w:r>
        <w:rPr>
          <w:rFonts w:hint="default" w:ascii="Times New Roman" w:hAnsi="Times New Roman" w:eastAsia="方正仿宋_GB2312" w:cs="仿宋_GB2312"/>
          <w:sz w:val="32"/>
          <w:highlight w:val="none"/>
          <w:lang w:val="en-US" w:eastAsia="zh-CN"/>
        </w:rPr>
        <w:t>5635.69</w:t>
      </w:r>
      <w:r>
        <w:rPr>
          <w:rFonts w:hint="eastAsia" w:ascii="Times New Roman" w:hAnsi="Times New Roman" w:eastAsia="方正仿宋_GB2312" w:cs="仿宋_GB2312"/>
          <w:sz w:val="32"/>
          <w:highlight w:val="none"/>
          <w:lang w:val="en-US" w:eastAsia="zh-CN"/>
        </w:rPr>
        <w:t>万元，主要建设内容为：蒲河防洪排涝治理长度</w:t>
      </w:r>
      <w:r>
        <w:rPr>
          <w:rFonts w:hint="default" w:ascii="Times New Roman" w:hAnsi="Times New Roman" w:eastAsia="方正仿宋_GB2312" w:cs="仿宋_GB2312"/>
          <w:sz w:val="32"/>
          <w:highlight w:val="none"/>
          <w:lang w:val="en-US" w:eastAsia="zh-CN"/>
        </w:rPr>
        <w:t>11.431km</w:t>
      </w:r>
      <w:r>
        <w:rPr>
          <w:rFonts w:hint="eastAsia" w:ascii="Times New Roman" w:hAnsi="Times New Roman" w:eastAsia="方正仿宋_GB2312" w:cs="仿宋_GB2312"/>
          <w:sz w:val="32"/>
          <w:highlight w:val="none"/>
          <w:lang w:val="en-US" w:eastAsia="zh-CN"/>
        </w:rPr>
        <w:t>，干流长度</w:t>
      </w:r>
      <w:r>
        <w:rPr>
          <w:rFonts w:hint="default" w:ascii="Times New Roman" w:hAnsi="Times New Roman" w:eastAsia="方正仿宋_GB2312" w:cs="仿宋_GB2312"/>
          <w:sz w:val="32"/>
          <w:highlight w:val="none"/>
          <w:lang w:val="en-US" w:eastAsia="zh-CN"/>
        </w:rPr>
        <w:t>8.615km</w:t>
      </w:r>
      <w:r>
        <w:rPr>
          <w:rFonts w:hint="eastAsia" w:ascii="Times New Roman" w:hAnsi="Times New Roman" w:eastAsia="方正仿宋_GB2312" w:cs="仿宋_GB2312"/>
          <w:sz w:val="32"/>
          <w:highlight w:val="none"/>
          <w:lang w:val="en-US" w:eastAsia="zh-CN"/>
        </w:rPr>
        <w:t>，支流长度</w:t>
      </w:r>
      <w:r>
        <w:rPr>
          <w:rFonts w:hint="default" w:ascii="Times New Roman" w:hAnsi="Times New Roman" w:eastAsia="方正仿宋_GB2312" w:cs="仿宋_GB2312"/>
          <w:sz w:val="32"/>
          <w:highlight w:val="none"/>
          <w:lang w:val="en-US" w:eastAsia="zh-CN"/>
        </w:rPr>
        <w:t>2.825km</w:t>
      </w:r>
      <w:r>
        <w:rPr>
          <w:rFonts w:hint="eastAsia" w:ascii="Times New Roman" w:hAnsi="Times New Roman" w:eastAsia="方正仿宋_GB2312" w:cs="仿宋_GB2312"/>
          <w:sz w:val="32"/>
          <w:highlight w:val="none"/>
          <w:lang w:val="en-US" w:eastAsia="zh-CN"/>
        </w:rPr>
        <w:t>，包括河道疏浚、护岸、拦蓄水建筑物、农桥等水利工程。</w:t>
      </w:r>
    </w:p>
    <w:p w14:paraId="5262A76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本次浑南区蒲河防洪排涝治理工程以防洪提升为核心，以生态修复为抓手，以蒲河水系现有骨干架构为基础，清岸线、提效能，确保河流村屯区域防洪稳定达标；优生态、增活力，建设高品质宜居蒲河，不断增强人民群众幸福感、获得感，持续提升和巩固蒲河水系生态系统质量和稳定性，实现“水安全有效保障、水资源永续利用、水环境整洁优美、水生态系统健康”的目标。防洪工程，通过提升岸线防护标准，清理河道岸线实现蒲河干流村屯段及险工弯段等按照现状岸坡顶进行护岸。</w:t>
      </w:r>
    </w:p>
    <w:p w14:paraId="39133B4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目前蒲河干流已得到有效治理，但部分山区支流还存在未治理短板，接下来我中心将继续组织勘察设计人员科学制定下一步治理方案，明确治理措施。</w:t>
      </w:r>
    </w:p>
    <w:p w14:paraId="3BC8A11D">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提升蒲河行洪能力的核心在于工程治理与智慧监测相结合。结合沈阳市当前的治理实践，科学的方案通常通过以下几点实现：</w:t>
      </w:r>
    </w:p>
    <w:p w14:paraId="7A901E1B">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 xml:space="preserve"> 1、科学规划明确“标准”</w:t>
      </w:r>
    </w:p>
    <w:p w14:paraId="255002F6">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精准划定岸线：通过水文计算明确河道治理导线，严禁新增阻水建筑物，确保治理后“水走其道”。</w:t>
      </w:r>
    </w:p>
    <w:p w14:paraId="2E8AB9E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2、智慧监测装上“千里眼”</w:t>
      </w:r>
    </w:p>
    <w:p w14:paraId="55DE948A">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全流域实时感知：通过固定视频监控、水位计，实时掌握水位变化，为调度决策提供数据支持。</w:t>
      </w:r>
    </w:p>
    <w:p w14:paraId="40641BD8">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3、严控工程建设质量，筑牢安全防护根基。</w:t>
      </w:r>
    </w:p>
    <w:p w14:paraId="0DEA640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 xml:space="preserve"> 严把“建设关”全过程质量安全监督。通过政府监督、监理旁站、施工自检三重机制实现。</w:t>
      </w:r>
    </w:p>
    <w:p w14:paraId="2AA718C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highlight w:val="none"/>
        </w:rPr>
      </w:pPr>
      <w:r>
        <w:rPr>
          <w:rFonts w:hint="eastAsia" w:ascii="黑体" w:hAnsi="黑体" w:eastAsia="黑体" w:cs="黑体"/>
          <w:sz w:val="32"/>
          <w:highlight w:val="none"/>
        </w:rPr>
        <w:t>三、下一步工作举措</w:t>
      </w:r>
    </w:p>
    <w:p w14:paraId="6240A403">
      <w:pPr>
        <w:pStyle w:val="8"/>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highlight w:val="none"/>
          <w:lang w:val="en-US" w:eastAsia="zh-CN"/>
        </w:rPr>
      </w:pPr>
      <w:r>
        <w:rPr>
          <w:rFonts w:hint="eastAsia" w:ascii="Times New Roman" w:hAnsi="Times New Roman" w:eastAsia="方正仿宋_GB2312" w:cs="仿宋_GB2312"/>
          <w:color w:val="000000"/>
          <w:sz w:val="32"/>
          <w:szCs w:val="32"/>
          <w:highlight w:val="none"/>
          <w:lang w:val="en-US" w:eastAsia="zh-CN"/>
        </w:rPr>
        <w:t>1、组织人员进行区域内支流河道行排查。</w:t>
      </w:r>
    </w:p>
    <w:p w14:paraId="2AADFDC0">
      <w:pPr>
        <w:pStyle w:val="8"/>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highlight w:val="none"/>
          <w:lang w:val="en-US" w:eastAsia="zh-CN"/>
        </w:rPr>
      </w:pPr>
      <w:r>
        <w:rPr>
          <w:rFonts w:hint="eastAsia" w:ascii="Times New Roman" w:hAnsi="Times New Roman" w:eastAsia="方正仿宋_GB2312" w:cs="仿宋_GB2312"/>
          <w:color w:val="000000"/>
          <w:sz w:val="32"/>
          <w:szCs w:val="32"/>
          <w:highlight w:val="none"/>
          <w:lang w:val="en-US" w:eastAsia="zh-CN"/>
        </w:rPr>
        <w:t>2、对区域内收集数据及问题进行科学的分析进行数据整理。</w:t>
      </w:r>
    </w:p>
    <w:p w14:paraId="51890A52">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color w:val="000000"/>
          <w:sz w:val="32"/>
          <w:szCs w:val="32"/>
          <w:highlight w:val="none"/>
          <w:lang w:val="en-US" w:eastAsia="zh-CN"/>
        </w:rPr>
      </w:pPr>
      <w:r>
        <w:rPr>
          <w:rFonts w:hint="eastAsia" w:ascii="Times New Roman" w:hAnsi="Times New Roman" w:eastAsia="方正仿宋_GB2312" w:cs="仿宋_GB2312"/>
          <w:color w:val="000000"/>
          <w:sz w:val="32"/>
          <w:szCs w:val="32"/>
          <w:highlight w:val="none"/>
          <w:lang w:val="en-US" w:eastAsia="zh-CN"/>
        </w:rPr>
        <w:t>3、根据设计方案开展工程建设前期各项工作。</w:t>
      </w:r>
    </w:p>
    <w:p w14:paraId="611891F2">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cs="仿宋_GB2312"/>
          <w:color w:val="000000"/>
          <w:sz w:val="32"/>
          <w:szCs w:val="32"/>
          <w:lang w:val="en-US" w:eastAsia="zh-CN"/>
        </w:rPr>
      </w:pPr>
      <w:r>
        <w:rPr>
          <w:rFonts w:hint="eastAsia" w:ascii="Times New Roman" w:hAnsi="Times New Roman" w:eastAsia="方正仿宋_GB2312" w:cs="仿宋_GB2312"/>
          <w:color w:val="000000"/>
          <w:sz w:val="32"/>
          <w:szCs w:val="32"/>
          <w:highlight w:val="none"/>
          <w:lang w:val="en-US" w:eastAsia="zh-CN"/>
        </w:rPr>
        <w:t>4、通过河道的综合治理，增强河道的生态净化能力，改善河道生态环境。</w:t>
      </w:r>
    </w:p>
    <w:p w14:paraId="6480CDE1">
      <w:pPr>
        <w:pStyle w:val="8"/>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lang w:val="en-US" w:eastAsia="zh-CN"/>
        </w:rPr>
      </w:pPr>
      <w:r>
        <w:rPr>
          <w:rFonts w:hint="eastAsia" w:ascii="Times New Roman" w:hAnsi="Times New Roman" w:eastAsia="方正仿宋_GB2312" w:cs="仿宋_GB2312"/>
          <w:color w:val="000000"/>
          <w:sz w:val="32"/>
          <w:szCs w:val="32"/>
          <w:lang w:val="en-US" w:eastAsia="zh-CN"/>
        </w:rPr>
        <w:t>感谢您对浑南区发展建设的关心和支持。</w:t>
      </w:r>
    </w:p>
    <w:p w14:paraId="4D4E2416">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Times New Roman" w:hAnsi="Times New Roman" w:eastAsia="方正仿宋_GB2312"/>
          <w:sz w:val="32"/>
        </w:rPr>
      </w:pPr>
    </w:p>
    <w:p w14:paraId="54E77B8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sz w:val="32"/>
        </w:rPr>
      </w:pPr>
      <w:r>
        <w:rPr>
          <w:rFonts w:hint="eastAsia" w:ascii="Times New Roman" w:hAnsi="Times New Roman" w:eastAsia="方正仿宋_GB2312"/>
          <w:sz w:val="32"/>
        </w:rPr>
        <w:t xml:space="preserve">    </w:t>
      </w:r>
    </w:p>
    <w:p w14:paraId="7C8042BD">
      <w:pPr>
        <w:keepNext w:val="0"/>
        <w:keepLines w:val="0"/>
        <w:pageBreakBefore w:val="0"/>
        <w:kinsoku/>
        <w:wordWrap/>
        <w:overflowPunct/>
        <w:topLinePunct w:val="0"/>
        <w:autoSpaceDE/>
        <w:autoSpaceDN/>
        <w:bidi w:val="0"/>
        <w:adjustRightInd/>
        <w:snapToGrid/>
        <w:spacing w:line="579" w:lineRule="exact"/>
        <w:ind w:firstLine="3840" w:firstLineChars="1200"/>
        <w:jc w:val="left"/>
        <w:textAlignment w:val="auto"/>
        <w:rPr>
          <w:rFonts w:hint="default" w:ascii="Times New Roman" w:hAnsi="Times New Roman" w:eastAsia="方正仿宋_GB2312"/>
          <w:sz w:val="32"/>
          <w:lang w:val="en-US" w:eastAsia="zh-CN"/>
        </w:rPr>
      </w:pPr>
      <w:r>
        <w:rPr>
          <w:rFonts w:hint="eastAsia" w:ascii="Times New Roman" w:hAnsi="Times New Roman" w:eastAsia="方正仿宋_GB2312"/>
          <w:sz w:val="32"/>
        </w:rPr>
        <w:t>沈阳市浑南区</w:t>
      </w:r>
      <w:r>
        <w:rPr>
          <w:rFonts w:hint="eastAsia" w:ascii="Times New Roman" w:hAnsi="Times New Roman" w:eastAsia="方正仿宋_GB2312"/>
          <w:sz w:val="32"/>
          <w:lang w:val="en-US" w:eastAsia="zh-CN"/>
        </w:rPr>
        <w:t>水务事务服务中心</w:t>
      </w:r>
    </w:p>
    <w:p w14:paraId="37333AA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sz w:val="32"/>
        </w:rPr>
      </w:pPr>
      <w:r>
        <w:rPr>
          <w:rFonts w:hint="eastAsia" w:ascii="Times New Roman" w:hAnsi="Times New Roman" w:eastAsia="方正仿宋_GB2312"/>
          <w:sz w:val="32"/>
        </w:rPr>
        <w:t xml:space="preserve">                              202</w:t>
      </w:r>
      <w:r>
        <w:rPr>
          <w:rFonts w:hint="eastAsia" w:ascii="Times New Roman" w:hAnsi="Times New Roman" w:eastAsia="方正仿宋_GB2312"/>
          <w:sz w:val="32"/>
          <w:lang w:val="en-US" w:eastAsia="zh-CN"/>
        </w:rPr>
        <w:t>6</w:t>
      </w:r>
      <w:r>
        <w:rPr>
          <w:rFonts w:hint="eastAsia" w:ascii="Times New Roman" w:hAnsi="Times New Roman" w:eastAsia="方正仿宋_GB2312"/>
          <w:sz w:val="32"/>
        </w:rPr>
        <w:t>年</w:t>
      </w:r>
      <w:r>
        <w:rPr>
          <w:rFonts w:hint="eastAsia" w:ascii="Times New Roman" w:hAnsi="Times New Roman" w:eastAsia="方正仿宋_GB2312"/>
          <w:sz w:val="32"/>
          <w:lang w:val="en-US" w:eastAsia="zh-CN"/>
        </w:rPr>
        <w:t>5</w:t>
      </w:r>
      <w:r>
        <w:rPr>
          <w:rFonts w:hint="eastAsia" w:ascii="Times New Roman" w:hAnsi="Times New Roman" w:eastAsia="方正仿宋_GB2312"/>
          <w:sz w:val="32"/>
        </w:rPr>
        <w:t>月</w:t>
      </w:r>
      <w:r>
        <w:rPr>
          <w:rFonts w:hint="eastAsia" w:ascii="Times New Roman" w:hAnsi="Times New Roman" w:eastAsia="方正仿宋_GB2312"/>
          <w:sz w:val="32"/>
          <w:lang w:val="en-US" w:eastAsia="zh-CN"/>
        </w:rPr>
        <w:t>27</w:t>
      </w:r>
      <w:r>
        <w:rPr>
          <w:rFonts w:hint="eastAsia" w:ascii="Times New Roman" w:hAnsi="Times New Roman" w:eastAsia="方正仿宋_GB2312"/>
          <w:sz w:val="32"/>
        </w:rPr>
        <w:t>日</w:t>
      </w:r>
    </w:p>
    <w:p w14:paraId="2E15B47B">
      <w:pPr>
        <w:ind w:firstLine="4480" w:firstLineChars="1400"/>
      </w:pPr>
      <w:r>
        <w:rPr>
          <w:rFonts w:hint="eastAsia" w:ascii="仿宋" w:hAnsi="仿宋" w:eastAsia="仿宋" w:cs="仿宋"/>
          <w:sz w:val="32"/>
          <w:szCs w:val="32"/>
        </w:rPr>
        <w:t xml:space="preserve">      </w:t>
      </w:r>
      <w:r>
        <w:rPr>
          <w:rFonts w:hint="eastAsia" w:ascii="仿宋_GB2312" w:eastAsia="仿宋_GB2312"/>
          <w:sz w:val="32"/>
          <w:szCs w:val="32"/>
        </w:rPr>
        <w:t xml:space="preserve"> </w:t>
      </w:r>
    </w:p>
    <w:sectPr>
      <w:footerReference r:id="rId3" w:type="default"/>
      <w:footerReference r:id="rId4" w:type="even"/>
      <w:pgSz w:w="11907" w:h="16840"/>
      <w:pgMar w:top="2098" w:right="1474" w:bottom="1984" w:left="1588" w:header="851" w:footer="170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72653"/>
    </w:sdtPr>
    <w:sdtContent>
      <w:p w14:paraId="2C6486B5">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4111DBC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399C">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6E5223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E0F27"/>
    <w:rsid w:val="014B00A9"/>
    <w:rsid w:val="107D5149"/>
    <w:rsid w:val="1CBE0F27"/>
    <w:rsid w:val="4CAC5C56"/>
    <w:rsid w:val="4D4F7AEF"/>
    <w:rsid w:val="64FB1858"/>
    <w:rsid w:val="D27E6598"/>
    <w:rsid w:val="FEFD8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BodyText"/>
    <w:basedOn w:val="1"/>
    <w:qFormat/>
    <w:uiPriority w:val="0"/>
    <w:pPr>
      <w:spacing w:after="120"/>
      <w:textAlignment w:val="baseline"/>
    </w:pPr>
  </w:style>
  <w:style w:type="paragraph" w:styleId="8">
    <w:name w:val="List Paragraph"/>
    <w:basedOn w:val="1"/>
    <w:qFormat/>
    <w:uiPriority w:val="99"/>
    <w:pPr>
      <w:widowControl/>
      <w:adjustRightInd w:val="0"/>
      <w:snapToGrid w:val="0"/>
      <w:spacing w:after="20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261</Characters>
  <Lines>0</Lines>
  <Paragraphs>0</Paragraphs>
  <TotalTime>83</TotalTime>
  <ScaleCrop>false</ScaleCrop>
  <LinksUpToDate>false</LinksUpToDate>
  <CharactersWithSpaces>313</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2025-03-28T00:52:00Z</dcterms:created>
  <dc:creator>The Contient</dc:creator>
  <cp:lastModifiedBy>大☀</cp:lastModifiedBy>
  <cp:lastPrinted>2026-05-29T23:08:00Z</cp:lastPrinted>
  <dcterms:modified xsi:type="dcterms:W3CDTF">2026-06-22T12:35:19Z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272EB507BD9CD7EA7E98176A483AC562_43</vt:lpwstr>
  </property>
  <property fmtid="{D5CDD505-2E9C-101B-9397-08002B2CF9AE}" pid="4" name="KSOTemplateDocerSaveRecord">
    <vt:lpwstr>eyJoZGlkIjoiZjNiOGNhMzg5NGNlYmIzZjE5MmZhZDg3MGQ1OGNhYmIiLCJ1c2VySWQiOiIxMTQ1NTM0OTE0In0=</vt:lpwstr>
  </property>
</Properties>
</file>