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69D6B">
      <w:pPr>
        <w:pStyle w:val="12"/>
        <w:rPr>
          <w:rFonts w:ascii="宋体" w:hAnsi="宋体"/>
          <w:b/>
          <w:bCs/>
          <w:i w:val="0"/>
          <w:iCs w:val="0"/>
          <w:kern w:val="0"/>
          <w:sz w:val="32"/>
          <w:szCs w:val="32"/>
          <w:lang w:val="zh-CN"/>
        </w:rPr>
      </w:pPr>
      <w:r>
        <w:rPr>
          <w:rFonts w:hint="eastAsia" w:ascii="宋体" w:hAnsi="宋体"/>
          <w:b/>
          <w:bCs/>
          <w:i w:val="0"/>
          <w:iCs w:val="0"/>
          <w:sz w:val="32"/>
          <w:szCs w:val="32"/>
          <w:lang w:val="zh-CN"/>
        </w:rPr>
        <w:t>沈阳市浑南区</w:t>
      </w:r>
      <w:r>
        <w:rPr>
          <w:rFonts w:hint="eastAsia" w:ascii="宋体" w:hAnsi="宋体"/>
          <w:b/>
          <w:bCs/>
          <w:i w:val="0"/>
          <w:iCs w:val="0"/>
          <w:kern w:val="0"/>
          <w:sz w:val="32"/>
          <w:szCs w:val="32"/>
          <w:lang w:val="zh-CN"/>
        </w:rPr>
        <w:t>2019年</w:t>
      </w:r>
    </w:p>
    <w:p w14:paraId="766200C3">
      <w:pPr>
        <w:autoSpaceDE w:val="0"/>
        <w:autoSpaceDN w:val="0"/>
        <w:adjustRightInd w:val="0"/>
        <w:spacing w:line="360" w:lineRule="auto"/>
        <w:jc w:val="center"/>
        <w:rPr>
          <w:rFonts w:ascii="楷体_GB2312" w:hAnsi="Times New Roman" w:eastAsia="楷体_GB2312"/>
          <w:b/>
          <w:bCs/>
          <w:color w:val="000000"/>
          <w:sz w:val="32"/>
          <w:szCs w:val="32"/>
        </w:rPr>
      </w:pPr>
      <w:r>
        <w:rPr>
          <w:rFonts w:hint="eastAsia" w:ascii="宋体" w:hAnsi="宋体" w:cs="黑体"/>
          <w:b/>
          <w:color w:val="000000"/>
          <w:kern w:val="0"/>
          <w:sz w:val="32"/>
          <w:szCs w:val="32"/>
          <w:lang w:val="zh-CN"/>
        </w:rPr>
        <w:t>国民经济和社会发展</w:t>
      </w:r>
      <w:r>
        <w:rPr>
          <w:rFonts w:hint="eastAsia" w:ascii="宋体" w:hAnsi="宋体" w:cs="黑体"/>
          <w:b/>
          <w:color w:val="000000"/>
          <w:sz w:val="32"/>
          <w:szCs w:val="32"/>
          <w:lang w:val="zh-CN"/>
        </w:rPr>
        <w:t>统计公报</w:t>
      </w:r>
    </w:p>
    <w:p w14:paraId="28C43273">
      <w:pPr>
        <w:autoSpaceDE w:val="0"/>
        <w:autoSpaceDN w:val="0"/>
        <w:adjustRightInd w:val="0"/>
        <w:spacing w:line="360" w:lineRule="auto"/>
        <w:ind w:firstLine="584"/>
        <w:rPr>
          <w:rFonts w:ascii="楷体" w:hAnsi="楷体" w:eastAsia="楷体" w:cs="宋体"/>
          <w:color w:val="000000"/>
          <w:spacing w:val="6"/>
          <w:kern w:val="0"/>
          <w:sz w:val="32"/>
          <w:szCs w:val="32"/>
          <w:lang w:val="zh-CN"/>
        </w:rPr>
      </w:pPr>
    </w:p>
    <w:p w14:paraId="09D03821">
      <w:pPr>
        <w:autoSpaceDE w:val="0"/>
        <w:autoSpaceDN w:val="0"/>
        <w:adjustRightInd w:val="0"/>
        <w:spacing w:line="360" w:lineRule="auto"/>
        <w:ind w:firstLine="584"/>
        <w:rPr>
          <w:rFonts w:ascii="楷体" w:hAnsi="楷体" w:eastAsia="楷体" w:cs="宋体"/>
          <w:spacing w:val="6"/>
          <w:kern w:val="0"/>
          <w:sz w:val="32"/>
          <w:szCs w:val="32"/>
        </w:rPr>
      </w:pPr>
      <w:r>
        <w:rPr>
          <w:rFonts w:ascii="楷体" w:hAnsi="楷体" w:eastAsia="楷体" w:cs="宋体"/>
          <w:spacing w:val="6"/>
          <w:kern w:val="0"/>
          <w:sz w:val="32"/>
          <w:szCs w:val="32"/>
          <w:lang w:val="zh-CN"/>
        </w:rPr>
        <w:t>201</w:t>
      </w:r>
      <w:r>
        <w:rPr>
          <w:rFonts w:hint="eastAsia" w:ascii="楷体" w:hAnsi="楷体" w:eastAsia="楷体" w:cs="宋体"/>
          <w:spacing w:val="6"/>
          <w:kern w:val="0"/>
          <w:sz w:val="32"/>
          <w:szCs w:val="32"/>
          <w:lang w:val="zh-CN"/>
        </w:rPr>
        <w:t>9年，</w:t>
      </w:r>
      <w:r>
        <w:rPr>
          <w:rFonts w:ascii="楷体" w:hAnsi="楷体" w:eastAsia="楷体" w:cs="宋体"/>
          <w:spacing w:val="6"/>
          <w:kern w:val="0"/>
          <w:sz w:val="32"/>
          <w:szCs w:val="32"/>
        </w:rPr>
        <w:t>面对严峻复杂的经济形势</w:t>
      </w:r>
      <w:r>
        <w:rPr>
          <w:rFonts w:hint="eastAsia" w:ascii="楷体" w:hAnsi="楷体" w:eastAsia="楷体" w:cs="宋体"/>
          <w:spacing w:val="6"/>
          <w:kern w:val="0"/>
          <w:sz w:val="32"/>
          <w:szCs w:val="32"/>
        </w:rPr>
        <w:t>和机构改革带来的压力，</w:t>
      </w:r>
      <w:r>
        <w:rPr>
          <w:rFonts w:hint="eastAsia" w:ascii="楷体" w:hAnsi="楷体" w:eastAsia="楷体" w:cs="宋体"/>
          <w:spacing w:val="6"/>
          <w:kern w:val="0"/>
          <w:sz w:val="32"/>
          <w:szCs w:val="32"/>
          <w:lang w:val="zh-CN"/>
        </w:rPr>
        <w:t>在区委、区政府的领导下</w:t>
      </w:r>
      <w:r>
        <w:rPr>
          <w:rFonts w:ascii="楷体" w:hAnsi="楷体" w:eastAsia="楷体" w:cs="宋体"/>
          <w:spacing w:val="6"/>
          <w:kern w:val="0"/>
          <w:sz w:val="32"/>
          <w:szCs w:val="32"/>
        </w:rPr>
        <w:t>，</w:t>
      </w:r>
      <w:r>
        <w:rPr>
          <w:rFonts w:hint="eastAsia" w:ascii="楷体" w:hAnsi="楷体" w:eastAsia="楷体" w:cs="宋体"/>
          <w:spacing w:val="6"/>
          <w:kern w:val="0"/>
          <w:sz w:val="32"/>
          <w:szCs w:val="32"/>
        </w:rPr>
        <w:t>聚焦“做大做强高新技术产业，加快推进产城融合发展，全力打造开放创新主阵地”的目标和任务，解放思想、开拓创新、埋头苦干，全区经济社会稳中向好。</w:t>
      </w:r>
    </w:p>
    <w:p w14:paraId="1405EF02">
      <w:pPr>
        <w:autoSpaceDE w:val="0"/>
        <w:autoSpaceDN w:val="0"/>
        <w:adjustRightInd w:val="0"/>
        <w:spacing w:line="360" w:lineRule="auto"/>
        <w:ind w:firstLine="584"/>
        <w:rPr>
          <w:rFonts w:ascii="楷体" w:hAnsi="楷体" w:eastAsia="楷体" w:cs="宋体"/>
          <w:spacing w:val="6"/>
          <w:kern w:val="0"/>
          <w:sz w:val="32"/>
          <w:szCs w:val="32"/>
          <w:lang w:val="zh-CN"/>
        </w:rPr>
      </w:pPr>
      <w:r>
        <w:rPr>
          <w:rFonts w:ascii="楷体" w:hAnsi="楷体" w:eastAsia="楷体" w:cs="宋体"/>
          <w:spacing w:val="6"/>
          <w:kern w:val="0"/>
          <w:sz w:val="32"/>
          <w:szCs w:val="32"/>
        </w:rPr>
        <w:t>全年我区地区生产总值完成</w:t>
      </w:r>
      <w:r>
        <w:rPr>
          <w:rFonts w:hint="eastAsia" w:ascii="楷体" w:hAnsi="楷体" w:eastAsia="楷体" w:cs="宋体"/>
          <w:spacing w:val="6"/>
          <w:kern w:val="0"/>
          <w:sz w:val="32"/>
          <w:szCs w:val="32"/>
        </w:rPr>
        <w:t>5460065万元，比同期增长6.9%。其中：一产业增加值实现60777万元，同比增长3.</w:t>
      </w:r>
      <w:r>
        <w:rPr>
          <w:rFonts w:ascii="楷体" w:hAnsi="楷体" w:eastAsia="楷体" w:cs="宋体"/>
          <w:spacing w:val="6"/>
          <w:kern w:val="0"/>
          <w:sz w:val="32"/>
          <w:szCs w:val="32"/>
        </w:rPr>
        <w:t>8</w:t>
      </w:r>
      <w:r>
        <w:rPr>
          <w:rFonts w:hint="eastAsia" w:ascii="楷体" w:hAnsi="楷体" w:eastAsia="楷体" w:cs="宋体"/>
          <w:spacing w:val="6"/>
          <w:kern w:val="0"/>
          <w:sz w:val="32"/>
          <w:szCs w:val="32"/>
        </w:rPr>
        <w:t>%；二产业增加值实现2262475万元，同比增长7.1%，</w:t>
      </w:r>
      <w:r>
        <w:rPr>
          <w:rFonts w:ascii="楷体" w:hAnsi="楷体" w:eastAsia="楷体" w:cs="宋体"/>
          <w:spacing w:val="6"/>
          <w:kern w:val="0"/>
          <w:sz w:val="32"/>
          <w:szCs w:val="32"/>
        </w:rPr>
        <w:t>其中工业增加值完成</w:t>
      </w:r>
      <w:r>
        <w:rPr>
          <w:rFonts w:hint="eastAsia" w:ascii="楷体" w:hAnsi="楷体" w:eastAsia="楷体" w:cs="宋体"/>
          <w:spacing w:val="6"/>
          <w:kern w:val="0"/>
          <w:sz w:val="32"/>
          <w:szCs w:val="32"/>
        </w:rPr>
        <w:t>1620897元，同比增长5.6%；三产业增加值实现3136813万元，同比增长6.7%。</w:t>
      </w:r>
      <w:r>
        <w:rPr>
          <w:rFonts w:hint="eastAsia" w:ascii="楷体" w:hAnsi="楷体" w:eastAsia="楷体" w:cs="宋体"/>
          <w:spacing w:val="6"/>
          <w:kern w:val="0"/>
          <w:sz w:val="32"/>
          <w:szCs w:val="32"/>
          <w:lang w:val="zh-CN"/>
        </w:rPr>
        <w:t>三次产业增加值占我区地区生产总值的比重分别为1.1%、41.4%、57.5%。三次产业贡献率分别为0.7%、44.8%、54.5%。</w:t>
      </w:r>
    </w:p>
    <w:p w14:paraId="42AEC8DD">
      <w:pPr>
        <w:autoSpaceDE w:val="0"/>
        <w:autoSpaceDN w:val="0"/>
        <w:adjustRightInd w:val="0"/>
        <w:spacing w:line="360" w:lineRule="auto"/>
        <w:ind w:firstLine="584"/>
        <w:rPr>
          <w:rFonts w:ascii="楷体" w:hAnsi="楷体" w:eastAsia="楷体" w:cs="宋体"/>
          <w:color w:val="FF0000"/>
          <w:spacing w:val="6"/>
          <w:kern w:val="0"/>
          <w:sz w:val="32"/>
          <w:szCs w:val="32"/>
          <w:lang w:val="zh-CN"/>
        </w:rPr>
      </w:pPr>
      <w:r>
        <w:rPr>
          <w:rFonts w:hint="eastAsia" w:ascii="楷体" w:hAnsi="楷体" w:eastAsia="楷体" w:cs="宋体"/>
          <w:spacing w:val="6"/>
          <w:kern w:val="0"/>
          <w:sz w:val="32"/>
          <w:szCs w:val="32"/>
          <w:lang w:val="zh-CN"/>
        </w:rPr>
        <w:t>财政收入</w:t>
      </w:r>
      <w:r>
        <w:rPr>
          <w:rFonts w:ascii="楷体" w:hAnsi="楷体" w:eastAsia="楷体" w:cs="宋体"/>
          <w:spacing w:val="6"/>
          <w:kern w:val="0"/>
          <w:sz w:val="32"/>
          <w:szCs w:val="32"/>
          <w:lang w:val="zh-CN"/>
        </w:rPr>
        <w:t>87</w:t>
      </w:r>
      <w:r>
        <w:rPr>
          <w:rFonts w:hint="eastAsia" w:ascii="楷体" w:hAnsi="楷体" w:eastAsia="楷体" w:cs="宋体"/>
          <w:spacing w:val="6"/>
          <w:kern w:val="0"/>
          <w:sz w:val="32"/>
          <w:szCs w:val="32"/>
          <w:lang w:val="zh-CN"/>
        </w:rPr>
        <w:t>.</w:t>
      </w:r>
      <w:r>
        <w:rPr>
          <w:rFonts w:ascii="楷体" w:hAnsi="楷体" w:eastAsia="楷体" w:cs="宋体"/>
          <w:spacing w:val="6"/>
          <w:kern w:val="0"/>
          <w:sz w:val="32"/>
          <w:szCs w:val="32"/>
          <w:lang w:val="zh-CN"/>
        </w:rPr>
        <w:t>5</w:t>
      </w:r>
      <w:r>
        <w:rPr>
          <w:rFonts w:hint="eastAsia" w:ascii="楷体" w:hAnsi="楷体" w:eastAsia="楷体" w:cs="宋体"/>
          <w:spacing w:val="6"/>
          <w:kern w:val="0"/>
          <w:sz w:val="32"/>
          <w:szCs w:val="32"/>
          <w:lang w:val="zh-CN"/>
        </w:rPr>
        <w:t>亿元，其中税收收入7</w:t>
      </w:r>
      <w:r>
        <w:rPr>
          <w:rFonts w:ascii="楷体" w:hAnsi="楷体" w:eastAsia="楷体" w:cs="宋体"/>
          <w:spacing w:val="6"/>
          <w:kern w:val="0"/>
          <w:sz w:val="32"/>
          <w:szCs w:val="32"/>
          <w:lang w:val="zh-CN"/>
        </w:rPr>
        <w:t>9</w:t>
      </w:r>
      <w:r>
        <w:rPr>
          <w:rFonts w:hint="eastAsia" w:ascii="楷体" w:hAnsi="楷体" w:eastAsia="楷体" w:cs="宋体"/>
          <w:spacing w:val="6"/>
          <w:kern w:val="0"/>
          <w:sz w:val="32"/>
          <w:szCs w:val="32"/>
          <w:lang w:val="zh-CN"/>
        </w:rPr>
        <w:t>.</w:t>
      </w:r>
      <w:r>
        <w:rPr>
          <w:rFonts w:ascii="楷体" w:hAnsi="楷体" w:eastAsia="楷体" w:cs="宋体"/>
          <w:spacing w:val="6"/>
          <w:kern w:val="0"/>
          <w:sz w:val="32"/>
          <w:szCs w:val="32"/>
          <w:lang w:val="zh-CN"/>
        </w:rPr>
        <w:t>7</w:t>
      </w:r>
      <w:r>
        <w:rPr>
          <w:rFonts w:hint="eastAsia" w:ascii="楷体" w:hAnsi="楷体" w:eastAsia="楷体" w:cs="宋体"/>
          <w:spacing w:val="6"/>
          <w:kern w:val="0"/>
          <w:sz w:val="32"/>
          <w:szCs w:val="32"/>
          <w:lang w:val="zh-CN"/>
        </w:rPr>
        <w:t>亿元。城镇居民人均可支配收入49158元，同比增长6.3%，农村居民人均可支配收入22720元，同比增长9.9%。</w:t>
      </w:r>
    </w:p>
    <w:p w14:paraId="465C9569">
      <w:pPr>
        <w:autoSpaceDE w:val="0"/>
        <w:autoSpaceDN w:val="0"/>
        <w:adjustRightInd w:val="0"/>
        <w:spacing w:line="360" w:lineRule="auto"/>
        <w:ind w:firstLine="586"/>
        <w:rPr>
          <w:rFonts w:ascii="黑体" w:hAnsi="黑体" w:eastAsia="黑体"/>
          <w:b/>
          <w:bCs/>
          <w:spacing w:val="6"/>
          <w:kern w:val="0"/>
          <w:sz w:val="32"/>
          <w:szCs w:val="32"/>
        </w:rPr>
      </w:pPr>
      <w:r>
        <w:rPr>
          <w:rFonts w:hint="eastAsia" w:ascii="黑体" w:hAnsi="黑体" w:eastAsia="黑体" w:cs="黑体"/>
          <w:b/>
          <w:bCs/>
          <w:spacing w:val="6"/>
          <w:kern w:val="0"/>
          <w:sz w:val="32"/>
          <w:szCs w:val="32"/>
          <w:lang w:val="zh-CN"/>
        </w:rPr>
        <w:t>一、一产业</w:t>
      </w:r>
    </w:p>
    <w:p w14:paraId="6DD59844">
      <w:pPr>
        <w:autoSpaceDE w:val="0"/>
        <w:autoSpaceDN w:val="0"/>
        <w:adjustRightInd w:val="0"/>
        <w:spacing w:line="360" w:lineRule="auto"/>
        <w:ind w:firstLine="646"/>
        <w:rPr>
          <w:rFonts w:ascii="楷体" w:hAnsi="楷体" w:eastAsia="楷体" w:cs="宋体"/>
          <w:sz w:val="32"/>
          <w:szCs w:val="32"/>
        </w:rPr>
      </w:pPr>
      <w:r>
        <w:rPr>
          <w:rFonts w:hint="eastAsia" w:ascii="楷体" w:hAnsi="楷体" w:eastAsia="楷体" w:cs="宋体"/>
          <w:sz w:val="32"/>
          <w:szCs w:val="32"/>
        </w:rPr>
        <w:t>2019年农林牧渔业总产值实现12.1亿元,比上年增长3.7%；实现粮食总产量17.42万吨，比上年增加9.9%。</w:t>
      </w:r>
    </w:p>
    <w:p w14:paraId="363F4F5B">
      <w:pPr>
        <w:autoSpaceDE w:val="0"/>
        <w:autoSpaceDN w:val="0"/>
        <w:adjustRightInd w:val="0"/>
        <w:spacing w:line="360" w:lineRule="auto"/>
        <w:ind w:firstLine="646"/>
        <w:rPr>
          <w:rFonts w:ascii="楷体" w:hAnsi="楷体" w:eastAsia="楷体" w:cs="宋体"/>
          <w:sz w:val="32"/>
          <w:szCs w:val="32"/>
        </w:rPr>
      </w:pPr>
      <w:r>
        <w:rPr>
          <w:rFonts w:hint="eastAsia" w:ascii="楷体" w:hAnsi="楷体" w:eastAsia="楷体" w:cs="宋体"/>
          <w:sz w:val="32"/>
          <w:szCs w:val="32"/>
        </w:rPr>
        <w:t>全区农作物播种面积24049公顷，比上年增加4.9%，其中粮食作物播种面积21899公顷，比上年增加0.7%。粮食总产量17.42万吨；水果产量2.16万吨；蔬菜产量2.99万吨。肉类总产量7125.6吨，比上年减少39%。其中猪肉4463吨、牛肉809.6吨、羊肉445.12吨；禽蛋产量2872吨，其中：鸡蛋产量2734吨；牛奶产量1495吨。</w:t>
      </w:r>
    </w:p>
    <w:p w14:paraId="35D42A34">
      <w:pPr>
        <w:autoSpaceDE w:val="0"/>
        <w:autoSpaceDN w:val="0"/>
        <w:adjustRightInd w:val="0"/>
        <w:spacing w:line="360" w:lineRule="auto"/>
        <w:rPr>
          <w:rFonts w:ascii="楷体" w:hAnsi="楷体" w:eastAsia="楷体" w:cs="宋体"/>
          <w:color w:val="FF0000"/>
          <w:sz w:val="28"/>
          <w:szCs w:val="28"/>
        </w:rPr>
      </w:pPr>
    </w:p>
    <w:p w14:paraId="2763E60F">
      <w:pPr>
        <w:autoSpaceDE w:val="0"/>
        <w:autoSpaceDN w:val="0"/>
        <w:adjustRightInd w:val="0"/>
        <w:spacing w:line="360" w:lineRule="auto"/>
        <w:ind w:firstLine="646"/>
        <w:rPr>
          <w:rFonts w:ascii="楷体" w:hAnsi="楷体" w:eastAsia="楷体" w:cs="宋体"/>
          <w:sz w:val="28"/>
          <w:szCs w:val="28"/>
        </w:rPr>
      </w:pPr>
      <w:r>
        <w:rPr>
          <w:rFonts w:eastAsia="楷体" w:cs="Calibri"/>
          <w:color w:val="FF0000"/>
          <w:sz w:val="28"/>
          <w:szCs w:val="28"/>
        </w:rPr>
        <w:t>              </w:t>
      </w:r>
      <w:r>
        <w:rPr>
          <w:rFonts w:eastAsia="楷体" w:cs="Calibri"/>
          <w:sz w:val="28"/>
          <w:szCs w:val="28"/>
        </w:rPr>
        <w:t> </w:t>
      </w:r>
      <w:r>
        <w:rPr>
          <w:rFonts w:hint="eastAsia" w:ascii="楷体" w:hAnsi="楷体" w:eastAsia="楷体" w:cs="宋体"/>
          <w:sz w:val="28"/>
          <w:szCs w:val="28"/>
        </w:rPr>
        <w:t>主要农产品产量</w:t>
      </w:r>
    </w:p>
    <w:p w14:paraId="3E7D86C5">
      <w:pPr>
        <w:autoSpaceDE w:val="0"/>
        <w:autoSpaceDN w:val="0"/>
        <w:adjustRightInd w:val="0"/>
        <w:spacing w:line="360" w:lineRule="auto"/>
        <w:ind w:firstLine="646"/>
        <w:rPr>
          <w:rFonts w:ascii="楷体" w:hAnsi="楷体" w:eastAsia="楷体" w:cs="宋体"/>
          <w:sz w:val="28"/>
          <w:szCs w:val="28"/>
        </w:rPr>
      </w:pPr>
      <w:r>
        <w:rPr>
          <w:rFonts w:hint="eastAsia" w:ascii="楷体" w:hAnsi="楷体" w:eastAsia="楷体" w:cs="宋体"/>
          <w:sz w:val="28"/>
          <w:szCs w:val="28"/>
        </w:rPr>
        <w:t>　　　</w:t>
      </w:r>
      <w:r>
        <w:rPr>
          <w:rFonts w:eastAsia="楷体" w:cs="Calibri"/>
          <w:sz w:val="28"/>
          <w:szCs w:val="28"/>
        </w:rPr>
        <w:t>      </w:t>
      </w:r>
      <w:r>
        <w:rPr>
          <w:rFonts w:hint="eastAsia" w:ascii="楷体" w:hAnsi="楷体" w:eastAsia="楷体" w:cs="宋体"/>
          <w:sz w:val="28"/>
          <w:szCs w:val="28"/>
        </w:rPr>
        <w:t>　2019年产量（吨）</w:t>
      </w:r>
      <w:r>
        <w:rPr>
          <w:rFonts w:eastAsia="楷体" w:cs="Calibri"/>
          <w:sz w:val="28"/>
          <w:szCs w:val="28"/>
        </w:rPr>
        <w:t>         </w:t>
      </w:r>
      <w:r>
        <w:rPr>
          <w:rFonts w:hint="eastAsia" w:ascii="楷体" w:hAnsi="楷体" w:eastAsia="楷体" w:cs="宋体"/>
          <w:sz w:val="28"/>
          <w:szCs w:val="28"/>
        </w:rPr>
        <w:t>比上年±％</w:t>
      </w:r>
    </w:p>
    <w:p w14:paraId="70A80BAE">
      <w:pPr>
        <w:autoSpaceDE w:val="0"/>
        <w:autoSpaceDN w:val="0"/>
        <w:adjustRightInd w:val="0"/>
        <w:spacing w:line="360" w:lineRule="auto"/>
        <w:rPr>
          <w:rFonts w:ascii="楷体" w:hAnsi="楷体" w:eastAsia="楷体" w:cs="宋体"/>
          <w:sz w:val="28"/>
          <w:szCs w:val="28"/>
        </w:rPr>
      </w:pPr>
      <w:r>
        <w:rPr>
          <w:rFonts w:hint="eastAsia" w:ascii="楷体" w:hAnsi="楷体" w:eastAsia="楷体" w:cs="宋体"/>
          <w:sz w:val="28"/>
          <w:szCs w:val="28"/>
        </w:rPr>
        <w:t xml:space="preserve">粮食 </w:t>
      </w:r>
      <w:r>
        <w:rPr>
          <w:rFonts w:eastAsia="楷体" w:cs="Calibri"/>
          <w:sz w:val="28"/>
          <w:szCs w:val="28"/>
        </w:rPr>
        <w:t>               174177                    9.9%</w:t>
      </w:r>
    </w:p>
    <w:p w14:paraId="79D5036D">
      <w:pPr>
        <w:autoSpaceDE w:val="0"/>
        <w:autoSpaceDN w:val="0"/>
        <w:adjustRightInd w:val="0"/>
        <w:spacing w:line="360" w:lineRule="auto"/>
        <w:rPr>
          <w:rFonts w:eastAsia="楷体" w:cs="Calibri"/>
          <w:sz w:val="28"/>
          <w:szCs w:val="28"/>
        </w:rPr>
      </w:pPr>
      <w:r>
        <w:rPr>
          <w:rFonts w:hint="eastAsia" w:ascii="楷体" w:hAnsi="楷体" w:eastAsia="楷体" w:cs="宋体"/>
          <w:sz w:val="28"/>
          <w:szCs w:val="28"/>
        </w:rPr>
        <w:t>其中：水稻</w:t>
      </w:r>
      <w:r>
        <w:rPr>
          <w:rFonts w:eastAsia="楷体" w:cs="Calibri"/>
          <w:sz w:val="28"/>
          <w:szCs w:val="28"/>
        </w:rPr>
        <w:t>             3053                     44.9%</w:t>
      </w:r>
    </w:p>
    <w:p w14:paraId="7BF1581E">
      <w:pPr>
        <w:autoSpaceDE w:val="0"/>
        <w:autoSpaceDN w:val="0"/>
        <w:adjustRightInd w:val="0"/>
        <w:spacing w:line="360" w:lineRule="auto"/>
        <w:rPr>
          <w:rFonts w:ascii="楷体" w:hAnsi="楷体" w:eastAsia="楷体" w:cs="宋体"/>
          <w:sz w:val="28"/>
          <w:szCs w:val="28"/>
        </w:rPr>
      </w:pPr>
      <w:r>
        <w:rPr>
          <w:rFonts w:hint="eastAsia" w:ascii="楷体" w:hAnsi="楷体" w:eastAsia="楷体" w:cs="宋体"/>
          <w:sz w:val="28"/>
          <w:szCs w:val="28"/>
        </w:rPr>
        <w:t>　　　玉米</w:t>
      </w:r>
      <w:r>
        <w:rPr>
          <w:rFonts w:eastAsia="楷体" w:cs="Calibri"/>
          <w:sz w:val="28"/>
          <w:szCs w:val="28"/>
        </w:rPr>
        <w:t>          167802                    10.4%</w:t>
      </w:r>
    </w:p>
    <w:p w14:paraId="74CE69E9">
      <w:pPr>
        <w:autoSpaceDE w:val="0"/>
        <w:autoSpaceDN w:val="0"/>
        <w:adjustRightInd w:val="0"/>
        <w:spacing w:line="360" w:lineRule="auto"/>
        <w:rPr>
          <w:rFonts w:eastAsia="楷体" w:cs="Calibri"/>
          <w:sz w:val="28"/>
          <w:szCs w:val="28"/>
        </w:rPr>
      </w:pPr>
      <w:r>
        <w:rPr>
          <w:rFonts w:hint="eastAsia" w:ascii="楷体" w:hAnsi="楷体" w:eastAsia="楷体" w:cs="宋体"/>
          <w:sz w:val="28"/>
          <w:szCs w:val="28"/>
        </w:rPr>
        <w:t>油</w:t>
      </w:r>
      <w:r>
        <w:rPr>
          <w:rFonts w:eastAsia="楷体" w:cs="Calibri"/>
          <w:sz w:val="28"/>
          <w:szCs w:val="28"/>
        </w:rPr>
        <w:t>  </w:t>
      </w:r>
      <w:r>
        <w:rPr>
          <w:rFonts w:hint="eastAsia" w:ascii="楷体" w:hAnsi="楷体" w:eastAsia="楷体" w:cs="宋体"/>
          <w:sz w:val="28"/>
          <w:szCs w:val="28"/>
        </w:rPr>
        <w:t>料</w:t>
      </w:r>
      <w:r>
        <w:rPr>
          <w:rFonts w:eastAsia="楷体" w:cs="Calibri"/>
          <w:sz w:val="28"/>
          <w:szCs w:val="28"/>
        </w:rPr>
        <w:t>                   1248                      10%</w:t>
      </w:r>
    </w:p>
    <w:p w14:paraId="2DC208F4">
      <w:pPr>
        <w:autoSpaceDE w:val="0"/>
        <w:autoSpaceDN w:val="0"/>
        <w:adjustRightInd w:val="0"/>
        <w:spacing w:line="360" w:lineRule="auto"/>
        <w:rPr>
          <w:rFonts w:ascii="楷体" w:hAnsi="楷体" w:eastAsia="楷体" w:cs="宋体"/>
          <w:sz w:val="28"/>
          <w:szCs w:val="28"/>
        </w:rPr>
      </w:pPr>
      <w:r>
        <w:rPr>
          <w:rFonts w:hint="eastAsia" w:ascii="楷体" w:hAnsi="楷体" w:eastAsia="楷体" w:cs="宋体"/>
          <w:sz w:val="28"/>
          <w:szCs w:val="28"/>
        </w:rPr>
        <w:t>蔬</w:t>
      </w:r>
      <w:r>
        <w:rPr>
          <w:rFonts w:eastAsia="楷体" w:cs="Calibri"/>
          <w:sz w:val="28"/>
          <w:szCs w:val="28"/>
        </w:rPr>
        <w:t>  </w:t>
      </w:r>
      <w:r>
        <w:rPr>
          <w:rFonts w:hint="eastAsia" w:ascii="楷体" w:hAnsi="楷体" w:eastAsia="楷体" w:cs="宋体"/>
          <w:sz w:val="28"/>
          <w:szCs w:val="28"/>
        </w:rPr>
        <w:t>菜</w:t>
      </w:r>
      <w:r>
        <w:rPr>
          <w:rFonts w:eastAsia="楷体" w:cs="Calibri"/>
          <w:sz w:val="28"/>
          <w:szCs w:val="28"/>
        </w:rPr>
        <w:t>                   </w:t>
      </w:r>
      <w:r>
        <w:rPr>
          <w:rFonts w:hint="eastAsia" w:ascii="楷体" w:hAnsi="楷体" w:eastAsia="楷体" w:cs="宋体"/>
          <w:sz w:val="28"/>
          <w:szCs w:val="28"/>
        </w:rPr>
        <w:t>29910</w:t>
      </w:r>
      <w:r>
        <w:rPr>
          <w:rFonts w:eastAsia="楷体" w:cs="Calibri"/>
          <w:sz w:val="28"/>
          <w:szCs w:val="28"/>
        </w:rPr>
        <w:t>                       -6%</w:t>
      </w:r>
    </w:p>
    <w:p w14:paraId="07DE557B">
      <w:pPr>
        <w:autoSpaceDE w:val="0"/>
        <w:autoSpaceDN w:val="0"/>
        <w:adjustRightInd w:val="0"/>
        <w:spacing w:line="360" w:lineRule="auto"/>
        <w:ind w:firstLine="1120" w:firstLineChars="400"/>
        <w:rPr>
          <w:rFonts w:ascii="楷体" w:hAnsi="楷体" w:eastAsia="楷体" w:cs="宋体"/>
          <w:sz w:val="28"/>
          <w:szCs w:val="28"/>
        </w:rPr>
      </w:pPr>
    </w:p>
    <w:p w14:paraId="7782052E">
      <w:pPr>
        <w:autoSpaceDE w:val="0"/>
        <w:autoSpaceDN w:val="0"/>
        <w:adjustRightInd w:val="0"/>
        <w:spacing w:line="360" w:lineRule="auto"/>
        <w:ind w:firstLine="1120" w:firstLineChars="400"/>
        <w:rPr>
          <w:rFonts w:ascii="楷体" w:hAnsi="楷体" w:eastAsia="楷体" w:cs="宋体"/>
          <w:sz w:val="28"/>
          <w:szCs w:val="28"/>
        </w:rPr>
      </w:pPr>
      <w:r>
        <w:rPr>
          <w:rFonts w:hint="eastAsia" w:ascii="楷体" w:hAnsi="楷体" w:eastAsia="楷体" w:cs="宋体"/>
          <w:sz w:val="28"/>
          <w:szCs w:val="28"/>
        </w:rPr>
        <w:t>主要畜禽产品产量和畜禽存栏数</w:t>
      </w:r>
    </w:p>
    <w:p w14:paraId="520DAA13">
      <w:pPr>
        <w:autoSpaceDE w:val="0"/>
        <w:autoSpaceDN w:val="0"/>
        <w:adjustRightInd w:val="0"/>
        <w:spacing w:line="360" w:lineRule="auto"/>
        <w:rPr>
          <w:rFonts w:ascii="楷体" w:hAnsi="楷体" w:eastAsia="楷体" w:cs="宋体"/>
          <w:sz w:val="28"/>
          <w:szCs w:val="28"/>
        </w:rPr>
      </w:pPr>
      <w:r>
        <w:rPr>
          <w:rFonts w:eastAsia="楷体" w:cs="Calibri"/>
          <w:sz w:val="28"/>
          <w:szCs w:val="28"/>
        </w:rPr>
        <w:t xml:space="preserve">                           </w:t>
      </w:r>
      <w:r>
        <w:rPr>
          <w:rFonts w:hint="eastAsia" w:ascii="楷体" w:hAnsi="楷体" w:eastAsia="楷体" w:cs="宋体"/>
          <w:sz w:val="28"/>
          <w:szCs w:val="28"/>
        </w:rPr>
        <w:t>2019年产量</w:t>
      </w:r>
      <w:r>
        <w:rPr>
          <w:rFonts w:eastAsia="楷体" w:cs="Calibri"/>
          <w:sz w:val="28"/>
          <w:szCs w:val="28"/>
        </w:rPr>
        <w:t xml:space="preserve">              </w:t>
      </w:r>
      <w:r>
        <w:rPr>
          <w:rFonts w:hint="eastAsia" w:ascii="楷体" w:hAnsi="楷体" w:eastAsia="楷体" w:cs="宋体"/>
          <w:sz w:val="28"/>
          <w:szCs w:val="28"/>
        </w:rPr>
        <w:t>比上年±％</w:t>
      </w:r>
    </w:p>
    <w:p w14:paraId="7142782F">
      <w:pPr>
        <w:autoSpaceDE w:val="0"/>
        <w:autoSpaceDN w:val="0"/>
        <w:adjustRightInd w:val="0"/>
        <w:spacing w:line="360" w:lineRule="auto"/>
        <w:rPr>
          <w:rFonts w:ascii="楷体" w:hAnsi="楷体" w:eastAsia="楷体" w:cs="宋体"/>
          <w:sz w:val="28"/>
          <w:szCs w:val="28"/>
        </w:rPr>
      </w:pPr>
      <w:r>
        <w:rPr>
          <w:rFonts w:hint="eastAsia" w:ascii="楷体" w:hAnsi="楷体" w:eastAsia="楷体" w:cs="宋体"/>
          <w:sz w:val="28"/>
          <w:szCs w:val="28"/>
        </w:rPr>
        <w:t>猪年末存栏数（头）</w:t>
      </w:r>
      <w:r>
        <w:rPr>
          <w:rFonts w:eastAsia="楷体" w:cs="Calibri"/>
          <w:sz w:val="28"/>
          <w:szCs w:val="28"/>
        </w:rPr>
        <w:t>        22692           -10%</w:t>
      </w:r>
    </w:p>
    <w:p w14:paraId="1E09A8C0">
      <w:pPr>
        <w:autoSpaceDE w:val="0"/>
        <w:autoSpaceDN w:val="0"/>
        <w:adjustRightInd w:val="0"/>
        <w:spacing w:line="360" w:lineRule="auto"/>
        <w:rPr>
          <w:rFonts w:ascii="楷体" w:hAnsi="楷体" w:eastAsia="楷体" w:cs="宋体"/>
          <w:sz w:val="28"/>
          <w:szCs w:val="28"/>
        </w:rPr>
      </w:pPr>
      <w:r>
        <w:rPr>
          <w:rFonts w:hint="eastAsia" w:ascii="楷体" w:hAnsi="楷体" w:eastAsia="楷体" w:cs="宋体"/>
          <w:sz w:val="28"/>
          <w:szCs w:val="28"/>
        </w:rPr>
        <w:t>牛年末存栏数（头）</w:t>
      </w:r>
      <w:r>
        <w:rPr>
          <w:rFonts w:eastAsia="楷体" w:cs="Calibri"/>
          <w:sz w:val="28"/>
          <w:szCs w:val="28"/>
        </w:rPr>
        <w:t>          3987</w:t>
      </w:r>
      <w:r>
        <w:rPr>
          <w:rFonts w:hint="eastAsia" w:ascii="楷体" w:hAnsi="楷体" w:eastAsia="楷体" w:cs="宋体"/>
          <w:sz w:val="28"/>
          <w:szCs w:val="28"/>
        </w:rPr>
        <w:t xml:space="preserve">        </w:t>
      </w:r>
      <w:r>
        <w:rPr>
          <w:rFonts w:eastAsia="楷体" w:cs="Calibri"/>
          <w:sz w:val="28"/>
          <w:szCs w:val="28"/>
        </w:rPr>
        <w:t>    10.2%</w:t>
      </w:r>
    </w:p>
    <w:p w14:paraId="739B8305">
      <w:pPr>
        <w:autoSpaceDE w:val="0"/>
        <w:autoSpaceDN w:val="0"/>
        <w:adjustRightInd w:val="0"/>
        <w:spacing w:line="360" w:lineRule="auto"/>
        <w:rPr>
          <w:rFonts w:ascii="楷体" w:hAnsi="楷体" w:eastAsia="楷体" w:cs="宋体"/>
          <w:sz w:val="28"/>
          <w:szCs w:val="28"/>
        </w:rPr>
      </w:pPr>
      <w:r>
        <w:rPr>
          <w:rFonts w:hint="eastAsia" w:ascii="楷体" w:hAnsi="楷体" w:eastAsia="楷体" w:cs="宋体"/>
          <w:sz w:val="28"/>
          <w:szCs w:val="28"/>
        </w:rPr>
        <w:t>羊年末存栏数（只）</w:t>
      </w:r>
      <w:r>
        <w:rPr>
          <w:rFonts w:eastAsia="楷体" w:cs="Calibri"/>
          <w:sz w:val="28"/>
          <w:szCs w:val="28"/>
        </w:rPr>
        <w:t>        26605</w:t>
      </w:r>
      <w:r>
        <w:rPr>
          <w:rFonts w:hint="eastAsia" w:ascii="楷体" w:hAnsi="楷体" w:eastAsia="楷体" w:cs="宋体"/>
          <w:sz w:val="28"/>
          <w:szCs w:val="28"/>
        </w:rPr>
        <w:t xml:space="preserve">      </w:t>
      </w:r>
      <w:r>
        <w:rPr>
          <w:rFonts w:eastAsia="楷体" w:cs="Calibri"/>
          <w:sz w:val="28"/>
          <w:szCs w:val="28"/>
        </w:rPr>
        <w:t xml:space="preserve">   </w:t>
      </w:r>
      <w:r>
        <w:rPr>
          <w:rFonts w:hint="eastAsia" w:ascii="楷体" w:hAnsi="楷体" w:eastAsia="楷体" w:cs="宋体"/>
          <w:sz w:val="28"/>
          <w:szCs w:val="28"/>
        </w:rPr>
        <w:t xml:space="preserve">   </w:t>
      </w:r>
      <w:r>
        <w:rPr>
          <w:rFonts w:eastAsia="楷体" w:cs="Calibri"/>
          <w:sz w:val="28"/>
          <w:szCs w:val="28"/>
        </w:rPr>
        <w:t>-5.02%</w:t>
      </w:r>
    </w:p>
    <w:p w14:paraId="2FFE5CA4">
      <w:pPr>
        <w:autoSpaceDE w:val="0"/>
        <w:autoSpaceDN w:val="0"/>
        <w:adjustRightInd w:val="0"/>
        <w:spacing w:line="360" w:lineRule="auto"/>
        <w:rPr>
          <w:rFonts w:ascii="楷体" w:hAnsi="楷体" w:eastAsia="楷体" w:cs="宋体"/>
          <w:sz w:val="28"/>
          <w:szCs w:val="28"/>
        </w:rPr>
      </w:pPr>
      <w:r>
        <w:rPr>
          <w:rFonts w:hint="eastAsia" w:ascii="楷体" w:hAnsi="楷体" w:eastAsia="楷体" w:cs="宋体"/>
          <w:sz w:val="28"/>
          <w:szCs w:val="28"/>
        </w:rPr>
        <w:t xml:space="preserve">家禽年末存栏数（万只） </w:t>
      </w:r>
      <w:r>
        <w:rPr>
          <w:rFonts w:ascii="楷体" w:hAnsi="楷体" w:eastAsia="楷体" w:cs="宋体"/>
          <w:sz w:val="28"/>
          <w:szCs w:val="28"/>
        </w:rPr>
        <w:t xml:space="preserve">   </w:t>
      </w:r>
      <w:r>
        <w:rPr>
          <w:rFonts w:hint="eastAsia" w:ascii="楷体" w:hAnsi="楷体" w:eastAsia="楷体" w:cs="宋体"/>
          <w:sz w:val="28"/>
          <w:szCs w:val="28"/>
        </w:rPr>
        <w:t xml:space="preserve"> 34.6</w:t>
      </w:r>
      <w:r>
        <w:rPr>
          <w:rFonts w:eastAsia="楷体" w:cs="Calibri"/>
          <w:sz w:val="28"/>
          <w:szCs w:val="28"/>
        </w:rPr>
        <w:t>             -21%</w:t>
      </w:r>
    </w:p>
    <w:p w14:paraId="4C34C2F0">
      <w:pPr>
        <w:autoSpaceDE w:val="0"/>
        <w:autoSpaceDN w:val="0"/>
        <w:adjustRightInd w:val="0"/>
        <w:spacing w:line="360" w:lineRule="auto"/>
        <w:rPr>
          <w:rFonts w:ascii="楷体" w:hAnsi="楷体" w:eastAsia="楷体" w:cs="宋体"/>
          <w:sz w:val="28"/>
          <w:szCs w:val="28"/>
        </w:rPr>
      </w:pPr>
      <w:r>
        <w:rPr>
          <w:rFonts w:hint="eastAsia" w:ascii="楷体" w:hAnsi="楷体" w:eastAsia="楷体" w:cs="宋体"/>
          <w:sz w:val="28"/>
          <w:szCs w:val="28"/>
        </w:rPr>
        <w:t>猪年末出栏数（头）</w:t>
      </w:r>
      <w:r>
        <w:rPr>
          <w:rFonts w:eastAsia="楷体" w:cs="Calibri"/>
          <w:sz w:val="28"/>
          <w:szCs w:val="28"/>
        </w:rPr>
        <w:t>        58719            -53.3%</w:t>
      </w:r>
    </w:p>
    <w:p w14:paraId="1F275658">
      <w:pPr>
        <w:autoSpaceDE w:val="0"/>
        <w:autoSpaceDN w:val="0"/>
        <w:adjustRightInd w:val="0"/>
        <w:spacing w:line="360" w:lineRule="auto"/>
        <w:rPr>
          <w:rFonts w:ascii="楷体" w:hAnsi="楷体" w:eastAsia="楷体" w:cs="宋体"/>
          <w:sz w:val="28"/>
          <w:szCs w:val="28"/>
        </w:rPr>
      </w:pPr>
      <w:r>
        <w:rPr>
          <w:rFonts w:hint="eastAsia" w:ascii="楷体" w:hAnsi="楷体" w:eastAsia="楷体" w:cs="宋体"/>
          <w:sz w:val="28"/>
          <w:szCs w:val="28"/>
        </w:rPr>
        <w:t>牛年末出栏数（头）</w:t>
      </w:r>
      <w:r>
        <w:rPr>
          <w:rFonts w:eastAsia="楷体" w:cs="Calibri"/>
          <w:sz w:val="28"/>
          <w:szCs w:val="28"/>
        </w:rPr>
        <w:t xml:space="preserve">         3282                 </w:t>
      </w:r>
      <w:r>
        <w:rPr>
          <w:rFonts w:hint="eastAsia" w:ascii="楷体" w:hAnsi="楷体" w:eastAsia="楷体" w:cs="宋体"/>
          <w:sz w:val="28"/>
          <w:szCs w:val="28"/>
        </w:rPr>
        <w:t>34.9%</w:t>
      </w:r>
    </w:p>
    <w:p w14:paraId="432829B0">
      <w:pPr>
        <w:autoSpaceDE w:val="0"/>
        <w:autoSpaceDN w:val="0"/>
        <w:adjustRightInd w:val="0"/>
        <w:spacing w:line="360" w:lineRule="auto"/>
        <w:rPr>
          <w:rFonts w:ascii="楷体" w:hAnsi="楷体" w:eastAsia="楷体" w:cs="宋体"/>
          <w:sz w:val="28"/>
          <w:szCs w:val="28"/>
        </w:rPr>
      </w:pPr>
      <w:r>
        <w:rPr>
          <w:rFonts w:hint="eastAsia" w:ascii="楷体" w:hAnsi="楷体" w:eastAsia="楷体" w:cs="宋体"/>
          <w:sz w:val="28"/>
          <w:szCs w:val="28"/>
        </w:rPr>
        <w:t>羊年末出栏数（只）</w:t>
      </w:r>
      <w:r>
        <w:rPr>
          <w:rFonts w:eastAsia="楷体" w:cs="Calibri"/>
          <w:sz w:val="28"/>
          <w:szCs w:val="28"/>
        </w:rPr>
        <w:t>        26613</w:t>
      </w:r>
      <w:r>
        <w:rPr>
          <w:rFonts w:hint="eastAsia" w:ascii="楷体" w:hAnsi="楷体" w:eastAsia="楷体" w:cs="宋体"/>
          <w:sz w:val="28"/>
          <w:szCs w:val="28"/>
        </w:rPr>
        <w:t xml:space="preserve">        </w:t>
      </w:r>
      <w:r>
        <w:rPr>
          <w:rFonts w:ascii="楷体" w:hAnsi="楷体" w:eastAsia="楷体" w:cs="宋体"/>
          <w:sz w:val="28"/>
          <w:szCs w:val="28"/>
        </w:rPr>
        <w:t xml:space="preserve">  </w:t>
      </w:r>
      <w:r>
        <w:rPr>
          <w:rFonts w:hint="eastAsia" w:ascii="楷体" w:hAnsi="楷体" w:eastAsia="楷体" w:cs="宋体"/>
          <w:sz w:val="28"/>
          <w:szCs w:val="28"/>
        </w:rPr>
        <w:t xml:space="preserve"> </w:t>
      </w:r>
      <w:r>
        <w:rPr>
          <w:rFonts w:eastAsia="楷体" w:cs="Calibri"/>
          <w:sz w:val="28"/>
          <w:szCs w:val="28"/>
        </w:rPr>
        <w:t xml:space="preserve">   </w:t>
      </w:r>
      <w:r>
        <w:rPr>
          <w:rFonts w:hint="eastAsia" w:ascii="楷体" w:hAnsi="楷体" w:eastAsia="楷体" w:cs="宋体"/>
          <w:sz w:val="28"/>
          <w:szCs w:val="28"/>
        </w:rPr>
        <w:t>8.9%</w:t>
      </w:r>
    </w:p>
    <w:p w14:paraId="76D415DB">
      <w:pPr>
        <w:autoSpaceDE w:val="0"/>
        <w:autoSpaceDN w:val="0"/>
        <w:adjustRightInd w:val="0"/>
        <w:spacing w:line="360" w:lineRule="auto"/>
        <w:rPr>
          <w:rFonts w:ascii="楷体" w:hAnsi="楷体" w:eastAsia="楷体" w:cs="宋体"/>
          <w:sz w:val="28"/>
          <w:szCs w:val="28"/>
        </w:rPr>
      </w:pPr>
      <w:r>
        <w:rPr>
          <w:rFonts w:hint="eastAsia" w:ascii="楷体" w:hAnsi="楷体" w:eastAsia="楷体" w:cs="宋体"/>
          <w:sz w:val="28"/>
          <w:szCs w:val="28"/>
        </w:rPr>
        <w:t xml:space="preserve">家禽年末出栏数（万只） </w:t>
      </w:r>
      <w:r>
        <w:rPr>
          <w:rFonts w:ascii="楷体" w:hAnsi="楷体" w:eastAsia="楷体" w:cs="宋体"/>
          <w:sz w:val="28"/>
          <w:szCs w:val="28"/>
        </w:rPr>
        <w:t xml:space="preserve">  </w:t>
      </w:r>
      <w:r>
        <w:rPr>
          <w:rFonts w:hint="eastAsia" w:ascii="楷体" w:hAnsi="楷体" w:eastAsia="楷体" w:cs="宋体"/>
          <w:sz w:val="28"/>
          <w:szCs w:val="28"/>
        </w:rPr>
        <w:t xml:space="preserve">  79.66</w:t>
      </w:r>
      <w:r>
        <w:rPr>
          <w:rFonts w:eastAsia="楷体" w:cs="Calibri"/>
          <w:sz w:val="28"/>
          <w:szCs w:val="28"/>
        </w:rPr>
        <w:t xml:space="preserve">           46.7%</w:t>
      </w:r>
    </w:p>
    <w:p w14:paraId="4157795B">
      <w:pPr>
        <w:autoSpaceDE w:val="0"/>
        <w:autoSpaceDN w:val="0"/>
        <w:adjustRightInd w:val="0"/>
        <w:spacing w:line="360" w:lineRule="auto"/>
        <w:rPr>
          <w:rFonts w:eastAsia="楷体" w:cs="Calibri"/>
          <w:sz w:val="28"/>
          <w:szCs w:val="28"/>
        </w:rPr>
      </w:pPr>
      <w:r>
        <w:rPr>
          <w:rFonts w:hint="eastAsia" w:ascii="楷体" w:hAnsi="楷体" w:eastAsia="楷体" w:cs="宋体"/>
          <w:sz w:val="28"/>
          <w:szCs w:val="28"/>
        </w:rPr>
        <w:t>肉类总产量（吨）</w:t>
      </w:r>
      <w:r>
        <w:rPr>
          <w:rFonts w:eastAsia="楷体" w:cs="Calibri"/>
          <w:sz w:val="28"/>
          <w:szCs w:val="28"/>
        </w:rPr>
        <w:t>            7125.6            -39.4%</w:t>
      </w:r>
    </w:p>
    <w:p w14:paraId="53D76934">
      <w:pPr>
        <w:autoSpaceDE w:val="0"/>
        <w:autoSpaceDN w:val="0"/>
        <w:adjustRightInd w:val="0"/>
        <w:spacing w:line="360" w:lineRule="auto"/>
        <w:rPr>
          <w:rFonts w:ascii="楷体" w:hAnsi="楷体" w:eastAsia="楷体" w:cs="宋体"/>
          <w:sz w:val="28"/>
          <w:szCs w:val="28"/>
        </w:rPr>
      </w:pPr>
      <w:r>
        <w:rPr>
          <w:rFonts w:hint="eastAsia" w:ascii="楷体" w:hAnsi="楷体" w:eastAsia="楷体" w:cs="宋体"/>
          <w:sz w:val="28"/>
          <w:szCs w:val="28"/>
        </w:rPr>
        <w:t>　其中：猪肉（吨）</w:t>
      </w:r>
      <w:r>
        <w:rPr>
          <w:rFonts w:eastAsia="楷体" w:cs="Calibri"/>
          <w:sz w:val="28"/>
          <w:szCs w:val="28"/>
        </w:rPr>
        <w:t>          4463               -55.7%</w:t>
      </w:r>
    </w:p>
    <w:p w14:paraId="09EBE53B">
      <w:pPr>
        <w:autoSpaceDE w:val="0"/>
        <w:autoSpaceDN w:val="0"/>
        <w:adjustRightInd w:val="0"/>
        <w:spacing w:line="360" w:lineRule="auto"/>
        <w:rPr>
          <w:rFonts w:ascii="楷体" w:hAnsi="楷体" w:eastAsia="楷体" w:cs="宋体"/>
          <w:sz w:val="28"/>
          <w:szCs w:val="28"/>
        </w:rPr>
      </w:pPr>
      <w:r>
        <w:rPr>
          <w:rFonts w:eastAsia="楷体" w:cs="Calibri"/>
          <w:sz w:val="28"/>
          <w:szCs w:val="28"/>
        </w:rPr>
        <w:t>        </w:t>
      </w:r>
      <w:r>
        <w:rPr>
          <w:rFonts w:hint="eastAsia" w:ascii="楷体" w:hAnsi="楷体" w:eastAsia="楷体" w:cs="宋体"/>
          <w:sz w:val="28"/>
          <w:szCs w:val="28"/>
        </w:rPr>
        <w:t>牛肉（吨）</w:t>
      </w:r>
      <w:r>
        <w:rPr>
          <w:rFonts w:eastAsia="楷体" w:cs="Calibri"/>
          <w:sz w:val="28"/>
          <w:szCs w:val="28"/>
        </w:rPr>
        <w:t>               809.6            122.9%</w:t>
      </w:r>
    </w:p>
    <w:p w14:paraId="39C5CD25">
      <w:pPr>
        <w:autoSpaceDE w:val="0"/>
        <w:autoSpaceDN w:val="0"/>
        <w:adjustRightInd w:val="0"/>
        <w:spacing w:line="360" w:lineRule="auto"/>
        <w:rPr>
          <w:rFonts w:eastAsia="楷体" w:cs="Calibri"/>
          <w:sz w:val="28"/>
          <w:szCs w:val="28"/>
        </w:rPr>
      </w:pPr>
      <w:r>
        <w:rPr>
          <w:rFonts w:eastAsia="楷体" w:cs="Calibri"/>
          <w:sz w:val="28"/>
          <w:szCs w:val="28"/>
        </w:rPr>
        <w:t>        </w:t>
      </w:r>
      <w:r>
        <w:rPr>
          <w:rFonts w:hint="eastAsia" w:ascii="楷体" w:hAnsi="楷体" w:eastAsia="楷体" w:cs="宋体"/>
          <w:sz w:val="28"/>
          <w:szCs w:val="28"/>
        </w:rPr>
        <w:t>羊肉（吨）</w:t>
      </w:r>
      <w:r>
        <w:rPr>
          <w:rFonts w:eastAsia="楷体" w:cs="Calibri"/>
          <w:sz w:val="28"/>
          <w:szCs w:val="28"/>
        </w:rPr>
        <w:t xml:space="preserve">               </w:t>
      </w:r>
      <w:r>
        <w:rPr>
          <w:rFonts w:hint="eastAsia" w:ascii="楷体" w:hAnsi="楷体" w:eastAsia="楷体" w:cs="宋体"/>
          <w:sz w:val="28"/>
          <w:szCs w:val="28"/>
        </w:rPr>
        <w:t>445.1</w:t>
      </w:r>
      <w:r>
        <w:rPr>
          <w:rFonts w:eastAsia="楷体" w:cs="Calibri"/>
          <w:sz w:val="28"/>
          <w:szCs w:val="28"/>
        </w:rPr>
        <w:t>               20.2%</w:t>
      </w:r>
    </w:p>
    <w:p w14:paraId="745BCD92">
      <w:pPr>
        <w:autoSpaceDE w:val="0"/>
        <w:autoSpaceDN w:val="0"/>
        <w:adjustRightInd w:val="0"/>
        <w:spacing w:line="360" w:lineRule="auto"/>
        <w:rPr>
          <w:rFonts w:ascii="楷体" w:hAnsi="楷体" w:eastAsia="楷体" w:cs="宋体"/>
          <w:sz w:val="28"/>
          <w:szCs w:val="28"/>
        </w:rPr>
      </w:pPr>
      <w:r>
        <w:rPr>
          <w:rFonts w:hint="eastAsia" w:ascii="楷体" w:hAnsi="楷体" w:eastAsia="楷体" w:cs="宋体"/>
          <w:sz w:val="28"/>
          <w:szCs w:val="28"/>
        </w:rPr>
        <w:t>牛奶产量（吨）</w:t>
      </w:r>
      <w:r>
        <w:rPr>
          <w:rFonts w:eastAsia="楷体" w:cs="Calibri"/>
          <w:sz w:val="28"/>
          <w:szCs w:val="28"/>
        </w:rPr>
        <w:t>             1495                 120%</w:t>
      </w:r>
    </w:p>
    <w:p w14:paraId="00EA3EAC">
      <w:pPr>
        <w:autoSpaceDE w:val="0"/>
        <w:autoSpaceDN w:val="0"/>
        <w:adjustRightInd w:val="0"/>
        <w:spacing w:line="360" w:lineRule="auto"/>
        <w:rPr>
          <w:rFonts w:ascii="黑体" w:hAnsi="黑体" w:eastAsia="黑体" w:cs="黑体"/>
          <w:b/>
          <w:bCs/>
          <w:sz w:val="32"/>
          <w:szCs w:val="32"/>
          <w:lang w:val="zh-CN"/>
        </w:rPr>
      </w:pPr>
      <w:r>
        <w:rPr>
          <w:rFonts w:hint="eastAsia" w:ascii="楷体" w:hAnsi="楷体" w:eastAsia="楷体" w:cs="宋体"/>
          <w:sz w:val="28"/>
          <w:szCs w:val="28"/>
        </w:rPr>
        <w:t>禽蛋产量(吨）</w:t>
      </w:r>
      <w:r>
        <w:rPr>
          <w:rFonts w:eastAsia="楷体" w:cs="Calibri"/>
          <w:sz w:val="28"/>
          <w:szCs w:val="28"/>
        </w:rPr>
        <w:t>              2872                 -34.5%</w:t>
      </w:r>
    </w:p>
    <w:p w14:paraId="6DC427C8">
      <w:pPr>
        <w:autoSpaceDE w:val="0"/>
        <w:autoSpaceDN w:val="0"/>
        <w:adjustRightInd w:val="0"/>
        <w:spacing w:line="360" w:lineRule="auto"/>
        <w:rPr>
          <w:rFonts w:ascii="黑体" w:hAnsi="黑体" w:eastAsia="黑体" w:cs="黑体"/>
          <w:b/>
          <w:bCs/>
          <w:color w:val="FF0000"/>
          <w:sz w:val="32"/>
          <w:szCs w:val="32"/>
          <w:lang w:val="zh-CN"/>
        </w:rPr>
      </w:pPr>
    </w:p>
    <w:p w14:paraId="479F0458">
      <w:pPr>
        <w:autoSpaceDE w:val="0"/>
        <w:autoSpaceDN w:val="0"/>
        <w:adjustRightInd w:val="0"/>
        <w:spacing w:line="360" w:lineRule="auto"/>
        <w:ind w:firstLine="562"/>
        <w:rPr>
          <w:rFonts w:ascii="黑体" w:hAnsi="黑体" w:eastAsia="黑体" w:cs="黑体"/>
          <w:b/>
          <w:bCs/>
          <w:sz w:val="32"/>
          <w:szCs w:val="32"/>
          <w:lang w:val="zh-CN"/>
        </w:rPr>
      </w:pPr>
      <w:r>
        <w:rPr>
          <w:rFonts w:hint="eastAsia" w:ascii="黑体" w:hAnsi="黑体" w:eastAsia="黑体" w:cs="黑体"/>
          <w:b/>
          <w:bCs/>
          <w:sz w:val="32"/>
          <w:szCs w:val="32"/>
          <w:lang w:val="zh-CN"/>
        </w:rPr>
        <w:t>二、二产业</w:t>
      </w:r>
    </w:p>
    <w:p w14:paraId="3A768F1E">
      <w:pPr>
        <w:autoSpaceDE w:val="0"/>
        <w:autoSpaceDN w:val="0"/>
        <w:adjustRightInd w:val="0"/>
        <w:spacing w:line="360" w:lineRule="auto"/>
        <w:ind w:firstLine="562"/>
        <w:rPr>
          <w:rFonts w:ascii="楷体" w:hAnsi="楷体" w:eastAsia="楷体" w:cs="黑体"/>
          <w:b/>
          <w:bCs/>
          <w:sz w:val="32"/>
          <w:szCs w:val="32"/>
          <w:lang w:val="zh-CN"/>
        </w:rPr>
      </w:pPr>
      <w:r>
        <w:rPr>
          <w:rFonts w:hint="eastAsia" w:ascii="楷体" w:hAnsi="楷体" w:eastAsia="楷体" w:cs="黑体"/>
          <w:b/>
          <w:bCs/>
          <w:sz w:val="32"/>
          <w:szCs w:val="32"/>
          <w:lang w:val="zh-CN"/>
        </w:rPr>
        <w:t>工业</w:t>
      </w:r>
    </w:p>
    <w:p w14:paraId="13527FD1">
      <w:pPr>
        <w:autoSpaceDE w:val="0"/>
        <w:autoSpaceDN w:val="0"/>
        <w:adjustRightInd w:val="0"/>
        <w:spacing w:line="360" w:lineRule="auto"/>
        <w:ind w:firstLine="562"/>
        <w:rPr>
          <w:rFonts w:ascii="楷体" w:hAnsi="楷体" w:eastAsia="楷体" w:cs="宋体"/>
          <w:kern w:val="0"/>
          <w:sz w:val="32"/>
          <w:szCs w:val="32"/>
        </w:rPr>
      </w:pPr>
      <w:r>
        <w:rPr>
          <w:rFonts w:hint="eastAsia" w:ascii="楷体" w:hAnsi="楷体" w:eastAsia="楷体" w:cs="宋体"/>
          <w:kern w:val="0"/>
          <w:sz w:val="32"/>
          <w:szCs w:val="32"/>
        </w:rPr>
        <w:t>2019年，全区规模以上工业企业193户，产值亿元以上企业66家。全区规模以上工业企业实现总产值519.3亿元，比上年增长6.6%，实现销售产值507.6亿元，同比增长5.0%；工业品产销率达到97.7%。全区规模以上工业企业全年收入514.3亿元,同比增长4.6%.利润总额41.5亿元,同比增长1.2%，利税总额51.1亿元，同比下降3.1%。</w:t>
      </w:r>
    </w:p>
    <w:p w14:paraId="21B9B426">
      <w:pPr>
        <w:autoSpaceDE w:val="0"/>
        <w:autoSpaceDN w:val="0"/>
        <w:adjustRightInd w:val="0"/>
        <w:spacing w:line="360" w:lineRule="auto"/>
        <w:ind w:left="105" w:firstLine="560"/>
        <w:jc w:val="left"/>
        <w:rPr>
          <w:rFonts w:ascii="楷体" w:hAnsi="楷体" w:eastAsia="楷体" w:cs="宋体"/>
          <w:b/>
          <w:sz w:val="32"/>
          <w:szCs w:val="32"/>
          <w:lang w:val="zh-CN"/>
        </w:rPr>
      </w:pPr>
      <w:r>
        <w:rPr>
          <w:rFonts w:hint="eastAsia" w:ascii="楷体" w:hAnsi="楷体" w:eastAsia="楷体" w:cs="宋体"/>
          <w:b/>
          <w:sz w:val="32"/>
          <w:szCs w:val="32"/>
          <w:lang w:val="zh-CN"/>
        </w:rPr>
        <w:t>建筑业</w:t>
      </w:r>
    </w:p>
    <w:p w14:paraId="0C31A3EF">
      <w:pPr>
        <w:widowControl/>
        <w:spacing w:line="360" w:lineRule="auto"/>
        <w:ind w:firstLine="640" w:firstLineChars="200"/>
        <w:jc w:val="left"/>
        <w:rPr>
          <w:rFonts w:ascii="楷体" w:hAnsi="楷体" w:eastAsia="楷体" w:cs="宋体"/>
          <w:kern w:val="0"/>
          <w:sz w:val="32"/>
          <w:szCs w:val="32"/>
        </w:rPr>
      </w:pPr>
      <w:r>
        <w:rPr>
          <w:rFonts w:hint="eastAsia" w:ascii="楷体" w:hAnsi="楷体" w:eastAsia="楷体" w:cs="宋体"/>
          <w:kern w:val="0"/>
          <w:sz w:val="32"/>
          <w:szCs w:val="32"/>
        </w:rPr>
        <w:t>2019年，全区建筑业产值179.2亿元，比上年上升15.9%，实现增加值6</w:t>
      </w:r>
      <w:r>
        <w:rPr>
          <w:rFonts w:ascii="楷体" w:hAnsi="楷体" w:eastAsia="楷体" w:cs="宋体"/>
          <w:kern w:val="0"/>
          <w:sz w:val="32"/>
          <w:szCs w:val="32"/>
        </w:rPr>
        <w:t>4.3</w:t>
      </w:r>
      <w:r>
        <w:rPr>
          <w:rFonts w:hint="eastAsia" w:ascii="楷体" w:hAnsi="楷体" w:eastAsia="楷体" w:cs="宋体"/>
          <w:kern w:val="0"/>
          <w:sz w:val="32"/>
          <w:szCs w:val="32"/>
        </w:rPr>
        <w:t>亿元，比上年增长1</w:t>
      </w:r>
      <w:r>
        <w:rPr>
          <w:rFonts w:ascii="楷体" w:hAnsi="楷体" w:eastAsia="楷体" w:cs="宋体"/>
          <w:kern w:val="0"/>
          <w:sz w:val="32"/>
          <w:szCs w:val="32"/>
        </w:rPr>
        <w:t>1.5</w:t>
      </w:r>
      <w:r>
        <w:rPr>
          <w:rFonts w:hint="eastAsia" w:ascii="楷体" w:hAnsi="楷体" w:eastAsia="楷体" w:cs="宋体"/>
          <w:kern w:val="0"/>
          <w:sz w:val="32"/>
          <w:szCs w:val="32"/>
        </w:rPr>
        <w:t>%，上缴税金8</w:t>
      </w:r>
      <w:r>
        <w:rPr>
          <w:rFonts w:ascii="楷体" w:hAnsi="楷体" w:eastAsia="楷体" w:cs="宋体"/>
          <w:kern w:val="0"/>
          <w:sz w:val="32"/>
          <w:szCs w:val="32"/>
        </w:rPr>
        <w:t>.5</w:t>
      </w:r>
      <w:r>
        <w:rPr>
          <w:rFonts w:hint="eastAsia" w:ascii="楷体" w:hAnsi="楷体" w:eastAsia="楷体" w:cs="宋体"/>
          <w:kern w:val="0"/>
          <w:sz w:val="32"/>
          <w:szCs w:val="32"/>
        </w:rPr>
        <w:t>亿元，比上年增加3</w:t>
      </w:r>
      <w:r>
        <w:rPr>
          <w:rFonts w:ascii="楷体" w:hAnsi="楷体" w:eastAsia="楷体" w:cs="宋体"/>
          <w:kern w:val="0"/>
          <w:sz w:val="32"/>
          <w:szCs w:val="32"/>
        </w:rPr>
        <w:t>0.8</w:t>
      </w:r>
      <w:r>
        <w:rPr>
          <w:rFonts w:hint="eastAsia" w:ascii="楷体" w:hAnsi="楷体" w:eastAsia="楷体" w:cs="宋体"/>
          <w:kern w:val="0"/>
          <w:sz w:val="32"/>
          <w:szCs w:val="32"/>
        </w:rPr>
        <w:t xml:space="preserve"> %。具有资质等级的总承包和专业承包建筑业企业190家，比上年增长11.8%。</w:t>
      </w:r>
    </w:p>
    <w:p w14:paraId="676AD12D">
      <w:pPr>
        <w:autoSpaceDE w:val="0"/>
        <w:autoSpaceDN w:val="0"/>
        <w:adjustRightInd w:val="0"/>
        <w:spacing w:line="360" w:lineRule="auto"/>
        <w:ind w:firstLine="643" w:firstLineChars="200"/>
        <w:rPr>
          <w:rFonts w:ascii="黑体" w:hAnsi="黑体" w:eastAsia="黑体" w:cs="黑体"/>
          <w:b/>
          <w:bCs/>
          <w:sz w:val="32"/>
          <w:szCs w:val="32"/>
          <w:lang w:val="zh-CN"/>
        </w:rPr>
      </w:pPr>
      <w:r>
        <w:rPr>
          <w:rFonts w:hint="eastAsia" w:ascii="黑体" w:hAnsi="黑体" w:eastAsia="黑体" w:cs="黑体"/>
          <w:b/>
          <w:bCs/>
          <w:sz w:val="32"/>
          <w:szCs w:val="32"/>
          <w:lang w:val="zh-CN"/>
        </w:rPr>
        <w:t>三、固定资产投资及城乡建设</w:t>
      </w:r>
    </w:p>
    <w:p w14:paraId="07E7A4E3">
      <w:pPr>
        <w:autoSpaceDE w:val="0"/>
        <w:autoSpaceDN w:val="0"/>
        <w:adjustRightInd w:val="0"/>
        <w:spacing w:line="360" w:lineRule="auto"/>
        <w:ind w:firstLine="643" w:firstLineChars="200"/>
        <w:rPr>
          <w:rFonts w:ascii="楷体" w:hAnsi="楷体" w:eastAsia="楷体"/>
          <w:b/>
          <w:bCs/>
          <w:sz w:val="32"/>
          <w:szCs w:val="32"/>
        </w:rPr>
      </w:pPr>
      <w:r>
        <w:rPr>
          <w:rFonts w:hint="eastAsia" w:ascii="楷体" w:hAnsi="楷体" w:eastAsia="楷体" w:cs="黑体"/>
          <w:b/>
          <w:bCs/>
          <w:sz w:val="32"/>
          <w:szCs w:val="32"/>
          <w:lang w:val="zh-CN"/>
        </w:rPr>
        <w:t>固定资产投资</w:t>
      </w:r>
    </w:p>
    <w:p w14:paraId="3AB0A378">
      <w:pPr>
        <w:autoSpaceDE w:val="0"/>
        <w:autoSpaceDN w:val="0"/>
        <w:adjustRightInd w:val="0"/>
        <w:spacing w:line="360" w:lineRule="auto"/>
        <w:ind w:firstLine="640" w:firstLineChars="200"/>
        <w:rPr>
          <w:rFonts w:ascii="楷体" w:hAnsi="楷体" w:eastAsia="楷体" w:cs="宋体"/>
          <w:kern w:val="0"/>
          <w:sz w:val="32"/>
          <w:szCs w:val="32"/>
        </w:rPr>
      </w:pPr>
      <w:r>
        <w:rPr>
          <w:rFonts w:hint="eastAsia" w:ascii="楷体" w:hAnsi="楷体" w:eastAsia="楷体" w:cs="宋体"/>
          <w:kern w:val="0"/>
          <w:sz w:val="32"/>
          <w:szCs w:val="32"/>
        </w:rPr>
        <w:t>2019年，全社会固定资产投资继续呈增长态势。全年完成固定资产投资274.0亿元，比上年增长19.0%。全年完成亿元以上项目投资42.7亿元（不含房地产开发投资），亿元以上项目投资比重达88.6%。</w:t>
      </w:r>
    </w:p>
    <w:p w14:paraId="7D19874F">
      <w:pPr>
        <w:autoSpaceDE w:val="0"/>
        <w:autoSpaceDN w:val="0"/>
        <w:adjustRightInd w:val="0"/>
        <w:spacing w:line="360" w:lineRule="auto"/>
        <w:ind w:firstLine="640" w:firstLineChars="200"/>
        <w:rPr>
          <w:rFonts w:ascii="楷体" w:hAnsi="楷体" w:eastAsia="楷体" w:cs="宋体"/>
          <w:kern w:val="0"/>
          <w:sz w:val="32"/>
          <w:szCs w:val="32"/>
        </w:rPr>
      </w:pPr>
      <w:r>
        <w:rPr>
          <w:rFonts w:hint="eastAsia" w:ascii="楷体" w:hAnsi="楷体" w:eastAsia="楷体" w:cs="宋体"/>
          <w:kern w:val="0"/>
          <w:sz w:val="32"/>
          <w:szCs w:val="32"/>
        </w:rPr>
        <w:t>大唐国际辽宁沈抚连接带热电厂"上大压小"新建工程项目累计完成32.3亿元、中一东北国际医院一期项目累计完成24.0亿元、中国电信辽宁分公司2019年政企高质量专线承载网络（OTN）城域网建设项目累计完成9.4亿元、鲁迅美术学院新校区建设项目累计完成7.8亿元、富虹工业园仓储项目累计完成6.6亿元、中国智能骨干网沈阳浑南项目累计完成4.4亿元、沈阳海思科医药产业园一期项目累计完成4.1亿元、北京师范大学沈阳附属学校中学部建设工程项目累计完成3.8亿元、第四代移动网络及有线接入网和基础网建设累计完成3.2亿元、深辽新能源科技（辽宁）有限公司沈阳恒大新能源汽车零部件项目累计完成2.5亿元；安博沈阳浑南物流中心二期项目、沈阳德驰汽车销售服务有限公司东风本田4S店项目、浑南区长安街道路排水工程（南提路-浑南大道北一路）项目、辽宁九丰药业有限公司厂区建设项目、沈阳市浑南区李相街道王士兰村等三个村耕地质量等别提升项目、国网辽宁省电力有限公司多个输变电及配套工程等项目均已竣工。</w:t>
      </w:r>
    </w:p>
    <w:p w14:paraId="5768DB4F">
      <w:pPr>
        <w:tabs>
          <w:tab w:val="center" w:pos="4433"/>
        </w:tabs>
        <w:autoSpaceDE w:val="0"/>
        <w:autoSpaceDN w:val="0"/>
        <w:adjustRightInd w:val="0"/>
        <w:spacing w:line="360" w:lineRule="auto"/>
        <w:ind w:firstLine="560"/>
        <w:rPr>
          <w:rFonts w:ascii="楷体" w:hAnsi="楷体" w:eastAsia="楷体" w:cs="宋体"/>
          <w:b/>
          <w:sz w:val="32"/>
          <w:szCs w:val="32"/>
          <w:lang w:val="zh-CN"/>
        </w:rPr>
      </w:pPr>
      <w:r>
        <w:rPr>
          <w:rFonts w:hint="eastAsia" w:ascii="楷体" w:hAnsi="楷体" w:eastAsia="楷体" w:cs="宋体"/>
          <w:b/>
          <w:sz w:val="32"/>
          <w:szCs w:val="32"/>
          <w:lang w:val="zh-CN"/>
        </w:rPr>
        <w:t>城乡建设</w:t>
      </w:r>
      <w:r>
        <w:rPr>
          <w:rFonts w:ascii="楷体" w:hAnsi="楷体" w:eastAsia="楷体" w:cs="宋体"/>
          <w:b/>
          <w:sz w:val="32"/>
          <w:szCs w:val="32"/>
          <w:lang w:val="zh-CN"/>
        </w:rPr>
        <w:tab/>
      </w:r>
    </w:p>
    <w:p w14:paraId="45408784">
      <w:pPr>
        <w:autoSpaceDE w:val="0"/>
        <w:autoSpaceDN w:val="0"/>
        <w:adjustRightInd w:val="0"/>
        <w:spacing w:line="360" w:lineRule="auto"/>
        <w:ind w:firstLine="560"/>
        <w:rPr>
          <w:rFonts w:ascii="楷体" w:hAnsi="楷体" w:eastAsia="楷体" w:cs="宋体"/>
          <w:sz w:val="32"/>
          <w:szCs w:val="32"/>
        </w:rPr>
      </w:pPr>
      <w:r>
        <w:rPr>
          <w:rFonts w:hint="eastAsia" w:ascii="楷体" w:hAnsi="楷体" w:eastAsia="楷体" w:cs="宋体"/>
          <w:sz w:val="32"/>
          <w:szCs w:val="32"/>
        </w:rPr>
        <w:t>全年完成乡村级公路维修改造工程垫层35.5公里，基层30.6公里，面层24.4公里，完成农村路网改造工程垫层8.5公里，基层6.9公里，面层1.1公里。生命防护工程已安装警示桩1500个，单柱标志标牌400个，波形钢护栏3200米。国省干线、县乡村公路坑槽、翻浆、网裂处理工程。已完成翻新路面1113.87平方米、道路盖被11756.5平方米、修补坑槽1093.24平方米、修筑排水边沟233.3米、防护盖板54米、路面翻新32平方米、挡墙129米、止水墙129米、检查井2座、安装警示柱81个。桥涵护坡、护栏、新建挡土墙工程。已完成新建人行道1570平方米、砂浆抹面300平方米、勾缝850平方米、安装警示桩4个。2019年水毁道路维修、公路灌缝维修工程完成坑槽维修57207平方米，灌缝120760延长米，维修边石22米，维修雨水井11个。</w:t>
      </w:r>
    </w:p>
    <w:p w14:paraId="060782C6">
      <w:pPr>
        <w:autoSpaceDE w:val="0"/>
        <w:autoSpaceDN w:val="0"/>
        <w:adjustRightInd w:val="0"/>
        <w:spacing w:line="360" w:lineRule="auto"/>
        <w:ind w:firstLine="560"/>
        <w:rPr>
          <w:rFonts w:ascii="楷体" w:hAnsi="楷体" w:eastAsia="楷体" w:cs="宋体"/>
          <w:sz w:val="32"/>
          <w:szCs w:val="32"/>
        </w:rPr>
      </w:pPr>
      <w:r>
        <w:rPr>
          <w:rFonts w:hint="eastAsia" w:ascii="楷体" w:hAnsi="楷体" w:eastAsia="楷体" w:cs="宋体"/>
          <w:sz w:val="32"/>
          <w:szCs w:val="32"/>
        </w:rPr>
        <w:t>沈本公路绿化工程完成两侧行道树种植3</w:t>
      </w:r>
      <w:r>
        <w:rPr>
          <w:rFonts w:ascii="楷体" w:hAnsi="楷体" w:eastAsia="楷体" w:cs="宋体"/>
          <w:sz w:val="32"/>
          <w:szCs w:val="32"/>
        </w:rPr>
        <w:t>625</w:t>
      </w:r>
      <w:r>
        <w:rPr>
          <w:rFonts w:hint="eastAsia" w:ascii="楷体" w:hAnsi="楷体" w:eastAsia="楷体" w:cs="宋体"/>
          <w:sz w:val="32"/>
          <w:szCs w:val="32"/>
        </w:rPr>
        <w:t>棵，完成种植小叶丁香2200平方米、中华金叶榆1750平方米、白三叶55500平方米。险桥改造工程已完成小荒地南桥、柳泉沟桥、王滨桥、仁义桥、石官桥、二板桥等6座桥梁改造，共计58延长米。苏赵线路产恢复维修工程，完成维修道路长200米，宽1.5米。</w:t>
      </w:r>
    </w:p>
    <w:p w14:paraId="0163673F">
      <w:pPr>
        <w:autoSpaceDE w:val="0"/>
        <w:autoSpaceDN w:val="0"/>
        <w:adjustRightInd w:val="0"/>
        <w:spacing w:line="360" w:lineRule="auto"/>
        <w:ind w:firstLine="560"/>
        <w:rPr>
          <w:rFonts w:ascii="楷体" w:hAnsi="楷体" w:eastAsia="楷体" w:cs="宋体"/>
          <w:sz w:val="32"/>
          <w:szCs w:val="32"/>
        </w:rPr>
      </w:pPr>
      <w:r>
        <w:rPr>
          <w:rFonts w:ascii="楷体" w:hAnsi="楷体" w:eastAsia="楷体" w:cs="宋体"/>
          <w:sz w:val="32"/>
          <w:szCs w:val="32"/>
        </w:rPr>
        <w:t xml:space="preserve"> </w:t>
      </w:r>
      <w:r>
        <w:rPr>
          <w:rFonts w:hint="eastAsia" w:ascii="楷体" w:hAnsi="楷体" w:eastAsia="楷体" w:cs="宋体"/>
          <w:sz w:val="32"/>
          <w:szCs w:val="32"/>
        </w:rPr>
        <w:t>管养道路共计28条，养护里程合计361公里。道路保洁方面按照城市道路清扫标准，对出口路、城市出口路加强扫保。共完成路肩草线1286公里，清理边沟238公里，整修路肩467公里，清理垃圾11686立方米，出动人工1868人次，路树涂白30967株，更换里程碑35块，埋设道口标注112根，百米桩147块，轮廓标326根。</w:t>
      </w:r>
    </w:p>
    <w:p w14:paraId="5D7C9D86">
      <w:pPr>
        <w:autoSpaceDE w:val="0"/>
        <w:autoSpaceDN w:val="0"/>
        <w:adjustRightInd w:val="0"/>
        <w:spacing w:line="360" w:lineRule="auto"/>
        <w:ind w:firstLine="643" w:firstLineChars="200"/>
        <w:rPr>
          <w:rFonts w:ascii="黑体" w:hAnsi="黑体" w:eastAsia="黑体" w:cs="黑体"/>
          <w:b/>
          <w:bCs/>
          <w:color w:val="FF0000"/>
          <w:sz w:val="32"/>
          <w:szCs w:val="32"/>
          <w:lang w:val="zh-CN"/>
        </w:rPr>
      </w:pPr>
    </w:p>
    <w:p w14:paraId="10B3FC05">
      <w:pPr>
        <w:autoSpaceDE w:val="0"/>
        <w:autoSpaceDN w:val="0"/>
        <w:adjustRightInd w:val="0"/>
        <w:spacing w:line="360" w:lineRule="auto"/>
        <w:ind w:firstLine="643" w:firstLineChars="200"/>
        <w:rPr>
          <w:rFonts w:ascii="黑体" w:hAnsi="黑体" w:eastAsia="黑体" w:cs="黑体"/>
          <w:b/>
          <w:bCs/>
          <w:sz w:val="32"/>
          <w:szCs w:val="32"/>
          <w:lang w:val="zh-CN"/>
        </w:rPr>
      </w:pPr>
      <w:r>
        <w:rPr>
          <w:rFonts w:hint="eastAsia" w:ascii="黑体" w:hAnsi="黑体" w:eastAsia="黑体" w:cs="黑体"/>
          <w:b/>
          <w:bCs/>
          <w:sz w:val="32"/>
          <w:szCs w:val="32"/>
          <w:lang w:val="zh-CN"/>
        </w:rPr>
        <w:t>四、国内贸易、房地产、对外经贸</w:t>
      </w:r>
    </w:p>
    <w:p w14:paraId="63D7FEB1">
      <w:pPr>
        <w:autoSpaceDE w:val="0"/>
        <w:autoSpaceDN w:val="0"/>
        <w:adjustRightInd w:val="0"/>
        <w:spacing w:line="360" w:lineRule="auto"/>
        <w:ind w:firstLine="643" w:firstLineChars="200"/>
        <w:rPr>
          <w:rFonts w:ascii="楷体" w:hAnsi="楷体" w:eastAsia="楷体"/>
          <w:b/>
          <w:bCs/>
          <w:sz w:val="32"/>
          <w:szCs w:val="32"/>
        </w:rPr>
      </w:pPr>
      <w:r>
        <w:rPr>
          <w:rFonts w:hint="eastAsia" w:ascii="楷体" w:hAnsi="楷体" w:eastAsia="楷体" w:cs="黑体"/>
          <w:b/>
          <w:bCs/>
          <w:sz w:val="32"/>
          <w:szCs w:val="32"/>
          <w:lang w:val="zh-CN"/>
        </w:rPr>
        <w:t>国内贸易</w:t>
      </w:r>
    </w:p>
    <w:p w14:paraId="7052B2F3">
      <w:pPr>
        <w:spacing w:line="360" w:lineRule="auto"/>
        <w:rPr>
          <w:rFonts w:ascii="楷体" w:hAnsi="楷体" w:eastAsia="楷体"/>
          <w:sz w:val="32"/>
          <w:szCs w:val="32"/>
        </w:rPr>
      </w:pPr>
      <w:r>
        <w:rPr>
          <w:rFonts w:hint="eastAsia" w:ascii="楷体" w:hAnsi="楷体" w:eastAsia="楷体"/>
          <w:sz w:val="32"/>
          <w:szCs w:val="32"/>
        </w:rPr>
        <w:t xml:space="preserve">    </w:t>
      </w:r>
      <w:r>
        <w:rPr>
          <w:rFonts w:ascii="楷体" w:hAnsi="楷体" w:eastAsia="楷体"/>
          <w:sz w:val="32"/>
          <w:szCs w:val="32"/>
        </w:rPr>
        <w:t>201</w:t>
      </w:r>
      <w:r>
        <w:rPr>
          <w:rFonts w:hint="eastAsia" w:ascii="楷体" w:hAnsi="楷体" w:eastAsia="楷体"/>
          <w:sz w:val="32"/>
          <w:szCs w:val="32"/>
        </w:rPr>
        <w:t>9</w:t>
      </w:r>
      <w:r>
        <w:rPr>
          <w:rFonts w:ascii="楷体" w:hAnsi="楷体" w:eastAsia="楷体"/>
          <w:sz w:val="32"/>
          <w:szCs w:val="32"/>
        </w:rPr>
        <w:t>年，国内贸易业增长平稳。全年批发和零售业实现增加值29.6亿元，比上年增长7.0</w:t>
      </w:r>
      <w:r>
        <w:rPr>
          <w:rFonts w:hint="eastAsia" w:ascii="楷体" w:hAnsi="楷体" w:eastAsia="楷体"/>
          <w:sz w:val="32"/>
          <w:szCs w:val="32"/>
        </w:rPr>
        <w:t xml:space="preserve"> </w:t>
      </w:r>
      <w:r>
        <w:rPr>
          <w:rFonts w:ascii="楷体" w:hAnsi="楷体" w:eastAsia="楷体"/>
          <w:sz w:val="32"/>
          <w:szCs w:val="32"/>
        </w:rPr>
        <w:t>%，住宿和餐饮业实现增加值</w:t>
      </w:r>
      <w:r>
        <w:rPr>
          <w:rFonts w:hint="eastAsia" w:ascii="楷体" w:hAnsi="楷体" w:eastAsia="楷体"/>
          <w:sz w:val="32"/>
          <w:szCs w:val="32"/>
        </w:rPr>
        <w:t>4</w:t>
      </w:r>
      <w:r>
        <w:rPr>
          <w:rFonts w:ascii="楷体" w:hAnsi="楷体" w:eastAsia="楷体"/>
          <w:sz w:val="32"/>
          <w:szCs w:val="32"/>
        </w:rPr>
        <w:t>.</w:t>
      </w:r>
      <w:r>
        <w:rPr>
          <w:rFonts w:hint="eastAsia" w:ascii="楷体" w:hAnsi="楷体" w:eastAsia="楷体"/>
          <w:sz w:val="32"/>
          <w:szCs w:val="32"/>
        </w:rPr>
        <w:t>5</w:t>
      </w:r>
      <w:r>
        <w:rPr>
          <w:rFonts w:ascii="楷体" w:hAnsi="楷体" w:eastAsia="楷体"/>
          <w:sz w:val="32"/>
          <w:szCs w:val="32"/>
        </w:rPr>
        <w:t>亿元，比上年增长</w:t>
      </w:r>
      <w:r>
        <w:rPr>
          <w:rFonts w:hint="eastAsia" w:ascii="楷体" w:hAnsi="楷体" w:eastAsia="楷体"/>
          <w:sz w:val="32"/>
          <w:szCs w:val="32"/>
        </w:rPr>
        <w:t>4.</w:t>
      </w:r>
      <w:r>
        <w:rPr>
          <w:rFonts w:ascii="楷体" w:hAnsi="楷体" w:eastAsia="楷体"/>
          <w:sz w:val="32"/>
          <w:szCs w:val="32"/>
        </w:rPr>
        <w:t>2</w:t>
      </w:r>
      <w:r>
        <w:rPr>
          <w:rFonts w:eastAsia="楷体" w:cs="Calibri"/>
          <w:sz w:val="32"/>
          <w:szCs w:val="32"/>
        </w:rPr>
        <w:t xml:space="preserve"> </w:t>
      </w:r>
      <w:r>
        <w:rPr>
          <w:rFonts w:ascii="楷体" w:hAnsi="楷体" w:eastAsia="楷体"/>
          <w:sz w:val="32"/>
          <w:szCs w:val="32"/>
        </w:rPr>
        <w:t>%。</w:t>
      </w:r>
    </w:p>
    <w:p w14:paraId="21FC024E">
      <w:pPr>
        <w:spacing w:line="360" w:lineRule="auto"/>
        <w:rPr>
          <w:rFonts w:ascii="楷体" w:hAnsi="楷体" w:eastAsia="楷体"/>
          <w:sz w:val="32"/>
          <w:szCs w:val="32"/>
        </w:rPr>
      </w:pPr>
      <w:r>
        <w:rPr>
          <w:rFonts w:eastAsia="楷体" w:cs="Calibri"/>
          <w:sz w:val="32"/>
          <w:szCs w:val="32"/>
        </w:rPr>
        <w:t>     </w:t>
      </w:r>
      <w:r>
        <w:rPr>
          <w:rFonts w:hint="eastAsia" w:ascii="楷体" w:hAnsi="楷体" w:eastAsia="楷体"/>
          <w:sz w:val="32"/>
          <w:szCs w:val="32"/>
        </w:rPr>
        <w:t>消费品市场活跃。全年实现社会消费品零售额47</w:t>
      </w:r>
      <w:r>
        <w:rPr>
          <w:rFonts w:ascii="楷体" w:hAnsi="楷体" w:eastAsia="楷体"/>
          <w:sz w:val="32"/>
          <w:szCs w:val="32"/>
        </w:rPr>
        <w:t>0</w:t>
      </w:r>
      <w:r>
        <w:rPr>
          <w:rFonts w:hint="eastAsia" w:ascii="楷体" w:hAnsi="楷体" w:eastAsia="楷体"/>
          <w:sz w:val="32"/>
          <w:szCs w:val="32"/>
        </w:rPr>
        <w:t>亿元，比上年增长</w:t>
      </w:r>
      <w:r>
        <w:rPr>
          <w:rFonts w:ascii="楷体" w:hAnsi="楷体" w:eastAsia="楷体"/>
          <w:sz w:val="32"/>
          <w:szCs w:val="32"/>
        </w:rPr>
        <w:t>13.0</w:t>
      </w:r>
      <w:r>
        <w:rPr>
          <w:rFonts w:hint="eastAsia" w:ascii="楷体" w:hAnsi="楷体" w:eastAsia="楷体"/>
          <w:sz w:val="32"/>
          <w:szCs w:val="32"/>
        </w:rPr>
        <w:t>%，其中：限额以上企业社会消费品零售额404.9亿元，同比增长14.9%，限额以上批发和零售业商品销售分类情况中通过互联网实现的商品销售额322.6亿元，同比增长25.6％。</w:t>
      </w:r>
    </w:p>
    <w:p w14:paraId="5BF11E2F">
      <w:pPr>
        <w:spacing w:line="360" w:lineRule="auto"/>
        <w:ind w:firstLine="640" w:firstLineChars="200"/>
        <w:rPr>
          <w:rFonts w:ascii="楷体" w:hAnsi="楷体" w:eastAsia="楷体"/>
          <w:sz w:val="32"/>
          <w:szCs w:val="32"/>
        </w:rPr>
      </w:pPr>
      <w:r>
        <w:rPr>
          <w:rFonts w:hint="eastAsia" w:ascii="楷体" w:hAnsi="楷体" w:eastAsia="楷体"/>
          <w:sz w:val="32"/>
          <w:szCs w:val="32"/>
        </w:rPr>
        <w:t>2019年，贸易业实现限上商品销售总额538.6亿元,同比增长13.5%，其中:批发业销售额130.2亿元，同比增长4.84%；零售业销售额406.5亿元，同比增长16.9%；住宿业营业额0.5亿元，同比下降39.48%；餐饮业营业额1.27亿元，同比下降.12.67%。</w:t>
      </w:r>
    </w:p>
    <w:p w14:paraId="2FA80EA3">
      <w:pPr>
        <w:spacing w:line="360" w:lineRule="auto"/>
        <w:ind w:firstLine="640" w:firstLineChars="200"/>
        <w:rPr>
          <w:rFonts w:ascii="楷体" w:hAnsi="楷体" w:eastAsia="楷体"/>
          <w:sz w:val="32"/>
          <w:szCs w:val="32"/>
        </w:rPr>
      </w:pPr>
      <w:r>
        <w:rPr>
          <w:rFonts w:hint="eastAsia" w:ascii="楷体" w:hAnsi="楷体" w:eastAsia="楷体"/>
          <w:sz w:val="32"/>
          <w:szCs w:val="32"/>
        </w:rPr>
        <w:t>按限额以上企业商品分类分组,家用电器和音像器材类实现商品销售额132.1亿元，排在首位；通讯器材类实现销售额70.6亿元，排在其后；汽车类实现商品销售额70.5亿元，排在第三位。</w:t>
      </w:r>
    </w:p>
    <w:p w14:paraId="26DCB414">
      <w:pPr>
        <w:autoSpaceDE w:val="0"/>
        <w:autoSpaceDN w:val="0"/>
        <w:adjustRightInd w:val="0"/>
        <w:spacing w:line="360" w:lineRule="auto"/>
        <w:ind w:firstLine="560"/>
        <w:rPr>
          <w:rFonts w:ascii="黑体" w:hAnsi="黑体" w:eastAsia="黑体" w:cs="宋体"/>
          <w:b/>
          <w:sz w:val="32"/>
          <w:szCs w:val="32"/>
          <w:lang w:val="zh-CN"/>
        </w:rPr>
      </w:pPr>
      <w:r>
        <w:rPr>
          <w:rFonts w:hint="eastAsia" w:ascii="黑体" w:hAnsi="黑体" w:eastAsia="黑体" w:cs="宋体"/>
          <w:b/>
          <w:sz w:val="32"/>
          <w:szCs w:val="32"/>
          <w:lang w:val="zh-CN"/>
        </w:rPr>
        <w:t>房地产</w:t>
      </w:r>
    </w:p>
    <w:p w14:paraId="7BF5359C">
      <w:pPr>
        <w:spacing w:line="360" w:lineRule="auto"/>
        <w:ind w:firstLine="640" w:firstLineChars="200"/>
        <w:rPr>
          <w:rFonts w:ascii="楷体" w:hAnsi="楷体" w:eastAsia="楷体"/>
          <w:sz w:val="32"/>
          <w:szCs w:val="32"/>
        </w:rPr>
      </w:pPr>
      <w:r>
        <w:rPr>
          <w:rFonts w:hint="eastAsia" w:ascii="楷体" w:hAnsi="楷体" w:eastAsia="楷体"/>
          <w:sz w:val="32"/>
          <w:szCs w:val="32"/>
        </w:rPr>
        <w:t>2019年，房地产开发投资完成225.8亿元，同比增长19.0%；施工面积1459.0万平方米，同比增长14.1%；新开工面积335.7万平方米，同比增长9.3%；商品房销售面积385.1万平方米，同比增长10.4%；商品房销售额442.7亿元，同比增长25.8%。</w:t>
      </w:r>
    </w:p>
    <w:p w14:paraId="0916936B">
      <w:pPr>
        <w:autoSpaceDE w:val="0"/>
        <w:autoSpaceDN w:val="0"/>
        <w:adjustRightInd w:val="0"/>
        <w:spacing w:line="360" w:lineRule="auto"/>
        <w:ind w:firstLine="586"/>
        <w:rPr>
          <w:rFonts w:ascii="黑体" w:hAnsi="黑体" w:eastAsia="黑体" w:cs="黑体"/>
          <w:b/>
          <w:bCs/>
          <w:spacing w:val="6"/>
          <w:kern w:val="0"/>
          <w:sz w:val="32"/>
          <w:szCs w:val="32"/>
          <w:lang w:val="zh-CN"/>
        </w:rPr>
      </w:pPr>
      <w:r>
        <w:rPr>
          <w:rFonts w:hint="eastAsia" w:ascii="黑体" w:hAnsi="黑体" w:eastAsia="黑体" w:cs="黑体"/>
          <w:b/>
          <w:bCs/>
          <w:spacing w:val="6"/>
          <w:kern w:val="0"/>
          <w:sz w:val="32"/>
          <w:szCs w:val="32"/>
          <w:lang w:val="zh-CN"/>
        </w:rPr>
        <w:t>外经外贸</w:t>
      </w:r>
    </w:p>
    <w:p w14:paraId="312BF098">
      <w:pPr>
        <w:widowControl/>
        <w:spacing w:line="360" w:lineRule="auto"/>
        <w:ind w:firstLine="640" w:firstLineChars="200"/>
        <w:jc w:val="left"/>
        <w:rPr>
          <w:rFonts w:ascii="楷体" w:hAnsi="楷体" w:eastAsia="楷体" w:cs="宋体"/>
          <w:kern w:val="0"/>
          <w:sz w:val="32"/>
          <w:szCs w:val="32"/>
        </w:rPr>
      </w:pPr>
      <w:r>
        <w:rPr>
          <w:rFonts w:ascii="楷体" w:hAnsi="楷体" w:eastAsia="楷体" w:cs="宋体"/>
          <w:kern w:val="0"/>
          <w:sz w:val="32"/>
          <w:szCs w:val="32"/>
        </w:rPr>
        <w:t>201</w:t>
      </w:r>
      <w:r>
        <w:rPr>
          <w:rFonts w:hint="eastAsia" w:ascii="楷体" w:hAnsi="楷体" w:eastAsia="楷体" w:cs="宋体"/>
          <w:kern w:val="0"/>
          <w:sz w:val="32"/>
          <w:szCs w:val="32"/>
        </w:rPr>
        <w:t>9</w:t>
      </w:r>
      <w:r>
        <w:rPr>
          <w:rFonts w:ascii="楷体" w:hAnsi="楷体" w:eastAsia="楷体" w:cs="宋体"/>
          <w:kern w:val="0"/>
          <w:sz w:val="32"/>
          <w:szCs w:val="32"/>
        </w:rPr>
        <w:t>年，</w:t>
      </w:r>
      <w:r>
        <w:rPr>
          <w:rFonts w:hint="eastAsia" w:ascii="楷体" w:hAnsi="楷体" w:eastAsia="楷体" w:cs="宋体"/>
          <w:kern w:val="0"/>
          <w:sz w:val="32"/>
          <w:szCs w:val="32"/>
        </w:rPr>
        <w:t>全区共有进出口业务企业125家，</w:t>
      </w:r>
      <w:r>
        <w:rPr>
          <w:rFonts w:ascii="楷体" w:hAnsi="楷体" w:eastAsia="楷体" w:cs="宋体"/>
          <w:kern w:val="0"/>
          <w:sz w:val="32"/>
          <w:szCs w:val="32"/>
        </w:rPr>
        <w:t>全区完成</w:t>
      </w:r>
      <w:r>
        <w:rPr>
          <w:rFonts w:hint="eastAsia" w:ascii="楷体" w:hAnsi="楷体" w:eastAsia="楷体" w:cs="宋体"/>
          <w:kern w:val="0"/>
          <w:sz w:val="32"/>
          <w:szCs w:val="32"/>
        </w:rPr>
        <w:t>进</w:t>
      </w:r>
      <w:r>
        <w:rPr>
          <w:rFonts w:ascii="楷体" w:hAnsi="楷体" w:eastAsia="楷体" w:cs="宋体"/>
          <w:kern w:val="0"/>
          <w:sz w:val="32"/>
          <w:szCs w:val="32"/>
        </w:rPr>
        <w:t>出口总额</w:t>
      </w:r>
      <w:r>
        <w:rPr>
          <w:rFonts w:hint="eastAsia" w:ascii="楷体" w:hAnsi="楷体" w:eastAsia="楷体" w:cs="宋体"/>
          <w:kern w:val="0"/>
          <w:sz w:val="32"/>
          <w:szCs w:val="32"/>
        </w:rPr>
        <w:t>122亿</w:t>
      </w:r>
      <w:r>
        <w:rPr>
          <w:rFonts w:ascii="楷体" w:hAnsi="楷体" w:eastAsia="楷体" w:cs="宋体"/>
          <w:kern w:val="0"/>
          <w:sz w:val="32"/>
          <w:szCs w:val="32"/>
        </w:rPr>
        <w:t>元，比上年</w:t>
      </w:r>
      <w:r>
        <w:rPr>
          <w:rFonts w:hint="eastAsia" w:ascii="楷体" w:hAnsi="楷体" w:eastAsia="楷体" w:cs="宋体"/>
          <w:kern w:val="0"/>
          <w:sz w:val="32"/>
          <w:szCs w:val="32"/>
        </w:rPr>
        <w:t>下降6</w:t>
      </w:r>
      <w:r>
        <w:rPr>
          <w:rFonts w:ascii="楷体" w:hAnsi="楷体" w:eastAsia="楷体" w:cs="宋体"/>
          <w:kern w:val="0"/>
          <w:sz w:val="32"/>
          <w:szCs w:val="32"/>
        </w:rPr>
        <w:t>.</w:t>
      </w:r>
      <w:r>
        <w:rPr>
          <w:rFonts w:hint="eastAsia" w:ascii="楷体" w:hAnsi="楷体" w:eastAsia="楷体" w:cs="宋体"/>
          <w:kern w:val="0"/>
          <w:sz w:val="32"/>
          <w:szCs w:val="32"/>
        </w:rPr>
        <w:t>85%</w:t>
      </w:r>
      <w:r>
        <w:rPr>
          <w:rFonts w:ascii="楷体" w:hAnsi="楷体" w:eastAsia="楷体" w:cs="宋体"/>
          <w:kern w:val="0"/>
          <w:sz w:val="32"/>
          <w:szCs w:val="32"/>
        </w:rPr>
        <w:t>。</w:t>
      </w:r>
    </w:p>
    <w:p w14:paraId="5F1F57E6">
      <w:pPr>
        <w:widowControl/>
        <w:spacing w:line="360" w:lineRule="auto"/>
        <w:ind w:firstLine="640" w:firstLineChars="200"/>
        <w:jc w:val="left"/>
        <w:rPr>
          <w:rFonts w:ascii="楷体" w:hAnsi="楷体" w:eastAsia="楷体" w:cs="宋体"/>
          <w:kern w:val="0"/>
          <w:sz w:val="32"/>
          <w:szCs w:val="32"/>
        </w:rPr>
      </w:pPr>
    </w:p>
    <w:p w14:paraId="7DB9C19E">
      <w:pPr>
        <w:widowControl/>
        <w:spacing w:line="360" w:lineRule="auto"/>
        <w:ind w:firstLine="643" w:firstLineChars="200"/>
        <w:rPr>
          <w:rFonts w:ascii="黑体" w:hAnsi="黑体" w:eastAsia="黑体" w:cs="宋体"/>
          <w:b/>
          <w:kern w:val="0"/>
          <w:sz w:val="32"/>
          <w:szCs w:val="32"/>
        </w:rPr>
      </w:pPr>
      <w:r>
        <w:rPr>
          <w:rFonts w:hint="eastAsia" w:ascii="黑体" w:hAnsi="黑体" w:eastAsia="黑体" w:cs="宋体"/>
          <w:b/>
          <w:bCs/>
          <w:kern w:val="0"/>
          <w:sz w:val="32"/>
          <w:szCs w:val="32"/>
        </w:rPr>
        <w:t>五、</w:t>
      </w:r>
      <w:r>
        <w:rPr>
          <w:rFonts w:ascii="黑体" w:hAnsi="黑体" w:eastAsia="黑体" w:cs="宋体"/>
          <w:b/>
          <w:kern w:val="0"/>
          <w:sz w:val="32"/>
          <w:szCs w:val="32"/>
        </w:rPr>
        <w:t>财政收支、社会保障</w:t>
      </w:r>
    </w:p>
    <w:p w14:paraId="665ADD9E">
      <w:pPr>
        <w:widowControl/>
        <w:spacing w:line="360" w:lineRule="auto"/>
        <w:ind w:firstLine="643" w:firstLineChars="200"/>
        <w:rPr>
          <w:rFonts w:ascii="楷体" w:hAnsi="楷体" w:eastAsia="楷体" w:cs="宋体"/>
          <w:b/>
          <w:kern w:val="0"/>
          <w:sz w:val="32"/>
          <w:szCs w:val="32"/>
        </w:rPr>
      </w:pPr>
      <w:r>
        <w:rPr>
          <w:rFonts w:ascii="楷体" w:hAnsi="楷体" w:eastAsia="楷体" w:cs="宋体"/>
          <w:b/>
          <w:kern w:val="0"/>
          <w:sz w:val="32"/>
          <w:szCs w:val="32"/>
        </w:rPr>
        <w:t>财政</w:t>
      </w:r>
    </w:p>
    <w:p w14:paraId="44998F2D">
      <w:pPr>
        <w:widowControl/>
        <w:spacing w:line="360" w:lineRule="auto"/>
        <w:ind w:firstLine="640" w:firstLineChars="200"/>
        <w:rPr>
          <w:rFonts w:ascii="楷体" w:hAnsi="楷体" w:eastAsia="楷体" w:cs="宋体"/>
          <w:b/>
          <w:kern w:val="0"/>
          <w:sz w:val="32"/>
          <w:szCs w:val="32"/>
        </w:rPr>
      </w:pPr>
      <w:r>
        <w:rPr>
          <w:rFonts w:ascii="楷体" w:hAnsi="楷体" w:eastAsia="楷体" w:cs="宋体"/>
          <w:kern w:val="0"/>
          <w:sz w:val="32"/>
          <w:szCs w:val="32"/>
        </w:rPr>
        <w:t>2019年</w:t>
      </w:r>
      <w:r>
        <w:rPr>
          <w:rFonts w:hint="eastAsia" w:ascii="楷体" w:hAnsi="楷体" w:eastAsia="楷体" w:cs="宋体"/>
          <w:kern w:val="0"/>
          <w:sz w:val="32"/>
          <w:szCs w:val="32"/>
        </w:rPr>
        <w:t>，公共财政预算收入</w:t>
      </w:r>
      <w:r>
        <w:rPr>
          <w:rFonts w:ascii="楷体" w:hAnsi="楷体" w:eastAsia="楷体" w:cs="宋体"/>
          <w:kern w:val="0"/>
          <w:sz w:val="32"/>
          <w:szCs w:val="32"/>
        </w:rPr>
        <w:t>87</w:t>
      </w:r>
      <w:r>
        <w:rPr>
          <w:rFonts w:hint="eastAsia" w:ascii="楷体" w:hAnsi="楷体" w:eastAsia="楷体" w:cs="宋体"/>
          <w:kern w:val="0"/>
          <w:sz w:val="32"/>
          <w:szCs w:val="32"/>
        </w:rPr>
        <w:t>.</w:t>
      </w:r>
      <w:r>
        <w:rPr>
          <w:rFonts w:ascii="楷体" w:hAnsi="楷体" w:eastAsia="楷体" w:cs="宋体"/>
          <w:kern w:val="0"/>
          <w:sz w:val="32"/>
          <w:szCs w:val="32"/>
        </w:rPr>
        <w:t>5</w:t>
      </w:r>
      <w:r>
        <w:rPr>
          <w:rFonts w:hint="eastAsia" w:ascii="楷体" w:hAnsi="楷体" w:eastAsia="楷体" w:cs="宋体"/>
          <w:kern w:val="0"/>
          <w:sz w:val="32"/>
          <w:szCs w:val="32"/>
        </w:rPr>
        <w:t>亿元,</w:t>
      </w:r>
      <w:r>
        <w:rPr>
          <w:rFonts w:ascii="楷体" w:hAnsi="楷体" w:eastAsia="楷体" w:cs="宋体"/>
          <w:kern w:val="0"/>
          <w:sz w:val="32"/>
          <w:szCs w:val="32"/>
        </w:rPr>
        <w:t>其中税收</w:t>
      </w:r>
      <w:r>
        <w:rPr>
          <w:rFonts w:hint="eastAsia" w:ascii="楷体" w:hAnsi="楷体" w:eastAsia="楷体" w:cs="宋体"/>
          <w:kern w:val="0"/>
          <w:sz w:val="32"/>
          <w:szCs w:val="32"/>
        </w:rPr>
        <w:t>收入7</w:t>
      </w:r>
      <w:r>
        <w:rPr>
          <w:rFonts w:ascii="楷体" w:hAnsi="楷体" w:eastAsia="楷体" w:cs="宋体"/>
          <w:kern w:val="0"/>
          <w:sz w:val="32"/>
          <w:szCs w:val="32"/>
        </w:rPr>
        <w:t>9.7</w:t>
      </w:r>
      <w:r>
        <w:rPr>
          <w:rFonts w:hint="eastAsia" w:ascii="楷体" w:hAnsi="楷体" w:eastAsia="楷体" w:cs="宋体"/>
          <w:kern w:val="0"/>
          <w:sz w:val="32"/>
          <w:szCs w:val="32"/>
        </w:rPr>
        <w:t>亿元，非税收入</w:t>
      </w:r>
      <w:r>
        <w:rPr>
          <w:rFonts w:ascii="楷体" w:hAnsi="楷体" w:eastAsia="楷体" w:cs="宋体"/>
          <w:kern w:val="0"/>
          <w:sz w:val="32"/>
          <w:szCs w:val="32"/>
        </w:rPr>
        <w:t>7.8</w:t>
      </w:r>
      <w:r>
        <w:rPr>
          <w:rFonts w:hint="eastAsia" w:ascii="楷体" w:hAnsi="楷体" w:eastAsia="楷体" w:cs="宋体"/>
          <w:kern w:val="0"/>
          <w:sz w:val="32"/>
          <w:szCs w:val="32"/>
        </w:rPr>
        <w:t>亿元。政府性基金收入</w:t>
      </w:r>
      <w:r>
        <w:rPr>
          <w:rFonts w:ascii="楷体" w:hAnsi="楷体" w:eastAsia="楷体" w:cs="宋体"/>
          <w:kern w:val="0"/>
          <w:sz w:val="32"/>
          <w:szCs w:val="32"/>
        </w:rPr>
        <w:t>48</w:t>
      </w:r>
      <w:r>
        <w:rPr>
          <w:rFonts w:hint="eastAsia" w:ascii="楷体" w:hAnsi="楷体" w:eastAsia="楷体" w:cs="宋体"/>
          <w:kern w:val="0"/>
          <w:sz w:val="32"/>
          <w:szCs w:val="32"/>
        </w:rPr>
        <w:t>.</w:t>
      </w:r>
      <w:r>
        <w:rPr>
          <w:rFonts w:ascii="楷体" w:hAnsi="楷体" w:eastAsia="楷体" w:cs="宋体"/>
          <w:kern w:val="0"/>
          <w:sz w:val="32"/>
          <w:szCs w:val="32"/>
        </w:rPr>
        <w:t>9</w:t>
      </w:r>
      <w:r>
        <w:rPr>
          <w:rFonts w:hint="eastAsia" w:ascii="楷体" w:hAnsi="楷体" w:eastAsia="楷体" w:cs="宋体"/>
          <w:kern w:val="0"/>
          <w:sz w:val="32"/>
          <w:szCs w:val="32"/>
        </w:rPr>
        <w:t>亿元。</w:t>
      </w:r>
    </w:p>
    <w:p w14:paraId="52167F1F">
      <w:pPr>
        <w:widowControl/>
        <w:spacing w:line="360" w:lineRule="auto"/>
        <w:ind w:left="105" w:leftChars="50" w:firstLine="640" w:firstLineChars="200"/>
        <w:rPr>
          <w:rFonts w:ascii="楷体" w:hAnsi="楷体" w:eastAsia="楷体" w:cs="宋体"/>
          <w:kern w:val="0"/>
          <w:sz w:val="32"/>
          <w:szCs w:val="32"/>
        </w:rPr>
      </w:pPr>
      <w:r>
        <w:rPr>
          <w:rFonts w:hint="eastAsia" w:ascii="楷体" w:hAnsi="楷体" w:eastAsia="楷体" w:cs="宋体"/>
          <w:kern w:val="0"/>
          <w:sz w:val="32"/>
          <w:szCs w:val="32"/>
        </w:rPr>
        <w:t>201</w:t>
      </w:r>
      <w:r>
        <w:rPr>
          <w:rFonts w:ascii="楷体" w:hAnsi="楷体" w:eastAsia="楷体" w:cs="宋体"/>
          <w:kern w:val="0"/>
          <w:sz w:val="32"/>
          <w:szCs w:val="32"/>
        </w:rPr>
        <w:t>9</w:t>
      </w:r>
      <w:r>
        <w:rPr>
          <w:rFonts w:hint="eastAsia" w:ascii="楷体" w:hAnsi="楷体" w:eastAsia="楷体" w:cs="宋体"/>
          <w:kern w:val="0"/>
          <w:sz w:val="32"/>
          <w:szCs w:val="32"/>
        </w:rPr>
        <w:t>年，</w:t>
      </w:r>
      <w:r>
        <w:rPr>
          <w:rFonts w:ascii="楷体" w:hAnsi="楷体" w:eastAsia="楷体" w:cs="宋体"/>
          <w:kern w:val="0"/>
          <w:sz w:val="32"/>
          <w:szCs w:val="32"/>
        </w:rPr>
        <w:t>公共财政预算支出</w:t>
      </w:r>
      <w:r>
        <w:rPr>
          <w:rFonts w:hint="eastAsia" w:ascii="楷体" w:hAnsi="楷体" w:eastAsia="楷体" w:cs="宋体"/>
          <w:kern w:val="0"/>
          <w:sz w:val="32"/>
          <w:szCs w:val="32"/>
        </w:rPr>
        <w:t>6</w:t>
      </w:r>
      <w:r>
        <w:rPr>
          <w:rFonts w:ascii="楷体" w:hAnsi="楷体" w:eastAsia="楷体" w:cs="宋体"/>
          <w:kern w:val="0"/>
          <w:sz w:val="32"/>
          <w:szCs w:val="32"/>
        </w:rPr>
        <w:t>9</w:t>
      </w:r>
      <w:r>
        <w:rPr>
          <w:rFonts w:hint="eastAsia" w:ascii="楷体" w:hAnsi="楷体" w:eastAsia="楷体" w:cs="宋体"/>
          <w:kern w:val="0"/>
          <w:sz w:val="32"/>
          <w:szCs w:val="32"/>
        </w:rPr>
        <w:t>.</w:t>
      </w:r>
      <w:r>
        <w:rPr>
          <w:rFonts w:ascii="楷体" w:hAnsi="楷体" w:eastAsia="楷体" w:cs="宋体"/>
          <w:kern w:val="0"/>
          <w:sz w:val="32"/>
          <w:szCs w:val="32"/>
        </w:rPr>
        <w:t>8</w:t>
      </w:r>
      <w:r>
        <w:rPr>
          <w:rFonts w:hint="eastAsia" w:ascii="楷体" w:hAnsi="楷体" w:eastAsia="楷体" w:cs="宋体"/>
          <w:kern w:val="0"/>
          <w:sz w:val="32"/>
          <w:szCs w:val="32"/>
        </w:rPr>
        <w:t>亿元，其</w:t>
      </w:r>
      <w:r>
        <w:rPr>
          <w:rFonts w:ascii="楷体" w:hAnsi="楷体" w:eastAsia="楷体" w:cs="宋体"/>
          <w:kern w:val="0"/>
          <w:sz w:val="32"/>
          <w:szCs w:val="32"/>
        </w:rPr>
        <w:t>中：教育支出</w:t>
      </w:r>
      <w:r>
        <w:rPr>
          <w:rFonts w:hint="eastAsia" w:ascii="楷体" w:hAnsi="楷体" w:eastAsia="楷体" w:cs="宋体"/>
          <w:kern w:val="0"/>
          <w:sz w:val="32"/>
          <w:szCs w:val="32"/>
        </w:rPr>
        <w:t>7.</w:t>
      </w:r>
      <w:r>
        <w:rPr>
          <w:rFonts w:ascii="楷体" w:hAnsi="楷体" w:eastAsia="楷体" w:cs="宋体"/>
          <w:kern w:val="0"/>
          <w:sz w:val="32"/>
          <w:szCs w:val="32"/>
        </w:rPr>
        <w:t>4</w:t>
      </w:r>
      <w:r>
        <w:rPr>
          <w:rFonts w:hint="eastAsia" w:ascii="楷体" w:hAnsi="楷体" w:eastAsia="楷体" w:cs="宋体"/>
          <w:kern w:val="0"/>
          <w:sz w:val="32"/>
          <w:szCs w:val="32"/>
        </w:rPr>
        <w:t>亿元，</w:t>
      </w:r>
      <w:r>
        <w:rPr>
          <w:rFonts w:ascii="楷体" w:hAnsi="楷体" w:eastAsia="楷体" w:cs="宋体"/>
          <w:kern w:val="0"/>
          <w:sz w:val="32"/>
          <w:szCs w:val="32"/>
        </w:rPr>
        <w:t>科技支出</w:t>
      </w:r>
      <w:r>
        <w:rPr>
          <w:rFonts w:hint="eastAsia" w:ascii="楷体" w:hAnsi="楷体" w:eastAsia="楷体" w:cs="宋体"/>
          <w:kern w:val="0"/>
          <w:sz w:val="32"/>
          <w:szCs w:val="32"/>
        </w:rPr>
        <w:t>4.</w:t>
      </w:r>
      <w:r>
        <w:rPr>
          <w:rFonts w:ascii="楷体" w:hAnsi="楷体" w:eastAsia="楷体" w:cs="宋体"/>
          <w:kern w:val="0"/>
          <w:sz w:val="32"/>
          <w:szCs w:val="32"/>
        </w:rPr>
        <w:t>2</w:t>
      </w:r>
      <w:r>
        <w:rPr>
          <w:rFonts w:hint="eastAsia" w:ascii="楷体" w:hAnsi="楷体" w:eastAsia="楷体" w:cs="宋体"/>
          <w:kern w:val="0"/>
          <w:sz w:val="32"/>
          <w:szCs w:val="32"/>
        </w:rPr>
        <w:t>亿元，农林水事务支出</w:t>
      </w:r>
      <w:r>
        <w:rPr>
          <w:rFonts w:ascii="楷体" w:hAnsi="楷体" w:eastAsia="楷体" w:cs="宋体"/>
          <w:kern w:val="0"/>
          <w:sz w:val="32"/>
          <w:szCs w:val="32"/>
        </w:rPr>
        <w:t>3.6</w:t>
      </w:r>
      <w:r>
        <w:rPr>
          <w:rFonts w:hint="eastAsia" w:ascii="楷体" w:hAnsi="楷体" w:eastAsia="楷体" w:cs="宋体"/>
          <w:kern w:val="0"/>
          <w:sz w:val="32"/>
          <w:szCs w:val="32"/>
        </w:rPr>
        <w:t>亿元，</w:t>
      </w:r>
      <w:r>
        <w:rPr>
          <w:rFonts w:ascii="楷体" w:hAnsi="楷体" w:eastAsia="楷体" w:cs="宋体"/>
          <w:kern w:val="0"/>
          <w:sz w:val="32"/>
          <w:szCs w:val="32"/>
        </w:rPr>
        <w:t>社会保障和就业支出</w:t>
      </w:r>
      <w:r>
        <w:rPr>
          <w:rFonts w:hint="eastAsia" w:ascii="楷体" w:hAnsi="楷体" w:eastAsia="楷体" w:cs="宋体"/>
          <w:kern w:val="0"/>
          <w:sz w:val="32"/>
          <w:szCs w:val="32"/>
        </w:rPr>
        <w:t>4.</w:t>
      </w:r>
      <w:r>
        <w:rPr>
          <w:rFonts w:ascii="楷体" w:hAnsi="楷体" w:eastAsia="楷体" w:cs="宋体"/>
          <w:kern w:val="0"/>
          <w:sz w:val="32"/>
          <w:szCs w:val="32"/>
        </w:rPr>
        <w:t>6</w:t>
      </w:r>
      <w:r>
        <w:rPr>
          <w:rFonts w:hint="eastAsia" w:ascii="楷体" w:hAnsi="楷体" w:eastAsia="楷体" w:cs="宋体"/>
          <w:kern w:val="0"/>
          <w:sz w:val="32"/>
          <w:szCs w:val="32"/>
        </w:rPr>
        <w:t>亿元，</w:t>
      </w:r>
      <w:r>
        <w:rPr>
          <w:rFonts w:ascii="楷体" w:hAnsi="楷体" w:eastAsia="楷体" w:cs="宋体"/>
          <w:kern w:val="0"/>
          <w:sz w:val="32"/>
          <w:szCs w:val="32"/>
        </w:rPr>
        <w:t>医疗卫生支出</w:t>
      </w:r>
      <w:r>
        <w:rPr>
          <w:rFonts w:hint="eastAsia" w:ascii="楷体" w:hAnsi="楷体" w:eastAsia="楷体" w:cs="宋体"/>
          <w:kern w:val="0"/>
          <w:sz w:val="32"/>
          <w:szCs w:val="32"/>
        </w:rPr>
        <w:t>3</w:t>
      </w:r>
      <w:r>
        <w:rPr>
          <w:rFonts w:ascii="楷体" w:hAnsi="楷体" w:eastAsia="楷体" w:cs="宋体"/>
          <w:kern w:val="0"/>
          <w:sz w:val="32"/>
          <w:szCs w:val="32"/>
        </w:rPr>
        <w:t>.1</w:t>
      </w:r>
      <w:r>
        <w:rPr>
          <w:rFonts w:hint="eastAsia" w:ascii="楷体" w:hAnsi="楷体" w:eastAsia="楷体" w:cs="宋体"/>
          <w:kern w:val="0"/>
          <w:sz w:val="32"/>
          <w:szCs w:val="32"/>
        </w:rPr>
        <w:t>亿元。政府性基金支出</w:t>
      </w:r>
      <w:r>
        <w:rPr>
          <w:rFonts w:ascii="楷体" w:hAnsi="楷体" w:eastAsia="楷体" w:cs="宋体"/>
          <w:kern w:val="0"/>
          <w:sz w:val="32"/>
          <w:szCs w:val="32"/>
        </w:rPr>
        <w:t>52</w:t>
      </w:r>
      <w:r>
        <w:rPr>
          <w:rFonts w:hint="eastAsia" w:ascii="楷体" w:hAnsi="楷体" w:eastAsia="楷体" w:cs="宋体"/>
          <w:kern w:val="0"/>
          <w:sz w:val="32"/>
          <w:szCs w:val="32"/>
        </w:rPr>
        <w:t>.</w:t>
      </w:r>
      <w:r>
        <w:rPr>
          <w:rFonts w:ascii="楷体" w:hAnsi="楷体" w:eastAsia="楷体" w:cs="宋体"/>
          <w:kern w:val="0"/>
          <w:sz w:val="32"/>
          <w:szCs w:val="32"/>
        </w:rPr>
        <w:t>7</w:t>
      </w:r>
      <w:r>
        <w:rPr>
          <w:rFonts w:hint="eastAsia" w:ascii="楷体" w:hAnsi="楷体" w:eastAsia="楷体" w:cs="宋体"/>
          <w:kern w:val="0"/>
          <w:sz w:val="32"/>
          <w:szCs w:val="32"/>
        </w:rPr>
        <w:t>亿元，其中城乡社区事务支出</w:t>
      </w:r>
      <w:r>
        <w:rPr>
          <w:rFonts w:ascii="楷体" w:hAnsi="楷体" w:eastAsia="楷体" w:cs="宋体"/>
          <w:kern w:val="0"/>
          <w:sz w:val="32"/>
          <w:szCs w:val="32"/>
        </w:rPr>
        <w:t>44</w:t>
      </w:r>
      <w:r>
        <w:rPr>
          <w:rFonts w:hint="eastAsia" w:ascii="楷体" w:hAnsi="楷体" w:eastAsia="楷体" w:cs="宋体"/>
          <w:kern w:val="0"/>
          <w:sz w:val="32"/>
          <w:szCs w:val="32"/>
        </w:rPr>
        <w:t>.8亿元。</w:t>
      </w:r>
    </w:p>
    <w:p w14:paraId="4417B6EE">
      <w:pPr>
        <w:widowControl/>
        <w:tabs>
          <w:tab w:val="left" w:pos="3165"/>
        </w:tabs>
        <w:spacing w:line="360" w:lineRule="auto"/>
        <w:ind w:firstLine="643" w:firstLineChars="200"/>
        <w:rPr>
          <w:rFonts w:ascii="楷体" w:hAnsi="楷体" w:eastAsia="楷体" w:cs="宋体"/>
          <w:b/>
          <w:color w:val="FF0000"/>
          <w:kern w:val="0"/>
          <w:sz w:val="32"/>
          <w:szCs w:val="32"/>
        </w:rPr>
      </w:pPr>
      <w:r>
        <w:rPr>
          <w:rFonts w:hint="eastAsia" w:ascii="楷体" w:hAnsi="楷体" w:eastAsia="楷体" w:cs="宋体"/>
          <w:b/>
          <w:kern w:val="0"/>
          <w:sz w:val="32"/>
          <w:szCs w:val="32"/>
        </w:rPr>
        <w:t>社会保障</w:t>
      </w:r>
      <w:r>
        <w:rPr>
          <w:rFonts w:ascii="楷体" w:hAnsi="楷体" w:eastAsia="楷体" w:cs="宋体"/>
          <w:b/>
          <w:color w:val="FF0000"/>
          <w:kern w:val="0"/>
          <w:sz w:val="32"/>
          <w:szCs w:val="32"/>
        </w:rPr>
        <w:tab/>
      </w:r>
    </w:p>
    <w:p w14:paraId="2A5A9C0E">
      <w:pPr>
        <w:autoSpaceDE w:val="0"/>
        <w:autoSpaceDN w:val="0"/>
        <w:adjustRightInd w:val="0"/>
        <w:spacing w:line="360" w:lineRule="auto"/>
        <w:ind w:firstLine="640" w:firstLineChars="200"/>
        <w:rPr>
          <w:rFonts w:ascii="楷体" w:hAnsi="楷体" w:eastAsia="楷体"/>
          <w:sz w:val="32"/>
          <w:szCs w:val="32"/>
        </w:rPr>
      </w:pPr>
      <w:r>
        <w:rPr>
          <w:rFonts w:hint="eastAsia" w:ascii="楷体" w:hAnsi="楷体" w:eastAsia="楷体"/>
          <w:sz w:val="32"/>
          <w:szCs w:val="32"/>
        </w:rPr>
        <w:t>城镇新增就业6700人，就业困难人员就业1436人，扶持创业85人，发放创业担保贷款1000万元。城镇登记失业人员2366人，城镇登记失业率2.94%。吸引储备大学毕业生就业创业9900人，引领大学生创业39人。共1.18万名失地农民办理了参保和补缴保费核定工作，收缴保费4.4211亿元。</w:t>
      </w:r>
    </w:p>
    <w:p w14:paraId="0A970B76">
      <w:pPr>
        <w:autoSpaceDE w:val="0"/>
        <w:autoSpaceDN w:val="0"/>
        <w:adjustRightInd w:val="0"/>
        <w:spacing w:line="360" w:lineRule="auto"/>
        <w:ind w:firstLine="640" w:firstLineChars="200"/>
        <w:rPr>
          <w:rFonts w:ascii="楷体" w:hAnsi="楷体" w:eastAsia="楷体"/>
          <w:sz w:val="32"/>
          <w:szCs w:val="32"/>
        </w:rPr>
      </w:pPr>
      <w:r>
        <w:rPr>
          <w:rFonts w:hint="eastAsia" w:ascii="楷体" w:hAnsi="楷体" w:eastAsia="楷体"/>
          <w:sz w:val="32"/>
          <w:szCs w:val="32"/>
        </w:rPr>
        <w:t>企业职工养老保险统筹基金征收19.8亿元，发放养老金约5.6亿元，累计滚存结余近80亿元。</w:t>
      </w:r>
    </w:p>
    <w:p w14:paraId="024A32E1">
      <w:pPr>
        <w:autoSpaceDE w:val="0"/>
        <w:autoSpaceDN w:val="0"/>
        <w:adjustRightInd w:val="0"/>
        <w:spacing w:line="360" w:lineRule="auto"/>
        <w:ind w:firstLine="640" w:firstLineChars="200"/>
        <w:rPr>
          <w:rFonts w:ascii="楷体" w:hAnsi="楷体" w:eastAsia="楷体"/>
          <w:sz w:val="32"/>
          <w:szCs w:val="32"/>
        </w:rPr>
      </w:pPr>
      <w:r>
        <w:rPr>
          <w:rFonts w:hint="eastAsia" w:ascii="楷体" w:hAnsi="楷体" w:eastAsia="楷体"/>
          <w:sz w:val="32"/>
          <w:szCs w:val="32"/>
        </w:rPr>
        <w:t>全年为城乡低保户1410户、2035人发放保障金1176万元；为城乡特困人员312户、321人发放资金280万元；落实特殊群体补贴发放工作，为2400名残疾人发放“两项补贴”280万元；全年共发放各类资金1786万元。</w:t>
      </w:r>
    </w:p>
    <w:p w14:paraId="2AB707C1">
      <w:pPr>
        <w:autoSpaceDE w:val="0"/>
        <w:autoSpaceDN w:val="0"/>
        <w:adjustRightInd w:val="0"/>
        <w:spacing w:line="360" w:lineRule="auto"/>
        <w:ind w:firstLine="640" w:firstLineChars="200"/>
        <w:rPr>
          <w:rFonts w:ascii="楷体" w:hAnsi="楷体" w:eastAsia="楷体"/>
          <w:sz w:val="32"/>
          <w:szCs w:val="32"/>
        </w:rPr>
      </w:pPr>
      <w:r>
        <w:rPr>
          <w:rFonts w:hint="eastAsia" w:ascii="楷体" w:hAnsi="楷体" w:eastAsia="楷体"/>
          <w:sz w:val="32"/>
          <w:szCs w:val="32"/>
        </w:rPr>
        <w:t>全年新增区域性居家养老服务中心10个，社区养老服务站23个。依规及时发放养老机构各类补贴，为沈阳市世外桃园老年养护中心等6家养老机构申请发放运营补贴82.48万元。为圣青树养老院、常青藤老年公寓发放建设补贴12.52万元，为区域性居家养老服务中心发放建设补贴共计57.61万元。共发放152.61万元。</w:t>
      </w:r>
    </w:p>
    <w:p w14:paraId="0994CE7B">
      <w:pPr>
        <w:autoSpaceDE w:val="0"/>
        <w:autoSpaceDN w:val="0"/>
        <w:adjustRightInd w:val="0"/>
        <w:spacing w:line="360" w:lineRule="auto"/>
        <w:ind w:firstLine="562"/>
        <w:rPr>
          <w:rFonts w:ascii="黑体" w:hAnsi="黑体" w:eastAsia="黑体"/>
          <w:b/>
          <w:bCs/>
          <w:sz w:val="32"/>
          <w:szCs w:val="32"/>
        </w:rPr>
      </w:pPr>
      <w:r>
        <w:rPr>
          <w:rFonts w:hint="eastAsia" w:ascii="黑体" w:hAnsi="黑体" w:eastAsia="黑体" w:cs="黑体"/>
          <w:b/>
          <w:bCs/>
          <w:sz w:val="32"/>
          <w:szCs w:val="32"/>
        </w:rPr>
        <w:t>六</w:t>
      </w:r>
      <w:r>
        <w:rPr>
          <w:rFonts w:ascii="黑体" w:hAnsi="黑体" w:eastAsia="黑体" w:cs="黑体"/>
          <w:b/>
          <w:bCs/>
          <w:sz w:val="32"/>
          <w:szCs w:val="32"/>
        </w:rPr>
        <w:t>、</w:t>
      </w:r>
      <w:r>
        <w:rPr>
          <w:rFonts w:hint="eastAsia" w:ascii="黑体" w:hAnsi="黑体" w:eastAsia="黑体" w:cs="黑体"/>
          <w:b/>
          <w:bCs/>
          <w:sz w:val="32"/>
          <w:szCs w:val="32"/>
          <w:lang w:val="zh-CN"/>
        </w:rPr>
        <w:t>科学技术和教育</w:t>
      </w:r>
    </w:p>
    <w:p w14:paraId="2CC1FCA8">
      <w:pPr>
        <w:autoSpaceDE w:val="0"/>
        <w:autoSpaceDN w:val="0"/>
        <w:adjustRightInd w:val="0"/>
        <w:spacing w:line="360" w:lineRule="auto"/>
        <w:ind w:firstLine="560"/>
        <w:rPr>
          <w:rFonts w:ascii="楷体" w:hAnsi="楷体" w:eastAsia="楷体"/>
          <w:b/>
          <w:sz w:val="32"/>
          <w:szCs w:val="32"/>
        </w:rPr>
      </w:pPr>
      <w:r>
        <w:rPr>
          <w:rFonts w:hint="eastAsia" w:ascii="楷体" w:hAnsi="楷体" w:eastAsia="楷体" w:cs="黑体"/>
          <w:b/>
          <w:sz w:val="32"/>
          <w:szCs w:val="32"/>
          <w:lang w:val="zh-CN"/>
        </w:rPr>
        <w:t>科学技术</w:t>
      </w:r>
    </w:p>
    <w:p w14:paraId="290686CF">
      <w:pPr>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全区共有各级科技、经信部门批建研发机构179家。其中，新型研发机构5个、重点实验室39个、工程技术研究中心76个、企业技术中心59个；拓荆科技、安道拓和泰科流体3家单位获批市级企业技术中心；美行科技获批省企业技术中心公示、建筑大学城乡生态景观重点实验室获省重点实验室公示、工大蓝金环保产业技术研究院等5家单位获组建省专业技术创新中心公示；宣传新型研发机构政策和《辽宁省新型创新主体建设指引》，组织开展新型创新主体备案工作，推荐16家单位申请省级备案、15家单位申请市级新型研发机构备案。</w:t>
      </w:r>
    </w:p>
    <w:p w14:paraId="7A6E7B80">
      <w:pPr>
        <w:snapToGrid w:val="0"/>
        <w:spacing w:line="360" w:lineRule="auto"/>
        <w:ind w:firstLine="640" w:firstLineChars="200"/>
        <w:rPr>
          <w:rFonts w:ascii="楷体" w:hAnsi="楷体" w:eastAsia="楷体"/>
          <w:bCs/>
          <w:color w:val="FF0000"/>
          <w:sz w:val="32"/>
          <w:szCs w:val="32"/>
        </w:rPr>
      </w:pPr>
      <w:r>
        <w:rPr>
          <w:rFonts w:hint="eastAsia" w:ascii="楷体" w:hAnsi="楷体" w:eastAsia="楷体"/>
          <w:bCs/>
          <w:sz w:val="32"/>
          <w:szCs w:val="32"/>
        </w:rPr>
        <w:t xml:space="preserve">全区高企总数达到462家，2019年新认定高企124家；国家瞪羚企业累计认定11家，其中今年新认定3家；科技型中小企业注册总数达到564家，同比增长65.9%， 2019年新认定302家；第一批科技小巨人企业申报50家。 </w:t>
      </w:r>
      <w:r>
        <w:rPr>
          <w:rFonts w:hint="eastAsia" w:ascii="楷体" w:hAnsi="楷体" w:eastAsia="楷体"/>
          <w:bCs/>
          <w:color w:val="FF0000"/>
          <w:sz w:val="32"/>
          <w:szCs w:val="32"/>
        </w:rPr>
        <w:t xml:space="preserve">  </w:t>
      </w:r>
    </w:p>
    <w:p w14:paraId="59A917E1">
      <w:pPr>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高新技术产业实力不断增强。IC装备、生物医药、民用航空等高新产业产值保持两位数增速增长。新松机器人发布了国产工业软件及控制平台产品，突破了我国工业软件领域发展瓶颈，为工业发展提供核心支撑；在新中国成立70周年庆祝活动“辽宁号”彩车上，新松机器人与两名小演员联手弹奏，展示在高精尖领域取得的成就。东软集团联手华为、百度等在智能出行、智慧城市建设等方面不断加深合作，加速产业智能化升级；芯源微电子入选工信部首批</w:t>
      </w:r>
      <w:bookmarkStart w:id="0" w:name="_GoBack"/>
      <w:bookmarkEnd w:id="0"/>
      <w:r>
        <w:rPr>
          <w:rFonts w:hint="eastAsia" w:ascii="楷体" w:hAnsi="楷体" w:eastAsia="楷体"/>
          <w:bCs/>
          <w:sz w:val="32"/>
          <w:szCs w:val="32"/>
          <w:lang w:eastAsia="zh-CN"/>
        </w:rPr>
        <w:t>专精特新“小巨人”</w:t>
      </w:r>
      <w:r>
        <w:rPr>
          <w:rFonts w:hint="eastAsia" w:ascii="楷体" w:hAnsi="楷体" w:eastAsia="楷体"/>
          <w:bCs/>
          <w:sz w:val="32"/>
          <w:szCs w:val="32"/>
        </w:rPr>
        <w:t>榜单，并获评2018年度中国半导体设备行业十强单位；诺康生物司特立钙片喜获“3.15健康中国消费者信赖的优质品牌”殊荣。</w:t>
      </w:r>
    </w:p>
    <w:p w14:paraId="34DAE150">
      <w:pPr>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科技成果转化服务进一步深化。我区新松机器人和东北大学项目、慧远自动化和沈阳工业大学项目、沈阳材料科学国家研究中心和辽宁壮龙无人机项目等5个项目为代表进行了现场签约，18家单位获得2019年度辽宁省科技成果转化奖励性后补助拟立项项目公示。东北科技大市场在建筑大学设立首家工作站，并与辽宁大学等9家高校院所达成建立工作站意向，可为高校针对科技成果、项目、人才等方面提供35项服务，精准匹配市场资源，快速对接供需双方，助力高校科技成果转化和创新创业，加速高校科技成果转化落地。辽宁省科学技术厅、南京理工大学主办，东北科技大市场承办的“辽宁省与南京理工大学科技成果对接会”在沈阳创新天地举行。南京理工大学“中国高校知识产权运营交易平台”与东北科技大市场线上平台实现数据共享，实现辽宁省企业需求与创新资源的快速、精准匹配。</w:t>
      </w:r>
    </w:p>
    <w:p w14:paraId="54BC15D4">
      <w:pPr>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人才培育和科技服务力度稳步提升。联合沈阳市技术转移协会筹备组对我区高新技术企业、双培育企业、瞪羚企业、独角兽企业组织开展第四期技术经纪人培训，累计培养技术经纪人256人。支持中科院文献情报中心沈阳科技查新服务站等高端智库资源的科技信息情报搜集检索能力，发挥其对政府决策以及企业技术创新和转型升级的支撑作用，全年提供科技情报服务80余项。</w:t>
      </w:r>
    </w:p>
    <w:p w14:paraId="1523DAD0">
      <w:pPr>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国际合作广泛开展。蓝英自动化、东软医疗、何氏医学院等单位与欧美、非洲、日韩等地区就装备制造、大数据应用、医药及食品健康、电子信息等方面开展国际合作22项；东软集团、建筑大学、聚德视频、富创精密等单位在软件开发、现代建筑、智能交通、IC装备等领域搭建国际合作研发机构23家；沈阳中俄科技合作基地等国际科技合作基地4个；推荐米库</w:t>
      </w:r>
      <w:r>
        <w:rPr>
          <w:rFonts w:hint="eastAsia" w:ascii="微软雅黑" w:hAnsi="微软雅黑" w:eastAsia="微软雅黑" w:cs="微软雅黑"/>
          <w:bCs/>
          <w:sz w:val="32"/>
          <w:szCs w:val="32"/>
        </w:rPr>
        <w:t>•</w:t>
      </w:r>
      <w:r>
        <w:rPr>
          <w:rFonts w:hint="eastAsia" w:ascii="楷体" w:hAnsi="楷体" w:eastAsia="楷体" w:cs="楷体"/>
          <w:bCs/>
          <w:sz w:val="32"/>
          <w:szCs w:val="32"/>
        </w:rPr>
        <w:t>温哥华和双创产业促进中心两个离岸（域外）创新中心参评省级备案；组织征集</w:t>
      </w:r>
      <w:r>
        <w:rPr>
          <w:rFonts w:hint="eastAsia" w:ascii="楷体" w:hAnsi="楷体" w:eastAsia="楷体"/>
          <w:bCs/>
          <w:sz w:val="32"/>
          <w:szCs w:val="32"/>
        </w:rPr>
        <w:t>2019科技外交官服务辽宁行活动国际科技合作需求3项。</w:t>
      </w:r>
    </w:p>
    <w:p w14:paraId="33BD9A48">
      <w:pPr>
        <w:autoSpaceDE w:val="0"/>
        <w:autoSpaceDN w:val="0"/>
        <w:adjustRightInd w:val="0"/>
        <w:spacing w:line="360" w:lineRule="auto"/>
        <w:ind w:firstLine="586"/>
        <w:rPr>
          <w:rFonts w:ascii="楷体" w:hAnsi="楷体" w:eastAsia="楷体" w:cs="黑体"/>
          <w:b/>
          <w:bCs/>
          <w:spacing w:val="6"/>
          <w:kern w:val="0"/>
          <w:sz w:val="32"/>
          <w:szCs w:val="32"/>
          <w:lang w:val="zh-CN"/>
        </w:rPr>
      </w:pPr>
      <w:r>
        <w:rPr>
          <w:rFonts w:hint="eastAsia" w:ascii="楷体" w:hAnsi="楷体" w:eastAsia="楷体" w:cs="黑体"/>
          <w:b/>
          <w:bCs/>
          <w:spacing w:val="6"/>
          <w:kern w:val="0"/>
          <w:sz w:val="32"/>
          <w:szCs w:val="32"/>
          <w:lang w:val="zh-CN"/>
        </w:rPr>
        <w:t>教育</w:t>
      </w:r>
    </w:p>
    <w:p w14:paraId="0BD49C98">
      <w:pPr>
        <w:spacing w:line="360" w:lineRule="auto"/>
        <w:ind w:firstLine="640" w:firstLineChars="200"/>
        <w:rPr>
          <w:rFonts w:ascii="楷体" w:hAnsi="楷体" w:eastAsia="楷体" w:cs="黑体"/>
          <w:bCs/>
          <w:sz w:val="32"/>
          <w:szCs w:val="32"/>
        </w:rPr>
      </w:pPr>
      <w:r>
        <w:rPr>
          <w:rFonts w:hint="eastAsia" w:ascii="楷体" w:hAnsi="楷体" w:eastAsia="楷体" w:cs="黑体"/>
          <w:bCs/>
          <w:sz w:val="32"/>
          <w:szCs w:val="32"/>
        </w:rPr>
        <w:t>新学校建设步伐不断加快。北师大沈阳附属学校中学部建成并投入使用，126中学浑南分校施工进展顺利，东方剑桥国际学校规划方案已通过审批，市教育研究院浑南附属中学土地指标已上报省政府审批，哈工大机器人沈阳附校和浑南二校剑桥校区已通过“多规合一”审批。此外，农村学校改造工程全部完工，阳光学校年底将正式投入使用，教育信息化建设项目正在按进度推进，中小学“厕所革命”正分阶段实施。</w:t>
      </w:r>
    </w:p>
    <w:p w14:paraId="43BF32E9">
      <w:pPr>
        <w:spacing w:line="360" w:lineRule="auto"/>
        <w:ind w:firstLine="640" w:firstLineChars="200"/>
        <w:rPr>
          <w:rFonts w:ascii="楷体" w:hAnsi="楷体" w:eastAsia="楷体" w:cs="黑体"/>
          <w:bCs/>
          <w:sz w:val="32"/>
          <w:szCs w:val="32"/>
        </w:rPr>
      </w:pPr>
      <w:r>
        <w:rPr>
          <w:rFonts w:hint="eastAsia" w:ascii="楷体" w:hAnsi="楷体" w:eastAsia="楷体" w:cs="黑体"/>
          <w:bCs/>
          <w:sz w:val="32"/>
          <w:szCs w:val="32"/>
        </w:rPr>
        <w:t>教师队伍建设不断加强。全年共面向高校、社会招聘在编教师75名，调转在编教师11名，促进15名教师返回义务教育一线岗位，招聘合同聘任制教师193名、购买服务教师40名。组织2018年新入职教师分类集训10场；遴选“师德教育宣讲团”优秀成员20人。列支200万元奖励作出突出贡献的教育工作者，进一步提高班主任津贴，为班主任提供高标准健康体检，绩效工资项一线教师倾斜。</w:t>
      </w:r>
    </w:p>
    <w:p w14:paraId="5EF0FB77">
      <w:pPr>
        <w:autoSpaceDE w:val="0"/>
        <w:autoSpaceDN w:val="0"/>
        <w:adjustRightInd w:val="0"/>
        <w:spacing w:line="360" w:lineRule="auto"/>
        <w:ind w:firstLine="588"/>
        <w:rPr>
          <w:rFonts w:ascii="楷体" w:hAnsi="楷体" w:eastAsia="楷体" w:cs="宋体"/>
          <w:sz w:val="32"/>
          <w:szCs w:val="32"/>
          <w:lang w:val="zh-CN"/>
        </w:rPr>
      </w:pPr>
      <w:r>
        <w:rPr>
          <w:rFonts w:hint="eastAsia" w:ascii="楷体" w:hAnsi="楷体" w:eastAsia="楷体" w:cs="宋体"/>
          <w:sz w:val="32"/>
          <w:szCs w:val="32"/>
          <w:lang w:val="zh-CN"/>
        </w:rPr>
        <w:t>2019年，全区共有高级中学4所，普通初级中学13所，小学18所。小学在校生28558人，中学在校生9749人，高中在校生4590人。</w:t>
      </w:r>
    </w:p>
    <w:p w14:paraId="5DEBF37F">
      <w:pPr>
        <w:autoSpaceDE w:val="0"/>
        <w:autoSpaceDN w:val="0"/>
        <w:adjustRightInd w:val="0"/>
        <w:spacing w:line="360" w:lineRule="auto"/>
        <w:ind w:firstLine="562"/>
        <w:rPr>
          <w:rFonts w:ascii="黑体" w:hAnsi="黑体" w:eastAsia="黑体"/>
          <w:b/>
          <w:bCs/>
          <w:sz w:val="32"/>
          <w:szCs w:val="32"/>
        </w:rPr>
      </w:pPr>
      <w:r>
        <w:rPr>
          <w:rFonts w:hint="eastAsia" w:ascii="黑体" w:hAnsi="黑体" w:eastAsia="黑体" w:cs="黑体"/>
          <w:b/>
          <w:bCs/>
          <w:sz w:val="32"/>
          <w:szCs w:val="32"/>
          <w:lang w:val="zh-CN"/>
        </w:rPr>
        <w:t>七、文旅、体育和卫生</w:t>
      </w:r>
    </w:p>
    <w:p w14:paraId="3FE94539">
      <w:pPr>
        <w:tabs>
          <w:tab w:val="left" w:pos="3107"/>
        </w:tabs>
        <w:autoSpaceDE w:val="0"/>
        <w:autoSpaceDN w:val="0"/>
        <w:adjustRightInd w:val="0"/>
        <w:spacing w:line="360" w:lineRule="auto"/>
        <w:ind w:firstLine="560"/>
        <w:rPr>
          <w:rFonts w:ascii="楷体" w:hAnsi="楷体" w:eastAsia="楷体" w:cs="黑体"/>
          <w:b/>
          <w:sz w:val="32"/>
          <w:szCs w:val="32"/>
          <w:lang w:val="zh-CN"/>
        </w:rPr>
      </w:pPr>
      <w:r>
        <w:rPr>
          <w:rFonts w:hint="eastAsia" w:ascii="楷体" w:hAnsi="楷体" w:eastAsia="楷体" w:cs="黑体"/>
          <w:b/>
          <w:sz w:val="32"/>
          <w:szCs w:val="32"/>
          <w:lang w:val="zh-CN"/>
        </w:rPr>
        <w:t>文旅、体育</w:t>
      </w:r>
      <w:r>
        <w:rPr>
          <w:rFonts w:ascii="楷体" w:hAnsi="楷体" w:eastAsia="楷体" w:cs="黑体"/>
          <w:b/>
          <w:sz w:val="32"/>
          <w:szCs w:val="32"/>
          <w:lang w:val="zh-CN"/>
        </w:rPr>
        <w:tab/>
      </w:r>
    </w:p>
    <w:p w14:paraId="115FE377">
      <w:pPr>
        <w:spacing w:line="360" w:lineRule="auto"/>
        <w:ind w:firstLine="627" w:firstLineChars="196"/>
        <w:rPr>
          <w:rFonts w:ascii="楷体" w:hAnsi="楷体" w:eastAsia="楷体"/>
          <w:sz w:val="32"/>
          <w:szCs w:val="32"/>
        </w:rPr>
      </w:pPr>
      <w:r>
        <w:rPr>
          <w:rFonts w:hint="eastAsia" w:ascii="楷体" w:hAnsi="楷体" w:eastAsia="楷体"/>
          <w:sz w:val="32"/>
          <w:szCs w:val="32"/>
        </w:rPr>
        <w:t>围绕奥体中心“让浑河‘活’起来、‘火’起来”主题共话浑河两岸文化发展，策划举办了17项高品质、亮品牌、好品位的大型文体旅活动，吸引群众近400万人次。</w:t>
      </w:r>
    </w:p>
    <w:p w14:paraId="462405DB">
      <w:pPr>
        <w:spacing w:line="360" w:lineRule="auto"/>
        <w:ind w:firstLine="627" w:firstLineChars="196"/>
        <w:rPr>
          <w:rFonts w:ascii="楷体" w:hAnsi="楷体" w:eastAsia="楷体"/>
          <w:sz w:val="32"/>
          <w:szCs w:val="32"/>
        </w:rPr>
      </w:pPr>
      <w:r>
        <w:rPr>
          <w:rFonts w:hint="eastAsia" w:ascii="楷体" w:hAnsi="楷体" w:eastAsia="楷体"/>
          <w:sz w:val="32"/>
          <w:szCs w:val="32"/>
        </w:rPr>
        <w:t>举办艺术惠民活动83场，开展讲座、培训等活动360场次；区作家协会、诗词楹联协会发布1400余篇原创作品；为全区社区书屋、农家书屋图书更新配送各类书刊共计13000余册；在全市各县区图书馆中率先建成了具有图书检索功能的微信公众平台，实现移动可阅读资源最大化；全年完成提升建设5个社区图书分馆。</w:t>
      </w:r>
    </w:p>
    <w:p w14:paraId="55CAE846">
      <w:pPr>
        <w:spacing w:line="360" w:lineRule="auto"/>
        <w:ind w:firstLine="627" w:firstLineChars="196"/>
        <w:rPr>
          <w:rFonts w:ascii="楷体" w:hAnsi="楷体" w:eastAsia="楷体"/>
          <w:sz w:val="32"/>
          <w:szCs w:val="32"/>
        </w:rPr>
      </w:pPr>
      <w:r>
        <w:rPr>
          <w:rFonts w:hint="eastAsia" w:ascii="楷体" w:hAnsi="楷体" w:eastAsia="楷体"/>
          <w:sz w:val="32"/>
          <w:szCs w:val="32"/>
        </w:rPr>
        <w:t>新增区级非遗项目8个，市级非遗项目4个。羽毛画《清朝六帝》获辽宁省工艺精品文化节金奖。举办2019浑南非遗文化节，促进文旅深度融合，呈现‘不一样’‘不一般’的文化浑南。</w:t>
      </w:r>
    </w:p>
    <w:p w14:paraId="67CEB685">
      <w:pPr>
        <w:spacing w:line="360" w:lineRule="auto"/>
        <w:ind w:firstLine="627" w:firstLineChars="196"/>
        <w:rPr>
          <w:rFonts w:ascii="楷体" w:hAnsi="楷体" w:eastAsia="楷体"/>
          <w:sz w:val="32"/>
          <w:szCs w:val="32"/>
        </w:rPr>
      </w:pPr>
      <w:r>
        <w:rPr>
          <w:rFonts w:hint="eastAsia" w:ascii="楷体" w:hAnsi="楷体" w:eastAsia="楷体"/>
          <w:sz w:val="32"/>
          <w:szCs w:val="32"/>
        </w:rPr>
        <w:t>持续开展四季游品牌活动，策划举办“向浑南出发”2019浑南区四季游系列活动100余项，围绕沈阳世博园、四大馆、爱琴海度假庄园、李铁8号足球公园、兴隆大奥莱、东北亚滑雪场等开展“惬意生态游”、恣意研学游”、“肆意乡村游”、“体育休闲游”、“购物休闲游”、“冰雪运动游”，营造“月月有活动，季季有精彩”的浑南四季游氛围，提升四季游服务水平。新建旅游厕所7座；推动景区提质升级，申报创建A级景区7家，其中升级升档4A景区1家、3A景区5家、2A景区1家。</w:t>
      </w:r>
    </w:p>
    <w:p w14:paraId="6A22CAC5">
      <w:pPr>
        <w:spacing w:line="360" w:lineRule="auto"/>
        <w:ind w:firstLine="627" w:firstLineChars="196"/>
        <w:rPr>
          <w:rFonts w:ascii="楷体" w:hAnsi="楷体" w:eastAsia="楷体"/>
          <w:sz w:val="32"/>
          <w:szCs w:val="32"/>
        </w:rPr>
      </w:pPr>
      <w:r>
        <w:rPr>
          <w:rFonts w:hint="eastAsia" w:ascii="楷体" w:hAnsi="楷体" w:eastAsia="楷体"/>
          <w:sz w:val="32"/>
          <w:szCs w:val="32"/>
        </w:rPr>
        <w:t>完成8个村级文体广场提升工程；新增户外体育健身器材382件，维护维修健身器材560件。完成打造2个全民健身中心和1个科学健身科普示范基地。连续三年承办了沈阳国际马拉松赛、哥德杯青少年足球赛等大型赛事；圆满中国沈阳赛艇大师赛、“辽篮CBA比赛”等大型活动的综合保障工作。开展沈阳市首届国际青少年滑雪邀请赛、全民篮球菁英对抗赛、“企业家24小时拉力赛”、2019中国小篮球联赛（东北）大区夏令营等省市大型赛事。</w:t>
      </w:r>
    </w:p>
    <w:p w14:paraId="26A5FF8F">
      <w:pPr>
        <w:autoSpaceDE w:val="0"/>
        <w:autoSpaceDN w:val="0"/>
        <w:adjustRightInd w:val="0"/>
        <w:spacing w:line="360" w:lineRule="auto"/>
        <w:ind w:firstLine="584"/>
        <w:rPr>
          <w:rFonts w:ascii="楷体" w:hAnsi="楷体" w:eastAsia="楷体" w:cs="黑体"/>
          <w:b/>
          <w:bCs/>
          <w:spacing w:val="6"/>
          <w:kern w:val="0"/>
          <w:sz w:val="32"/>
          <w:szCs w:val="32"/>
          <w:lang w:val="zh-CN"/>
        </w:rPr>
      </w:pPr>
      <w:r>
        <w:rPr>
          <w:rFonts w:hint="eastAsia" w:ascii="楷体" w:hAnsi="楷体" w:eastAsia="楷体" w:cs="黑体"/>
          <w:b/>
          <w:bCs/>
          <w:spacing w:val="6"/>
          <w:kern w:val="0"/>
          <w:sz w:val="32"/>
          <w:szCs w:val="32"/>
          <w:lang w:val="zh-CN"/>
        </w:rPr>
        <w:t>卫生</w:t>
      </w:r>
    </w:p>
    <w:p w14:paraId="649CE204">
      <w:pPr>
        <w:spacing w:line="360" w:lineRule="auto"/>
        <w:ind w:firstLine="640" w:firstLineChars="200"/>
        <w:rPr>
          <w:rFonts w:ascii="楷体" w:hAnsi="楷体" w:eastAsia="楷体"/>
          <w:sz w:val="32"/>
          <w:szCs w:val="32"/>
        </w:rPr>
      </w:pPr>
      <w:r>
        <w:rPr>
          <w:rFonts w:hint="eastAsia" w:ascii="楷体" w:hAnsi="楷体" w:eastAsia="楷体"/>
          <w:sz w:val="32"/>
          <w:szCs w:val="32"/>
        </w:rPr>
        <w:t>持续推进医药卫生体制改革进程。积极开展分级诊疗培训及制度建设工作，远程诊疗服务18例，上转19例。继续开展药品采购、使用监测，全区基层共采购药品 483个品规，共计298.4万元，全区14家区属医疗机构参与“4+7”带量采购试点工作，按计划完成2019年季度药品采购量，区卫健局定期对各医疗机构采购和使用情况进行监测。稳步推进家庭医生签约，目前全区开展家庭医生签约服务达10.9万人次，签约达9.5万份。</w:t>
      </w:r>
    </w:p>
    <w:p w14:paraId="4949D4AF">
      <w:pPr>
        <w:spacing w:line="360" w:lineRule="auto"/>
        <w:ind w:firstLine="640" w:firstLineChars="200"/>
        <w:rPr>
          <w:rFonts w:ascii="楷体" w:hAnsi="楷体" w:eastAsia="楷体"/>
          <w:sz w:val="32"/>
          <w:szCs w:val="32"/>
        </w:rPr>
      </w:pPr>
      <w:r>
        <w:rPr>
          <w:rFonts w:hint="eastAsia" w:ascii="楷体" w:hAnsi="楷体" w:eastAsia="楷体"/>
          <w:sz w:val="32"/>
          <w:szCs w:val="32"/>
        </w:rPr>
        <w:t>疾病防控、卫生监督、妇幼保健工作全面开展。国家免疫规划疫苗接种率全部达到95%以上，完成我区第三季度饮用水水质监测，开展病媒生物密度监测13次，排查严重精神障碍患者5028人。持续开展蓝盾系列专项行动，专项整治工作完成率达92%以上，完成“双随机”监督任务109家，行政处罚7家。完成“两癌筛查”11726人，开展孕前优生体检服务542对。</w:t>
      </w:r>
    </w:p>
    <w:p w14:paraId="1FCFD817">
      <w:pPr>
        <w:spacing w:line="360" w:lineRule="auto"/>
        <w:ind w:firstLine="640" w:firstLineChars="200"/>
        <w:rPr>
          <w:rFonts w:ascii="楷体" w:hAnsi="楷体" w:eastAsia="楷体"/>
          <w:sz w:val="32"/>
          <w:szCs w:val="32"/>
        </w:rPr>
      </w:pPr>
      <w:r>
        <w:rPr>
          <w:rFonts w:hint="eastAsia" w:ascii="楷体" w:hAnsi="楷体" w:eastAsia="楷体"/>
          <w:sz w:val="32"/>
          <w:szCs w:val="32"/>
        </w:rPr>
        <w:t>夯实计生工作。查缺补漏计划生育特别扶助人员44人，补发特别扶助金40.06万元。审核农村独生子女家庭父母14888人，发放奖励费132.8万元。办理计划生育住院护理保险721人，支付保险金8.855万元。</w:t>
      </w:r>
    </w:p>
    <w:p w14:paraId="1FC14280">
      <w:pPr>
        <w:autoSpaceDE w:val="0"/>
        <w:autoSpaceDN w:val="0"/>
        <w:adjustRightInd w:val="0"/>
        <w:spacing w:line="360" w:lineRule="auto"/>
        <w:ind w:firstLine="664"/>
        <w:rPr>
          <w:rFonts w:ascii="楷体" w:hAnsi="楷体" w:eastAsia="楷体" w:cs="宋体"/>
          <w:spacing w:val="6"/>
          <w:kern w:val="0"/>
          <w:sz w:val="32"/>
          <w:szCs w:val="32"/>
          <w:lang w:val="zh-CN"/>
        </w:rPr>
      </w:pPr>
      <w:r>
        <w:rPr>
          <w:rFonts w:hint="eastAsia" w:ascii="楷体" w:hAnsi="楷体" w:eastAsia="楷体" w:cs="宋体"/>
          <w:spacing w:val="6"/>
          <w:kern w:val="0"/>
          <w:sz w:val="32"/>
          <w:szCs w:val="32"/>
          <w:lang w:val="zh-CN"/>
        </w:rPr>
        <w:t>2019年末，我区拥有医疗卫生机构351个，其中：医院14所；社区卫生服务中心（站）7个，卫生院7个，村卫生室175个，门诊部26个，诊所、卫生所、医务室117个；卫生计生监督站1个，妇幼保健和计划生育中心1个、其他卫生机构4个。市直属卫生机构7个（其中医院4家）。</w:t>
      </w:r>
    </w:p>
    <w:p w14:paraId="5420E1AB">
      <w:pPr>
        <w:autoSpaceDE w:val="0"/>
        <w:autoSpaceDN w:val="0"/>
        <w:adjustRightInd w:val="0"/>
        <w:spacing w:line="360" w:lineRule="auto"/>
        <w:ind w:firstLine="664"/>
        <w:rPr>
          <w:rFonts w:ascii="楷体" w:hAnsi="楷体" w:eastAsia="楷体" w:cs="宋体"/>
          <w:spacing w:val="6"/>
          <w:kern w:val="0"/>
          <w:sz w:val="32"/>
          <w:szCs w:val="32"/>
          <w:lang w:val="zh-CN"/>
        </w:rPr>
      </w:pPr>
      <w:r>
        <w:rPr>
          <w:rFonts w:hint="eastAsia" w:ascii="楷体" w:hAnsi="楷体" w:eastAsia="楷体" w:cs="宋体"/>
          <w:spacing w:val="6"/>
          <w:kern w:val="0"/>
          <w:sz w:val="32"/>
          <w:szCs w:val="32"/>
          <w:lang w:val="zh-CN"/>
        </w:rPr>
        <w:t>卫生技术人员4788人，其中拥有执业（助理）医师1740人，注册护士2432人，药师（士）171人，技师（士）273人，其他165人。</w:t>
      </w:r>
    </w:p>
    <w:p w14:paraId="6FB0D1F0">
      <w:pPr>
        <w:autoSpaceDE w:val="0"/>
        <w:autoSpaceDN w:val="0"/>
        <w:adjustRightInd w:val="0"/>
        <w:spacing w:line="360" w:lineRule="auto"/>
        <w:ind w:firstLine="664"/>
        <w:rPr>
          <w:rFonts w:ascii="楷体" w:hAnsi="楷体" w:eastAsia="楷体" w:cs="宋体"/>
          <w:spacing w:val="6"/>
          <w:kern w:val="0"/>
          <w:sz w:val="32"/>
          <w:szCs w:val="32"/>
          <w:lang w:val="zh-CN"/>
        </w:rPr>
      </w:pPr>
      <w:r>
        <w:rPr>
          <w:rFonts w:hint="eastAsia" w:ascii="楷体" w:hAnsi="楷体" w:eastAsia="楷体" w:cs="宋体"/>
          <w:spacing w:val="6"/>
          <w:kern w:val="0"/>
          <w:sz w:val="32"/>
          <w:szCs w:val="32"/>
          <w:lang w:val="zh-CN"/>
        </w:rPr>
        <w:t>医疗机构房屋总建筑面积605290平方米，其中业务用房面积451713平方米，万元以上设备总价值17259万元，共计1516台件，设置住院床位4382张。平均每千人拥有床位9.6张、卫生技术人员10.5人。</w:t>
      </w:r>
    </w:p>
    <w:p w14:paraId="1FE188C6">
      <w:pPr>
        <w:autoSpaceDE w:val="0"/>
        <w:autoSpaceDN w:val="0"/>
        <w:adjustRightInd w:val="0"/>
        <w:spacing w:line="360" w:lineRule="auto"/>
        <w:ind w:firstLine="664"/>
        <w:rPr>
          <w:rFonts w:ascii="楷体" w:hAnsi="楷体" w:eastAsia="楷体" w:cs="宋体"/>
          <w:color w:val="FF0000"/>
          <w:spacing w:val="6"/>
          <w:kern w:val="0"/>
          <w:sz w:val="32"/>
          <w:szCs w:val="32"/>
          <w:lang w:val="zh-CN"/>
        </w:rPr>
      </w:pPr>
    </w:p>
    <w:p w14:paraId="6D72C66B">
      <w:pPr>
        <w:tabs>
          <w:tab w:val="left" w:pos="3600"/>
        </w:tabs>
        <w:autoSpaceDE w:val="0"/>
        <w:autoSpaceDN w:val="0"/>
        <w:adjustRightInd w:val="0"/>
        <w:spacing w:line="360" w:lineRule="auto"/>
        <w:ind w:firstLine="562"/>
        <w:rPr>
          <w:rFonts w:ascii="黑体" w:hAnsi="黑体" w:eastAsia="黑体" w:cs="黑体"/>
          <w:b/>
          <w:bCs/>
          <w:sz w:val="32"/>
          <w:szCs w:val="32"/>
          <w:lang w:val="zh-CN"/>
        </w:rPr>
      </w:pPr>
      <w:r>
        <w:rPr>
          <w:rFonts w:hint="eastAsia" w:ascii="黑体" w:hAnsi="黑体" w:eastAsia="黑体" w:cs="黑体"/>
          <w:b/>
          <w:bCs/>
          <w:sz w:val="32"/>
          <w:szCs w:val="32"/>
          <w:lang w:val="zh-CN"/>
        </w:rPr>
        <w:t>八、人口</w:t>
      </w:r>
      <w:r>
        <w:rPr>
          <w:rFonts w:ascii="黑体" w:hAnsi="黑体" w:eastAsia="黑体" w:cs="黑体"/>
          <w:b/>
          <w:bCs/>
          <w:sz w:val="32"/>
          <w:szCs w:val="32"/>
          <w:lang w:val="zh-CN"/>
        </w:rPr>
        <w:tab/>
      </w:r>
    </w:p>
    <w:p w14:paraId="6732D5CE">
      <w:pPr>
        <w:autoSpaceDE w:val="0"/>
        <w:autoSpaceDN w:val="0"/>
        <w:adjustRightInd w:val="0"/>
        <w:spacing w:line="360" w:lineRule="auto"/>
        <w:ind w:firstLine="640" w:firstLineChars="200"/>
        <w:rPr>
          <w:rFonts w:ascii="楷体" w:hAnsi="楷体" w:eastAsia="楷体" w:cs="宋体"/>
          <w:sz w:val="32"/>
          <w:szCs w:val="32"/>
          <w:lang w:val="zh-CN"/>
        </w:rPr>
      </w:pPr>
      <w:r>
        <w:rPr>
          <w:rFonts w:hint="eastAsia" w:ascii="楷体" w:hAnsi="楷体" w:eastAsia="楷体" w:cs="宋体"/>
          <w:sz w:val="32"/>
          <w:szCs w:val="32"/>
          <w:lang w:val="zh-CN"/>
        </w:rPr>
        <w:t>2019年，全区户籍总户数172617户，户籍总人口454191人，其中男221684人、女232327人。非农业人口270219人。总人口中17岁及以下人口81418人，占总人口的17.9%；1</w:t>
      </w:r>
      <w:r>
        <w:rPr>
          <w:rFonts w:ascii="楷体" w:hAnsi="楷体" w:eastAsia="楷体" w:cs="宋体"/>
          <w:sz w:val="32"/>
          <w:szCs w:val="32"/>
          <w:lang w:val="zh-CN"/>
        </w:rPr>
        <w:t>8</w:t>
      </w:r>
      <w:r>
        <w:rPr>
          <w:rFonts w:hint="eastAsia" w:ascii="楷体" w:hAnsi="楷体" w:eastAsia="楷体" w:cs="宋体"/>
          <w:sz w:val="32"/>
          <w:szCs w:val="32"/>
          <w:lang w:val="zh-CN"/>
        </w:rPr>
        <w:t>-3</w:t>
      </w:r>
      <w:r>
        <w:rPr>
          <w:rFonts w:ascii="楷体" w:hAnsi="楷体" w:eastAsia="楷体" w:cs="宋体"/>
          <w:sz w:val="32"/>
          <w:szCs w:val="32"/>
          <w:lang w:val="zh-CN"/>
        </w:rPr>
        <w:t>4</w:t>
      </w:r>
      <w:r>
        <w:rPr>
          <w:rFonts w:hint="eastAsia" w:ascii="楷体" w:hAnsi="楷体" w:eastAsia="楷体" w:cs="宋体"/>
          <w:sz w:val="32"/>
          <w:szCs w:val="32"/>
          <w:lang w:val="zh-CN"/>
        </w:rPr>
        <w:t>岁人口111303人，占总人口的24.5%；35-</w:t>
      </w:r>
      <w:r>
        <w:rPr>
          <w:rFonts w:ascii="楷体" w:hAnsi="楷体" w:eastAsia="楷体" w:cs="宋体"/>
          <w:sz w:val="32"/>
          <w:szCs w:val="32"/>
          <w:lang w:val="zh-CN"/>
        </w:rPr>
        <w:t>59</w:t>
      </w:r>
      <w:r>
        <w:rPr>
          <w:rFonts w:hint="eastAsia" w:ascii="楷体" w:hAnsi="楷体" w:eastAsia="楷体" w:cs="宋体"/>
          <w:sz w:val="32"/>
          <w:szCs w:val="32"/>
          <w:lang w:val="zh-CN"/>
        </w:rPr>
        <w:t>岁人口177015人，占总人口的39.0%；60以上人口84455人，占总人口的18.6%。</w:t>
      </w:r>
    </w:p>
    <w:p w14:paraId="7151CA35">
      <w:pPr>
        <w:autoSpaceDE w:val="0"/>
        <w:autoSpaceDN w:val="0"/>
        <w:adjustRightInd w:val="0"/>
        <w:spacing w:line="360" w:lineRule="auto"/>
        <w:ind w:firstLine="645"/>
        <w:rPr>
          <w:rFonts w:ascii="楷体" w:hAnsi="楷体" w:eastAsia="楷体" w:cs="宋体"/>
          <w:sz w:val="32"/>
          <w:szCs w:val="32"/>
          <w:lang w:val="zh-CN"/>
        </w:rPr>
      </w:pPr>
      <w:r>
        <w:rPr>
          <w:rFonts w:hint="eastAsia" w:ascii="楷体" w:hAnsi="楷体" w:eastAsia="楷体" w:cs="宋体"/>
          <w:sz w:val="32"/>
          <w:szCs w:val="32"/>
          <w:lang w:val="zh-CN"/>
        </w:rPr>
        <w:t>全区出生人口为7476人，死亡人口2709人。</w:t>
      </w:r>
    </w:p>
    <w:p w14:paraId="6802592A">
      <w:pPr>
        <w:autoSpaceDE w:val="0"/>
        <w:autoSpaceDN w:val="0"/>
        <w:adjustRightInd w:val="0"/>
        <w:spacing w:line="360" w:lineRule="auto"/>
        <w:ind w:firstLine="645"/>
        <w:rPr>
          <w:rFonts w:ascii="楷体" w:hAnsi="楷体" w:eastAsia="楷体" w:cs="宋体"/>
          <w:color w:val="FF0000"/>
          <w:sz w:val="32"/>
          <w:szCs w:val="32"/>
          <w:lang w:val="zh-CN"/>
        </w:rPr>
      </w:pPr>
    </w:p>
    <w:p w14:paraId="15DBF993">
      <w:pPr>
        <w:autoSpaceDE w:val="0"/>
        <w:autoSpaceDN w:val="0"/>
        <w:adjustRightInd w:val="0"/>
        <w:spacing w:line="360" w:lineRule="auto"/>
        <w:ind w:firstLine="645"/>
        <w:rPr>
          <w:rFonts w:ascii="楷体" w:hAnsi="楷体" w:eastAsia="楷体" w:cs="宋体"/>
          <w:color w:val="FF0000"/>
          <w:sz w:val="32"/>
          <w:szCs w:val="32"/>
          <w:lang w:val="zh-CN"/>
        </w:rPr>
      </w:pPr>
    </w:p>
    <w:p w14:paraId="69C736D5">
      <w:pPr>
        <w:autoSpaceDE w:val="0"/>
        <w:autoSpaceDN w:val="0"/>
        <w:adjustRightInd w:val="0"/>
        <w:spacing w:line="360" w:lineRule="auto"/>
        <w:jc w:val="left"/>
        <w:rPr>
          <w:rFonts w:ascii="楷体" w:hAnsi="楷体" w:eastAsia="楷体"/>
          <w:color w:val="000000"/>
          <w:spacing w:val="15"/>
          <w:szCs w:val="21"/>
        </w:rPr>
      </w:pPr>
      <w:r>
        <w:rPr>
          <w:rFonts w:hint="eastAsia" w:ascii="楷体" w:hAnsi="楷体" w:eastAsia="楷体" w:cs="仿宋_GB2312"/>
          <w:color w:val="000000"/>
          <w:spacing w:val="15"/>
          <w:szCs w:val="21"/>
          <w:lang w:val="zh-CN"/>
        </w:rPr>
        <w:t>注：1.本公报为初步统计数或初步核算数。</w:t>
      </w:r>
    </w:p>
    <w:p w14:paraId="1A8F72A8">
      <w:pPr>
        <w:autoSpaceDE w:val="0"/>
        <w:autoSpaceDN w:val="0"/>
        <w:adjustRightInd w:val="0"/>
        <w:spacing w:line="360" w:lineRule="auto"/>
        <w:ind w:firstLine="540"/>
        <w:jc w:val="left"/>
        <w:rPr>
          <w:rFonts w:ascii="楷体_GB2312" w:eastAsia="楷体_GB2312"/>
          <w:color w:val="000000"/>
          <w:sz w:val="32"/>
          <w:szCs w:val="32"/>
        </w:rPr>
      </w:pPr>
      <w:r>
        <w:rPr>
          <w:rFonts w:hint="eastAsia" w:ascii="楷体" w:hAnsi="楷体" w:eastAsia="楷体" w:cs="仿宋_GB2312"/>
          <w:color w:val="000000"/>
          <w:spacing w:val="15"/>
          <w:szCs w:val="21"/>
          <w:lang w:val="zh-CN"/>
        </w:rPr>
        <w:t>2.公报中生产总值、各产业增加值绝对数按现价计算，增长速度按可比价格计算。</w:t>
      </w:r>
    </w:p>
    <w:sectPr>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87"/>
    <w:rsid w:val="00002398"/>
    <w:rsid w:val="0000457C"/>
    <w:rsid w:val="00006560"/>
    <w:rsid w:val="0000663A"/>
    <w:rsid w:val="00011FEF"/>
    <w:rsid w:val="00015844"/>
    <w:rsid w:val="00016EFD"/>
    <w:rsid w:val="00023658"/>
    <w:rsid w:val="0002472B"/>
    <w:rsid w:val="00026EEC"/>
    <w:rsid w:val="000301CE"/>
    <w:rsid w:val="0003086F"/>
    <w:rsid w:val="00037A57"/>
    <w:rsid w:val="00040887"/>
    <w:rsid w:val="00041C0E"/>
    <w:rsid w:val="0004514E"/>
    <w:rsid w:val="0005030D"/>
    <w:rsid w:val="00050620"/>
    <w:rsid w:val="00051B9E"/>
    <w:rsid w:val="00054624"/>
    <w:rsid w:val="00054A7A"/>
    <w:rsid w:val="00054B29"/>
    <w:rsid w:val="000563B7"/>
    <w:rsid w:val="000571F6"/>
    <w:rsid w:val="00070E6E"/>
    <w:rsid w:val="0007295A"/>
    <w:rsid w:val="0007352F"/>
    <w:rsid w:val="00075F0E"/>
    <w:rsid w:val="000777B0"/>
    <w:rsid w:val="0008045F"/>
    <w:rsid w:val="000823DF"/>
    <w:rsid w:val="000839B1"/>
    <w:rsid w:val="00083E0F"/>
    <w:rsid w:val="00085FAE"/>
    <w:rsid w:val="000862EB"/>
    <w:rsid w:val="00086EC2"/>
    <w:rsid w:val="0008766B"/>
    <w:rsid w:val="00087B65"/>
    <w:rsid w:val="00087D57"/>
    <w:rsid w:val="00090380"/>
    <w:rsid w:val="0009053E"/>
    <w:rsid w:val="00091BA4"/>
    <w:rsid w:val="00091CBD"/>
    <w:rsid w:val="000930DE"/>
    <w:rsid w:val="000949E7"/>
    <w:rsid w:val="00097549"/>
    <w:rsid w:val="000A03E5"/>
    <w:rsid w:val="000A059B"/>
    <w:rsid w:val="000A09E8"/>
    <w:rsid w:val="000A0E6E"/>
    <w:rsid w:val="000A15B3"/>
    <w:rsid w:val="000A4E87"/>
    <w:rsid w:val="000A6557"/>
    <w:rsid w:val="000A79E7"/>
    <w:rsid w:val="000B2DE5"/>
    <w:rsid w:val="000B4EA8"/>
    <w:rsid w:val="000B52FE"/>
    <w:rsid w:val="000B7143"/>
    <w:rsid w:val="000B74EC"/>
    <w:rsid w:val="000C3DFE"/>
    <w:rsid w:val="000C6BEB"/>
    <w:rsid w:val="000D1538"/>
    <w:rsid w:val="000D1DB3"/>
    <w:rsid w:val="000D1E28"/>
    <w:rsid w:val="000D4652"/>
    <w:rsid w:val="000E03E3"/>
    <w:rsid w:val="000E1A1A"/>
    <w:rsid w:val="000E58C4"/>
    <w:rsid w:val="000E7F71"/>
    <w:rsid w:val="000F04AC"/>
    <w:rsid w:val="000F2C58"/>
    <w:rsid w:val="000F2FDF"/>
    <w:rsid w:val="000F3C9B"/>
    <w:rsid w:val="000F44BF"/>
    <w:rsid w:val="00100388"/>
    <w:rsid w:val="00102880"/>
    <w:rsid w:val="0010486B"/>
    <w:rsid w:val="00113C14"/>
    <w:rsid w:val="00114120"/>
    <w:rsid w:val="001163E3"/>
    <w:rsid w:val="001214DC"/>
    <w:rsid w:val="00122279"/>
    <w:rsid w:val="00123B2D"/>
    <w:rsid w:val="001256FE"/>
    <w:rsid w:val="00125F0E"/>
    <w:rsid w:val="0012766C"/>
    <w:rsid w:val="00133F1C"/>
    <w:rsid w:val="001358E0"/>
    <w:rsid w:val="00135E85"/>
    <w:rsid w:val="00137636"/>
    <w:rsid w:val="00140CBB"/>
    <w:rsid w:val="00143611"/>
    <w:rsid w:val="00144CA3"/>
    <w:rsid w:val="001472AD"/>
    <w:rsid w:val="0014785D"/>
    <w:rsid w:val="0015195A"/>
    <w:rsid w:val="001571EE"/>
    <w:rsid w:val="00157307"/>
    <w:rsid w:val="00162A29"/>
    <w:rsid w:val="00163F3D"/>
    <w:rsid w:val="001641A7"/>
    <w:rsid w:val="00174BA6"/>
    <w:rsid w:val="00176CE9"/>
    <w:rsid w:val="0017765D"/>
    <w:rsid w:val="00181EC2"/>
    <w:rsid w:val="00187F28"/>
    <w:rsid w:val="001907CB"/>
    <w:rsid w:val="001924FB"/>
    <w:rsid w:val="00193829"/>
    <w:rsid w:val="00195C0E"/>
    <w:rsid w:val="00196A33"/>
    <w:rsid w:val="001A269A"/>
    <w:rsid w:val="001A4E90"/>
    <w:rsid w:val="001A62B6"/>
    <w:rsid w:val="001A6AE9"/>
    <w:rsid w:val="001A6EF2"/>
    <w:rsid w:val="001C34F8"/>
    <w:rsid w:val="001C41A9"/>
    <w:rsid w:val="001C5EB2"/>
    <w:rsid w:val="001D1245"/>
    <w:rsid w:val="001D443E"/>
    <w:rsid w:val="001D57D9"/>
    <w:rsid w:val="001E397C"/>
    <w:rsid w:val="001E65CC"/>
    <w:rsid w:val="001F0646"/>
    <w:rsid w:val="001F18AA"/>
    <w:rsid w:val="001F351F"/>
    <w:rsid w:val="001F6541"/>
    <w:rsid w:val="001F7C8D"/>
    <w:rsid w:val="00200828"/>
    <w:rsid w:val="002015C2"/>
    <w:rsid w:val="002044EC"/>
    <w:rsid w:val="0020594C"/>
    <w:rsid w:val="002075D6"/>
    <w:rsid w:val="00211CF8"/>
    <w:rsid w:val="002175B2"/>
    <w:rsid w:val="00220670"/>
    <w:rsid w:val="00224148"/>
    <w:rsid w:val="00226A7C"/>
    <w:rsid w:val="00227810"/>
    <w:rsid w:val="002301F8"/>
    <w:rsid w:val="00231D1B"/>
    <w:rsid w:val="00231FC8"/>
    <w:rsid w:val="00233D92"/>
    <w:rsid w:val="00234792"/>
    <w:rsid w:val="00235D09"/>
    <w:rsid w:val="002367F1"/>
    <w:rsid w:val="00236D68"/>
    <w:rsid w:val="00245983"/>
    <w:rsid w:val="00250D29"/>
    <w:rsid w:val="00251EE7"/>
    <w:rsid w:val="00252747"/>
    <w:rsid w:val="00252810"/>
    <w:rsid w:val="0025634E"/>
    <w:rsid w:val="00260613"/>
    <w:rsid w:val="00261755"/>
    <w:rsid w:val="0026198C"/>
    <w:rsid w:val="00265771"/>
    <w:rsid w:val="0026692B"/>
    <w:rsid w:val="00267CEE"/>
    <w:rsid w:val="00270B58"/>
    <w:rsid w:val="0027383B"/>
    <w:rsid w:val="002762F2"/>
    <w:rsid w:val="00280182"/>
    <w:rsid w:val="002815AF"/>
    <w:rsid w:val="002839BD"/>
    <w:rsid w:val="002852FE"/>
    <w:rsid w:val="002866FE"/>
    <w:rsid w:val="00286BAA"/>
    <w:rsid w:val="00290771"/>
    <w:rsid w:val="00294331"/>
    <w:rsid w:val="0029719A"/>
    <w:rsid w:val="002A480B"/>
    <w:rsid w:val="002A488A"/>
    <w:rsid w:val="002A56A1"/>
    <w:rsid w:val="002A7490"/>
    <w:rsid w:val="002B07D9"/>
    <w:rsid w:val="002B0C12"/>
    <w:rsid w:val="002B5959"/>
    <w:rsid w:val="002B6EB5"/>
    <w:rsid w:val="002B72BE"/>
    <w:rsid w:val="002B7D2A"/>
    <w:rsid w:val="002C01BC"/>
    <w:rsid w:val="002C1932"/>
    <w:rsid w:val="002C3B14"/>
    <w:rsid w:val="002C4DB5"/>
    <w:rsid w:val="002C5498"/>
    <w:rsid w:val="002D31D1"/>
    <w:rsid w:val="002D5516"/>
    <w:rsid w:val="002D78D8"/>
    <w:rsid w:val="002E0147"/>
    <w:rsid w:val="002E140F"/>
    <w:rsid w:val="002E4285"/>
    <w:rsid w:val="002E4D22"/>
    <w:rsid w:val="002F61E4"/>
    <w:rsid w:val="002F7E89"/>
    <w:rsid w:val="0030414E"/>
    <w:rsid w:val="003049E7"/>
    <w:rsid w:val="003055BC"/>
    <w:rsid w:val="00312FB7"/>
    <w:rsid w:val="003224B9"/>
    <w:rsid w:val="00322E1B"/>
    <w:rsid w:val="00341BB1"/>
    <w:rsid w:val="003427DD"/>
    <w:rsid w:val="003430D6"/>
    <w:rsid w:val="00350A70"/>
    <w:rsid w:val="00351D76"/>
    <w:rsid w:val="003617FF"/>
    <w:rsid w:val="00362AD9"/>
    <w:rsid w:val="00365DCC"/>
    <w:rsid w:val="003722B4"/>
    <w:rsid w:val="0037452C"/>
    <w:rsid w:val="003812B8"/>
    <w:rsid w:val="00383FA7"/>
    <w:rsid w:val="003841A9"/>
    <w:rsid w:val="00384787"/>
    <w:rsid w:val="00390754"/>
    <w:rsid w:val="003963E2"/>
    <w:rsid w:val="003A41E9"/>
    <w:rsid w:val="003A4EBD"/>
    <w:rsid w:val="003A4F0D"/>
    <w:rsid w:val="003A5330"/>
    <w:rsid w:val="003A5D35"/>
    <w:rsid w:val="003A793E"/>
    <w:rsid w:val="003B0E43"/>
    <w:rsid w:val="003B4F72"/>
    <w:rsid w:val="003C018A"/>
    <w:rsid w:val="003C4013"/>
    <w:rsid w:val="003D126B"/>
    <w:rsid w:val="003D17A4"/>
    <w:rsid w:val="003D58F9"/>
    <w:rsid w:val="003D5919"/>
    <w:rsid w:val="003D6586"/>
    <w:rsid w:val="003E0CE6"/>
    <w:rsid w:val="003E4841"/>
    <w:rsid w:val="003E484B"/>
    <w:rsid w:val="003E5574"/>
    <w:rsid w:val="003E61B4"/>
    <w:rsid w:val="003E7B82"/>
    <w:rsid w:val="003E7E4B"/>
    <w:rsid w:val="003F4054"/>
    <w:rsid w:val="003F6460"/>
    <w:rsid w:val="003F7682"/>
    <w:rsid w:val="00402F1D"/>
    <w:rsid w:val="00404201"/>
    <w:rsid w:val="00405EED"/>
    <w:rsid w:val="00407457"/>
    <w:rsid w:val="00407832"/>
    <w:rsid w:val="00410AB0"/>
    <w:rsid w:val="00413AD2"/>
    <w:rsid w:val="00424E25"/>
    <w:rsid w:val="00427641"/>
    <w:rsid w:val="00431147"/>
    <w:rsid w:val="00435111"/>
    <w:rsid w:val="00436EBC"/>
    <w:rsid w:val="00440DD7"/>
    <w:rsid w:val="004447B0"/>
    <w:rsid w:val="00455B84"/>
    <w:rsid w:val="004566CE"/>
    <w:rsid w:val="00460EE0"/>
    <w:rsid w:val="00461C0A"/>
    <w:rsid w:val="00467795"/>
    <w:rsid w:val="00467A9D"/>
    <w:rsid w:val="00467FD1"/>
    <w:rsid w:val="004724ED"/>
    <w:rsid w:val="00472BAB"/>
    <w:rsid w:val="00473A55"/>
    <w:rsid w:val="0048516B"/>
    <w:rsid w:val="004866C3"/>
    <w:rsid w:val="0048734A"/>
    <w:rsid w:val="004911E1"/>
    <w:rsid w:val="0049342A"/>
    <w:rsid w:val="004975E2"/>
    <w:rsid w:val="004A00C5"/>
    <w:rsid w:val="004A2D84"/>
    <w:rsid w:val="004A3752"/>
    <w:rsid w:val="004A52C2"/>
    <w:rsid w:val="004A7CB4"/>
    <w:rsid w:val="004B099F"/>
    <w:rsid w:val="004B0E26"/>
    <w:rsid w:val="004B26B5"/>
    <w:rsid w:val="004B45FC"/>
    <w:rsid w:val="004B4B71"/>
    <w:rsid w:val="004B570A"/>
    <w:rsid w:val="004B66D0"/>
    <w:rsid w:val="004B6EA0"/>
    <w:rsid w:val="004C0292"/>
    <w:rsid w:val="004C0D56"/>
    <w:rsid w:val="004C0F2F"/>
    <w:rsid w:val="004C1591"/>
    <w:rsid w:val="004C534F"/>
    <w:rsid w:val="004D125B"/>
    <w:rsid w:val="004D1DBB"/>
    <w:rsid w:val="004D6899"/>
    <w:rsid w:val="004D79F0"/>
    <w:rsid w:val="004D7C8B"/>
    <w:rsid w:val="004E3DC8"/>
    <w:rsid w:val="004E591C"/>
    <w:rsid w:val="004E642F"/>
    <w:rsid w:val="004F0391"/>
    <w:rsid w:val="004F0971"/>
    <w:rsid w:val="004F0EC6"/>
    <w:rsid w:val="004F1AF8"/>
    <w:rsid w:val="004F3490"/>
    <w:rsid w:val="004F5536"/>
    <w:rsid w:val="004F5C6D"/>
    <w:rsid w:val="004F7B4A"/>
    <w:rsid w:val="0050015A"/>
    <w:rsid w:val="0050020C"/>
    <w:rsid w:val="00503BA0"/>
    <w:rsid w:val="00506FEE"/>
    <w:rsid w:val="0051326B"/>
    <w:rsid w:val="00513972"/>
    <w:rsid w:val="005165EB"/>
    <w:rsid w:val="00517C39"/>
    <w:rsid w:val="00523547"/>
    <w:rsid w:val="0052557B"/>
    <w:rsid w:val="00527AA3"/>
    <w:rsid w:val="005309CC"/>
    <w:rsid w:val="00530AEB"/>
    <w:rsid w:val="0053503B"/>
    <w:rsid w:val="00537D5C"/>
    <w:rsid w:val="00541227"/>
    <w:rsid w:val="00545C53"/>
    <w:rsid w:val="00553077"/>
    <w:rsid w:val="00554680"/>
    <w:rsid w:val="005624EE"/>
    <w:rsid w:val="00564052"/>
    <w:rsid w:val="0056464C"/>
    <w:rsid w:val="0056573D"/>
    <w:rsid w:val="005673CC"/>
    <w:rsid w:val="00571237"/>
    <w:rsid w:val="00571575"/>
    <w:rsid w:val="005763A6"/>
    <w:rsid w:val="00581221"/>
    <w:rsid w:val="00584660"/>
    <w:rsid w:val="00584DA5"/>
    <w:rsid w:val="00584E85"/>
    <w:rsid w:val="0059163C"/>
    <w:rsid w:val="00592F80"/>
    <w:rsid w:val="005958E9"/>
    <w:rsid w:val="005968F3"/>
    <w:rsid w:val="005A1DC7"/>
    <w:rsid w:val="005A3300"/>
    <w:rsid w:val="005A42C2"/>
    <w:rsid w:val="005A5A29"/>
    <w:rsid w:val="005B0AB5"/>
    <w:rsid w:val="005B15F2"/>
    <w:rsid w:val="005B1D77"/>
    <w:rsid w:val="005B4927"/>
    <w:rsid w:val="005B65C5"/>
    <w:rsid w:val="005B74D6"/>
    <w:rsid w:val="005C0409"/>
    <w:rsid w:val="005C1107"/>
    <w:rsid w:val="005C28A4"/>
    <w:rsid w:val="005C3872"/>
    <w:rsid w:val="005C41F0"/>
    <w:rsid w:val="005C67E7"/>
    <w:rsid w:val="005D7DB0"/>
    <w:rsid w:val="005E0395"/>
    <w:rsid w:val="005E4045"/>
    <w:rsid w:val="005E5B45"/>
    <w:rsid w:val="005E66FE"/>
    <w:rsid w:val="005F0309"/>
    <w:rsid w:val="005F0887"/>
    <w:rsid w:val="005F175C"/>
    <w:rsid w:val="005F236B"/>
    <w:rsid w:val="005F2DBB"/>
    <w:rsid w:val="005F6021"/>
    <w:rsid w:val="00600D85"/>
    <w:rsid w:val="0060363F"/>
    <w:rsid w:val="006053F7"/>
    <w:rsid w:val="00605EE6"/>
    <w:rsid w:val="00607016"/>
    <w:rsid w:val="00611ADC"/>
    <w:rsid w:val="00612FBF"/>
    <w:rsid w:val="006134E7"/>
    <w:rsid w:val="006147D0"/>
    <w:rsid w:val="006156FE"/>
    <w:rsid w:val="00622866"/>
    <w:rsid w:val="0063270B"/>
    <w:rsid w:val="006337A6"/>
    <w:rsid w:val="006355EB"/>
    <w:rsid w:val="006417E8"/>
    <w:rsid w:val="0064424C"/>
    <w:rsid w:val="006449E6"/>
    <w:rsid w:val="00645542"/>
    <w:rsid w:val="0065252A"/>
    <w:rsid w:val="00654CB8"/>
    <w:rsid w:val="00654D9A"/>
    <w:rsid w:val="00657A48"/>
    <w:rsid w:val="006617DC"/>
    <w:rsid w:val="00664033"/>
    <w:rsid w:val="00665523"/>
    <w:rsid w:val="00665AC4"/>
    <w:rsid w:val="0066794F"/>
    <w:rsid w:val="006701C3"/>
    <w:rsid w:val="00670374"/>
    <w:rsid w:val="00672BEE"/>
    <w:rsid w:val="00673C66"/>
    <w:rsid w:val="00685865"/>
    <w:rsid w:val="00687E1B"/>
    <w:rsid w:val="0069021C"/>
    <w:rsid w:val="0069777A"/>
    <w:rsid w:val="006A1C3B"/>
    <w:rsid w:val="006A290A"/>
    <w:rsid w:val="006B10AE"/>
    <w:rsid w:val="006B22E6"/>
    <w:rsid w:val="006B73BB"/>
    <w:rsid w:val="006C02AC"/>
    <w:rsid w:val="006C1EF3"/>
    <w:rsid w:val="006C5624"/>
    <w:rsid w:val="006D28EE"/>
    <w:rsid w:val="006D2C8F"/>
    <w:rsid w:val="006D3ECE"/>
    <w:rsid w:val="006D4B18"/>
    <w:rsid w:val="006D5140"/>
    <w:rsid w:val="006D5A7D"/>
    <w:rsid w:val="006E00DA"/>
    <w:rsid w:val="006E1C0C"/>
    <w:rsid w:val="006E2CD0"/>
    <w:rsid w:val="006E3384"/>
    <w:rsid w:val="006E4372"/>
    <w:rsid w:val="006E765F"/>
    <w:rsid w:val="006F09F8"/>
    <w:rsid w:val="006F11DF"/>
    <w:rsid w:val="006F12BC"/>
    <w:rsid w:val="006F4F56"/>
    <w:rsid w:val="006F52BD"/>
    <w:rsid w:val="006F7492"/>
    <w:rsid w:val="0070070E"/>
    <w:rsid w:val="0070351C"/>
    <w:rsid w:val="00703B02"/>
    <w:rsid w:val="00707AFF"/>
    <w:rsid w:val="00710C92"/>
    <w:rsid w:val="00711325"/>
    <w:rsid w:val="007158F7"/>
    <w:rsid w:val="007167B7"/>
    <w:rsid w:val="00717EB8"/>
    <w:rsid w:val="00720E7B"/>
    <w:rsid w:val="00721CF3"/>
    <w:rsid w:val="007242ED"/>
    <w:rsid w:val="007262F8"/>
    <w:rsid w:val="007310AE"/>
    <w:rsid w:val="00732A31"/>
    <w:rsid w:val="0073497D"/>
    <w:rsid w:val="007361B2"/>
    <w:rsid w:val="00741461"/>
    <w:rsid w:val="007468EC"/>
    <w:rsid w:val="00751B05"/>
    <w:rsid w:val="00757705"/>
    <w:rsid w:val="00757AD7"/>
    <w:rsid w:val="007603A1"/>
    <w:rsid w:val="00765764"/>
    <w:rsid w:val="007715A0"/>
    <w:rsid w:val="00775463"/>
    <w:rsid w:val="00775B68"/>
    <w:rsid w:val="00775CB1"/>
    <w:rsid w:val="007765FE"/>
    <w:rsid w:val="00777D2D"/>
    <w:rsid w:val="00777D54"/>
    <w:rsid w:val="0078137A"/>
    <w:rsid w:val="00786EB7"/>
    <w:rsid w:val="00787DEB"/>
    <w:rsid w:val="00787E1F"/>
    <w:rsid w:val="0079180B"/>
    <w:rsid w:val="00793CC7"/>
    <w:rsid w:val="00794DC8"/>
    <w:rsid w:val="00797F7B"/>
    <w:rsid w:val="007A1FEE"/>
    <w:rsid w:val="007A759E"/>
    <w:rsid w:val="007B13B6"/>
    <w:rsid w:val="007B27DB"/>
    <w:rsid w:val="007C54A3"/>
    <w:rsid w:val="007D07FE"/>
    <w:rsid w:val="007D28F0"/>
    <w:rsid w:val="007D493A"/>
    <w:rsid w:val="007D671C"/>
    <w:rsid w:val="007E1989"/>
    <w:rsid w:val="007E505F"/>
    <w:rsid w:val="007E75D5"/>
    <w:rsid w:val="007F5C77"/>
    <w:rsid w:val="007F6F50"/>
    <w:rsid w:val="00800483"/>
    <w:rsid w:val="008035F8"/>
    <w:rsid w:val="00807828"/>
    <w:rsid w:val="00814C9B"/>
    <w:rsid w:val="0081509A"/>
    <w:rsid w:val="00825469"/>
    <w:rsid w:val="00825EC4"/>
    <w:rsid w:val="00827EA6"/>
    <w:rsid w:val="008306B9"/>
    <w:rsid w:val="008316E9"/>
    <w:rsid w:val="00831A30"/>
    <w:rsid w:val="008333B4"/>
    <w:rsid w:val="00833CE8"/>
    <w:rsid w:val="00835AD9"/>
    <w:rsid w:val="00836059"/>
    <w:rsid w:val="00837B0D"/>
    <w:rsid w:val="00840698"/>
    <w:rsid w:val="00841FD9"/>
    <w:rsid w:val="0084737E"/>
    <w:rsid w:val="00854C1B"/>
    <w:rsid w:val="0085624E"/>
    <w:rsid w:val="008572A5"/>
    <w:rsid w:val="00861003"/>
    <w:rsid w:val="00863498"/>
    <w:rsid w:val="00863D05"/>
    <w:rsid w:val="0086478C"/>
    <w:rsid w:val="00864FE0"/>
    <w:rsid w:val="00871AED"/>
    <w:rsid w:val="0087419E"/>
    <w:rsid w:val="0087609A"/>
    <w:rsid w:val="008903D7"/>
    <w:rsid w:val="00890C3C"/>
    <w:rsid w:val="00890DE7"/>
    <w:rsid w:val="008913E3"/>
    <w:rsid w:val="00893677"/>
    <w:rsid w:val="00894593"/>
    <w:rsid w:val="00895376"/>
    <w:rsid w:val="008958E0"/>
    <w:rsid w:val="008961ED"/>
    <w:rsid w:val="00897123"/>
    <w:rsid w:val="00897E0D"/>
    <w:rsid w:val="008A1F30"/>
    <w:rsid w:val="008A22A2"/>
    <w:rsid w:val="008A29B4"/>
    <w:rsid w:val="008A2AEA"/>
    <w:rsid w:val="008A3919"/>
    <w:rsid w:val="008A5516"/>
    <w:rsid w:val="008A5D5E"/>
    <w:rsid w:val="008B50EA"/>
    <w:rsid w:val="008B5197"/>
    <w:rsid w:val="008B5464"/>
    <w:rsid w:val="008B64B5"/>
    <w:rsid w:val="008C0890"/>
    <w:rsid w:val="008C1E93"/>
    <w:rsid w:val="008C3442"/>
    <w:rsid w:val="008C6ABA"/>
    <w:rsid w:val="008D1415"/>
    <w:rsid w:val="008E0045"/>
    <w:rsid w:val="008E20F8"/>
    <w:rsid w:val="008E4478"/>
    <w:rsid w:val="008E7EAC"/>
    <w:rsid w:val="008F03D5"/>
    <w:rsid w:val="008F4E72"/>
    <w:rsid w:val="008F6EA7"/>
    <w:rsid w:val="008F7763"/>
    <w:rsid w:val="008F7F5D"/>
    <w:rsid w:val="00900436"/>
    <w:rsid w:val="009022F0"/>
    <w:rsid w:val="00903313"/>
    <w:rsid w:val="0090341A"/>
    <w:rsid w:val="00904CC1"/>
    <w:rsid w:val="00907F62"/>
    <w:rsid w:val="00912287"/>
    <w:rsid w:val="00914245"/>
    <w:rsid w:val="00925074"/>
    <w:rsid w:val="00932A49"/>
    <w:rsid w:val="00933410"/>
    <w:rsid w:val="00934CB5"/>
    <w:rsid w:val="009364A0"/>
    <w:rsid w:val="0094387E"/>
    <w:rsid w:val="00955012"/>
    <w:rsid w:val="00957F87"/>
    <w:rsid w:val="009608A4"/>
    <w:rsid w:val="00963309"/>
    <w:rsid w:val="00966270"/>
    <w:rsid w:val="0096644E"/>
    <w:rsid w:val="009666A8"/>
    <w:rsid w:val="00970C4E"/>
    <w:rsid w:val="00972CB0"/>
    <w:rsid w:val="00974F72"/>
    <w:rsid w:val="00987132"/>
    <w:rsid w:val="009879B6"/>
    <w:rsid w:val="0099130F"/>
    <w:rsid w:val="0099256E"/>
    <w:rsid w:val="009A4323"/>
    <w:rsid w:val="009A4CE9"/>
    <w:rsid w:val="009B07FC"/>
    <w:rsid w:val="009C1966"/>
    <w:rsid w:val="009C1C43"/>
    <w:rsid w:val="009C2F41"/>
    <w:rsid w:val="009C365A"/>
    <w:rsid w:val="009C5009"/>
    <w:rsid w:val="009C5CE7"/>
    <w:rsid w:val="009C79DE"/>
    <w:rsid w:val="009D2FAD"/>
    <w:rsid w:val="009D73C3"/>
    <w:rsid w:val="009E570E"/>
    <w:rsid w:val="009E6148"/>
    <w:rsid w:val="009E6809"/>
    <w:rsid w:val="009E6AB0"/>
    <w:rsid w:val="009E6BE8"/>
    <w:rsid w:val="009E6BE9"/>
    <w:rsid w:val="009F17B0"/>
    <w:rsid w:val="009F3601"/>
    <w:rsid w:val="009F399D"/>
    <w:rsid w:val="009F3A6C"/>
    <w:rsid w:val="009F47A1"/>
    <w:rsid w:val="009F49BA"/>
    <w:rsid w:val="009F75B1"/>
    <w:rsid w:val="00A00668"/>
    <w:rsid w:val="00A0275C"/>
    <w:rsid w:val="00A04564"/>
    <w:rsid w:val="00A06FF8"/>
    <w:rsid w:val="00A077A7"/>
    <w:rsid w:val="00A10300"/>
    <w:rsid w:val="00A12E63"/>
    <w:rsid w:val="00A13716"/>
    <w:rsid w:val="00A143CB"/>
    <w:rsid w:val="00A161A9"/>
    <w:rsid w:val="00A17084"/>
    <w:rsid w:val="00A17633"/>
    <w:rsid w:val="00A23E55"/>
    <w:rsid w:val="00A31BB5"/>
    <w:rsid w:val="00A35A8F"/>
    <w:rsid w:val="00A35CA7"/>
    <w:rsid w:val="00A419D7"/>
    <w:rsid w:val="00A44C29"/>
    <w:rsid w:val="00A45795"/>
    <w:rsid w:val="00A47AAD"/>
    <w:rsid w:val="00A53A8B"/>
    <w:rsid w:val="00A54AE2"/>
    <w:rsid w:val="00A555B3"/>
    <w:rsid w:val="00A5680C"/>
    <w:rsid w:val="00A578D3"/>
    <w:rsid w:val="00A57DC6"/>
    <w:rsid w:val="00A57DE6"/>
    <w:rsid w:val="00A60F9C"/>
    <w:rsid w:val="00A622D0"/>
    <w:rsid w:val="00A66050"/>
    <w:rsid w:val="00A70926"/>
    <w:rsid w:val="00A723D1"/>
    <w:rsid w:val="00A735E1"/>
    <w:rsid w:val="00A753B7"/>
    <w:rsid w:val="00A75A0F"/>
    <w:rsid w:val="00A806A0"/>
    <w:rsid w:val="00A83119"/>
    <w:rsid w:val="00A8378E"/>
    <w:rsid w:val="00A865DE"/>
    <w:rsid w:val="00A8665E"/>
    <w:rsid w:val="00A9006F"/>
    <w:rsid w:val="00A93584"/>
    <w:rsid w:val="00A95149"/>
    <w:rsid w:val="00A977F1"/>
    <w:rsid w:val="00AA2038"/>
    <w:rsid w:val="00AA4B23"/>
    <w:rsid w:val="00AB10B2"/>
    <w:rsid w:val="00AB1DF8"/>
    <w:rsid w:val="00AB308E"/>
    <w:rsid w:val="00AB3C0D"/>
    <w:rsid w:val="00AB3E9C"/>
    <w:rsid w:val="00AB58D1"/>
    <w:rsid w:val="00AB61DC"/>
    <w:rsid w:val="00AB620D"/>
    <w:rsid w:val="00AC5805"/>
    <w:rsid w:val="00AC7380"/>
    <w:rsid w:val="00AD12D7"/>
    <w:rsid w:val="00AD21B4"/>
    <w:rsid w:val="00AE29F8"/>
    <w:rsid w:val="00AE7FC8"/>
    <w:rsid w:val="00AF195A"/>
    <w:rsid w:val="00AF1CEF"/>
    <w:rsid w:val="00AF2CC4"/>
    <w:rsid w:val="00AF3CB5"/>
    <w:rsid w:val="00AF54E8"/>
    <w:rsid w:val="00AF664D"/>
    <w:rsid w:val="00B003E7"/>
    <w:rsid w:val="00B02042"/>
    <w:rsid w:val="00B06384"/>
    <w:rsid w:val="00B14B09"/>
    <w:rsid w:val="00B1741E"/>
    <w:rsid w:val="00B174F9"/>
    <w:rsid w:val="00B17E48"/>
    <w:rsid w:val="00B2739D"/>
    <w:rsid w:val="00B30056"/>
    <w:rsid w:val="00B3299F"/>
    <w:rsid w:val="00B32EB3"/>
    <w:rsid w:val="00B36694"/>
    <w:rsid w:val="00B372E8"/>
    <w:rsid w:val="00B5265B"/>
    <w:rsid w:val="00B538B2"/>
    <w:rsid w:val="00B53ABE"/>
    <w:rsid w:val="00B54D29"/>
    <w:rsid w:val="00B559D5"/>
    <w:rsid w:val="00B56082"/>
    <w:rsid w:val="00B56A34"/>
    <w:rsid w:val="00B56F59"/>
    <w:rsid w:val="00B57411"/>
    <w:rsid w:val="00B6264F"/>
    <w:rsid w:val="00B6367F"/>
    <w:rsid w:val="00B65A32"/>
    <w:rsid w:val="00B65D0F"/>
    <w:rsid w:val="00B65EFE"/>
    <w:rsid w:val="00B67001"/>
    <w:rsid w:val="00B736E3"/>
    <w:rsid w:val="00B75EC1"/>
    <w:rsid w:val="00B77437"/>
    <w:rsid w:val="00B9060B"/>
    <w:rsid w:val="00B922E6"/>
    <w:rsid w:val="00B92452"/>
    <w:rsid w:val="00B92CFC"/>
    <w:rsid w:val="00B93138"/>
    <w:rsid w:val="00B9608B"/>
    <w:rsid w:val="00BA0EAF"/>
    <w:rsid w:val="00BA120F"/>
    <w:rsid w:val="00BA4E49"/>
    <w:rsid w:val="00BA5888"/>
    <w:rsid w:val="00BA594D"/>
    <w:rsid w:val="00BA6841"/>
    <w:rsid w:val="00BA7C4F"/>
    <w:rsid w:val="00BB27DE"/>
    <w:rsid w:val="00BB373B"/>
    <w:rsid w:val="00BB3EC6"/>
    <w:rsid w:val="00BB51ED"/>
    <w:rsid w:val="00BC2307"/>
    <w:rsid w:val="00BC4258"/>
    <w:rsid w:val="00BC523D"/>
    <w:rsid w:val="00BC7892"/>
    <w:rsid w:val="00BD0885"/>
    <w:rsid w:val="00BD0E34"/>
    <w:rsid w:val="00BD2A61"/>
    <w:rsid w:val="00BE0AFF"/>
    <w:rsid w:val="00BF6C9D"/>
    <w:rsid w:val="00BF7B00"/>
    <w:rsid w:val="00C0516D"/>
    <w:rsid w:val="00C11055"/>
    <w:rsid w:val="00C117F6"/>
    <w:rsid w:val="00C11C36"/>
    <w:rsid w:val="00C13A8C"/>
    <w:rsid w:val="00C13B25"/>
    <w:rsid w:val="00C13CE2"/>
    <w:rsid w:val="00C16EC3"/>
    <w:rsid w:val="00C20842"/>
    <w:rsid w:val="00C2118F"/>
    <w:rsid w:val="00C211DA"/>
    <w:rsid w:val="00C21954"/>
    <w:rsid w:val="00C21BDD"/>
    <w:rsid w:val="00C23295"/>
    <w:rsid w:val="00C26BF2"/>
    <w:rsid w:val="00C277D7"/>
    <w:rsid w:val="00C31184"/>
    <w:rsid w:val="00C31F13"/>
    <w:rsid w:val="00C336D9"/>
    <w:rsid w:val="00C35211"/>
    <w:rsid w:val="00C4209D"/>
    <w:rsid w:val="00C42782"/>
    <w:rsid w:val="00C4612C"/>
    <w:rsid w:val="00C47307"/>
    <w:rsid w:val="00C5322B"/>
    <w:rsid w:val="00C560D0"/>
    <w:rsid w:val="00C6642C"/>
    <w:rsid w:val="00C673CC"/>
    <w:rsid w:val="00C723AA"/>
    <w:rsid w:val="00C74476"/>
    <w:rsid w:val="00C773C6"/>
    <w:rsid w:val="00C77E02"/>
    <w:rsid w:val="00C8275F"/>
    <w:rsid w:val="00C82AA4"/>
    <w:rsid w:val="00C82D66"/>
    <w:rsid w:val="00C8736B"/>
    <w:rsid w:val="00C9348E"/>
    <w:rsid w:val="00CA363F"/>
    <w:rsid w:val="00CA58B9"/>
    <w:rsid w:val="00CA72D5"/>
    <w:rsid w:val="00CB0FB4"/>
    <w:rsid w:val="00CC0527"/>
    <w:rsid w:val="00CC1AC8"/>
    <w:rsid w:val="00CC3F96"/>
    <w:rsid w:val="00CC4B67"/>
    <w:rsid w:val="00CC6064"/>
    <w:rsid w:val="00CE3E45"/>
    <w:rsid w:val="00CE53B3"/>
    <w:rsid w:val="00CF7196"/>
    <w:rsid w:val="00D0199A"/>
    <w:rsid w:val="00D026BE"/>
    <w:rsid w:val="00D02AA1"/>
    <w:rsid w:val="00D02E60"/>
    <w:rsid w:val="00D03306"/>
    <w:rsid w:val="00D05E34"/>
    <w:rsid w:val="00D06B14"/>
    <w:rsid w:val="00D11C7E"/>
    <w:rsid w:val="00D12100"/>
    <w:rsid w:val="00D13286"/>
    <w:rsid w:val="00D13486"/>
    <w:rsid w:val="00D16562"/>
    <w:rsid w:val="00D16792"/>
    <w:rsid w:val="00D2042B"/>
    <w:rsid w:val="00D210F1"/>
    <w:rsid w:val="00D2255B"/>
    <w:rsid w:val="00D24545"/>
    <w:rsid w:val="00D31912"/>
    <w:rsid w:val="00D34387"/>
    <w:rsid w:val="00D34ADD"/>
    <w:rsid w:val="00D40751"/>
    <w:rsid w:val="00D40A17"/>
    <w:rsid w:val="00D42589"/>
    <w:rsid w:val="00D42D9D"/>
    <w:rsid w:val="00D447AB"/>
    <w:rsid w:val="00D44B66"/>
    <w:rsid w:val="00D47ED3"/>
    <w:rsid w:val="00D56706"/>
    <w:rsid w:val="00D63699"/>
    <w:rsid w:val="00D73824"/>
    <w:rsid w:val="00D749C3"/>
    <w:rsid w:val="00D74A2B"/>
    <w:rsid w:val="00D768F2"/>
    <w:rsid w:val="00D76D0D"/>
    <w:rsid w:val="00D778B9"/>
    <w:rsid w:val="00D808A5"/>
    <w:rsid w:val="00D828CE"/>
    <w:rsid w:val="00D836AA"/>
    <w:rsid w:val="00D86636"/>
    <w:rsid w:val="00D909E4"/>
    <w:rsid w:val="00D92D4D"/>
    <w:rsid w:val="00D94115"/>
    <w:rsid w:val="00D950C0"/>
    <w:rsid w:val="00D95763"/>
    <w:rsid w:val="00D95BC8"/>
    <w:rsid w:val="00D97C46"/>
    <w:rsid w:val="00DA102C"/>
    <w:rsid w:val="00DA33E7"/>
    <w:rsid w:val="00DA474F"/>
    <w:rsid w:val="00DA50B4"/>
    <w:rsid w:val="00DA6438"/>
    <w:rsid w:val="00DA6797"/>
    <w:rsid w:val="00DB05AB"/>
    <w:rsid w:val="00DB0908"/>
    <w:rsid w:val="00DB3392"/>
    <w:rsid w:val="00DB3FA9"/>
    <w:rsid w:val="00DB5FC6"/>
    <w:rsid w:val="00DC1496"/>
    <w:rsid w:val="00DC5AA2"/>
    <w:rsid w:val="00DC61F7"/>
    <w:rsid w:val="00DD11DB"/>
    <w:rsid w:val="00DD13EC"/>
    <w:rsid w:val="00DD365F"/>
    <w:rsid w:val="00DD6660"/>
    <w:rsid w:val="00DD7656"/>
    <w:rsid w:val="00DD77F1"/>
    <w:rsid w:val="00DE499E"/>
    <w:rsid w:val="00DE5E1A"/>
    <w:rsid w:val="00DF5E5B"/>
    <w:rsid w:val="00DF7731"/>
    <w:rsid w:val="00DF7DE3"/>
    <w:rsid w:val="00E0083F"/>
    <w:rsid w:val="00E02513"/>
    <w:rsid w:val="00E04EF3"/>
    <w:rsid w:val="00E067A7"/>
    <w:rsid w:val="00E07189"/>
    <w:rsid w:val="00E30D49"/>
    <w:rsid w:val="00E3400F"/>
    <w:rsid w:val="00E35992"/>
    <w:rsid w:val="00E37016"/>
    <w:rsid w:val="00E400ED"/>
    <w:rsid w:val="00E464E9"/>
    <w:rsid w:val="00E507E3"/>
    <w:rsid w:val="00E508C2"/>
    <w:rsid w:val="00E53F57"/>
    <w:rsid w:val="00E54001"/>
    <w:rsid w:val="00E5414D"/>
    <w:rsid w:val="00E543FE"/>
    <w:rsid w:val="00E55102"/>
    <w:rsid w:val="00E60AEF"/>
    <w:rsid w:val="00E60DFD"/>
    <w:rsid w:val="00E62578"/>
    <w:rsid w:val="00E626C9"/>
    <w:rsid w:val="00E7022B"/>
    <w:rsid w:val="00E72A99"/>
    <w:rsid w:val="00E74E1F"/>
    <w:rsid w:val="00E77157"/>
    <w:rsid w:val="00E77816"/>
    <w:rsid w:val="00E8032C"/>
    <w:rsid w:val="00E80FB7"/>
    <w:rsid w:val="00E83517"/>
    <w:rsid w:val="00E83C23"/>
    <w:rsid w:val="00E90D40"/>
    <w:rsid w:val="00E923B2"/>
    <w:rsid w:val="00E94C25"/>
    <w:rsid w:val="00E9529F"/>
    <w:rsid w:val="00E954C0"/>
    <w:rsid w:val="00E9663F"/>
    <w:rsid w:val="00E96763"/>
    <w:rsid w:val="00EA12A2"/>
    <w:rsid w:val="00EA2337"/>
    <w:rsid w:val="00EA4680"/>
    <w:rsid w:val="00EA5EF4"/>
    <w:rsid w:val="00EA62B3"/>
    <w:rsid w:val="00EA78A9"/>
    <w:rsid w:val="00EA7D2F"/>
    <w:rsid w:val="00EB0338"/>
    <w:rsid w:val="00EB0BF6"/>
    <w:rsid w:val="00EB0C55"/>
    <w:rsid w:val="00EB1021"/>
    <w:rsid w:val="00EB40D7"/>
    <w:rsid w:val="00EB621C"/>
    <w:rsid w:val="00EB65BA"/>
    <w:rsid w:val="00EB7A02"/>
    <w:rsid w:val="00EC1F44"/>
    <w:rsid w:val="00EC36C2"/>
    <w:rsid w:val="00EC3B56"/>
    <w:rsid w:val="00EC7B3C"/>
    <w:rsid w:val="00ED00F2"/>
    <w:rsid w:val="00ED1316"/>
    <w:rsid w:val="00EE0F76"/>
    <w:rsid w:val="00EE2819"/>
    <w:rsid w:val="00EE33BC"/>
    <w:rsid w:val="00EE3EB6"/>
    <w:rsid w:val="00EE4F08"/>
    <w:rsid w:val="00EE55CC"/>
    <w:rsid w:val="00EE5F05"/>
    <w:rsid w:val="00EE7D33"/>
    <w:rsid w:val="00EE7FC1"/>
    <w:rsid w:val="00EF082D"/>
    <w:rsid w:val="00EF60AD"/>
    <w:rsid w:val="00EF79DF"/>
    <w:rsid w:val="00F02C18"/>
    <w:rsid w:val="00F040D4"/>
    <w:rsid w:val="00F05D50"/>
    <w:rsid w:val="00F06520"/>
    <w:rsid w:val="00F10B64"/>
    <w:rsid w:val="00F1612A"/>
    <w:rsid w:val="00F17470"/>
    <w:rsid w:val="00F200EF"/>
    <w:rsid w:val="00F31597"/>
    <w:rsid w:val="00F32144"/>
    <w:rsid w:val="00F33C93"/>
    <w:rsid w:val="00F35534"/>
    <w:rsid w:val="00F3770E"/>
    <w:rsid w:val="00F409C9"/>
    <w:rsid w:val="00F440DF"/>
    <w:rsid w:val="00F447A4"/>
    <w:rsid w:val="00F4523E"/>
    <w:rsid w:val="00F4734A"/>
    <w:rsid w:val="00F5036F"/>
    <w:rsid w:val="00F53C6C"/>
    <w:rsid w:val="00F54AEB"/>
    <w:rsid w:val="00F66EBA"/>
    <w:rsid w:val="00F70AE8"/>
    <w:rsid w:val="00F710E3"/>
    <w:rsid w:val="00F7269D"/>
    <w:rsid w:val="00F76EDB"/>
    <w:rsid w:val="00F84487"/>
    <w:rsid w:val="00F849D8"/>
    <w:rsid w:val="00F90821"/>
    <w:rsid w:val="00F927D6"/>
    <w:rsid w:val="00F92C11"/>
    <w:rsid w:val="00F9367C"/>
    <w:rsid w:val="00F9390D"/>
    <w:rsid w:val="00F9741D"/>
    <w:rsid w:val="00FA16DE"/>
    <w:rsid w:val="00FA1F87"/>
    <w:rsid w:val="00FA59E9"/>
    <w:rsid w:val="00FA755C"/>
    <w:rsid w:val="00FB0161"/>
    <w:rsid w:val="00FB290C"/>
    <w:rsid w:val="00FB2FA8"/>
    <w:rsid w:val="00FB6384"/>
    <w:rsid w:val="00FC1F07"/>
    <w:rsid w:val="00FC2812"/>
    <w:rsid w:val="00FC3734"/>
    <w:rsid w:val="00FC3EE3"/>
    <w:rsid w:val="00FC46C3"/>
    <w:rsid w:val="00FC5FB3"/>
    <w:rsid w:val="00FC72AC"/>
    <w:rsid w:val="00FD09CA"/>
    <w:rsid w:val="00FD2752"/>
    <w:rsid w:val="00FD2D9B"/>
    <w:rsid w:val="00FD6688"/>
    <w:rsid w:val="00FD6719"/>
    <w:rsid w:val="00FD7EDF"/>
    <w:rsid w:val="00FE146B"/>
    <w:rsid w:val="00FE21D2"/>
    <w:rsid w:val="00FE2EF0"/>
    <w:rsid w:val="00FE5A20"/>
    <w:rsid w:val="00FF02CC"/>
    <w:rsid w:val="00FF06A7"/>
    <w:rsid w:val="00FF480B"/>
    <w:rsid w:val="00FF6E5B"/>
    <w:rsid w:val="284C7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uiPriority w:val="99"/>
    <w:rPr>
      <w:kern w:val="2"/>
      <w:sz w:val="18"/>
      <w:szCs w:val="18"/>
    </w:rPr>
  </w:style>
  <w:style w:type="character" w:customStyle="1" w:styleId="8">
    <w:name w:val="页脚 字符"/>
    <w:link w:val="3"/>
    <w:uiPriority w:val="99"/>
    <w:rPr>
      <w:kern w:val="2"/>
      <w:sz w:val="18"/>
      <w:szCs w:val="18"/>
    </w:rPr>
  </w:style>
  <w:style w:type="paragraph" w:customStyle="1" w:styleId="9">
    <w:name w:val="p0"/>
    <w:basedOn w:val="1"/>
    <w:uiPriority w:val="0"/>
    <w:pPr>
      <w:widowControl/>
    </w:pPr>
    <w:rPr>
      <w:rFonts w:ascii="Times New Roman" w:hAnsi="Times New Roman"/>
      <w:szCs w:val="21"/>
    </w:rPr>
  </w:style>
  <w:style w:type="paragraph" w:customStyle="1" w:styleId="10">
    <w:name w:val="Char"/>
    <w:basedOn w:val="1"/>
    <w:semiHidden/>
    <w:uiPriority w:val="0"/>
    <w:pPr>
      <w:widowControl/>
      <w:spacing w:after="160" w:line="240" w:lineRule="exact"/>
      <w:jc w:val="left"/>
    </w:pPr>
    <w:rPr>
      <w:rFonts w:ascii="Verdana" w:hAnsi="Verdana" w:eastAsia="仿宋_GB2312"/>
      <w:spacing w:val="20"/>
      <w:kern w:val="0"/>
      <w:sz w:val="20"/>
      <w:szCs w:val="20"/>
      <w:lang w:eastAsia="en-US"/>
    </w:rPr>
  </w:style>
  <w:style w:type="character" w:customStyle="1" w:styleId="11">
    <w:name w:val="批注框文本 字符"/>
    <w:link w:val="2"/>
    <w:semiHidden/>
    <w:uiPriority w:val="99"/>
    <w:rPr>
      <w:kern w:val="2"/>
      <w:sz w:val="18"/>
      <w:szCs w:val="18"/>
    </w:rPr>
  </w:style>
  <w:style w:type="paragraph" w:styleId="12">
    <w:name w:val="Quote"/>
    <w:basedOn w:val="1"/>
    <w:next w:val="1"/>
    <w:link w:val="1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
    <w:name w:val="引用 字符"/>
    <w:basedOn w:val="6"/>
    <w:link w:val="12"/>
    <w:uiPriority w:val="29"/>
    <w:rPr>
      <w:i/>
      <w:iCs/>
      <w:color w:val="404040" w:themeColor="text1" w:themeTint="BF"/>
      <w:kern w:val="2"/>
      <w:sz w:val="21"/>
      <w:szCs w:val="22"/>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8EF63-E286-4AEB-BED3-574D170D8EB7}">
  <ds:schemaRefs/>
</ds:datastoreItem>
</file>

<file path=docProps/app.xml><?xml version="1.0" encoding="utf-8"?>
<Properties xmlns="http://schemas.openxmlformats.org/officeDocument/2006/extended-properties" xmlns:vt="http://schemas.openxmlformats.org/officeDocument/2006/docPropsVTypes">
  <Template>Normal</Template>
  <Pages>15</Pages>
  <Words>6319</Words>
  <Characters>7417</Characters>
  <Lines>57</Lines>
  <Paragraphs>16</Paragraphs>
  <TotalTime>402</TotalTime>
  <ScaleCrop>false</ScaleCrop>
  <LinksUpToDate>false</LinksUpToDate>
  <CharactersWithSpaces>8051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2019-01-24T01:54:00Z</dcterms:created>
  <dc:creator>heechankim</dc:creator>
  <cp:lastModifiedBy>杨洋</cp:lastModifiedBy>
  <cp:lastPrinted>2020-04-14T01:50:00Z</cp:lastPrinted>
  <dcterms:modified xsi:type="dcterms:W3CDTF">2024-12-05T07:25:52Z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23A38861334E4197A9A9CB11BAFBDFD1_12</vt:lpwstr>
  </property>
</Properties>
</file>