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A8CA0">
      <w:pPr>
        <w:pStyle w:val="26"/>
        <w:keepNext w:val="0"/>
        <w:keepLines w:val="0"/>
        <w:pageBreakBefore w:val="0"/>
        <w:kinsoku/>
        <w:wordWrap/>
        <w:overflowPunct/>
        <w:topLinePunct w:val="0"/>
        <w:bidi w:val="0"/>
        <w:snapToGrid/>
        <w:spacing w:line="579" w:lineRule="exact"/>
        <w:textAlignment w:val="auto"/>
        <w:rPr>
          <w:rFonts w:ascii="宋体" w:hAnsi="宋体" w:cs="黑体"/>
          <w:b/>
          <w:i w:val="0"/>
          <w:iCs w:val="0"/>
          <w:color w:val="000000"/>
          <w:kern w:val="0"/>
          <w:sz w:val="44"/>
          <w:szCs w:val="44"/>
          <w:highlight w:val="none"/>
          <w:lang w:val="zh-CN"/>
        </w:rPr>
      </w:pPr>
      <w:r>
        <w:rPr>
          <w:rFonts w:hint="eastAsia" w:ascii="宋体" w:hAnsi="宋体" w:cs="黑体"/>
          <w:b/>
          <w:i w:val="0"/>
          <w:iCs w:val="0"/>
          <w:color w:val="000000"/>
          <w:kern w:val="0"/>
          <w:sz w:val="44"/>
          <w:szCs w:val="44"/>
          <w:highlight w:val="none"/>
          <w:lang w:val="zh-CN"/>
        </w:rPr>
        <w:t>沈阳市浑南区20</w:t>
      </w:r>
      <w:r>
        <w:rPr>
          <w:rFonts w:ascii="宋体" w:hAnsi="宋体" w:cs="黑体"/>
          <w:b/>
          <w:i w:val="0"/>
          <w:iCs w:val="0"/>
          <w:color w:val="000000"/>
          <w:kern w:val="0"/>
          <w:sz w:val="44"/>
          <w:szCs w:val="44"/>
          <w:highlight w:val="none"/>
          <w:lang w:val="zh-CN"/>
        </w:rPr>
        <w:t>2</w:t>
      </w:r>
      <w:r>
        <w:rPr>
          <w:rFonts w:hint="eastAsia" w:ascii="宋体" w:hAnsi="宋体" w:cs="黑体"/>
          <w:b/>
          <w:i w:val="0"/>
          <w:iCs w:val="0"/>
          <w:color w:val="000000"/>
          <w:kern w:val="0"/>
          <w:sz w:val="44"/>
          <w:szCs w:val="44"/>
          <w:highlight w:val="none"/>
          <w:lang w:val="en-US" w:eastAsia="zh-CN"/>
        </w:rPr>
        <w:t>4</w:t>
      </w:r>
      <w:r>
        <w:rPr>
          <w:rFonts w:hint="eastAsia" w:ascii="宋体" w:hAnsi="宋体" w:cs="黑体"/>
          <w:b/>
          <w:i w:val="0"/>
          <w:iCs w:val="0"/>
          <w:color w:val="000000"/>
          <w:kern w:val="0"/>
          <w:sz w:val="44"/>
          <w:szCs w:val="44"/>
          <w:highlight w:val="none"/>
          <w:lang w:val="zh-CN"/>
        </w:rPr>
        <w:t>年</w:t>
      </w:r>
    </w:p>
    <w:p w14:paraId="138E72B7">
      <w:pPr>
        <w:keepNext w:val="0"/>
        <w:keepLines w:val="0"/>
        <w:pageBreakBefore w:val="0"/>
        <w:kinsoku/>
        <w:wordWrap/>
        <w:overflowPunct/>
        <w:topLinePunct w:val="0"/>
        <w:autoSpaceDE w:val="0"/>
        <w:autoSpaceDN w:val="0"/>
        <w:bidi w:val="0"/>
        <w:adjustRightInd w:val="0"/>
        <w:snapToGrid/>
        <w:spacing w:line="579" w:lineRule="exact"/>
        <w:jc w:val="center"/>
        <w:textAlignment w:val="auto"/>
        <w:rPr>
          <w:rFonts w:ascii="楷体_GB2312" w:hAnsi="Times New Roman" w:eastAsia="楷体_GB2312"/>
          <w:b/>
          <w:bCs/>
          <w:color w:val="000000"/>
          <w:sz w:val="44"/>
          <w:szCs w:val="44"/>
          <w:highlight w:val="none"/>
        </w:rPr>
      </w:pPr>
      <w:r>
        <w:rPr>
          <w:rFonts w:hint="eastAsia" w:ascii="宋体" w:hAnsi="宋体" w:cs="黑体"/>
          <w:b/>
          <w:color w:val="000000"/>
          <w:kern w:val="0"/>
          <w:sz w:val="44"/>
          <w:szCs w:val="44"/>
          <w:highlight w:val="none"/>
          <w:lang w:val="zh-CN"/>
        </w:rPr>
        <w:t>国民经济和社会发展</w:t>
      </w:r>
      <w:r>
        <w:rPr>
          <w:rFonts w:hint="eastAsia" w:ascii="宋体" w:hAnsi="宋体" w:cs="黑体"/>
          <w:b/>
          <w:color w:val="000000"/>
          <w:sz w:val="44"/>
          <w:szCs w:val="44"/>
          <w:highlight w:val="none"/>
          <w:lang w:val="zh-CN"/>
        </w:rPr>
        <w:t>统计公报</w:t>
      </w:r>
    </w:p>
    <w:p w14:paraId="53096718">
      <w:pPr>
        <w:keepNext w:val="0"/>
        <w:keepLines w:val="0"/>
        <w:pageBreakBefore w:val="0"/>
        <w:kinsoku/>
        <w:wordWrap/>
        <w:overflowPunct/>
        <w:topLinePunct w:val="0"/>
        <w:autoSpaceDE w:val="0"/>
        <w:autoSpaceDN w:val="0"/>
        <w:bidi w:val="0"/>
        <w:adjustRightInd w:val="0"/>
        <w:snapToGrid/>
        <w:spacing w:line="579" w:lineRule="exact"/>
        <w:ind w:firstLine="584"/>
        <w:textAlignment w:val="auto"/>
        <w:rPr>
          <w:rFonts w:ascii="楷体" w:hAnsi="楷体" w:eastAsia="楷体" w:cs="宋体"/>
          <w:color w:val="000000"/>
          <w:spacing w:val="6"/>
          <w:kern w:val="0"/>
          <w:sz w:val="32"/>
          <w:szCs w:val="32"/>
          <w:highlight w:val="none"/>
          <w:lang w:val="zh-CN"/>
        </w:rPr>
      </w:pPr>
    </w:p>
    <w:p w14:paraId="7416FF11">
      <w:pPr>
        <w:keepNext w:val="0"/>
        <w:keepLines w:val="0"/>
        <w:pageBreakBefore w:val="0"/>
        <w:kinsoku/>
        <w:wordWrap/>
        <w:overflowPunct/>
        <w:topLinePunct w:val="0"/>
        <w:autoSpaceDE w:val="0"/>
        <w:autoSpaceDN w:val="0"/>
        <w:bidi w:val="0"/>
        <w:adjustRightInd w:val="0"/>
        <w:snapToGrid/>
        <w:spacing w:line="560" w:lineRule="exact"/>
        <w:ind w:firstLine="664" w:firstLineChars="200"/>
        <w:textAlignment w:val="auto"/>
        <w:rPr>
          <w:rFonts w:hint="eastAsia" w:ascii="楷体" w:hAnsi="楷体" w:eastAsia="楷体" w:cs="宋体"/>
          <w:spacing w:val="6"/>
          <w:kern w:val="0"/>
          <w:sz w:val="32"/>
          <w:szCs w:val="32"/>
          <w:highlight w:val="none"/>
        </w:rPr>
      </w:pPr>
      <w:r>
        <w:rPr>
          <w:rFonts w:hint="eastAsia" w:ascii="楷体" w:hAnsi="楷体" w:eastAsia="楷体" w:cs="宋体"/>
          <w:spacing w:val="6"/>
          <w:kern w:val="0"/>
          <w:sz w:val="32"/>
          <w:szCs w:val="32"/>
          <w:highlight w:val="none"/>
          <w:lang w:val="zh-CN"/>
        </w:rPr>
        <w:t>202</w:t>
      </w:r>
      <w:r>
        <w:rPr>
          <w:rFonts w:hint="eastAsia" w:ascii="楷体" w:hAnsi="楷体" w:eastAsia="楷体" w:cs="宋体"/>
          <w:spacing w:val="6"/>
          <w:kern w:val="0"/>
          <w:sz w:val="32"/>
          <w:szCs w:val="32"/>
          <w:highlight w:val="none"/>
          <w:lang w:val="en-US" w:eastAsia="zh-CN"/>
        </w:rPr>
        <w:t>4</w:t>
      </w:r>
      <w:r>
        <w:rPr>
          <w:rFonts w:hint="eastAsia" w:ascii="楷体" w:hAnsi="楷体" w:eastAsia="楷体" w:cs="宋体"/>
          <w:spacing w:val="6"/>
          <w:kern w:val="0"/>
          <w:sz w:val="32"/>
          <w:szCs w:val="32"/>
          <w:highlight w:val="none"/>
          <w:lang w:val="zh-CN"/>
        </w:rPr>
        <w:t>年，在区委、区政府的坚强领导下</w:t>
      </w:r>
      <w:r>
        <w:rPr>
          <w:rFonts w:hint="eastAsia" w:ascii="楷体" w:hAnsi="楷体" w:eastAsia="楷体" w:cs="宋体"/>
          <w:spacing w:val="6"/>
          <w:kern w:val="0"/>
          <w:sz w:val="32"/>
          <w:szCs w:val="32"/>
          <w:highlight w:val="none"/>
        </w:rPr>
        <w:t>，</w:t>
      </w:r>
      <w:r>
        <w:rPr>
          <w:rFonts w:hint="eastAsia" w:ascii="楷体" w:hAnsi="楷体" w:eastAsia="楷体" w:cs="宋体"/>
          <w:spacing w:val="6"/>
          <w:kern w:val="0"/>
          <w:sz w:val="32"/>
          <w:szCs w:val="32"/>
          <w:highlight w:val="none"/>
          <w:lang w:val="en-US" w:eastAsia="zh-CN"/>
        </w:rPr>
        <w:t>浑南区</w:t>
      </w:r>
      <w:r>
        <w:rPr>
          <w:rFonts w:hint="eastAsia" w:ascii="楷体" w:hAnsi="楷体" w:eastAsia="楷体" w:cs="宋体"/>
          <w:spacing w:val="6"/>
          <w:kern w:val="0"/>
          <w:sz w:val="32"/>
          <w:szCs w:val="32"/>
          <w:highlight w:val="none"/>
          <w:lang w:val="zh-CN"/>
        </w:rPr>
        <w:t>坚持以习近平新时代中国特色社会主义思想为指导，全面学习贯彻党的二十大和二十届二中、三中全会精神，深入落实习近平总书记关于东北、辽宁振兴发展的重要讲话和指示批示精神，扎实开展全面振兴新突破三年行动和“振兴新突破、我要当先锋”专项行动，</w:t>
      </w:r>
      <w:r>
        <w:rPr>
          <w:rFonts w:hint="eastAsia" w:ascii="楷体" w:hAnsi="楷体" w:eastAsia="楷体" w:cs="宋体"/>
          <w:spacing w:val="6"/>
          <w:kern w:val="0"/>
          <w:sz w:val="32"/>
          <w:szCs w:val="32"/>
          <w:highlight w:val="none"/>
          <w:lang w:val="en-US" w:eastAsia="zh-CN"/>
        </w:rPr>
        <w:t>经济运行态势良好，</w:t>
      </w:r>
      <w:r>
        <w:rPr>
          <w:rFonts w:hint="eastAsia" w:ascii="楷体" w:hAnsi="楷体" w:eastAsia="楷体" w:cs="宋体"/>
          <w:spacing w:val="6"/>
          <w:kern w:val="0"/>
          <w:sz w:val="32"/>
          <w:szCs w:val="32"/>
          <w:highlight w:val="none"/>
          <w:lang w:val="zh-CN"/>
        </w:rPr>
        <w:t>城市能级、科技创新、现代产业、民生改善等多条赛道领跑全市，连续三年成为东北唯一全国百强新城区。</w:t>
      </w:r>
    </w:p>
    <w:p w14:paraId="47871336">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64" w:firstLineChars="200"/>
        <w:textAlignment w:val="auto"/>
        <w:rPr>
          <w:rFonts w:hint="eastAsia" w:ascii="黑体" w:hAnsi="黑体" w:eastAsia="黑体" w:cs="黑体"/>
          <w:spacing w:val="6"/>
          <w:kern w:val="0"/>
          <w:sz w:val="32"/>
          <w:szCs w:val="32"/>
          <w:highlight w:val="none"/>
          <w:lang w:val="en-US" w:eastAsia="zh-CN"/>
        </w:rPr>
      </w:pPr>
      <w:r>
        <w:rPr>
          <w:rFonts w:hint="eastAsia" w:ascii="黑体" w:hAnsi="黑体" w:eastAsia="黑体" w:cs="黑体"/>
          <w:spacing w:val="6"/>
          <w:kern w:val="0"/>
          <w:sz w:val="32"/>
          <w:szCs w:val="32"/>
          <w:lang w:val="en-US" w:eastAsia="zh-CN" w:bidi="ar-SA"/>
        </w:rPr>
        <w:t>一、</w:t>
      </w:r>
      <w:r>
        <w:rPr>
          <w:rFonts w:hint="eastAsia" w:ascii="黑体" w:hAnsi="黑体" w:eastAsia="黑体" w:cs="黑体"/>
          <w:spacing w:val="6"/>
          <w:kern w:val="0"/>
          <w:sz w:val="32"/>
          <w:szCs w:val="32"/>
          <w:highlight w:val="none"/>
          <w:lang w:val="en-US" w:eastAsia="zh-CN"/>
        </w:rPr>
        <w:t>综合</w:t>
      </w:r>
    </w:p>
    <w:p w14:paraId="1D76BFA7">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64" w:firstLineChars="200"/>
        <w:textAlignment w:val="auto"/>
        <w:rPr>
          <w:rFonts w:hint="eastAsia" w:ascii="楷体" w:hAnsi="楷体" w:eastAsia="楷体" w:cs="宋体"/>
          <w:spacing w:val="6"/>
          <w:kern w:val="0"/>
          <w:sz w:val="32"/>
          <w:szCs w:val="32"/>
          <w:highlight w:val="none"/>
          <w:lang w:val="en-US" w:eastAsia="zh-CN"/>
        </w:rPr>
      </w:pPr>
      <w:r>
        <w:rPr>
          <w:rFonts w:hint="eastAsia" w:ascii="楷体" w:hAnsi="楷体" w:eastAsia="楷体" w:cs="宋体"/>
          <w:spacing w:val="6"/>
          <w:kern w:val="0"/>
          <w:sz w:val="32"/>
          <w:szCs w:val="32"/>
          <w:highlight w:val="none"/>
          <w:lang w:val="en-US" w:eastAsia="zh-CN"/>
        </w:rPr>
        <w:t>初步核算，2024年地区生产总值（GDP）</w:t>
      </w:r>
      <w:r>
        <w:rPr>
          <w:rFonts w:hint="eastAsia" w:ascii="楷体" w:hAnsi="楷体" w:eastAsia="楷体" w:cs="宋体"/>
          <w:spacing w:val="6"/>
          <w:kern w:val="0"/>
          <w:sz w:val="32"/>
          <w:szCs w:val="32"/>
          <w:highlight w:val="none"/>
          <w:vertAlign w:val="superscript"/>
          <w:lang w:val="en-US" w:eastAsia="zh-CN"/>
        </w:rPr>
        <w:fldChar w:fldCharType="begin"/>
      </w:r>
      <w:r>
        <w:rPr>
          <w:rFonts w:hint="eastAsia" w:ascii="楷体" w:hAnsi="楷体" w:eastAsia="楷体" w:cs="宋体"/>
          <w:spacing w:val="6"/>
          <w:kern w:val="0"/>
          <w:sz w:val="32"/>
          <w:szCs w:val="32"/>
          <w:highlight w:val="none"/>
          <w:vertAlign w:val="superscript"/>
          <w:lang w:val="en-US" w:eastAsia="zh-CN"/>
        </w:rPr>
        <w:instrText xml:space="preserve"> REF _Ref18228 \r \h </w:instrText>
      </w:r>
      <w:r>
        <w:rPr>
          <w:rFonts w:hint="eastAsia" w:ascii="楷体" w:hAnsi="楷体" w:eastAsia="楷体" w:cs="宋体"/>
          <w:spacing w:val="6"/>
          <w:kern w:val="0"/>
          <w:sz w:val="32"/>
          <w:szCs w:val="32"/>
          <w:highlight w:val="none"/>
          <w:vertAlign w:val="superscript"/>
          <w:lang w:val="en-US" w:eastAsia="zh-CN"/>
        </w:rPr>
        <w:fldChar w:fldCharType="separate"/>
      </w:r>
      <w:r>
        <w:rPr>
          <w:rFonts w:hint="eastAsia" w:ascii="楷体" w:hAnsi="楷体" w:eastAsia="楷体" w:cs="宋体"/>
          <w:spacing w:val="6"/>
          <w:kern w:val="0"/>
          <w:sz w:val="32"/>
          <w:szCs w:val="32"/>
          <w:highlight w:val="none"/>
          <w:vertAlign w:val="superscript"/>
          <w:lang w:val="en-US" w:eastAsia="zh-CN"/>
        </w:rPr>
        <w:t>[1]</w:t>
      </w:r>
      <w:r>
        <w:rPr>
          <w:rFonts w:hint="eastAsia" w:ascii="楷体" w:hAnsi="楷体" w:eastAsia="楷体" w:cs="宋体"/>
          <w:spacing w:val="6"/>
          <w:kern w:val="0"/>
          <w:sz w:val="32"/>
          <w:szCs w:val="32"/>
          <w:highlight w:val="none"/>
          <w:vertAlign w:val="superscript"/>
          <w:lang w:val="en-US" w:eastAsia="zh-CN"/>
        </w:rPr>
        <w:fldChar w:fldCharType="end"/>
      </w:r>
      <w:r>
        <w:rPr>
          <w:rFonts w:hint="eastAsia" w:ascii="楷体" w:hAnsi="楷体" w:eastAsia="楷体" w:cs="宋体"/>
          <w:spacing w:val="6"/>
          <w:kern w:val="0"/>
          <w:sz w:val="32"/>
          <w:szCs w:val="32"/>
          <w:highlight w:val="none"/>
          <w:lang w:val="en-US" w:eastAsia="zh-CN"/>
        </w:rPr>
        <w:t>1123.0亿元，比上年增长7.2%。其中，第一产业增加值</w:t>
      </w:r>
      <w:r>
        <w:rPr>
          <w:rFonts w:hint="eastAsia" w:ascii="楷体" w:hAnsi="楷体" w:eastAsia="楷体" w:cs="宋体"/>
          <w:spacing w:val="6"/>
          <w:kern w:val="0"/>
          <w:sz w:val="32"/>
          <w:szCs w:val="32"/>
          <w:highlight w:val="none"/>
          <w:vertAlign w:val="superscript"/>
          <w:lang w:val="en-US" w:eastAsia="zh-CN"/>
        </w:rPr>
        <w:fldChar w:fldCharType="begin"/>
      </w:r>
      <w:r>
        <w:rPr>
          <w:rFonts w:hint="eastAsia" w:ascii="楷体" w:hAnsi="楷体" w:eastAsia="楷体" w:cs="宋体"/>
          <w:spacing w:val="6"/>
          <w:kern w:val="0"/>
          <w:sz w:val="32"/>
          <w:szCs w:val="32"/>
          <w:highlight w:val="none"/>
          <w:vertAlign w:val="superscript"/>
          <w:lang w:val="en-US" w:eastAsia="zh-CN"/>
        </w:rPr>
        <w:instrText xml:space="preserve"> REF _Ref18369 \r \h </w:instrText>
      </w:r>
      <w:r>
        <w:rPr>
          <w:rFonts w:hint="eastAsia" w:ascii="楷体" w:hAnsi="楷体" w:eastAsia="楷体" w:cs="宋体"/>
          <w:spacing w:val="6"/>
          <w:kern w:val="0"/>
          <w:sz w:val="32"/>
          <w:szCs w:val="32"/>
          <w:highlight w:val="none"/>
          <w:vertAlign w:val="superscript"/>
          <w:lang w:val="en-US" w:eastAsia="zh-CN"/>
        </w:rPr>
        <w:fldChar w:fldCharType="separate"/>
      </w:r>
      <w:r>
        <w:rPr>
          <w:rFonts w:hint="eastAsia" w:ascii="楷体" w:hAnsi="楷体" w:eastAsia="楷体" w:cs="宋体"/>
          <w:spacing w:val="6"/>
          <w:kern w:val="0"/>
          <w:sz w:val="32"/>
          <w:szCs w:val="32"/>
          <w:highlight w:val="none"/>
          <w:vertAlign w:val="superscript"/>
          <w:lang w:val="en-US" w:eastAsia="zh-CN"/>
        </w:rPr>
        <w:t>[2]</w:t>
      </w:r>
      <w:r>
        <w:rPr>
          <w:rFonts w:hint="eastAsia" w:ascii="楷体" w:hAnsi="楷体" w:eastAsia="楷体" w:cs="宋体"/>
          <w:spacing w:val="6"/>
          <w:kern w:val="0"/>
          <w:sz w:val="32"/>
          <w:szCs w:val="32"/>
          <w:highlight w:val="none"/>
          <w:vertAlign w:val="superscript"/>
          <w:lang w:val="en-US" w:eastAsia="zh-CN"/>
        </w:rPr>
        <w:fldChar w:fldCharType="end"/>
      </w:r>
      <w:r>
        <w:rPr>
          <w:rFonts w:hint="eastAsia" w:ascii="楷体" w:hAnsi="楷体" w:eastAsia="楷体" w:cs="宋体"/>
          <w:spacing w:val="6"/>
          <w:kern w:val="0"/>
          <w:sz w:val="32"/>
          <w:szCs w:val="32"/>
          <w:highlight w:val="none"/>
          <w:lang w:val="en-US" w:eastAsia="zh-CN"/>
        </w:rPr>
        <w:t>6.3亿元，比上年增长0.4%；第二产业增加值391.1亿元，比上年增长13.5%；第三产业增加值725.6亿元，比上年增长4.6%。三次产业增加值占我区地区生产总值的比重分别为0.6%、34.8%、64.6%。第一产业贡献率为0.1%、第二产业贡献率为55.3%、第三产业贡献率为44.6%。</w:t>
      </w:r>
    </w:p>
    <w:p w14:paraId="102670D9">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64" w:firstLineChars="200"/>
        <w:textAlignment w:val="auto"/>
        <w:rPr>
          <w:rFonts w:hint="default" w:ascii="楷体" w:hAnsi="楷体" w:eastAsia="楷体" w:cs="宋体"/>
          <w:spacing w:val="6"/>
          <w:kern w:val="0"/>
          <w:sz w:val="32"/>
          <w:szCs w:val="32"/>
          <w:highlight w:val="none"/>
          <w:lang w:val="en-US" w:eastAsia="zh-CN"/>
        </w:rPr>
      </w:pPr>
      <w:r>
        <w:rPr>
          <w:rFonts w:hint="eastAsia" w:ascii="楷体" w:hAnsi="楷体" w:eastAsia="楷体" w:cs="宋体"/>
          <w:spacing w:val="6"/>
          <w:kern w:val="0"/>
          <w:sz w:val="32"/>
          <w:szCs w:val="32"/>
          <w:highlight w:val="none"/>
          <w:lang w:val="en-US" w:eastAsia="zh-CN"/>
        </w:rPr>
        <w:t>根据我国国民经济核算制度和第五次全国经济普查结果，2023年浑南区地区生产总值修订为1040.4亿元，比快报数714.1亿元上调了326.3亿元，总量在全市各县区排名第5，成功迈进千亿GDP县区行列。</w:t>
      </w:r>
    </w:p>
    <w:p w14:paraId="53B5CAC3">
      <w:pPr>
        <w:keepNext w:val="0"/>
        <w:keepLines w:val="0"/>
        <w:pageBreakBefore w:val="0"/>
        <w:kinsoku/>
        <w:wordWrap/>
        <w:overflowPunct/>
        <w:topLinePunct w:val="0"/>
        <w:autoSpaceDE w:val="0"/>
        <w:autoSpaceDN w:val="0"/>
        <w:bidi w:val="0"/>
        <w:adjustRightInd w:val="0"/>
        <w:snapToGrid/>
        <w:spacing w:line="560" w:lineRule="exact"/>
        <w:ind w:firstLine="664" w:firstLineChars="200"/>
        <w:textAlignment w:val="auto"/>
        <w:rPr>
          <w:rFonts w:ascii="黑体" w:hAnsi="黑体" w:eastAsia="黑体"/>
          <w:b w:val="0"/>
          <w:bCs w:val="0"/>
          <w:spacing w:val="6"/>
          <w:kern w:val="0"/>
          <w:sz w:val="32"/>
          <w:szCs w:val="32"/>
          <w:highlight w:val="none"/>
        </w:rPr>
      </w:pPr>
      <w:r>
        <w:rPr>
          <w:rFonts w:hint="eastAsia" w:ascii="黑体" w:hAnsi="黑体" w:eastAsia="黑体" w:cs="黑体"/>
          <w:b w:val="0"/>
          <w:bCs w:val="0"/>
          <w:spacing w:val="6"/>
          <w:kern w:val="0"/>
          <w:sz w:val="32"/>
          <w:szCs w:val="32"/>
          <w:highlight w:val="none"/>
          <w:lang w:val="en-US" w:eastAsia="zh-CN"/>
        </w:rPr>
        <w:t>二</w:t>
      </w:r>
      <w:r>
        <w:rPr>
          <w:rFonts w:hint="eastAsia" w:ascii="黑体" w:hAnsi="黑体" w:eastAsia="黑体" w:cs="黑体"/>
          <w:b w:val="0"/>
          <w:bCs w:val="0"/>
          <w:spacing w:val="6"/>
          <w:kern w:val="0"/>
          <w:sz w:val="32"/>
          <w:szCs w:val="32"/>
          <w:highlight w:val="none"/>
          <w:lang w:val="zh-CN"/>
        </w:rPr>
        <w:t>、一产业</w:t>
      </w:r>
    </w:p>
    <w:p w14:paraId="40C4E4A6">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楷体" w:hAnsi="楷体" w:eastAsia="楷体" w:cs="宋体"/>
          <w:sz w:val="32"/>
          <w:szCs w:val="32"/>
          <w:highlight w:val="none"/>
        </w:rPr>
      </w:pPr>
      <w:r>
        <w:rPr>
          <w:rFonts w:hint="eastAsia" w:ascii="楷体" w:hAnsi="楷体" w:eastAsia="楷体" w:cs="宋体"/>
          <w:sz w:val="32"/>
          <w:szCs w:val="32"/>
          <w:highlight w:val="none"/>
        </w:rPr>
        <w:t>20</w:t>
      </w:r>
      <w:r>
        <w:rPr>
          <w:rFonts w:ascii="楷体" w:hAnsi="楷体" w:eastAsia="楷体" w:cs="宋体"/>
          <w:sz w:val="32"/>
          <w:szCs w:val="32"/>
          <w:highlight w:val="none"/>
        </w:rPr>
        <w:t>2</w:t>
      </w:r>
      <w:r>
        <w:rPr>
          <w:rFonts w:hint="eastAsia" w:ascii="楷体" w:hAnsi="楷体" w:eastAsia="楷体" w:cs="宋体"/>
          <w:sz w:val="32"/>
          <w:szCs w:val="32"/>
          <w:highlight w:val="none"/>
          <w:lang w:val="en-US" w:eastAsia="zh-CN"/>
        </w:rPr>
        <w:t>4</w:t>
      </w:r>
      <w:r>
        <w:rPr>
          <w:rFonts w:hint="eastAsia" w:ascii="楷体" w:hAnsi="楷体" w:eastAsia="楷体" w:cs="宋体"/>
          <w:sz w:val="32"/>
          <w:szCs w:val="32"/>
          <w:highlight w:val="none"/>
        </w:rPr>
        <w:t>年，</w:t>
      </w:r>
      <w:r>
        <w:rPr>
          <w:rFonts w:ascii="楷体" w:hAnsi="楷体" w:eastAsia="楷体" w:cs="宋体"/>
          <w:sz w:val="32"/>
          <w:szCs w:val="32"/>
          <w:highlight w:val="none"/>
        </w:rPr>
        <w:t>农</w:t>
      </w:r>
      <w:r>
        <w:rPr>
          <w:rFonts w:hint="eastAsia" w:ascii="楷体" w:hAnsi="楷体" w:eastAsia="楷体" w:cs="宋体"/>
          <w:sz w:val="32"/>
          <w:szCs w:val="32"/>
          <w:highlight w:val="none"/>
        </w:rPr>
        <w:t>林牧渔业</w:t>
      </w:r>
      <w:r>
        <w:rPr>
          <w:rFonts w:ascii="楷体" w:hAnsi="楷体" w:eastAsia="楷体" w:cs="宋体"/>
          <w:sz w:val="32"/>
          <w:szCs w:val="32"/>
          <w:highlight w:val="none"/>
        </w:rPr>
        <w:t>总产值实现</w:t>
      </w:r>
      <w:r>
        <w:rPr>
          <w:rFonts w:hint="eastAsia" w:ascii="楷体" w:hAnsi="楷体" w:eastAsia="楷体" w:cs="宋体"/>
          <w:sz w:val="32"/>
          <w:szCs w:val="32"/>
          <w:highlight w:val="none"/>
          <w:lang w:val="en-US" w:eastAsia="zh-CN"/>
        </w:rPr>
        <w:t>12.6</w:t>
      </w:r>
      <w:r>
        <w:rPr>
          <w:rFonts w:ascii="楷体" w:hAnsi="楷体" w:eastAsia="楷体" w:cs="宋体"/>
          <w:sz w:val="32"/>
          <w:szCs w:val="32"/>
          <w:highlight w:val="none"/>
        </w:rPr>
        <w:t>亿元,比上年</w:t>
      </w:r>
      <w:r>
        <w:rPr>
          <w:rFonts w:hint="eastAsia" w:ascii="楷体" w:hAnsi="楷体" w:eastAsia="楷体" w:cs="宋体"/>
          <w:sz w:val="32"/>
          <w:szCs w:val="32"/>
          <w:highlight w:val="none"/>
          <w:lang w:val="en-US" w:eastAsia="zh-CN"/>
        </w:rPr>
        <w:t>下降5.8</w:t>
      </w:r>
      <w:r>
        <w:rPr>
          <w:rFonts w:hint="eastAsia" w:ascii="楷体" w:hAnsi="楷体" w:eastAsia="楷体" w:cs="宋体"/>
          <w:sz w:val="32"/>
          <w:szCs w:val="32"/>
          <w:highlight w:val="none"/>
        </w:rPr>
        <w:t>%</w:t>
      </w:r>
      <w:r>
        <w:rPr>
          <w:rFonts w:ascii="楷体" w:hAnsi="楷体" w:eastAsia="楷体" w:cs="宋体"/>
          <w:sz w:val="32"/>
          <w:szCs w:val="32"/>
          <w:highlight w:val="none"/>
        </w:rPr>
        <w:t>；实现粮食总产量</w:t>
      </w:r>
      <w:r>
        <w:rPr>
          <w:rFonts w:hint="eastAsia" w:ascii="楷体" w:hAnsi="楷体" w:eastAsia="楷体" w:cs="宋体"/>
          <w:sz w:val="32"/>
          <w:szCs w:val="32"/>
          <w:highlight w:val="none"/>
          <w:lang w:val="en-US" w:eastAsia="zh-CN"/>
        </w:rPr>
        <w:t>19.2</w:t>
      </w:r>
      <w:r>
        <w:rPr>
          <w:rFonts w:hint="eastAsia" w:ascii="楷体" w:hAnsi="楷体" w:eastAsia="楷体" w:cs="宋体"/>
          <w:sz w:val="32"/>
          <w:szCs w:val="32"/>
          <w:highlight w:val="none"/>
        </w:rPr>
        <w:t>万</w:t>
      </w:r>
      <w:r>
        <w:rPr>
          <w:rFonts w:ascii="楷体" w:hAnsi="楷体" w:eastAsia="楷体" w:cs="宋体"/>
          <w:sz w:val="32"/>
          <w:szCs w:val="32"/>
          <w:highlight w:val="none"/>
        </w:rPr>
        <w:t>吨，比上年</w:t>
      </w:r>
      <w:r>
        <w:rPr>
          <w:rFonts w:hint="eastAsia" w:ascii="楷体" w:hAnsi="楷体" w:eastAsia="楷体" w:cs="宋体"/>
          <w:sz w:val="32"/>
          <w:szCs w:val="32"/>
          <w:highlight w:val="none"/>
          <w:lang w:val="en-US" w:eastAsia="zh-CN"/>
        </w:rPr>
        <w:t>下降8.4</w:t>
      </w:r>
      <w:r>
        <w:rPr>
          <w:rFonts w:hint="eastAsia" w:ascii="楷体" w:hAnsi="楷体" w:eastAsia="楷体" w:cs="宋体"/>
          <w:sz w:val="32"/>
          <w:szCs w:val="32"/>
          <w:highlight w:val="none"/>
        </w:rPr>
        <w:t>%。</w:t>
      </w:r>
    </w:p>
    <w:p w14:paraId="7B73065C">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sz w:val="32"/>
          <w:szCs w:val="32"/>
          <w:highlight w:val="none"/>
          <w:lang w:eastAsia="zh-CN"/>
        </w:rPr>
      </w:pPr>
      <w:r>
        <w:rPr>
          <w:rFonts w:ascii="楷体" w:hAnsi="楷体" w:eastAsia="楷体" w:cs="宋体"/>
          <w:sz w:val="32"/>
          <w:szCs w:val="32"/>
          <w:highlight w:val="none"/>
        </w:rPr>
        <w:t>全区农作物播种面积</w:t>
      </w:r>
      <w:r>
        <w:rPr>
          <w:rFonts w:hint="eastAsia" w:ascii="楷体" w:hAnsi="楷体" w:eastAsia="楷体" w:cs="宋体"/>
          <w:sz w:val="32"/>
          <w:szCs w:val="32"/>
          <w:highlight w:val="none"/>
          <w:lang w:val="en-US" w:eastAsia="zh-CN"/>
        </w:rPr>
        <w:t>23.3千</w:t>
      </w:r>
      <w:r>
        <w:rPr>
          <w:rFonts w:ascii="楷体" w:hAnsi="楷体" w:eastAsia="楷体" w:cs="宋体"/>
          <w:sz w:val="32"/>
          <w:szCs w:val="32"/>
          <w:highlight w:val="none"/>
        </w:rPr>
        <w:t>公顷，比上年</w:t>
      </w:r>
      <w:r>
        <w:rPr>
          <w:rFonts w:hint="eastAsia" w:ascii="楷体" w:hAnsi="楷体" w:eastAsia="楷体" w:cs="宋体"/>
          <w:sz w:val="32"/>
          <w:szCs w:val="32"/>
          <w:highlight w:val="none"/>
          <w:lang w:val="en-US" w:eastAsia="zh-CN"/>
        </w:rPr>
        <w:t>增长0.1</w:t>
      </w:r>
      <w:r>
        <w:rPr>
          <w:rFonts w:hint="eastAsia" w:ascii="楷体" w:hAnsi="楷体" w:eastAsia="楷体" w:cs="宋体"/>
          <w:sz w:val="32"/>
          <w:szCs w:val="32"/>
          <w:highlight w:val="none"/>
        </w:rPr>
        <w:t>%</w:t>
      </w:r>
      <w:r>
        <w:rPr>
          <w:rFonts w:ascii="楷体" w:hAnsi="楷体" w:eastAsia="楷体" w:cs="宋体"/>
          <w:sz w:val="32"/>
          <w:szCs w:val="32"/>
          <w:highlight w:val="none"/>
        </w:rPr>
        <w:t>，其中粮食作物播种面积</w:t>
      </w:r>
      <w:r>
        <w:rPr>
          <w:rFonts w:hint="eastAsia" w:ascii="楷体" w:hAnsi="楷体" w:eastAsia="楷体" w:cs="宋体"/>
          <w:sz w:val="32"/>
          <w:szCs w:val="32"/>
          <w:highlight w:val="none"/>
          <w:lang w:val="en-US" w:eastAsia="zh-CN"/>
        </w:rPr>
        <w:t>22.1千</w:t>
      </w:r>
      <w:r>
        <w:rPr>
          <w:rFonts w:ascii="楷体" w:hAnsi="楷体" w:eastAsia="楷体" w:cs="宋体"/>
          <w:sz w:val="32"/>
          <w:szCs w:val="32"/>
          <w:highlight w:val="none"/>
        </w:rPr>
        <w:t>公顷</w:t>
      </w:r>
      <w:r>
        <w:rPr>
          <w:rFonts w:hint="eastAsia" w:ascii="楷体" w:hAnsi="楷体" w:eastAsia="楷体" w:cs="宋体"/>
          <w:sz w:val="32"/>
          <w:szCs w:val="32"/>
          <w:highlight w:val="none"/>
        </w:rPr>
        <w:t>，</w:t>
      </w:r>
      <w:r>
        <w:rPr>
          <w:rFonts w:hint="eastAsia" w:ascii="楷体" w:hAnsi="楷体" w:eastAsia="楷体" w:cs="宋体"/>
          <w:sz w:val="32"/>
          <w:szCs w:val="32"/>
          <w:highlight w:val="none"/>
          <w:lang w:val="en-US" w:eastAsia="zh-CN"/>
        </w:rPr>
        <w:t>与上年基本持平</w:t>
      </w:r>
      <w:r>
        <w:rPr>
          <w:rFonts w:ascii="楷体" w:hAnsi="楷体" w:eastAsia="楷体" w:cs="宋体"/>
          <w:sz w:val="32"/>
          <w:szCs w:val="32"/>
          <w:highlight w:val="none"/>
        </w:rPr>
        <w:t>。粮食总产量</w:t>
      </w:r>
      <w:r>
        <w:rPr>
          <w:rFonts w:hint="eastAsia" w:ascii="楷体" w:hAnsi="楷体" w:eastAsia="楷体" w:cs="宋体"/>
          <w:sz w:val="32"/>
          <w:szCs w:val="32"/>
          <w:highlight w:val="none"/>
          <w:lang w:val="en-US" w:eastAsia="zh-CN"/>
        </w:rPr>
        <w:t>19.2</w:t>
      </w:r>
      <w:r>
        <w:rPr>
          <w:rFonts w:ascii="楷体" w:hAnsi="楷体" w:eastAsia="楷体" w:cs="宋体"/>
          <w:sz w:val="32"/>
          <w:szCs w:val="32"/>
          <w:highlight w:val="none"/>
        </w:rPr>
        <w:t>万吨</w:t>
      </w:r>
      <w:r>
        <w:rPr>
          <w:rFonts w:hint="eastAsia" w:ascii="楷体" w:hAnsi="楷体" w:eastAsia="楷体" w:cs="宋体"/>
          <w:sz w:val="32"/>
          <w:szCs w:val="32"/>
          <w:highlight w:val="none"/>
        </w:rPr>
        <w:t>，</w:t>
      </w:r>
      <w:r>
        <w:rPr>
          <w:rFonts w:ascii="楷体" w:hAnsi="楷体" w:eastAsia="楷体" w:cs="宋体"/>
          <w:sz w:val="32"/>
          <w:szCs w:val="32"/>
          <w:highlight w:val="none"/>
        </w:rPr>
        <w:t>水果产量</w:t>
      </w:r>
      <w:r>
        <w:rPr>
          <w:rFonts w:hint="eastAsia" w:ascii="楷体" w:hAnsi="楷体" w:eastAsia="楷体" w:cs="宋体"/>
          <w:sz w:val="32"/>
          <w:szCs w:val="32"/>
          <w:highlight w:val="none"/>
          <w:lang w:val="en-US" w:eastAsia="zh-CN"/>
        </w:rPr>
        <w:t>1.2万</w:t>
      </w:r>
      <w:r>
        <w:rPr>
          <w:rFonts w:ascii="楷体" w:hAnsi="楷体" w:eastAsia="楷体" w:cs="宋体"/>
          <w:sz w:val="32"/>
          <w:szCs w:val="32"/>
          <w:highlight w:val="none"/>
        </w:rPr>
        <w:t>吨</w:t>
      </w:r>
      <w:r>
        <w:rPr>
          <w:rFonts w:hint="eastAsia" w:ascii="楷体" w:hAnsi="楷体" w:eastAsia="楷体" w:cs="宋体"/>
          <w:sz w:val="32"/>
          <w:szCs w:val="32"/>
          <w:highlight w:val="none"/>
        </w:rPr>
        <w:t>，</w:t>
      </w:r>
      <w:r>
        <w:rPr>
          <w:rFonts w:ascii="楷体" w:hAnsi="楷体" w:eastAsia="楷体" w:cs="宋体"/>
          <w:sz w:val="32"/>
          <w:szCs w:val="32"/>
          <w:highlight w:val="none"/>
        </w:rPr>
        <w:t>蔬菜产量</w:t>
      </w:r>
      <w:r>
        <w:rPr>
          <w:rFonts w:hint="eastAsia" w:ascii="楷体" w:hAnsi="楷体" w:eastAsia="楷体" w:cs="宋体"/>
          <w:sz w:val="32"/>
          <w:szCs w:val="32"/>
          <w:highlight w:val="none"/>
        </w:rPr>
        <w:t>3.</w:t>
      </w:r>
      <w:r>
        <w:rPr>
          <w:rFonts w:hint="eastAsia" w:ascii="楷体" w:hAnsi="楷体" w:eastAsia="楷体" w:cs="宋体"/>
          <w:sz w:val="32"/>
          <w:szCs w:val="32"/>
          <w:highlight w:val="none"/>
          <w:lang w:val="en-US" w:eastAsia="zh-CN"/>
        </w:rPr>
        <w:t>6</w:t>
      </w:r>
      <w:r>
        <w:rPr>
          <w:rFonts w:ascii="楷体" w:hAnsi="楷体" w:eastAsia="楷体" w:cs="宋体"/>
          <w:sz w:val="32"/>
          <w:szCs w:val="32"/>
          <w:highlight w:val="none"/>
        </w:rPr>
        <w:t>万吨。</w:t>
      </w:r>
      <w:r>
        <w:rPr>
          <w:rFonts w:hint="eastAsia" w:ascii="楷体" w:hAnsi="楷体" w:eastAsia="楷体" w:cs="宋体"/>
          <w:sz w:val="32"/>
          <w:szCs w:val="32"/>
          <w:highlight w:val="none"/>
        </w:rPr>
        <w:t>肉类总产量6747吨，比上年增长0.</w:t>
      </w:r>
      <w:r>
        <w:rPr>
          <w:rFonts w:hint="eastAsia" w:ascii="楷体" w:hAnsi="楷体" w:eastAsia="楷体" w:cs="宋体"/>
          <w:sz w:val="32"/>
          <w:szCs w:val="32"/>
          <w:highlight w:val="none"/>
          <w:lang w:val="en-US" w:eastAsia="zh-CN"/>
        </w:rPr>
        <w:t>1</w:t>
      </w:r>
      <w:r>
        <w:rPr>
          <w:rFonts w:hint="eastAsia" w:ascii="楷体" w:hAnsi="楷体" w:eastAsia="楷体" w:cs="宋体"/>
          <w:sz w:val="32"/>
          <w:szCs w:val="32"/>
          <w:highlight w:val="none"/>
        </w:rPr>
        <w:t>%。其中：猪肉2800吨、牛肉601吨、羊肉315吨，禽蛋产量4170吨，其中：鸡蛋产量3634吨</w:t>
      </w:r>
      <w:r>
        <w:rPr>
          <w:rFonts w:hint="eastAsia" w:ascii="楷体" w:hAnsi="楷体" w:eastAsia="楷体" w:cs="宋体"/>
          <w:sz w:val="32"/>
          <w:szCs w:val="32"/>
          <w:highlight w:val="none"/>
          <w:lang w:eastAsia="zh-CN"/>
        </w:rPr>
        <w:t>，</w:t>
      </w:r>
      <w:r>
        <w:rPr>
          <w:rFonts w:hint="eastAsia" w:ascii="楷体" w:hAnsi="楷体" w:eastAsia="楷体" w:cs="宋体"/>
          <w:sz w:val="32"/>
          <w:szCs w:val="32"/>
          <w:highlight w:val="none"/>
        </w:rPr>
        <w:t>牛奶产量200吨</w:t>
      </w:r>
      <w:r>
        <w:rPr>
          <w:rFonts w:hint="eastAsia" w:ascii="楷体" w:hAnsi="楷体" w:eastAsia="楷体" w:cs="宋体"/>
          <w:sz w:val="32"/>
          <w:szCs w:val="32"/>
          <w:highlight w:val="none"/>
          <w:lang w:eastAsia="zh-CN"/>
        </w:rPr>
        <w:t>。</w:t>
      </w:r>
    </w:p>
    <w:p w14:paraId="457BC1F2">
      <w:pPr>
        <w:keepNext w:val="0"/>
        <w:keepLines w:val="0"/>
        <w:pageBreakBefore w:val="0"/>
        <w:kinsoku/>
        <w:wordWrap/>
        <w:overflowPunct/>
        <w:topLinePunct w:val="0"/>
        <w:autoSpaceDE w:val="0"/>
        <w:autoSpaceDN w:val="0"/>
        <w:bidi w:val="0"/>
        <w:adjustRightInd w:val="0"/>
        <w:snapToGrid/>
        <w:spacing w:line="560" w:lineRule="exact"/>
        <w:ind w:firstLine="562" w:firstLineChars="200"/>
        <w:jc w:val="center"/>
        <w:textAlignment w:val="auto"/>
        <w:rPr>
          <w:rFonts w:ascii="楷体" w:hAnsi="楷体" w:eastAsia="楷体" w:cs="宋体"/>
          <w:b/>
          <w:sz w:val="28"/>
          <w:szCs w:val="28"/>
          <w:highlight w:val="none"/>
        </w:rPr>
      </w:pPr>
      <w:r>
        <w:rPr>
          <w:rFonts w:ascii="楷体" w:hAnsi="楷体" w:eastAsia="楷体" w:cs="宋体"/>
          <w:b/>
          <w:sz w:val="28"/>
          <w:szCs w:val="28"/>
          <w:highlight w:val="none"/>
        </w:rPr>
        <w:t>主要农产品产量</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3324"/>
        <w:gridCol w:w="2196"/>
      </w:tblGrid>
      <w:tr w14:paraId="3BFA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2F085E24">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p>
        </w:tc>
        <w:tc>
          <w:tcPr>
            <w:tcW w:w="3324" w:type="dxa"/>
          </w:tcPr>
          <w:p w14:paraId="15E811DB">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202</w:t>
            </w:r>
            <w:r>
              <w:rPr>
                <w:rFonts w:hint="eastAsia" w:ascii="楷体" w:hAnsi="楷体" w:eastAsia="楷体" w:cs="宋体"/>
                <w:sz w:val="28"/>
                <w:szCs w:val="28"/>
                <w:highlight w:val="none"/>
                <w:lang w:val="en-US" w:eastAsia="zh-CN"/>
              </w:rPr>
              <w:t>4</w:t>
            </w:r>
            <w:r>
              <w:rPr>
                <w:rFonts w:ascii="楷体" w:hAnsi="楷体" w:eastAsia="楷体" w:cs="宋体"/>
                <w:sz w:val="28"/>
                <w:szCs w:val="28"/>
                <w:highlight w:val="none"/>
              </w:rPr>
              <w:t>年产量（吨）</w:t>
            </w:r>
          </w:p>
        </w:tc>
        <w:tc>
          <w:tcPr>
            <w:tcW w:w="2196" w:type="dxa"/>
          </w:tcPr>
          <w:p w14:paraId="39D4B503">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比上年</w:t>
            </w:r>
            <w:r>
              <w:rPr>
                <w:rFonts w:hint="eastAsia" w:ascii="楷体" w:hAnsi="楷体" w:eastAsia="楷体" w:cs="宋体"/>
                <w:sz w:val="28"/>
                <w:szCs w:val="28"/>
                <w:highlight w:val="none"/>
              </w:rPr>
              <w:t>±</w:t>
            </w:r>
            <w:r>
              <w:rPr>
                <w:rFonts w:ascii="楷体" w:hAnsi="楷体" w:eastAsia="楷体" w:cs="宋体"/>
                <w:sz w:val="28"/>
                <w:szCs w:val="28"/>
                <w:highlight w:val="none"/>
              </w:rPr>
              <w:t>％</w:t>
            </w:r>
          </w:p>
        </w:tc>
      </w:tr>
      <w:tr w14:paraId="017F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33118E76">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粮食</w:t>
            </w:r>
          </w:p>
        </w:tc>
        <w:tc>
          <w:tcPr>
            <w:tcW w:w="3324" w:type="dxa"/>
          </w:tcPr>
          <w:p w14:paraId="13CE1BE8">
            <w:pPr>
              <w:keepNext w:val="0"/>
              <w:keepLines w:val="0"/>
              <w:pageBreakBefore w:val="0"/>
              <w:kinsoku/>
              <w:wordWrap/>
              <w:overflowPunct/>
              <w:topLinePunct w:val="0"/>
              <w:autoSpaceDE w:val="0"/>
              <w:autoSpaceDN w:val="0"/>
              <w:bidi w:val="0"/>
              <w:adjustRightInd w:val="0"/>
              <w:snapToGrid/>
              <w:spacing w:line="560" w:lineRule="exact"/>
              <w:ind w:right="1120"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191852.2</w:t>
            </w:r>
          </w:p>
        </w:tc>
        <w:tc>
          <w:tcPr>
            <w:tcW w:w="2196" w:type="dxa"/>
          </w:tcPr>
          <w:p w14:paraId="5951782A">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-8.4%</w:t>
            </w:r>
          </w:p>
        </w:tc>
      </w:tr>
      <w:tr w14:paraId="6AF0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11E6CE88">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其中：稻</w:t>
            </w:r>
            <w:r>
              <w:rPr>
                <w:rFonts w:hint="eastAsia" w:ascii="楷体" w:hAnsi="楷体" w:eastAsia="楷体" w:cs="宋体"/>
                <w:sz w:val="28"/>
                <w:szCs w:val="28"/>
                <w:highlight w:val="none"/>
              </w:rPr>
              <w:t>谷</w:t>
            </w:r>
            <w:r>
              <w:rPr>
                <w:rFonts w:eastAsia="楷体" w:cs="Calibri"/>
                <w:sz w:val="28"/>
                <w:szCs w:val="28"/>
                <w:highlight w:val="none"/>
              </w:rPr>
              <w:t> </w:t>
            </w:r>
          </w:p>
        </w:tc>
        <w:tc>
          <w:tcPr>
            <w:tcW w:w="3324" w:type="dxa"/>
          </w:tcPr>
          <w:p w14:paraId="253881F6">
            <w:pPr>
              <w:keepNext w:val="0"/>
              <w:keepLines w:val="0"/>
              <w:pageBreakBefore w:val="0"/>
              <w:kinsoku/>
              <w:wordWrap/>
              <w:overflowPunct/>
              <w:topLinePunct w:val="0"/>
              <w:autoSpaceDE w:val="0"/>
              <w:autoSpaceDN w:val="0"/>
              <w:bidi w:val="0"/>
              <w:adjustRightInd w:val="0"/>
              <w:snapToGrid/>
              <w:spacing w:line="560" w:lineRule="exact"/>
              <w:ind w:right="1120"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791.9</w:t>
            </w:r>
          </w:p>
        </w:tc>
        <w:tc>
          <w:tcPr>
            <w:tcW w:w="2196" w:type="dxa"/>
          </w:tcPr>
          <w:p w14:paraId="4785B333">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eastAsia="楷体" w:cs="Calibri"/>
                <w:sz w:val="28"/>
                <w:szCs w:val="28"/>
                <w:highlight w:val="none"/>
              </w:rPr>
            </w:pPr>
            <w:r>
              <w:rPr>
                <w:rFonts w:hint="eastAsia" w:eastAsia="楷体" w:cs="Calibri"/>
                <w:sz w:val="28"/>
                <w:szCs w:val="28"/>
                <w:highlight w:val="none"/>
              </w:rPr>
              <w:t>-</w:t>
            </w:r>
            <w:r>
              <w:rPr>
                <w:rFonts w:hint="eastAsia" w:eastAsia="楷体" w:cs="Calibri"/>
                <w:sz w:val="28"/>
                <w:szCs w:val="28"/>
                <w:highlight w:val="none"/>
                <w:lang w:val="en-US" w:eastAsia="zh-CN"/>
              </w:rPr>
              <w:t>49.5</w:t>
            </w:r>
            <w:r>
              <w:rPr>
                <w:rFonts w:hint="eastAsia" w:eastAsia="楷体" w:cs="Calibri"/>
                <w:sz w:val="28"/>
                <w:szCs w:val="28"/>
                <w:highlight w:val="none"/>
              </w:rPr>
              <w:t>%</w:t>
            </w:r>
          </w:p>
        </w:tc>
      </w:tr>
      <w:tr w14:paraId="5179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4713B730">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玉</w:t>
            </w:r>
            <w:r>
              <w:rPr>
                <w:rFonts w:hint="eastAsia" w:ascii="楷体" w:hAnsi="楷体" w:eastAsia="楷体" w:cs="宋体"/>
                <w:sz w:val="28"/>
                <w:szCs w:val="28"/>
                <w:highlight w:val="none"/>
                <w:lang w:val="en-US" w:eastAsia="zh-CN"/>
              </w:rPr>
              <w:t xml:space="preserve"> </w:t>
            </w:r>
            <w:r>
              <w:rPr>
                <w:rFonts w:ascii="楷体" w:hAnsi="楷体" w:eastAsia="楷体" w:cs="宋体"/>
                <w:sz w:val="28"/>
                <w:szCs w:val="28"/>
                <w:highlight w:val="none"/>
              </w:rPr>
              <w:t>米</w:t>
            </w:r>
            <w:r>
              <w:rPr>
                <w:rFonts w:eastAsia="楷体" w:cs="Calibri"/>
                <w:sz w:val="28"/>
                <w:szCs w:val="28"/>
                <w:highlight w:val="none"/>
              </w:rPr>
              <w:t> </w:t>
            </w:r>
          </w:p>
        </w:tc>
        <w:tc>
          <w:tcPr>
            <w:tcW w:w="3324" w:type="dxa"/>
          </w:tcPr>
          <w:p w14:paraId="37CF9D42">
            <w:pPr>
              <w:keepNext w:val="0"/>
              <w:keepLines w:val="0"/>
              <w:pageBreakBefore w:val="0"/>
              <w:kinsoku/>
              <w:wordWrap/>
              <w:overflowPunct/>
              <w:topLinePunct w:val="0"/>
              <w:autoSpaceDE w:val="0"/>
              <w:autoSpaceDN w:val="0"/>
              <w:bidi w:val="0"/>
              <w:adjustRightInd w:val="0"/>
              <w:snapToGrid/>
              <w:spacing w:line="560" w:lineRule="exact"/>
              <w:ind w:right="1120"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188525.4</w:t>
            </w:r>
          </w:p>
        </w:tc>
        <w:tc>
          <w:tcPr>
            <w:tcW w:w="2196" w:type="dxa"/>
          </w:tcPr>
          <w:p w14:paraId="75DAD38E">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sz w:val="28"/>
                <w:szCs w:val="28"/>
                <w:highlight w:val="none"/>
              </w:rPr>
            </w:pPr>
            <w:r>
              <w:rPr>
                <w:rFonts w:hint="eastAsia" w:eastAsia="楷体" w:cs="Calibri"/>
                <w:sz w:val="28"/>
                <w:szCs w:val="28"/>
                <w:highlight w:val="none"/>
                <w:lang w:val="en-US" w:eastAsia="zh-CN"/>
              </w:rPr>
              <w:t>-8.1</w:t>
            </w:r>
            <w:r>
              <w:rPr>
                <w:rFonts w:hint="eastAsia" w:eastAsia="楷体" w:cs="Calibri"/>
                <w:sz w:val="28"/>
                <w:szCs w:val="28"/>
                <w:highlight w:val="none"/>
              </w:rPr>
              <w:t>%</w:t>
            </w:r>
          </w:p>
        </w:tc>
      </w:tr>
      <w:tr w14:paraId="2235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398CCA91">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油</w:t>
            </w:r>
            <w:r>
              <w:rPr>
                <w:rFonts w:eastAsia="楷体" w:cs="Calibri"/>
                <w:sz w:val="28"/>
                <w:szCs w:val="28"/>
                <w:highlight w:val="none"/>
              </w:rPr>
              <w:t>  </w:t>
            </w:r>
            <w:r>
              <w:rPr>
                <w:rFonts w:ascii="楷体" w:hAnsi="楷体" w:eastAsia="楷体" w:cs="宋体"/>
                <w:sz w:val="28"/>
                <w:szCs w:val="28"/>
                <w:highlight w:val="none"/>
              </w:rPr>
              <w:t>料</w:t>
            </w:r>
          </w:p>
        </w:tc>
        <w:tc>
          <w:tcPr>
            <w:tcW w:w="3324" w:type="dxa"/>
          </w:tcPr>
          <w:p w14:paraId="1F26870D">
            <w:pPr>
              <w:keepNext w:val="0"/>
              <w:keepLines w:val="0"/>
              <w:pageBreakBefore w:val="0"/>
              <w:kinsoku/>
              <w:wordWrap/>
              <w:overflowPunct/>
              <w:topLinePunct w:val="0"/>
              <w:autoSpaceDE w:val="0"/>
              <w:autoSpaceDN w:val="0"/>
              <w:bidi w:val="0"/>
              <w:adjustRightInd w:val="0"/>
              <w:snapToGrid/>
              <w:spacing w:line="560" w:lineRule="exact"/>
              <w:ind w:right="1120"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1665.8</w:t>
            </w:r>
          </w:p>
        </w:tc>
        <w:tc>
          <w:tcPr>
            <w:tcW w:w="2196" w:type="dxa"/>
          </w:tcPr>
          <w:p w14:paraId="2C4AE207">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eastAsia="楷体" w:cs="Calibri"/>
                <w:sz w:val="28"/>
                <w:szCs w:val="28"/>
                <w:highlight w:val="none"/>
                <w:lang w:val="en-US" w:eastAsia="zh-CN"/>
              </w:rPr>
            </w:pPr>
            <w:r>
              <w:rPr>
                <w:rFonts w:hint="eastAsia" w:eastAsia="楷体" w:cs="Calibri"/>
                <w:sz w:val="28"/>
                <w:szCs w:val="28"/>
                <w:highlight w:val="none"/>
                <w:lang w:val="en-US" w:eastAsia="zh-CN"/>
              </w:rPr>
              <w:t>2.3%</w:t>
            </w:r>
          </w:p>
        </w:tc>
      </w:tr>
      <w:tr w14:paraId="6F9B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759" w:type="dxa"/>
          </w:tcPr>
          <w:p w14:paraId="08F413F8">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蔬</w:t>
            </w:r>
            <w:r>
              <w:rPr>
                <w:rFonts w:eastAsia="楷体" w:cs="Calibri"/>
                <w:sz w:val="28"/>
                <w:szCs w:val="28"/>
                <w:highlight w:val="none"/>
              </w:rPr>
              <w:t>  </w:t>
            </w:r>
            <w:r>
              <w:rPr>
                <w:rFonts w:ascii="楷体" w:hAnsi="楷体" w:eastAsia="楷体" w:cs="宋体"/>
                <w:sz w:val="28"/>
                <w:szCs w:val="28"/>
                <w:highlight w:val="none"/>
              </w:rPr>
              <w:t>菜</w:t>
            </w:r>
          </w:p>
        </w:tc>
        <w:tc>
          <w:tcPr>
            <w:tcW w:w="3324" w:type="dxa"/>
          </w:tcPr>
          <w:p w14:paraId="6BF5CF99">
            <w:pPr>
              <w:keepNext w:val="0"/>
              <w:keepLines w:val="0"/>
              <w:pageBreakBefore w:val="0"/>
              <w:kinsoku/>
              <w:wordWrap/>
              <w:overflowPunct/>
              <w:topLinePunct w:val="0"/>
              <w:autoSpaceDE w:val="0"/>
              <w:autoSpaceDN w:val="0"/>
              <w:bidi w:val="0"/>
              <w:adjustRightInd w:val="0"/>
              <w:snapToGrid/>
              <w:spacing w:line="560" w:lineRule="exact"/>
              <w:ind w:right="1120" w:firstLine="560" w:firstLineChars="200"/>
              <w:jc w:val="right"/>
              <w:textAlignment w:val="auto"/>
              <w:rPr>
                <w:rFonts w:hint="default" w:ascii="楷体" w:hAnsi="楷体" w:eastAsia="楷体" w:cs="宋体"/>
                <w:sz w:val="28"/>
                <w:szCs w:val="28"/>
                <w:highlight w:val="none"/>
                <w:lang w:val="en-US" w:eastAsia="zh-CN"/>
              </w:rPr>
            </w:pPr>
            <w:r>
              <w:rPr>
                <w:rFonts w:hint="eastAsia" w:ascii="楷体" w:hAnsi="楷体" w:eastAsia="楷体" w:cs="宋体"/>
                <w:sz w:val="28"/>
                <w:szCs w:val="28"/>
                <w:highlight w:val="none"/>
                <w:lang w:val="en-US" w:eastAsia="zh-CN"/>
              </w:rPr>
              <w:t>35992.6</w:t>
            </w:r>
          </w:p>
        </w:tc>
        <w:tc>
          <w:tcPr>
            <w:tcW w:w="2196" w:type="dxa"/>
          </w:tcPr>
          <w:p w14:paraId="507ADC99">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ascii="楷体" w:hAnsi="楷体" w:eastAsia="楷体" w:cs="宋体"/>
                <w:sz w:val="28"/>
                <w:szCs w:val="28"/>
                <w:highlight w:val="none"/>
                <w:lang w:val="en-US" w:eastAsia="zh-CN"/>
              </w:rPr>
            </w:pPr>
            <w:r>
              <w:rPr>
                <w:rFonts w:hint="eastAsia" w:eastAsia="楷体" w:cs="Calibri"/>
                <w:sz w:val="28"/>
                <w:szCs w:val="28"/>
                <w:highlight w:val="none"/>
                <w:lang w:val="en-US" w:eastAsia="zh-CN"/>
              </w:rPr>
              <w:t>4.2%</w:t>
            </w:r>
          </w:p>
        </w:tc>
      </w:tr>
    </w:tbl>
    <w:p w14:paraId="115FB8AB">
      <w:pPr>
        <w:keepNext w:val="0"/>
        <w:keepLines w:val="0"/>
        <w:pageBreakBefore w:val="0"/>
        <w:kinsoku/>
        <w:wordWrap/>
        <w:overflowPunct/>
        <w:topLinePunct w:val="0"/>
        <w:autoSpaceDE w:val="0"/>
        <w:autoSpaceDN w:val="0"/>
        <w:bidi w:val="0"/>
        <w:adjustRightInd w:val="0"/>
        <w:snapToGrid/>
        <w:spacing w:line="560" w:lineRule="exact"/>
        <w:ind w:firstLine="562" w:firstLineChars="200"/>
        <w:jc w:val="center"/>
        <w:textAlignment w:val="auto"/>
        <w:rPr>
          <w:rFonts w:ascii="楷体" w:hAnsi="楷体" w:eastAsia="楷体" w:cs="宋体"/>
          <w:b/>
          <w:sz w:val="28"/>
          <w:szCs w:val="28"/>
          <w:highlight w:val="none"/>
        </w:rPr>
      </w:pPr>
    </w:p>
    <w:p w14:paraId="2E0BDAB9">
      <w:pPr>
        <w:keepNext w:val="0"/>
        <w:keepLines w:val="0"/>
        <w:pageBreakBefore w:val="0"/>
        <w:kinsoku/>
        <w:wordWrap/>
        <w:overflowPunct/>
        <w:topLinePunct w:val="0"/>
        <w:autoSpaceDE w:val="0"/>
        <w:autoSpaceDN w:val="0"/>
        <w:bidi w:val="0"/>
        <w:adjustRightInd w:val="0"/>
        <w:snapToGrid/>
        <w:spacing w:line="560" w:lineRule="exact"/>
        <w:ind w:firstLine="562" w:firstLineChars="200"/>
        <w:jc w:val="center"/>
        <w:textAlignment w:val="auto"/>
        <w:rPr>
          <w:rFonts w:ascii="楷体" w:hAnsi="楷体" w:eastAsia="楷体" w:cs="宋体"/>
          <w:b/>
          <w:sz w:val="28"/>
          <w:szCs w:val="28"/>
          <w:highlight w:val="none"/>
        </w:rPr>
      </w:pPr>
      <w:r>
        <w:rPr>
          <w:rFonts w:ascii="楷体" w:hAnsi="楷体" w:eastAsia="楷体" w:cs="宋体"/>
          <w:b/>
          <w:sz w:val="28"/>
          <w:szCs w:val="28"/>
          <w:highlight w:val="none"/>
        </w:rPr>
        <w:t>主要畜禽产品产量和畜禽存栏数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2256"/>
        <w:gridCol w:w="2194"/>
      </w:tblGrid>
      <w:tr w14:paraId="22AA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908" w:type="dxa"/>
            <w:tcBorders>
              <w:top w:val="nil"/>
              <w:left w:val="nil"/>
              <w:bottom w:val="nil"/>
              <w:right w:val="nil"/>
            </w:tcBorders>
          </w:tcPr>
          <w:p w14:paraId="10354629">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p>
        </w:tc>
        <w:tc>
          <w:tcPr>
            <w:tcW w:w="2256" w:type="dxa"/>
            <w:tcBorders>
              <w:top w:val="nil"/>
              <w:left w:val="nil"/>
              <w:bottom w:val="nil"/>
              <w:right w:val="nil"/>
            </w:tcBorders>
          </w:tcPr>
          <w:p w14:paraId="48B73431">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sz w:val="28"/>
                <w:szCs w:val="28"/>
                <w:highlight w:val="none"/>
              </w:rPr>
            </w:pPr>
            <w:r>
              <w:rPr>
                <w:rFonts w:hint="eastAsia" w:ascii="楷体" w:hAnsi="楷体" w:eastAsia="楷体" w:cs="宋体"/>
                <w:sz w:val="28"/>
                <w:szCs w:val="28"/>
                <w:highlight w:val="none"/>
                <w:lang w:val="en-US" w:eastAsia="zh-CN"/>
              </w:rPr>
              <w:t>2024</w:t>
            </w:r>
            <w:r>
              <w:rPr>
                <w:rFonts w:ascii="楷体" w:hAnsi="楷体" w:eastAsia="楷体" w:cs="宋体"/>
                <w:sz w:val="28"/>
                <w:szCs w:val="28"/>
                <w:highlight w:val="none"/>
              </w:rPr>
              <w:t>年产量</w:t>
            </w:r>
            <w:r>
              <w:rPr>
                <w:rFonts w:eastAsia="楷体" w:cs="Calibri"/>
                <w:sz w:val="28"/>
                <w:szCs w:val="28"/>
                <w:highlight w:val="none"/>
              </w:rPr>
              <w:t> </w:t>
            </w:r>
          </w:p>
        </w:tc>
        <w:tc>
          <w:tcPr>
            <w:tcW w:w="2194" w:type="dxa"/>
            <w:tcBorders>
              <w:top w:val="nil"/>
              <w:left w:val="nil"/>
              <w:bottom w:val="nil"/>
              <w:right w:val="nil"/>
            </w:tcBorders>
          </w:tcPr>
          <w:p w14:paraId="26BD0944">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sz w:val="28"/>
                <w:szCs w:val="28"/>
                <w:highlight w:val="none"/>
              </w:rPr>
            </w:pPr>
            <w:r>
              <w:rPr>
                <w:rFonts w:ascii="楷体" w:hAnsi="楷体" w:eastAsia="楷体" w:cs="宋体"/>
                <w:sz w:val="28"/>
                <w:szCs w:val="28"/>
                <w:highlight w:val="none"/>
              </w:rPr>
              <w:t>比上年</w:t>
            </w:r>
            <w:r>
              <w:rPr>
                <w:rFonts w:hint="eastAsia" w:ascii="楷体" w:hAnsi="楷体" w:eastAsia="楷体" w:cs="宋体"/>
                <w:sz w:val="28"/>
                <w:szCs w:val="28"/>
                <w:highlight w:val="none"/>
              </w:rPr>
              <w:t>±</w:t>
            </w:r>
            <w:r>
              <w:rPr>
                <w:rFonts w:ascii="楷体" w:hAnsi="楷体" w:eastAsia="楷体" w:cs="宋体"/>
                <w:sz w:val="28"/>
                <w:szCs w:val="28"/>
                <w:highlight w:val="none"/>
              </w:rPr>
              <w:t>％</w:t>
            </w:r>
          </w:p>
        </w:tc>
      </w:tr>
      <w:tr w14:paraId="301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48990DEA">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猪年末存栏数（头）</w:t>
            </w:r>
          </w:p>
        </w:tc>
        <w:tc>
          <w:tcPr>
            <w:tcW w:w="2256" w:type="dxa"/>
            <w:tcBorders>
              <w:top w:val="nil"/>
              <w:left w:val="nil"/>
              <w:bottom w:val="nil"/>
              <w:right w:val="nil"/>
            </w:tcBorders>
            <w:shd w:val="clear" w:color="auto" w:fill="auto"/>
            <w:vAlign w:val="top"/>
          </w:tcPr>
          <w:p w14:paraId="4827F7CF">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16949</w:t>
            </w:r>
          </w:p>
        </w:tc>
        <w:tc>
          <w:tcPr>
            <w:tcW w:w="2194" w:type="dxa"/>
            <w:tcBorders>
              <w:top w:val="nil"/>
              <w:left w:val="nil"/>
              <w:bottom w:val="nil"/>
              <w:right w:val="nil"/>
            </w:tcBorders>
            <w:shd w:val="clear" w:color="auto" w:fill="auto"/>
            <w:vAlign w:val="top"/>
          </w:tcPr>
          <w:p w14:paraId="12DAE86D">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-32.6</w:t>
            </w:r>
            <w:r>
              <w:rPr>
                <w:rFonts w:hint="eastAsia" w:eastAsia="楷体" w:cs="Calibri"/>
                <w:sz w:val="28"/>
                <w:szCs w:val="28"/>
                <w:highlight w:val="none"/>
              </w:rPr>
              <w:t>%</w:t>
            </w:r>
          </w:p>
        </w:tc>
      </w:tr>
      <w:tr w14:paraId="6F0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752D33E8">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牛年末存栏数（头）</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734E7FE8">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5953</w:t>
            </w:r>
            <w:r>
              <w:rPr>
                <w:rFonts w:ascii="楷体" w:hAnsi="楷体" w:eastAsia="楷体" w:cs="宋体"/>
                <w:sz w:val="28"/>
                <w:szCs w:val="28"/>
                <w:highlight w:val="none"/>
              </w:rPr>
              <w:t xml:space="preserve"> </w:t>
            </w:r>
          </w:p>
        </w:tc>
        <w:tc>
          <w:tcPr>
            <w:tcW w:w="2194" w:type="dxa"/>
            <w:tcBorders>
              <w:top w:val="nil"/>
              <w:left w:val="nil"/>
              <w:bottom w:val="nil"/>
              <w:right w:val="nil"/>
            </w:tcBorders>
            <w:shd w:val="clear" w:color="auto" w:fill="auto"/>
            <w:vAlign w:val="center"/>
          </w:tcPr>
          <w:p w14:paraId="7C079BC3">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-10.6%</w:t>
            </w:r>
          </w:p>
        </w:tc>
      </w:tr>
      <w:tr w14:paraId="3A4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26B2BBAC">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羊年末存栏数（只）</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3087B1F5">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29038</w:t>
            </w:r>
            <w:r>
              <w:rPr>
                <w:rFonts w:ascii="楷体" w:hAnsi="楷体" w:eastAsia="楷体" w:cs="宋体"/>
                <w:sz w:val="28"/>
                <w:szCs w:val="28"/>
                <w:highlight w:val="none"/>
              </w:rPr>
              <w:t xml:space="preserve"> </w:t>
            </w:r>
          </w:p>
        </w:tc>
        <w:tc>
          <w:tcPr>
            <w:tcW w:w="2194" w:type="dxa"/>
            <w:tcBorders>
              <w:top w:val="nil"/>
              <w:left w:val="nil"/>
              <w:bottom w:val="nil"/>
              <w:right w:val="nil"/>
            </w:tcBorders>
            <w:shd w:val="clear" w:color="auto" w:fill="auto"/>
            <w:vAlign w:val="center"/>
          </w:tcPr>
          <w:p w14:paraId="2423597B">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-15.0%</w:t>
            </w:r>
          </w:p>
        </w:tc>
      </w:tr>
      <w:tr w14:paraId="175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763CE695">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家禽年末存栏数（万只）</w:t>
            </w:r>
          </w:p>
        </w:tc>
        <w:tc>
          <w:tcPr>
            <w:tcW w:w="2256" w:type="dxa"/>
            <w:tcBorders>
              <w:top w:val="nil"/>
              <w:left w:val="nil"/>
              <w:bottom w:val="nil"/>
              <w:right w:val="nil"/>
            </w:tcBorders>
            <w:shd w:val="clear" w:color="auto" w:fill="auto"/>
            <w:vAlign w:val="top"/>
          </w:tcPr>
          <w:p w14:paraId="1DADAADF">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ascii="楷体" w:hAnsi="楷体" w:eastAsia="楷体" w:cs="宋体"/>
                <w:kern w:val="2"/>
                <w:sz w:val="28"/>
                <w:szCs w:val="28"/>
                <w:highlight w:val="none"/>
                <w:lang w:val="en-US" w:eastAsia="zh-CN" w:bidi="ar-SA"/>
              </w:rPr>
            </w:pPr>
            <w:r>
              <w:rPr>
                <w:rFonts w:hint="eastAsia" w:ascii="楷体" w:hAnsi="楷体" w:eastAsia="楷体" w:cs="宋体"/>
                <w:sz w:val="28"/>
                <w:szCs w:val="28"/>
                <w:highlight w:val="none"/>
                <w:lang w:val="en-US" w:eastAsia="zh-CN"/>
              </w:rPr>
              <w:t>50.4</w:t>
            </w:r>
          </w:p>
        </w:tc>
        <w:tc>
          <w:tcPr>
            <w:tcW w:w="2194" w:type="dxa"/>
            <w:tcBorders>
              <w:top w:val="nil"/>
              <w:left w:val="nil"/>
              <w:bottom w:val="nil"/>
              <w:right w:val="nil"/>
            </w:tcBorders>
            <w:shd w:val="clear" w:color="auto" w:fill="auto"/>
            <w:vAlign w:val="center"/>
          </w:tcPr>
          <w:p w14:paraId="1DED9A85">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-8.6%</w:t>
            </w:r>
          </w:p>
        </w:tc>
      </w:tr>
      <w:tr w14:paraId="2D36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6C6E107C">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猪年末出栏数（头</w:t>
            </w:r>
            <w:r>
              <w:rPr>
                <w:rFonts w:hint="eastAsia" w:eastAsia="楷体" w:cs="Calibri"/>
                <w:sz w:val="28"/>
                <w:szCs w:val="28"/>
                <w:highlight w:val="none"/>
              </w:rPr>
              <w:t>）</w:t>
            </w:r>
          </w:p>
        </w:tc>
        <w:tc>
          <w:tcPr>
            <w:tcW w:w="2256" w:type="dxa"/>
            <w:tcBorders>
              <w:top w:val="nil"/>
              <w:left w:val="nil"/>
              <w:bottom w:val="nil"/>
              <w:right w:val="nil"/>
            </w:tcBorders>
            <w:shd w:val="clear" w:color="auto" w:fill="auto"/>
            <w:vAlign w:val="top"/>
          </w:tcPr>
          <w:p w14:paraId="60723963">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32668</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700386FF">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-34.6%</w:t>
            </w:r>
          </w:p>
        </w:tc>
      </w:tr>
      <w:tr w14:paraId="2FB0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13ADC579">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牛年末出栏数（头）</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7A0070EE">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3946</w:t>
            </w:r>
            <w:r>
              <w:rPr>
                <w:rFonts w:hint="eastAsia"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7F31B9E3">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7.7%</w:t>
            </w:r>
          </w:p>
        </w:tc>
      </w:tr>
      <w:tr w14:paraId="610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3695225D">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羊年末出栏数（只）</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40CFD899">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24028</w:t>
            </w:r>
            <w:r>
              <w:rPr>
                <w:rFonts w:ascii="楷体" w:hAnsi="楷体" w:eastAsia="楷体" w:cs="宋体"/>
                <w:sz w:val="28"/>
                <w:szCs w:val="28"/>
                <w:highlight w:val="none"/>
              </w:rPr>
              <w:t xml:space="preserve">  </w:t>
            </w:r>
          </w:p>
        </w:tc>
        <w:tc>
          <w:tcPr>
            <w:tcW w:w="2194" w:type="dxa"/>
            <w:tcBorders>
              <w:top w:val="nil"/>
              <w:left w:val="nil"/>
              <w:bottom w:val="nil"/>
              <w:right w:val="nil"/>
            </w:tcBorders>
            <w:shd w:val="clear" w:color="auto" w:fill="auto"/>
            <w:vAlign w:val="center"/>
          </w:tcPr>
          <w:p w14:paraId="405A8AA5">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eastAsia="楷体" w:cs="Calibri"/>
                <w:sz w:val="28"/>
                <w:szCs w:val="28"/>
                <w:highlight w:val="none"/>
                <w:lang w:val="en-US" w:eastAsia="zh-CN"/>
              </w:rPr>
              <w:t>8.2%</w:t>
            </w:r>
          </w:p>
        </w:tc>
      </w:tr>
      <w:tr w14:paraId="5046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056260A7">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家禽年末出栏数（万只）</w:t>
            </w:r>
          </w:p>
        </w:tc>
        <w:tc>
          <w:tcPr>
            <w:tcW w:w="2256" w:type="dxa"/>
            <w:tcBorders>
              <w:top w:val="nil"/>
              <w:left w:val="nil"/>
              <w:bottom w:val="nil"/>
              <w:right w:val="nil"/>
            </w:tcBorders>
            <w:shd w:val="clear" w:color="auto" w:fill="auto"/>
            <w:vAlign w:val="top"/>
          </w:tcPr>
          <w:p w14:paraId="1AF201A0">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default"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182.6</w:t>
            </w:r>
          </w:p>
        </w:tc>
        <w:tc>
          <w:tcPr>
            <w:tcW w:w="2194" w:type="dxa"/>
            <w:tcBorders>
              <w:top w:val="nil"/>
              <w:left w:val="nil"/>
              <w:bottom w:val="nil"/>
              <w:right w:val="nil"/>
            </w:tcBorders>
            <w:shd w:val="clear" w:color="auto" w:fill="auto"/>
            <w:vAlign w:val="center"/>
          </w:tcPr>
          <w:p w14:paraId="0439D4CD">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18.6%</w:t>
            </w:r>
          </w:p>
        </w:tc>
      </w:tr>
      <w:tr w14:paraId="00F9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1C1EF58B">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肉类总产量（吨）</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04AD1CF2">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6747</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42FABEB5">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-8.7%</w:t>
            </w:r>
          </w:p>
        </w:tc>
      </w:tr>
      <w:tr w14:paraId="3A70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4256D117">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其中：猪肉（吨）</w:t>
            </w:r>
          </w:p>
        </w:tc>
        <w:tc>
          <w:tcPr>
            <w:tcW w:w="2256" w:type="dxa"/>
            <w:tcBorders>
              <w:top w:val="nil"/>
              <w:left w:val="nil"/>
              <w:bottom w:val="nil"/>
              <w:right w:val="nil"/>
            </w:tcBorders>
            <w:shd w:val="clear" w:color="auto" w:fill="auto"/>
            <w:vAlign w:val="top"/>
          </w:tcPr>
          <w:p w14:paraId="4351FAA7">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2800</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4D61F727">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-30.2%</w:t>
            </w:r>
          </w:p>
        </w:tc>
      </w:tr>
      <w:tr w14:paraId="3BA7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183849F2">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eastAsia="楷体" w:cs="Calibri"/>
                <w:sz w:val="28"/>
                <w:szCs w:val="28"/>
                <w:highlight w:val="none"/>
              </w:rPr>
              <w:t>         </w:t>
            </w:r>
            <w:r>
              <w:rPr>
                <w:rFonts w:ascii="楷体" w:hAnsi="楷体" w:eastAsia="楷体" w:cs="宋体"/>
                <w:sz w:val="28"/>
                <w:szCs w:val="28"/>
                <w:highlight w:val="none"/>
              </w:rPr>
              <w:t>牛肉（吨）</w:t>
            </w:r>
            <w:r>
              <w:rPr>
                <w:rFonts w:eastAsia="楷体" w:cs="Calibri"/>
                <w:sz w:val="28"/>
                <w:szCs w:val="28"/>
                <w:highlight w:val="none"/>
              </w:rPr>
              <w:t xml:space="preserve">          </w:t>
            </w:r>
          </w:p>
        </w:tc>
        <w:tc>
          <w:tcPr>
            <w:tcW w:w="2256" w:type="dxa"/>
            <w:tcBorders>
              <w:top w:val="nil"/>
              <w:left w:val="nil"/>
              <w:bottom w:val="nil"/>
              <w:right w:val="nil"/>
            </w:tcBorders>
            <w:shd w:val="clear" w:color="auto" w:fill="auto"/>
            <w:vAlign w:val="top"/>
          </w:tcPr>
          <w:p w14:paraId="25363948">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601</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612DBB71">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6.0%</w:t>
            </w:r>
          </w:p>
        </w:tc>
      </w:tr>
      <w:tr w14:paraId="3CE1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095862AD">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羊肉（吨）</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5E32FE07">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ascii="楷体" w:hAnsi="楷体" w:eastAsia="楷体" w:cs="宋体"/>
                <w:sz w:val="28"/>
                <w:szCs w:val="28"/>
                <w:highlight w:val="none"/>
                <w:lang w:val="en-US" w:eastAsia="zh-CN"/>
              </w:rPr>
              <w:t>315</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5BDFBE4D">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4.3%</w:t>
            </w:r>
          </w:p>
        </w:tc>
      </w:tr>
      <w:tr w14:paraId="63A1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42B3A561">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牛奶产量（吨）</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5773CDCB">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200</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2C602EDB">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en-US" w:eastAsia="zh-CN" w:bidi="ar-SA"/>
              </w:rPr>
            </w:pPr>
            <w:r>
              <w:rPr>
                <w:rFonts w:hint="eastAsia" w:eastAsia="楷体" w:cs="Calibri"/>
                <w:sz w:val="28"/>
                <w:szCs w:val="28"/>
                <w:highlight w:val="none"/>
                <w:lang w:val="en-US" w:eastAsia="zh-CN"/>
              </w:rPr>
              <w:t>-43.2%</w:t>
            </w:r>
          </w:p>
        </w:tc>
      </w:tr>
      <w:tr w14:paraId="5AD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08" w:type="dxa"/>
            <w:tcBorders>
              <w:top w:val="nil"/>
              <w:left w:val="nil"/>
              <w:bottom w:val="nil"/>
              <w:right w:val="nil"/>
            </w:tcBorders>
          </w:tcPr>
          <w:p w14:paraId="6066D255">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楷体" w:hAnsi="楷体" w:eastAsia="楷体" w:cs="宋体"/>
                <w:sz w:val="28"/>
                <w:szCs w:val="28"/>
                <w:highlight w:val="none"/>
              </w:rPr>
            </w:pPr>
            <w:r>
              <w:rPr>
                <w:rFonts w:ascii="楷体" w:hAnsi="楷体" w:eastAsia="楷体" w:cs="宋体"/>
                <w:sz w:val="28"/>
                <w:szCs w:val="28"/>
                <w:highlight w:val="none"/>
              </w:rPr>
              <w:t>禽蛋产量(吨）</w:t>
            </w:r>
            <w:r>
              <w:rPr>
                <w:rFonts w:eastAsia="楷体" w:cs="Calibri"/>
                <w:sz w:val="28"/>
                <w:szCs w:val="28"/>
                <w:highlight w:val="none"/>
              </w:rPr>
              <w:t>    </w:t>
            </w:r>
          </w:p>
        </w:tc>
        <w:tc>
          <w:tcPr>
            <w:tcW w:w="2256" w:type="dxa"/>
            <w:tcBorders>
              <w:top w:val="nil"/>
              <w:left w:val="nil"/>
              <w:bottom w:val="nil"/>
              <w:right w:val="nil"/>
            </w:tcBorders>
            <w:shd w:val="clear" w:color="auto" w:fill="auto"/>
            <w:vAlign w:val="top"/>
          </w:tcPr>
          <w:p w14:paraId="05298E62">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ascii="楷体" w:hAnsi="楷体" w:eastAsia="楷体" w:cs="宋体"/>
                <w:kern w:val="2"/>
                <w:sz w:val="28"/>
                <w:szCs w:val="28"/>
                <w:highlight w:val="none"/>
                <w:lang w:val="en-US" w:eastAsia="zh-CN" w:bidi="ar-SA"/>
              </w:rPr>
            </w:pPr>
            <w:r>
              <w:rPr>
                <w:rFonts w:hint="eastAsia" w:eastAsia="楷体" w:cs="Calibri"/>
                <w:sz w:val="28"/>
                <w:szCs w:val="28"/>
                <w:highlight w:val="none"/>
                <w:lang w:val="en-US" w:eastAsia="zh-CN"/>
              </w:rPr>
              <w:t>4170</w:t>
            </w:r>
            <w:r>
              <w:rPr>
                <w:rFonts w:eastAsia="楷体" w:cs="Calibri"/>
                <w:sz w:val="28"/>
                <w:szCs w:val="28"/>
                <w:highlight w:val="none"/>
              </w:rPr>
              <w:t xml:space="preserve">  </w:t>
            </w:r>
          </w:p>
        </w:tc>
        <w:tc>
          <w:tcPr>
            <w:tcW w:w="2194" w:type="dxa"/>
            <w:tcBorders>
              <w:top w:val="nil"/>
              <w:left w:val="nil"/>
              <w:bottom w:val="nil"/>
              <w:right w:val="nil"/>
            </w:tcBorders>
            <w:shd w:val="clear" w:color="auto" w:fill="auto"/>
            <w:vAlign w:val="center"/>
          </w:tcPr>
          <w:p w14:paraId="7D0E662A">
            <w:pPr>
              <w:keepNext w:val="0"/>
              <w:keepLines w:val="0"/>
              <w:pageBreakBefore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Times New Roman" w:hAnsi="Times New Roman" w:eastAsia="楷体" w:cs="Calibri"/>
                <w:kern w:val="2"/>
                <w:sz w:val="28"/>
                <w:szCs w:val="28"/>
                <w:highlight w:val="none"/>
                <w:lang w:val="zh-CN" w:eastAsia="zh-CN" w:bidi="ar-SA"/>
              </w:rPr>
            </w:pPr>
            <w:r>
              <w:rPr>
                <w:rFonts w:hint="eastAsia" w:eastAsia="楷体" w:cs="Calibri"/>
                <w:sz w:val="28"/>
                <w:szCs w:val="28"/>
                <w:highlight w:val="none"/>
                <w:lang w:val="en-US" w:eastAsia="zh-CN"/>
              </w:rPr>
              <w:t>4.2%</w:t>
            </w:r>
          </w:p>
        </w:tc>
      </w:tr>
    </w:tbl>
    <w:p w14:paraId="6E4DB6E9">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cs="黑体"/>
          <w:b w:val="0"/>
          <w:bCs w:val="0"/>
          <w:sz w:val="32"/>
          <w:szCs w:val="32"/>
          <w:highlight w:val="none"/>
          <w:lang w:val="zh-CN"/>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lang w:val="zh-CN"/>
        </w:rPr>
        <w:t>、二产业</w:t>
      </w:r>
    </w:p>
    <w:p w14:paraId="68144167">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default" w:ascii="楷体" w:hAnsi="楷体" w:eastAsia="楷体" w:cs="宋体"/>
          <w:color w:val="000000"/>
          <w:kern w:val="0"/>
          <w:sz w:val="32"/>
          <w:szCs w:val="32"/>
          <w:highlight w:val="none"/>
          <w:lang w:val="en-US" w:eastAsia="zh-CN"/>
        </w:rPr>
      </w:pPr>
      <w:r>
        <w:rPr>
          <w:rFonts w:hint="eastAsia" w:ascii="楷体" w:hAnsi="楷体" w:eastAsia="楷体" w:cs="黑体"/>
          <w:b/>
          <w:bCs/>
          <w:sz w:val="32"/>
          <w:szCs w:val="32"/>
          <w:highlight w:val="none"/>
          <w:lang w:val="zh-CN"/>
        </w:rPr>
        <w:t>工业</w:t>
      </w:r>
    </w:p>
    <w:p w14:paraId="5D06A579">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color w:val="000000"/>
          <w:kern w:val="0"/>
          <w:sz w:val="32"/>
          <w:szCs w:val="32"/>
          <w:highlight w:val="yellow"/>
        </w:rPr>
      </w:pPr>
      <w:r>
        <w:rPr>
          <w:rFonts w:hint="eastAsia" w:ascii="楷体" w:hAnsi="楷体" w:eastAsia="楷体" w:cs="宋体"/>
          <w:color w:val="000000"/>
          <w:kern w:val="0"/>
          <w:sz w:val="32"/>
          <w:szCs w:val="32"/>
          <w:highlight w:val="none"/>
        </w:rPr>
        <w:t>2024年，全区规模以上工业</w:t>
      </w:r>
      <w:r>
        <w:rPr>
          <w:rFonts w:hint="eastAsia" w:ascii="楷体" w:hAnsi="楷体" w:eastAsia="楷体" w:cs="宋体"/>
          <w:color w:val="000000"/>
          <w:kern w:val="0"/>
          <w:sz w:val="32"/>
          <w:szCs w:val="32"/>
          <w:highlight w:val="none"/>
          <w:vertAlign w:val="superscript"/>
          <w:lang w:eastAsia="zh-CN"/>
        </w:rPr>
        <w:fldChar w:fldCharType="begin"/>
      </w:r>
      <w:r>
        <w:rPr>
          <w:rFonts w:hint="eastAsia" w:ascii="楷体" w:hAnsi="楷体" w:eastAsia="楷体" w:cs="宋体"/>
          <w:color w:val="000000"/>
          <w:kern w:val="0"/>
          <w:sz w:val="32"/>
          <w:szCs w:val="32"/>
          <w:highlight w:val="none"/>
          <w:vertAlign w:val="superscript"/>
          <w:lang w:eastAsia="zh-CN"/>
        </w:rPr>
        <w:instrText xml:space="preserve"> REF _Ref18470 \r \h </w:instrText>
      </w:r>
      <w:r>
        <w:rPr>
          <w:rFonts w:hint="eastAsia" w:ascii="楷体" w:hAnsi="楷体" w:eastAsia="楷体" w:cs="宋体"/>
          <w:color w:val="000000"/>
          <w:kern w:val="0"/>
          <w:sz w:val="32"/>
          <w:szCs w:val="32"/>
          <w:highlight w:val="none"/>
          <w:vertAlign w:val="superscript"/>
          <w:lang w:eastAsia="zh-CN"/>
        </w:rPr>
        <w:fldChar w:fldCharType="separate"/>
      </w:r>
      <w:r>
        <w:rPr>
          <w:rFonts w:hint="eastAsia" w:ascii="楷体" w:hAnsi="楷体" w:eastAsia="楷体" w:cs="宋体"/>
          <w:color w:val="000000"/>
          <w:kern w:val="0"/>
          <w:sz w:val="32"/>
          <w:szCs w:val="32"/>
          <w:highlight w:val="none"/>
          <w:vertAlign w:val="superscript"/>
          <w:lang w:eastAsia="zh-CN"/>
        </w:rPr>
        <w:t>[3]</w:t>
      </w:r>
      <w:r>
        <w:rPr>
          <w:rFonts w:hint="eastAsia" w:ascii="楷体" w:hAnsi="楷体" w:eastAsia="楷体" w:cs="宋体"/>
          <w:color w:val="000000"/>
          <w:kern w:val="0"/>
          <w:sz w:val="32"/>
          <w:szCs w:val="32"/>
          <w:highlight w:val="none"/>
          <w:vertAlign w:val="superscript"/>
          <w:lang w:eastAsia="zh-CN"/>
        </w:rPr>
        <w:fldChar w:fldCharType="end"/>
      </w:r>
      <w:r>
        <w:rPr>
          <w:rFonts w:hint="eastAsia" w:ascii="楷体" w:hAnsi="楷体" w:eastAsia="楷体" w:cs="宋体"/>
          <w:color w:val="000000"/>
          <w:kern w:val="0"/>
          <w:sz w:val="32"/>
          <w:szCs w:val="32"/>
          <w:highlight w:val="none"/>
        </w:rPr>
        <w:t>企业288家，产值亿元以上企业86家。全区规模以上工业企业实现总产值598.8亿元，比上年增长10.1%，实现销售产值547.1亿元，比上年增长6.4%；工业品产销率为91.4%。全区规模以上工业企业全年营业收入524.7亿元，比上年增长0.6%，利润总额35.7亿元，比上年下降33.1%，利税总额47.0亿元，比上年下降30.2%。</w:t>
      </w:r>
    </w:p>
    <w:p w14:paraId="6D920510">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楷体" w:hAnsi="楷体" w:eastAsia="楷体" w:cs="宋体"/>
          <w:b/>
          <w:sz w:val="32"/>
          <w:szCs w:val="32"/>
          <w:highlight w:val="none"/>
          <w:lang w:val="zh-CN"/>
        </w:rPr>
      </w:pPr>
      <w:r>
        <w:rPr>
          <w:rFonts w:hint="eastAsia" w:ascii="楷体" w:hAnsi="楷体" w:eastAsia="楷体" w:cs="宋体"/>
          <w:b/>
          <w:sz w:val="32"/>
          <w:szCs w:val="32"/>
          <w:highlight w:val="none"/>
          <w:lang w:val="zh-CN"/>
        </w:rPr>
        <w:t>建筑业</w:t>
      </w:r>
    </w:p>
    <w:p w14:paraId="72BE633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rPr>
      </w:pPr>
      <w:r>
        <w:rPr>
          <w:rFonts w:hint="eastAsia" w:ascii="楷体" w:hAnsi="楷体" w:eastAsia="楷体" w:cs="宋体"/>
          <w:kern w:val="0"/>
          <w:sz w:val="32"/>
          <w:szCs w:val="32"/>
          <w:highlight w:val="none"/>
        </w:rPr>
        <w:t>2024年，全区建筑业产值472.5亿元，比上年增长12.5%。具有资质等级的总承包和专业承包建筑业企业280家，比上年增长</w:t>
      </w:r>
      <w:r>
        <w:rPr>
          <w:rFonts w:hint="eastAsia" w:ascii="楷体" w:hAnsi="楷体" w:eastAsia="楷体" w:cs="宋体"/>
          <w:kern w:val="0"/>
          <w:sz w:val="32"/>
          <w:szCs w:val="32"/>
          <w:highlight w:val="none"/>
          <w:lang w:val="en-US" w:eastAsia="zh-CN"/>
        </w:rPr>
        <w:t>4.9</w:t>
      </w:r>
      <w:r>
        <w:rPr>
          <w:rFonts w:hint="eastAsia" w:ascii="楷体" w:hAnsi="楷体" w:eastAsia="楷体" w:cs="宋体"/>
          <w:kern w:val="0"/>
          <w:sz w:val="32"/>
          <w:szCs w:val="32"/>
          <w:highlight w:val="none"/>
        </w:rPr>
        <w:t>%。</w:t>
      </w:r>
    </w:p>
    <w:p w14:paraId="60728A30">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cs="黑体"/>
          <w:b w:val="0"/>
          <w:bCs w:val="0"/>
          <w:sz w:val="32"/>
          <w:szCs w:val="32"/>
          <w:highlight w:val="none"/>
          <w:lang w:val="zh-CN"/>
        </w:rPr>
      </w:pP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lang w:val="zh-CN"/>
        </w:rPr>
        <w:t>、固定资产投资及城乡建设</w:t>
      </w:r>
    </w:p>
    <w:p w14:paraId="5BEB187B">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 w:hAnsi="楷体" w:eastAsia="楷体" w:cs="黑体"/>
          <w:b/>
          <w:bCs/>
          <w:sz w:val="32"/>
          <w:szCs w:val="32"/>
          <w:highlight w:val="none"/>
          <w:lang w:val="zh-CN"/>
        </w:rPr>
      </w:pPr>
      <w:r>
        <w:rPr>
          <w:rFonts w:hint="eastAsia" w:ascii="楷体" w:hAnsi="楷体" w:eastAsia="楷体" w:cs="黑体"/>
          <w:b/>
          <w:bCs/>
          <w:sz w:val="32"/>
          <w:szCs w:val="32"/>
          <w:highlight w:val="none"/>
          <w:lang w:val="zh-CN"/>
        </w:rPr>
        <w:t>固定资产投资</w:t>
      </w:r>
    </w:p>
    <w:p w14:paraId="71B3640C">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lang w:val="zh-CN"/>
        </w:rPr>
      </w:pPr>
      <w:r>
        <w:rPr>
          <w:rFonts w:hint="eastAsia" w:ascii="楷体" w:hAnsi="楷体" w:eastAsia="楷体" w:cs="宋体"/>
          <w:kern w:val="0"/>
          <w:sz w:val="32"/>
          <w:szCs w:val="32"/>
          <w:highlight w:val="none"/>
          <w:lang w:val="zh-CN"/>
        </w:rPr>
        <w:t>2024年，全年完成固定资产投资</w:t>
      </w:r>
      <w:r>
        <w:rPr>
          <w:rFonts w:hint="eastAsia" w:ascii="楷体" w:hAnsi="楷体" w:eastAsia="楷体" w:cs="宋体"/>
          <w:kern w:val="0"/>
          <w:sz w:val="32"/>
          <w:szCs w:val="32"/>
          <w:highlight w:val="none"/>
          <w:vertAlign w:val="superscript"/>
          <w:lang w:val="zh-CN" w:eastAsia="zh-CN"/>
        </w:rPr>
        <w:fldChar w:fldCharType="begin"/>
      </w:r>
      <w:r>
        <w:rPr>
          <w:rFonts w:hint="eastAsia" w:ascii="楷体" w:hAnsi="楷体" w:eastAsia="楷体" w:cs="宋体"/>
          <w:kern w:val="0"/>
          <w:sz w:val="32"/>
          <w:szCs w:val="32"/>
          <w:highlight w:val="none"/>
          <w:vertAlign w:val="superscript"/>
          <w:lang w:val="zh-CN" w:eastAsia="zh-CN"/>
        </w:rPr>
        <w:instrText xml:space="preserve"> REF _Ref18522 \r \h </w:instrText>
      </w:r>
      <w:r>
        <w:rPr>
          <w:rFonts w:hint="eastAsia" w:ascii="楷体" w:hAnsi="楷体" w:eastAsia="楷体" w:cs="宋体"/>
          <w:kern w:val="0"/>
          <w:sz w:val="32"/>
          <w:szCs w:val="32"/>
          <w:highlight w:val="none"/>
          <w:vertAlign w:val="superscript"/>
          <w:lang w:val="zh-CN" w:eastAsia="zh-CN"/>
        </w:rPr>
        <w:fldChar w:fldCharType="separate"/>
      </w:r>
      <w:r>
        <w:rPr>
          <w:rFonts w:hint="eastAsia" w:ascii="楷体" w:hAnsi="楷体" w:eastAsia="楷体" w:cs="宋体"/>
          <w:kern w:val="0"/>
          <w:sz w:val="32"/>
          <w:szCs w:val="32"/>
          <w:highlight w:val="none"/>
          <w:vertAlign w:val="superscript"/>
          <w:lang w:val="zh-CN" w:eastAsia="zh-CN"/>
        </w:rPr>
        <w:t>[4]</w:t>
      </w:r>
      <w:r>
        <w:rPr>
          <w:rFonts w:hint="eastAsia" w:ascii="楷体" w:hAnsi="楷体" w:eastAsia="楷体" w:cs="宋体"/>
          <w:kern w:val="0"/>
          <w:sz w:val="32"/>
          <w:szCs w:val="32"/>
          <w:highlight w:val="none"/>
          <w:vertAlign w:val="superscript"/>
          <w:lang w:val="zh-CN" w:eastAsia="zh-CN"/>
        </w:rPr>
        <w:fldChar w:fldCharType="end"/>
      </w:r>
      <w:r>
        <w:rPr>
          <w:rFonts w:hint="eastAsia" w:ascii="楷体" w:hAnsi="楷体" w:eastAsia="楷体" w:cs="宋体"/>
          <w:kern w:val="0"/>
          <w:sz w:val="32"/>
          <w:szCs w:val="32"/>
          <w:highlight w:val="none"/>
          <w:lang w:val="zh-CN"/>
        </w:rPr>
        <w:t>579.0亿元，比上年增长2.8%。全年亿元以上项目完成投资356.4亿元（不含房地产开发投资），投资比重达92.2%。</w:t>
      </w:r>
    </w:p>
    <w:p w14:paraId="26304D46">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lang w:val="zh-CN"/>
        </w:rPr>
      </w:pPr>
      <w:r>
        <w:rPr>
          <w:rFonts w:hint="eastAsia" w:ascii="楷体" w:hAnsi="楷体" w:eastAsia="楷体" w:cs="宋体"/>
          <w:kern w:val="0"/>
          <w:sz w:val="32"/>
          <w:szCs w:val="32"/>
          <w:highlight w:val="none"/>
          <w:lang w:val="zh-CN"/>
        </w:rPr>
        <w:t>辽宁方大新城置业有限公司方大世纪城01C医养项目一期累计完成</w:t>
      </w:r>
      <w:r>
        <w:rPr>
          <w:rFonts w:hint="eastAsia" w:ascii="楷体" w:hAnsi="楷体" w:eastAsia="楷体" w:cs="宋体"/>
          <w:kern w:val="0"/>
          <w:sz w:val="32"/>
          <w:szCs w:val="32"/>
          <w:highlight w:val="none"/>
          <w:lang w:val="en-US" w:eastAsia="zh-CN"/>
        </w:rPr>
        <w:t>投资</w:t>
      </w:r>
      <w:r>
        <w:rPr>
          <w:rFonts w:hint="eastAsia" w:ascii="楷体" w:hAnsi="楷体" w:eastAsia="楷体" w:cs="宋体"/>
          <w:kern w:val="0"/>
          <w:sz w:val="32"/>
          <w:szCs w:val="32"/>
          <w:highlight w:val="none"/>
          <w:lang w:val="zh-CN"/>
        </w:rPr>
        <w:t>41.8亿元、沈阳市冬季运动场馆及配套基础设施建设项目累计完成</w:t>
      </w:r>
      <w:r>
        <w:rPr>
          <w:rFonts w:hint="eastAsia" w:ascii="楷体" w:hAnsi="楷体" w:eastAsia="楷体" w:cs="宋体"/>
          <w:kern w:val="0"/>
          <w:sz w:val="32"/>
          <w:szCs w:val="32"/>
          <w:highlight w:val="none"/>
          <w:lang w:val="en-US" w:eastAsia="zh-CN"/>
        </w:rPr>
        <w:t>投资</w:t>
      </w:r>
      <w:r>
        <w:rPr>
          <w:rFonts w:hint="eastAsia" w:ascii="楷体" w:hAnsi="楷体" w:eastAsia="楷体" w:cs="宋体"/>
          <w:kern w:val="0"/>
          <w:sz w:val="32"/>
          <w:szCs w:val="32"/>
          <w:highlight w:val="none"/>
          <w:lang w:val="zh-CN"/>
        </w:rPr>
        <w:t>28.2亿元、沈阳泰宇实业有限公司浑南区HN-17011号白塔二街东地块项目累计完成</w:t>
      </w:r>
      <w:r>
        <w:rPr>
          <w:rFonts w:hint="eastAsia" w:ascii="楷体" w:hAnsi="楷体" w:eastAsia="楷体" w:cs="宋体"/>
          <w:kern w:val="0"/>
          <w:sz w:val="32"/>
          <w:szCs w:val="32"/>
          <w:highlight w:val="none"/>
          <w:lang w:val="en-US" w:eastAsia="zh-CN"/>
        </w:rPr>
        <w:t>投资</w:t>
      </w:r>
      <w:r>
        <w:rPr>
          <w:rFonts w:hint="eastAsia" w:ascii="楷体" w:hAnsi="楷体" w:eastAsia="楷体" w:cs="宋体"/>
          <w:kern w:val="0"/>
          <w:sz w:val="32"/>
          <w:szCs w:val="32"/>
          <w:highlight w:val="none"/>
          <w:lang w:val="zh-CN"/>
        </w:rPr>
        <w:t>13.7亿元。中国电信辽宁分公司省干传输网天翼高清业务扩容工程项目、沈阳万润新动能产业园投资开发有限公司沈阳浑南科技城城市更新（产业园区基础设施）二期项目、沈阳万博开发建设有限公司沈阳万博材料研究中心二期项目等重点项目已竣工投产。</w:t>
      </w:r>
    </w:p>
    <w:p w14:paraId="309BA841">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楷体" w:hAnsi="楷体" w:eastAsia="楷体" w:cs="宋体"/>
          <w:kern w:val="0"/>
          <w:sz w:val="32"/>
          <w:szCs w:val="32"/>
          <w:highlight w:val="none"/>
        </w:rPr>
      </w:pPr>
      <w:r>
        <w:rPr>
          <w:rFonts w:hint="eastAsia" w:ascii="楷体" w:hAnsi="楷体" w:eastAsia="楷体" w:cs="宋体"/>
          <w:b/>
          <w:sz w:val="32"/>
          <w:szCs w:val="32"/>
          <w:highlight w:val="none"/>
          <w:lang w:val="zh-CN"/>
        </w:rPr>
        <w:t>城乡建设</w:t>
      </w:r>
    </w:p>
    <w:p w14:paraId="382F7B81">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lang w:val="zh-CN"/>
        </w:rPr>
      </w:pPr>
      <w:r>
        <w:rPr>
          <w:rFonts w:hint="eastAsia" w:ascii="楷体" w:hAnsi="楷体" w:eastAsia="楷体" w:cs="宋体"/>
          <w:kern w:val="0"/>
          <w:sz w:val="32"/>
          <w:szCs w:val="32"/>
          <w:highlight w:val="none"/>
          <w:lang w:val="en-US" w:eastAsia="zh-CN"/>
        </w:rPr>
        <w:t>加强城市基础设施建设。</w:t>
      </w:r>
      <w:r>
        <w:rPr>
          <w:rFonts w:hint="eastAsia" w:ascii="楷体" w:hAnsi="楷体" w:eastAsia="楷体" w:cs="宋体"/>
          <w:kern w:val="0"/>
          <w:sz w:val="32"/>
          <w:szCs w:val="32"/>
          <w:highlight w:val="none"/>
          <w:lang w:val="zh-CN"/>
        </w:rPr>
        <w:t>2024年推进12个项目的顺利落实，累计完成城建投资9810.3万元。完成17个项目招标，总计投资额约2900万元，其中工程类项目7个，约1970万元、服务类项目10个，约930万元、完成87项项目规划，78项项目测绘，13项工程量清单编制，14项预决算审核。实施桃仙二街、沈本一街等工程，总计新建道路约6.5公里，排水管线长约5.2公里，完成投资约1.1亿元。浑南区主城区防涝治理工程总投资约4.9亿元。如期推进沈阳市断头路考核项目，实现美园路（维科街—金阳大街）、沈抚二号线（新立街—东三环西三街）的按期通车。</w:t>
      </w:r>
    </w:p>
    <w:p w14:paraId="6DFCBCB4">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lang w:val="en-US" w:eastAsia="zh-CN"/>
        </w:rPr>
      </w:pPr>
      <w:r>
        <w:rPr>
          <w:rFonts w:hint="eastAsia" w:ascii="楷体" w:hAnsi="楷体" w:eastAsia="楷体" w:cs="宋体"/>
          <w:kern w:val="0"/>
          <w:sz w:val="32"/>
          <w:szCs w:val="32"/>
          <w:highlight w:val="none"/>
          <w:lang w:val="en-US" w:eastAsia="zh-CN"/>
        </w:rPr>
        <w:t>完善维护市政设施。全年累计完成维护道路162条，路面维修18.9万平方米，人行道方砖1.3万平方米，边石维修1.8万延米，采取探地雷达检测方式开展道路隐患排查工作，完成青年南大街、全运五路、碧桂大街、沈中大街等8条主次干道检测工作，检测里程66.3公里。对辖区内91座桥梁进行结构性或常规性检测。配合南京南街（浑南西路-前榆路）提升改造，区城建局会同区城管局、区执法分局、浑河站东街道办事处，对街路两侧立面进行整改修缮，清理铲除墙面约5000余平，立面粉饰约6000余平，更换牌匾82个，实现南京南街（浑南西路-前榆路）两侧立面的美观整洁。完成2024年街路更新工程—富民南街的全线施工，充分发挥富民南街作为沈阳市贯通南北的主要交通走廊的城市规划作用。完成浑南区河畔西街、朗明街、浑南中路54巷的背街小巷微更新工程，总长度1.2公里。</w:t>
      </w:r>
    </w:p>
    <w:p w14:paraId="04154128">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kern w:val="0"/>
          <w:sz w:val="32"/>
          <w:szCs w:val="32"/>
          <w:highlight w:val="none"/>
          <w:lang w:val="en-US" w:eastAsia="zh-CN"/>
        </w:rPr>
      </w:pPr>
      <w:r>
        <w:rPr>
          <w:rFonts w:hint="eastAsia" w:ascii="楷体" w:hAnsi="楷体" w:eastAsia="楷体" w:cs="宋体"/>
          <w:kern w:val="0"/>
          <w:sz w:val="32"/>
          <w:szCs w:val="32"/>
          <w:highlight w:val="none"/>
          <w:lang w:val="en-US" w:eastAsia="zh-CN"/>
        </w:rPr>
        <w:t>公共事业建设管理。全力推进沈白客专及科技城项目的电力排迁，完成沈白客专排迁项目41处，完成比例85%，完成科技城电力排迁（包含10千伏及66千伏）项目19个，完成比例61%。完成金仓路、南京南街、大连毅都冷链地块等通信排迁工程8处，共计投资900余万元。2024年浑南区改造老旧铸铁燃气管线长度4.6公里。推进浑南区居民用户安装报警器285271户，地上车库安装报警器259户，“四件套”安装29086户。</w:t>
      </w:r>
    </w:p>
    <w:p w14:paraId="02E43B70">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楷体" w:hAnsi="楷体" w:eastAsia="楷体" w:cs="宋体"/>
          <w:kern w:val="0"/>
          <w:sz w:val="32"/>
          <w:szCs w:val="32"/>
          <w:highlight w:val="none"/>
          <w:lang w:val="en-US" w:eastAsia="zh-CN"/>
        </w:rPr>
      </w:pPr>
      <w:r>
        <w:rPr>
          <w:rFonts w:hint="eastAsia" w:ascii="楷体" w:hAnsi="楷体" w:eastAsia="楷体" w:cs="宋体"/>
          <w:kern w:val="0"/>
          <w:sz w:val="32"/>
          <w:szCs w:val="32"/>
          <w:highlight w:val="none"/>
          <w:lang w:val="en-US" w:eastAsia="zh-CN"/>
        </w:rPr>
        <w:t>村镇宜居建设。制定村路维修改造计划23公里，为7个街道安装太阳能路灯5500盏。完成对满堂、李相等街道57个村820盏路灯的实时维修。对受到雨季和台风的双重影响而冲毁的村内道路及桥涵进行修复，修复道路1400平方米，桥涵一座，共投入资金54万元。对养竹、公家等6个村建成的污水管网进行运行维护，清掏污水管线54.1公里、污水检查井室2112座，修复污水检查井162座，挂防坠网217个，显著提升农村污水收集综合效能。</w:t>
      </w:r>
    </w:p>
    <w:p w14:paraId="4430E033">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val="0"/>
          <w:sz w:val="32"/>
          <w:szCs w:val="32"/>
          <w:highlight w:val="none"/>
          <w:lang w:val="zh-CN" w:eastAsia="zh-CN"/>
        </w:rPr>
      </w:pP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lang w:val="zh-CN"/>
        </w:rPr>
        <w:t>、国内贸易、房地产、对外</w:t>
      </w:r>
      <w:r>
        <w:rPr>
          <w:rFonts w:hint="eastAsia" w:ascii="黑体" w:hAnsi="黑体" w:eastAsia="黑体" w:cs="黑体"/>
          <w:b w:val="0"/>
          <w:bCs w:val="0"/>
          <w:sz w:val="32"/>
          <w:szCs w:val="32"/>
          <w:highlight w:val="none"/>
          <w:lang w:val="en-US" w:eastAsia="zh-CN"/>
        </w:rPr>
        <w:t>经济</w:t>
      </w:r>
    </w:p>
    <w:p w14:paraId="4A979F1B">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楷体" w:hAnsi="楷体" w:eastAsia="楷体"/>
          <w:b/>
          <w:bCs/>
          <w:sz w:val="32"/>
          <w:szCs w:val="32"/>
          <w:highlight w:val="none"/>
        </w:rPr>
      </w:pPr>
      <w:r>
        <w:rPr>
          <w:rFonts w:hint="eastAsia" w:ascii="楷体" w:hAnsi="楷体" w:eastAsia="楷体" w:cs="黑体"/>
          <w:b/>
          <w:bCs/>
          <w:sz w:val="32"/>
          <w:szCs w:val="32"/>
          <w:highlight w:val="none"/>
          <w:lang w:val="zh-CN"/>
        </w:rPr>
        <w:t>国内贸易</w:t>
      </w:r>
    </w:p>
    <w:p w14:paraId="016927EE">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2024年，实现</w:t>
      </w:r>
      <w:r>
        <w:rPr>
          <w:rFonts w:hint="eastAsia" w:ascii="楷体" w:hAnsi="楷体" w:eastAsia="楷体"/>
          <w:sz w:val="32"/>
          <w:szCs w:val="32"/>
          <w:highlight w:val="none"/>
          <w:lang w:val="en-US" w:eastAsia="zh-CN"/>
        </w:rPr>
        <w:t>社会</w:t>
      </w:r>
      <w:r>
        <w:rPr>
          <w:rFonts w:hint="eastAsia" w:ascii="楷体" w:hAnsi="楷体" w:eastAsia="楷体"/>
          <w:sz w:val="32"/>
          <w:szCs w:val="32"/>
          <w:highlight w:val="none"/>
        </w:rPr>
        <w:t>消费品零售额</w:t>
      </w:r>
      <w:r>
        <w:rPr>
          <w:rFonts w:hint="eastAsia" w:ascii="楷体" w:hAnsi="楷体" w:eastAsia="楷体"/>
          <w:sz w:val="32"/>
          <w:szCs w:val="32"/>
          <w:highlight w:val="none"/>
          <w:vertAlign w:val="superscript"/>
          <w:lang w:eastAsia="zh-CN"/>
        </w:rPr>
        <w:fldChar w:fldCharType="begin"/>
      </w:r>
      <w:r>
        <w:rPr>
          <w:rFonts w:hint="eastAsia" w:ascii="楷体" w:hAnsi="楷体" w:eastAsia="楷体"/>
          <w:sz w:val="32"/>
          <w:szCs w:val="32"/>
          <w:highlight w:val="none"/>
          <w:vertAlign w:val="superscript"/>
          <w:lang w:eastAsia="zh-CN"/>
        </w:rPr>
        <w:instrText xml:space="preserve"> REF _Ref18676 \r \h </w:instrText>
      </w:r>
      <w:r>
        <w:rPr>
          <w:rFonts w:hint="eastAsia" w:ascii="楷体" w:hAnsi="楷体" w:eastAsia="楷体"/>
          <w:sz w:val="32"/>
          <w:szCs w:val="32"/>
          <w:highlight w:val="none"/>
          <w:vertAlign w:val="superscript"/>
          <w:lang w:eastAsia="zh-CN"/>
        </w:rPr>
        <w:fldChar w:fldCharType="separate"/>
      </w:r>
      <w:r>
        <w:rPr>
          <w:rFonts w:hint="eastAsia" w:ascii="楷体" w:hAnsi="楷体" w:eastAsia="楷体"/>
          <w:sz w:val="32"/>
          <w:szCs w:val="32"/>
          <w:highlight w:val="none"/>
          <w:vertAlign w:val="superscript"/>
          <w:lang w:eastAsia="zh-CN"/>
        </w:rPr>
        <w:t>[5]</w:t>
      </w:r>
      <w:r>
        <w:rPr>
          <w:rFonts w:hint="eastAsia" w:ascii="楷体" w:hAnsi="楷体" w:eastAsia="楷体"/>
          <w:sz w:val="32"/>
          <w:szCs w:val="32"/>
          <w:highlight w:val="none"/>
          <w:vertAlign w:val="superscript"/>
          <w:lang w:eastAsia="zh-CN"/>
        </w:rPr>
        <w:fldChar w:fldCharType="end"/>
      </w:r>
      <w:r>
        <w:rPr>
          <w:rFonts w:hint="eastAsia" w:ascii="楷体" w:hAnsi="楷体" w:eastAsia="楷体"/>
          <w:sz w:val="32"/>
          <w:szCs w:val="32"/>
          <w:highlight w:val="none"/>
        </w:rPr>
        <w:t>570.1亿元，比上年增长4.4%，其中：限额以上企业实现消费品零售额481.7亿元，比上年增长4.7%，限额以上批发和零售业企业通过互联网实现消费品零售额</w:t>
      </w:r>
      <w:r>
        <w:rPr>
          <w:rFonts w:hint="eastAsia" w:ascii="楷体" w:hAnsi="楷体" w:eastAsia="楷体"/>
          <w:sz w:val="32"/>
          <w:szCs w:val="32"/>
          <w:highlight w:val="none"/>
          <w:vertAlign w:val="superscript"/>
          <w:lang w:eastAsia="zh-CN"/>
        </w:rPr>
        <w:fldChar w:fldCharType="begin"/>
      </w:r>
      <w:r>
        <w:rPr>
          <w:rFonts w:hint="eastAsia" w:ascii="楷体" w:hAnsi="楷体" w:eastAsia="楷体"/>
          <w:sz w:val="32"/>
          <w:szCs w:val="32"/>
          <w:highlight w:val="none"/>
          <w:vertAlign w:val="superscript"/>
          <w:lang w:eastAsia="zh-CN"/>
        </w:rPr>
        <w:instrText xml:space="preserve"> REF _Ref18728 \r \h </w:instrText>
      </w:r>
      <w:r>
        <w:rPr>
          <w:rFonts w:hint="eastAsia" w:ascii="楷体" w:hAnsi="楷体" w:eastAsia="楷体"/>
          <w:sz w:val="32"/>
          <w:szCs w:val="32"/>
          <w:highlight w:val="none"/>
          <w:vertAlign w:val="superscript"/>
          <w:lang w:eastAsia="zh-CN"/>
        </w:rPr>
        <w:fldChar w:fldCharType="separate"/>
      </w:r>
      <w:r>
        <w:rPr>
          <w:rFonts w:hint="eastAsia" w:ascii="楷体" w:hAnsi="楷体" w:eastAsia="楷体"/>
          <w:sz w:val="32"/>
          <w:szCs w:val="32"/>
          <w:highlight w:val="none"/>
          <w:vertAlign w:val="superscript"/>
          <w:lang w:eastAsia="zh-CN"/>
        </w:rPr>
        <w:t>[6]</w:t>
      </w:r>
      <w:r>
        <w:rPr>
          <w:rFonts w:hint="eastAsia" w:ascii="楷体" w:hAnsi="楷体" w:eastAsia="楷体"/>
          <w:sz w:val="32"/>
          <w:szCs w:val="32"/>
          <w:highlight w:val="none"/>
          <w:vertAlign w:val="superscript"/>
          <w:lang w:eastAsia="zh-CN"/>
        </w:rPr>
        <w:fldChar w:fldCharType="end"/>
      </w:r>
      <w:r>
        <w:rPr>
          <w:rFonts w:hint="eastAsia" w:ascii="楷体" w:hAnsi="楷体" w:eastAsia="楷体"/>
          <w:sz w:val="32"/>
          <w:szCs w:val="32"/>
          <w:highlight w:val="none"/>
        </w:rPr>
        <w:t>295.3亿元，比上年增长0.9</w:t>
      </w:r>
      <w:r>
        <w:rPr>
          <w:rFonts w:hint="eastAsia" w:ascii="楷体" w:hAnsi="楷体" w:eastAsia="楷体"/>
          <w:sz w:val="32"/>
          <w:szCs w:val="32"/>
          <w:highlight w:val="none"/>
          <w:lang w:val="en-US" w:eastAsia="zh-CN"/>
        </w:rPr>
        <w:t>%</w:t>
      </w:r>
      <w:r>
        <w:rPr>
          <w:rFonts w:hint="eastAsia" w:ascii="楷体" w:hAnsi="楷体" w:eastAsia="楷体"/>
          <w:sz w:val="32"/>
          <w:szCs w:val="32"/>
          <w:highlight w:val="none"/>
        </w:rPr>
        <w:t>。</w:t>
      </w:r>
    </w:p>
    <w:p w14:paraId="47A1D7DD">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2024年，贸易业实现限上商品销售总额86</w:t>
      </w:r>
      <w:r>
        <w:rPr>
          <w:rFonts w:hint="eastAsia" w:ascii="楷体" w:hAnsi="楷体" w:eastAsia="楷体"/>
          <w:sz w:val="32"/>
          <w:szCs w:val="32"/>
          <w:highlight w:val="none"/>
          <w:lang w:val="en-US" w:eastAsia="zh-CN"/>
        </w:rPr>
        <w:t>1.9</w:t>
      </w:r>
      <w:r>
        <w:rPr>
          <w:rFonts w:hint="eastAsia" w:ascii="楷体" w:hAnsi="楷体" w:eastAsia="楷体"/>
          <w:sz w:val="32"/>
          <w:szCs w:val="32"/>
          <w:highlight w:val="none"/>
        </w:rPr>
        <w:t>亿元,比上年下降16.1%，其中:批发业销售额340.9亿元，比上年下降34.5%；零售业销售额511.3亿元，比上年增长2.6%；住宿业营业额4.1亿元，比上年增长3.1%；餐饮业营业额5.6亿元，比上年增长5.8%。</w:t>
      </w:r>
    </w:p>
    <w:p w14:paraId="269BBFFA">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按限额以上企业商品分类分组，汽车类实现商品销售额100.2亿元，排在首位；通讯器材类实现商品销售额82.7亿元，位列第二；粮油、食品类实现商品销售额81.8亿元，排在第三位。</w:t>
      </w:r>
    </w:p>
    <w:p w14:paraId="5CB27DE0">
      <w:pPr>
        <w:keepNext w:val="0"/>
        <w:keepLines w:val="0"/>
        <w:pageBreakBefore w:val="0"/>
        <w:kinsoku/>
        <w:wordWrap/>
        <w:overflowPunct/>
        <w:topLinePunct w:val="0"/>
        <w:bidi w:val="0"/>
        <w:snapToGrid/>
        <w:spacing w:line="560" w:lineRule="exact"/>
        <w:ind w:firstLine="643" w:firstLineChars="200"/>
        <w:textAlignment w:val="auto"/>
        <w:rPr>
          <w:rFonts w:ascii="楷体" w:hAnsi="楷体" w:eastAsia="楷体" w:cs="黑体"/>
          <w:b/>
          <w:bCs/>
          <w:sz w:val="32"/>
          <w:szCs w:val="32"/>
          <w:highlight w:val="none"/>
          <w:lang w:val="zh-CN"/>
        </w:rPr>
      </w:pPr>
      <w:r>
        <w:rPr>
          <w:rFonts w:hint="eastAsia" w:ascii="楷体" w:hAnsi="楷体" w:eastAsia="楷体" w:cs="黑体"/>
          <w:b/>
          <w:bCs/>
          <w:sz w:val="32"/>
          <w:szCs w:val="32"/>
          <w:highlight w:val="none"/>
          <w:lang w:val="zh-CN"/>
        </w:rPr>
        <w:t>房地产</w:t>
      </w:r>
    </w:p>
    <w:p w14:paraId="133EDC0F">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2024年，房地产开发投资完成192.</w:t>
      </w:r>
      <w:r>
        <w:rPr>
          <w:rFonts w:hint="eastAsia" w:ascii="楷体" w:hAnsi="楷体" w:eastAsia="楷体"/>
          <w:sz w:val="32"/>
          <w:szCs w:val="32"/>
          <w:highlight w:val="none"/>
          <w:lang w:val="en-US" w:eastAsia="zh-CN"/>
        </w:rPr>
        <w:t>4</w:t>
      </w:r>
      <w:r>
        <w:rPr>
          <w:rFonts w:hint="eastAsia" w:ascii="楷体" w:hAnsi="楷体" w:eastAsia="楷体"/>
          <w:sz w:val="32"/>
          <w:szCs w:val="32"/>
          <w:highlight w:val="none"/>
        </w:rPr>
        <w:t>亿元，比上年下降9.5%；施工面积986.</w:t>
      </w:r>
      <w:r>
        <w:rPr>
          <w:rFonts w:hint="eastAsia" w:ascii="楷体" w:hAnsi="楷体" w:eastAsia="楷体"/>
          <w:sz w:val="32"/>
          <w:szCs w:val="32"/>
          <w:highlight w:val="none"/>
          <w:lang w:val="en-US" w:eastAsia="zh-CN"/>
        </w:rPr>
        <w:t>2</w:t>
      </w:r>
      <w:r>
        <w:rPr>
          <w:rFonts w:hint="eastAsia" w:ascii="楷体" w:hAnsi="楷体" w:eastAsia="楷体"/>
          <w:sz w:val="32"/>
          <w:szCs w:val="32"/>
          <w:highlight w:val="none"/>
        </w:rPr>
        <w:t>万平方米，比上年下降34.8%；新开工面积43.1万平方米，比上年下降21.8%；商品房销售面积97.1万平方米，比上年下降3%；商品房销售额108.2亿元，比上年下降2.5%。</w:t>
      </w:r>
    </w:p>
    <w:p w14:paraId="5B5D8972">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楷体" w:hAnsi="楷体" w:eastAsia="楷体" w:cs="黑体"/>
          <w:b/>
          <w:bCs/>
          <w:sz w:val="32"/>
          <w:szCs w:val="32"/>
          <w:highlight w:val="none"/>
          <w:lang w:val="en-US" w:eastAsia="zh-CN"/>
        </w:rPr>
      </w:pPr>
      <w:r>
        <w:rPr>
          <w:rFonts w:hint="eastAsia" w:ascii="楷体" w:hAnsi="楷体" w:eastAsia="楷体" w:cs="黑体"/>
          <w:b/>
          <w:bCs/>
          <w:sz w:val="32"/>
          <w:szCs w:val="32"/>
          <w:highlight w:val="none"/>
          <w:lang w:val="en-US" w:eastAsia="zh-CN"/>
        </w:rPr>
        <w:t>对外经济</w:t>
      </w:r>
    </w:p>
    <w:p w14:paraId="2E9F07E7">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楷体" w:hAnsi="楷体" w:eastAsia="楷体" w:cs="黑体"/>
          <w:b/>
          <w:bCs/>
          <w:sz w:val="32"/>
          <w:szCs w:val="32"/>
          <w:highlight w:val="none"/>
          <w:lang w:val="en-US" w:eastAsia="zh-CN"/>
        </w:rPr>
      </w:pPr>
      <w:r>
        <w:rPr>
          <w:rFonts w:ascii="楷体" w:hAnsi="楷体" w:eastAsia="楷体" w:cs="宋体"/>
          <w:kern w:val="0"/>
          <w:sz w:val="32"/>
          <w:szCs w:val="32"/>
          <w:highlight w:val="none"/>
        </w:rPr>
        <w:t>202</w:t>
      </w:r>
      <w:r>
        <w:rPr>
          <w:rFonts w:hint="eastAsia" w:ascii="楷体" w:hAnsi="楷体" w:eastAsia="楷体" w:cs="宋体"/>
          <w:kern w:val="0"/>
          <w:sz w:val="32"/>
          <w:szCs w:val="32"/>
          <w:highlight w:val="none"/>
          <w:lang w:val="en-US" w:eastAsia="zh-CN"/>
        </w:rPr>
        <w:t>4</w:t>
      </w:r>
      <w:r>
        <w:rPr>
          <w:rFonts w:ascii="楷体" w:hAnsi="楷体" w:eastAsia="楷体" w:cs="宋体"/>
          <w:kern w:val="0"/>
          <w:sz w:val="32"/>
          <w:szCs w:val="32"/>
          <w:highlight w:val="none"/>
        </w:rPr>
        <w:t>年，</w:t>
      </w:r>
      <w:r>
        <w:rPr>
          <w:rFonts w:hint="eastAsia" w:ascii="楷体" w:hAnsi="楷体" w:eastAsia="楷体" w:cs="宋体"/>
          <w:kern w:val="0"/>
          <w:sz w:val="32"/>
          <w:szCs w:val="32"/>
          <w:highlight w:val="none"/>
        </w:rPr>
        <w:t>利用外资全年完成</w:t>
      </w:r>
      <w:r>
        <w:rPr>
          <w:rFonts w:hint="eastAsia" w:ascii="楷体" w:hAnsi="楷体" w:eastAsia="楷体" w:cs="宋体"/>
          <w:kern w:val="0"/>
          <w:sz w:val="32"/>
          <w:szCs w:val="32"/>
          <w:highlight w:val="none"/>
          <w:lang w:val="en-US" w:eastAsia="zh-CN"/>
        </w:rPr>
        <w:t>0.4亿</w:t>
      </w:r>
      <w:r>
        <w:rPr>
          <w:rFonts w:hint="eastAsia" w:ascii="楷体" w:hAnsi="楷体" w:eastAsia="楷体" w:cs="宋体"/>
          <w:kern w:val="0"/>
          <w:sz w:val="32"/>
          <w:szCs w:val="32"/>
          <w:highlight w:val="none"/>
        </w:rPr>
        <w:t>美元，比上年</w:t>
      </w:r>
      <w:r>
        <w:rPr>
          <w:rFonts w:hint="eastAsia" w:ascii="楷体" w:hAnsi="楷体" w:eastAsia="楷体" w:cs="宋体"/>
          <w:kern w:val="0"/>
          <w:sz w:val="32"/>
          <w:szCs w:val="32"/>
          <w:highlight w:val="none"/>
          <w:lang w:eastAsia="zh"/>
        </w:rPr>
        <w:t>下降</w:t>
      </w:r>
      <w:r>
        <w:rPr>
          <w:rFonts w:hint="eastAsia" w:ascii="楷体" w:hAnsi="楷体" w:eastAsia="楷体" w:cs="宋体"/>
          <w:kern w:val="0"/>
          <w:sz w:val="32"/>
          <w:szCs w:val="32"/>
          <w:highlight w:val="none"/>
          <w:lang w:val="en-US" w:eastAsia="zh-CN"/>
        </w:rPr>
        <w:t>21.9</w:t>
      </w:r>
      <w:r>
        <w:rPr>
          <w:rFonts w:hint="eastAsia" w:ascii="楷体" w:hAnsi="楷体" w:eastAsia="楷体" w:cs="宋体"/>
          <w:kern w:val="0"/>
          <w:sz w:val="32"/>
          <w:szCs w:val="32"/>
          <w:highlight w:val="none"/>
        </w:rPr>
        <w:t>%，到位内资全年完成281.7亿</w:t>
      </w:r>
      <w:r>
        <w:rPr>
          <w:rFonts w:ascii="楷体" w:hAnsi="楷体" w:eastAsia="楷体" w:cs="宋体"/>
          <w:kern w:val="0"/>
          <w:sz w:val="32"/>
          <w:szCs w:val="32"/>
          <w:highlight w:val="none"/>
        </w:rPr>
        <w:t>元，</w:t>
      </w:r>
      <w:r>
        <w:rPr>
          <w:rFonts w:hint="eastAsia" w:ascii="楷体" w:hAnsi="楷体" w:eastAsia="楷体" w:cs="宋体"/>
          <w:kern w:val="0"/>
          <w:sz w:val="32"/>
          <w:szCs w:val="32"/>
          <w:highlight w:val="none"/>
        </w:rPr>
        <w:t>比上年</w:t>
      </w:r>
      <w:r>
        <w:rPr>
          <w:rFonts w:hint="eastAsia" w:ascii="楷体" w:hAnsi="楷体" w:eastAsia="楷体" w:cs="宋体"/>
          <w:kern w:val="0"/>
          <w:sz w:val="32"/>
          <w:szCs w:val="32"/>
          <w:highlight w:val="none"/>
          <w:lang w:val="en-US" w:eastAsia="zh-CN"/>
        </w:rPr>
        <w:t>下降4.1</w:t>
      </w:r>
      <w:r>
        <w:rPr>
          <w:rFonts w:hint="eastAsia" w:ascii="楷体" w:hAnsi="楷体" w:eastAsia="楷体" w:cs="宋体"/>
          <w:kern w:val="0"/>
          <w:sz w:val="32"/>
          <w:szCs w:val="32"/>
          <w:highlight w:val="none"/>
        </w:rPr>
        <w:t>%</w:t>
      </w:r>
      <w:r>
        <w:rPr>
          <w:rFonts w:ascii="楷体" w:hAnsi="楷体" w:eastAsia="楷体" w:cs="宋体"/>
          <w:kern w:val="0"/>
          <w:sz w:val="32"/>
          <w:szCs w:val="32"/>
          <w:highlight w:val="none"/>
        </w:rPr>
        <w:t>。</w:t>
      </w:r>
      <w:r>
        <w:rPr>
          <w:rFonts w:hint="eastAsia" w:ascii="楷体" w:hAnsi="楷体" w:eastAsia="楷体" w:cs="宋体"/>
          <w:kern w:val="0"/>
          <w:sz w:val="32"/>
          <w:szCs w:val="32"/>
          <w:highlight w:val="none"/>
          <w:lang w:val="en-US" w:eastAsia="zh-CN"/>
        </w:rPr>
        <w:t>进出口总额151.5亿元，比上年增长8.8%。</w:t>
      </w:r>
    </w:p>
    <w:p w14:paraId="333BD44E">
      <w:pPr>
        <w:keepNext w:val="0"/>
        <w:keepLines w:val="0"/>
        <w:pageBreakBefore w:val="0"/>
        <w:widowControl/>
        <w:kinsoku/>
        <w:wordWrap/>
        <w:overflowPunct/>
        <w:topLinePunct w:val="0"/>
        <w:bidi w:val="0"/>
        <w:snapToGrid/>
        <w:spacing w:line="560" w:lineRule="exact"/>
        <w:ind w:firstLine="640" w:firstLineChars="200"/>
        <w:textAlignment w:val="auto"/>
        <w:rPr>
          <w:rFonts w:ascii="黑体" w:hAnsi="黑体" w:eastAsia="黑体" w:cs="宋体"/>
          <w:b w:val="0"/>
          <w:bCs w:val="0"/>
          <w:kern w:val="0"/>
          <w:sz w:val="32"/>
          <w:szCs w:val="32"/>
          <w:highlight w:val="none"/>
        </w:rPr>
      </w:pPr>
      <w:r>
        <w:rPr>
          <w:rFonts w:hint="eastAsia" w:ascii="黑体" w:hAnsi="黑体" w:eastAsia="黑体" w:cs="宋体"/>
          <w:b w:val="0"/>
          <w:bCs w:val="0"/>
          <w:kern w:val="0"/>
          <w:sz w:val="32"/>
          <w:szCs w:val="32"/>
          <w:highlight w:val="none"/>
          <w:lang w:val="en-US" w:eastAsia="zh-CN"/>
        </w:rPr>
        <w:t>六</w:t>
      </w:r>
      <w:r>
        <w:rPr>
          <w:rFonts w:hint="eastAsia" w:ascii="黑体" w:hAnsi="黑体" w:eastAsia="黑体" w:cs="宋体"/>
          <w:b w:val="0"/>
          <w:bCs w:val="0"/>
          <w:kern w:val="0"/>
          <w:sz w:val="32"/>
          <w:szCs w:val="32"/>
          <w:highlight w:val="none"/>
        </w:rPr>
        <w:t>、</w:t>
      </w:r>
      <w:r>
        <w:rPr>
          <w:rFonts w:ascii="黑体" w:hAnsi="黑体" w:eastAsia="黑体" w:cs="宋体"/>
          <w:b w:val="0"/>
          <w:bCs w:val="0"/>
          <w:kern w:val="0"/>
          <w:sz w:val="32"/>
          <w:szCs w:val="32"/>
          <w:highlight w:val="none"/>
        </w:rPr>
        <w:t>财政收支、社会保障</w:t>
      </w:r>
    </w:p>
    <w:p w14:paraId="3F4F03D4">
      <w:pPr>
        <w:keepNext w:val="0"/>
        <w:keepLines w:val="0"/>
        <w:pageBreakBefore w:val="0"/>
        <w:widowControl/>
        <w:kinsoku/>
        <w:wordWrap/>
        <w:overflowPunct/>
        <w:topLinePunct w:val="0"/>
        <w:bidi w:val="0"/>
        <w:snapToGrid/>
        <w:spacing w:line="560" w:lineRule="exact"/>
        <w:ind w:firstLine="643" w:firstLineChars="200"/>
        <w:textAlignment w:val="auto"/>
        <w:rPr>
          <w:rFonts w:ascii="楷体" w:hAnsi="楷体" w:eastAsia="楷体" w:cs="宋体"/>
          <w:b/>
          <w:kern w:val="0"/>
          <w:sz w:val="32"/>
          <w:szCs w:val="32"/>
          <w:highlight w:val="none"/>
        </w:rPr>
      </w:pPr>
      <w:r>
        <w:rPr>
          <w:rFonts w:ascii="楷体" w:hAnsi="楷体" w:eastAsia="楷体" w:cs="宋体"/>
          <w:b/>
          <w:kern w:val="0"/>
          <w:sz w:val="32"/>
          <w:szCs w:val="32"/>
          <w:highlight w:val="none"/>
        </w:rPr>
        <w:t>财政</w:t>
      </w:r>
      <w:r>
        <w:rPr>
          <w:rFonts w:hint="eastAsia" w:ascii="楷体" w:hAnsi="楷体" w:eastAsia="楷体" w:cs="宋体"/>
          <w:b/>
          <w:kern w:val="0"/>
          <w:sz w:val="32"/>
          <w:szCs w:val="32"/>
          <w:highlight w:val="none"/>
        </w:rPr>
        <w:t>收支</w:t>
      </w:r>
    </w:p>
    <w:p w14:paraId="389AF290">
      <w:pPr>
        <w:keepNext w:val="0"/>
        <w:keepLines w:val="0"/>
        <w:pageBreakBefore w:val="0"/>
        <w:kinsoku/>
        <w:wordWrap/>
        <w:overflowPunct/>
        <w:topLinePunct w:val="0"/>
        <w:autoSpaceDE w:val="0"/>
        <w:autoSpaceDN w:val="0"/>
        <w:bidi w:val="0"/>
        <w:adjustRightInd w:val="0"/>
        <w:snapToGrid/>
        <w:spacing w:line="560" w:lineRule="exact"/>
        <w:ind w:firstLine="664" w:firstLineChars="200"/>
        <w:textAlignment w:val="auto"/>
        <w:rPr>
          <w:rFonts w:hint="eastAsia" w:ascii="楷体" w:hAnsi="楷体" w:eastAsia="楷体" w:cs="宋体"/>
          <w:spacing w:val="6"/>
          <w:kern w:val="0"/>
          <w:sz w:val="32"/>
          <w:szCs w:val="32"/>
          <w:highlight w:val="none"/>
          <w:lang w:val="zh-CN"/>
        </w:rPr>
      </w:pPr>
      <w:r>
        <w:rPr>
          <w:rFonts w:hint="eastAsia" w:ascii="楷体" w:hAnsi="楷体" w:eastAsia="楷体" w:cs="宋体"/>
          <w:spacing w:val="6"/>
          <w:kern w:val="0"/>
          <w:sz w:val="32"/>
          <w:szCs w:val="32"/>
          <w:highlight w:val="none"/>
          <w:lang w:val="zh-CN"/>
        </w:rPr>
        <w:t xml:space="preserve">2024年，一般公共预算收入110.6亿元,其中：税收收入79.7亿元、非税收入30.9亿元。政府性基金收入55.3亿元。 </w:t>
      </w:r>
    </w:p>
    <w:p w14:paraId="415CD8D7">
      <w:pPr>
        <w:keepNext w:val="0"/>
        <w:keepLines w:val="0"/>
        <w:pageBreakBefore w:val="0"/>
        <w:kinsoku/>
        <w:wordWrap/>
        <w:overflowPunct/>
        <w:topLinePunct w:val="0"/>
        <w:autoSpaceDE w:val="0"/>
        <w:autoSpaceDN w:val="0"/>
        <w:bidi w:val="0"/>
        <w:adjustRightInd w:val="0"/>
        <w:snapToGrid/>
        <w:spacing w:line="560" w:lineRule="exact"/>
        <w:ind w:firstLine="664" w:firstLineChars="200"/>
        <w:textAlignment w:val="auto"/>
        <w:rPr>
          <w:rFonts w:hint="eastAsia" w:ascii="楷体" w:hAnsi="楷体" w:eastAsia="楷体" w:cs="宋体"/>
          <w:spacing w:val="6"/>
          <w:kern w:val="0"/>
          <w:sz w:val="32"/>
          <w:szCs w:val="32"/>
          <w:highlight w:val="none"/>
          <w:lang w:val="en-US" w:eastAsia="zh-CN"/>
        </w:rPr>
      </w:pPr>
      <w:r>
        <w:rPr>
          <w:rFonts w:hint="eastAsia" w:ascii="楷体" w:hAnsi="楷体" w:eastAsia="楷体" w:cs="宋体"/>
          <w:spacing w:val="6"/>
          <w:kern w:val="0"/>
          <w:sz w:val="32"/>
          <w:szCs w:val="32"/>
          <w:highlight w:val="none"/>
          <w:lang w:val="zh-CN"/>
        </w:rPr>
        <w:t>2024年，一般公共预算支出101.7亿元，其中：教育支出8.4亿元、科技支出16.1亿元、农林水事务支出3.2亿元、社会保障和就业支出9.1亿元、医疗卫生支出2.3亿元。政府性基金支出45.8亿元，其中城乡社区事务支出32.2亿元。</w:t>
      </w:r>
      <w:r>
        <w:rPr>
          <w:rFonts w:hint="eastAsia" w:ascii="楷体" w:hAnsi="楷体" w:eastAsia="楷体" w:cs="宋体"/>
          <w:spacing w:val="6"/>
          <w:kern w:val="0"/>
          <w:sz w:val="32"/>
          <w:szCs w:val="32"/>
          <w:highlight w:val="none"/>
          <w:lang w:val="en-US" w:eastAsia="zh-CN"/>
        </w:rPr>
        <w:t xml:space="preserve"> </w:t>
      </w:r>
    </w:p>
    <w:p w14:paraId="5D3AAC78">
      <w:pPr>
        <w:keepNext w:val="0"/>
        <w:keepLines w:val="0"/>
        <w:pageBreakBefore w:val="0"/>
        <w:widowControl/>
        <w:tabs>
          <w:tab w:val="left" w:pos="3165"/>
        </w:tabs>
        <w:kinsoku/>
        <w:wordWrap/>
        <w:overflowPunct/>
        <w:topLinePunct w:val="0"/>
        <w:bidi w:val="0"/>
        <w:snapToGrid/>
        <w:spacing w:line="560" w:lineRule="exact"/>
        <w:ind w:firstLine="643" w:firstLineChars="200"/>
        <w:textAlignment w:val="auto"/>
        <w:rPr>
          <w:rFonts w:ascii="楷体" w:hAnsi="楷体" w:eastAsia="楷体" w:cs="宋体"/>
          <w:b/>
          <w:color w:val="FF0000"/>
          <w:kern w:val="0"/>
          <w:sz w:val="32"/>
          <w:szCs w:val="32"/>
          <w:highlight w:val="none"/>
        </w:rPr>
      </w:pPr>
      <w:r>
        <w:rPr>
          <w:rFonts w:hint="eastAsia" w:ascii="楷体" w:hAnsi="楷体" w:eastAsia="楷体" w:cs="宋体"/>
          <w:b/>
          <w:kern w:val="0"/>
          <w:sz w:val="32"/>
          <w:szCs w:val="32"/>
          <w:highlight w:val="none"/>
        </w:rPr>
        <w:t>社会保障</w:t>
      </w:r>
      <w:r>
        <w:rPr>
          <w:rFonts w:ascii="楷体" w:hAnsi="楷体" w:eastAsia="楷体" w:cs="宋体"/>
          <w:b/>
          <w:color w:val="FF0000"/>
          <w:kern w:val="0"/>
          <w:sz w:val="32"/>
          <w:szCs w:val="32"/>
          <w:highlight w:val="none"/>
        </w:rPr>
        <w:tab/>
      </w:r>
    </w:p>
    <w:p w14:paraId="578B5F22">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val="en-US" w:eastAsia="zh-CN"/>
        </w:rPr>
        <w:t>2024</w:t>
      </w:r>
      <w:r>
        <w:rPr>
          <w:rFonts w:hint="eastAsia" w:ascii="楷体" w:hAnsi="楷体" w:eastAsia="楷体"/>
          <w:sz w:val="32"/>
          <w:szCs w:val="32"/>
          <w:highlight w:val="none"/>
        </w:rPr>
        <w:t>年，城镇新增就业</w:t>
      </w:r>
      <w:r>
        <w:rPr>
          <w:rFonts w:hint="eastAsia" w:ascii="楷体" w:hAnsi="楷体" w:eastAsia="楷体"/>
          <w:sz w:val="32"/>
          <w:szCs w:val="32"/>
          <w:highlight w:val="none"/>
          <w:lang w:val="en-US" w:eastAsia="zh-CN"/>
        </w:rPr>
        <w:t>27716</w:t>
      </w:r>
      <w:r>
        <w:rPr>
          <w:rFonts w:hint="eastAsia" w:ascii="楷体" w:hAnsi="楷体" w:eastAsia="楷体"/>
          <w:sz w:val="32"/>
          <w:szCs w:val="32"/>
          <w:highlight w:val="none"/>
        </w:rPr>
        <w:t>人，失业人员再就业</w:t>
      </w:r>
      <w:r>
        <w:rPr>
          <w:rFonts w:hint="eastAsia" w:ascii="楷体" w:hAnsi="楷体" w:eastAsia="楷体"/>
          <w:sz w:val="32"/>
          <w:szCs w:val="32"/>
          <w:highlight w:val="none"/>
          <w:lang w:val="en-US" w:eastAsia="zh-CN"/>
        </w:rPr>
        <w:t>14472</w:t>
      </w:r>
      <w:r>
        <w:rPr>
          <w:rFonts w:hint="eastAsia" w:ascii="楷体" w:hAnsi="楷体" w:eastAsia="楷体"/>
          <w:sz w:val="32"/>
          <w:szCs w:val="32"/>
          <w:highlight w:val="none"/>
        </w:rPr>
        <w:t>人，就业困难人员就业</w:t>
      </w:r>
      <w:r>
        <w:rPr>
          <w:rFonts w:hint="eastAsia" w:ascii="楷体" w:hAnsi="楷体" w:eastAsia="楷体"/>
          <w:sz w:val="32"/>
          <w:szCs w:val="32"/>
          <w:highlight w:val="none"/>
          <w:lang w:val="en-US" w:eastAsia="zh-CN"/>
        </w:rPr>
        <w:t>1505</w:t>
      </w:r>
      <w:r>
        <w:rPr>
          <w:rFonts w:hint="eastAsia" w:ascii="楷体" w:hAnsi="楷体" w:eastAsia="楷体"/>
          <w:sz w:val="32"/>
          <w:szCs w:val="32"/>
          <w:highlight w:val="none"/>
        </w:rPr>
        <w:t>人，城镇登记失业人员</w:t>
      </w:r>
      <w:r>
        <w:rPr>
          <w:rFonts w:hint="eastAsia" w:ascii="楷体" w:hAnsi="楷体" w:eastAsia="楷体"/>
          <w:sz w:val="32"/>
          <w:szCs w:val="32"/>
          <w:highlight w:val="none"/>
          <w:lang w:val="en-US" w:eastAsia="zh-CN"/>
        </w:rPr>
        <w:t>9400</w:t>
      </w:r>
      <w:r>
        <w:rPr>
          <w:rFonts w:hint="eastAsia" w:ascii="楷体" w:hAnsi="楷体" w:eastAsia="楷体"/>
          <w:sz w:val="32"/>
          <w:szCs w:val="32"/>
          <w:highlight w:val="none"/>
        </w:rPr>
        <w:t>人。开展普惠制培训</w:t>
      </w:r>
      <w:r>
        <w:rPr>
          <w:rFonts w:hint="eastAsia" w:ascii="楷体" w:hAnsi="楷体" w:eastAsia="楷体"/>
          <w:color w:val="000000" w:themeColor="text1"/>
          <w:sz w:val="32"/>
          <w:szCs w:val="32"/>
          <w:highlight w:val="none"/>
          <w:lang w:val="en-US" w:eastAsia="zh-CN"/>
          <w14:textFill>
            <w14:solidFill>
              <w14:schemeClr w14:val="tx1"/>
            </w14:solidFill>
          </w14:textFill>
        </w:rPr>
        <w:t>1215</w:t>
      </w:r>
      <w:r>
        <w:rPr>
          <w:rFonts w:hint="eastAsia" w:ascii="楷体" w:hAnsi="楷体" w:eastAsia="楷体"/>
          <w:sz w:val="32"/>
          <w:szCs w:val="32"/>
          <w:highlight w:val="none"/>
        </w:rPr>
        <w:t>人，扶持创业带头人</w:t>
      </w:r>
      <w:r>
        <w:rPr>
          <w:rFonts w:hint="eastAsia" w:ascii="楷体" w:hAnsi="楷体" w:eastAsia="楷体"/>
          <w:sz w:val="32"/>
          <w:szCs w:val="32"/>
          <w:highlight w:val="none"/>
          <w:lang w:val="en-US" w:eastAsia="zh-CN"/>
        </w:rPr>
        <w:t>704</w:t>
      </w:r>
      <w:r>
        <w:rPr>
          <w:rFonts w:hint="eastAsia" w:ascii="楷体" w:hAnsi="楷体" w:eastAsia="楷体"/>
          <w:sz w:val="32"/>
          <w:szCs w:val="32"/>
          <w:highlight w:val="none"/>
        </w:rPr>
        <w:t>人，带动就业</w:t>
      </w:r>
      <w:r>
        <w:rPr>
          <w:rFonts w:hint="eastAsia" w:ascii="楷体" w:hAnsi="楷体" w:eastAsia="楷体"/>
          <w:sz w:val="32"/>
          <w:szCs w:val="32"/>
          <w:highlight w:val="none"/>
          <w:lang w:val="en-US" w:eastAsia="zh-CN"/>
        </w:rPr>
        <w:t>4178</w:t>
      </w:r>
      <w:r>
        <w:rPr>
          <w:rFonts w:hint="eastAsia" w:ascii="楷体" w:hAnsi="楷体" w:eastAsia="楷体"/>
          <w:sz w:val="32"/>
          <w:szCs w:val="32"/>
          <w:highlight w:val="none"/>
        </w:rPr>
        <w:t>人，全年发放创业担保贷款</w:t>
      </w:r>
      <w:r>
        <w:rPr>
          <w:rFonts w:hint="eastAsia" w:ascii="楷体" w:hAnsi="楷体" w:eastAsia="楷体"/>
          <w:sz w:val="32"/>
          <w:szCs w:val="32"/>
          <w:highlight w:val="none"/>
          <w:lang w:val="en-US" w:eastAsia="zh-CN"/>
        </w:rPr>
        <w:t>12810.6万</w:t>
      </w:r>
      <w:r>
        <w:rPr>
          <w:rFonts w:hint="eastAsia" w:ascii="楷体" w:hAnsi="楷体" w:eastAsia="楷体"/>
          <w:sz w:val="32"/>
          <w:szCs w:val="32"/>
          <w:highlight w:val="none"/>
        </w:rPr>
        <w:t>元。</w:t>
      </w:r>
    </w:p>
    <w:p w14:paraId="47AFCF5F">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lang w:val="en-US" w:eastAsia="zh-CN"/>
        </w:rPr>
      </w:pPr>
      <w:r>
        <w:rPr>
          <w:rFonts w:hint="eastAsia" w:ascii="楷体" w:hAnsi="楷体" w:eastAsia="楷体"/>
          <w:sz w:val="32"/>
          <w:szCs w:val="32"/>
          <w:highlight w:val="none"/>
          <w:lang w:val="en-US" w:eastAsia="zh-CN"/>
        </w:rPr>
        <w:t>2024年，全区失业保险参保人数1.1万人，其中新参保0.3万人，恢复缴费0.8万人。线下受理发放失业保险金3926人。</w:t>
      </w:r>
    </w:p>
    <w:p w14:paraId="765B7D85">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val="en-US" w:eastAsia="zh-CN"/>
        </w:rPr>
        <w:t>以</w:t>
      </w:r>
      <w:r>
        <w:rPr>
          <w:rFonts w:hint="eastAsia" w:ascii="楷体" w:hAnsi="楷体" w:eastAsia="楷体"/>
          <w:sz w:val="32"/>
          <w:szCs w:val="32"/>
          <w:highlight w:val="none"/>
        </w:rPr>
        <w:t>“直播带岗”</w:t>
      </w:r>
      <w:r>
        <w:rPr>
          <w:rFonts w:hint="eastAsia" w:ascii="楷体" w:hAnsi="楷体" w:eastAsia="楷体"/>
          <w:sz w:val="32"/>
          <w:szCs w:val="32"/>
          <w:highlight w:val="none"/>
          <w:lang w:eastAsia="zh-CN"/>
        </w:rPr>
        <w:t>活动</w:t>
      </w:r>
      <w:r>
        <w:rPr>
          <w:rFonts w:hint="eastAsia" w:ascii="楷体" w:hAnsi="楷体" w:eastAsia="楷体"/>
          <w:sz w:val="32"/>
          <w:szCs w:val="32"/>
          <w:highlight w:val="none"/>
          <w:lang w:val="en-US" w:eastAsia="zh-CN"/>
        </w:rPr>
        <w:t>推动就业</w:t>
      </w:r>
      <w:r>
        <w:rPr>
          <w:rFonts w:hint="eastAsia" w:ascii="楷体" w:hAnsi="楷体" w:eastAsia="楷体"/>
          <w:sz w:val="32"/>
          <w:szCs w:val="32"/>
          <w:highlight w:val="none"/>
        </w:rPr>
        <w:t>。全年开展“</w:t>
      </w:r>
      <w:r>
        <w:rPr>
          <w:rFonts w:hint="eastAsia" w:ascii="楷体" w:hAnsi="楷体" w:eastAsia="楷体"/>
          <w:sz w:val="32"/>
          <w:szCs w:val="32"/>
          <w:highlight w:val="none"/>
          <w:lang w:eastAsia="zh-CN"/>
        </w:rPr>
        <w:t>才聚云端</w:t>
      </w:r>
      <w:r>
        <w:rPr>
          <w:rFonts w:hint="eastAsia" w:ascii="楷体" w:hAnsi="楷体" w:eastAsia="楷体"/>
          <w:sz w:val="32"/>
          <w:szCs w:val="32"/>
          <w:highlight w:val="none"/>
          <w:lang w:val="en-US" w:eastAsia="zh-CN"/>
        </w:rPr>
        <w:t xml:space="preserve"> 职在浑南</w:t>
      </w:r>
      <w:r>
        <w:rPr>
          <w:rFonts w:hint="eastAsia" w:ascii="楷体" w:hAnsi="楷体" w:eastAsia="楷体"/>
          <w:sz w:val="32"/>
          <w:szCs w:val="32"/>
          <w:highlight w:val="none"/>
        </w:rPr>
        <w:t>”、“</w:t>
      </w:r>
      <w:r>
        <w:rPr>
          <w:rFonts w:hint="eastAsia" w:ascii="楷体" w:hAnsi="楷体" w:eastAsia="楷体"/>
          <w:sz w:val="32"/>
          <w:szCs w:val="32"/>
          <w:highlight w:val="none"/>
          <w:lang w:eastAsia="zh-CN"/>
        </w:rPr>
        <w:t>直播带岗不停步</w:t>
      </w:r>
      <w:r>
        <w:rPr>
          <w:rFonts w:hint="eastAsia" w:ascii="楷体" w:hAnsi="楷体" w:eastAsia="楷体"/>
          <w:sz w:val="32"/>
          <w:szCs w:val="32"/>
          <w:highlight w:val="none"/>
          <w:lang w:val="en-US" w:eastAsia="zh-CN"/>
        </w:rPr>
        <w:t xml:space="preserve"> </w:t>
      </w:r>
      <w:r>
        <w:rPr>
          <w:rFonts w:hint="eastAsia" w:ascii="楷体" w:hAnsi="楷体" w:eastAsia="楷体"/>
          <w:sz w:val="32"/>
          <w:szCs w:val="32"/>
          <w:highlight w:val="none"/>
          <w:lang w:eastAsia="zh-CN"/>
        </w:rPr>
        <w:t>浑南人社有温度”等</w:t>
      </w:r>
      <w:r>
        <w:rPr>
          <w:rFonts w:hint="eastAsia" w:ascii="楷体" w:hAnsi="楷体" w:eastAsia="楷体"/>
          <w:sz w:val="32"/>
          <w:szCs w:val="32"/>
          <w:highlight w:val="none"/>
          <w:lang w:val="en-US" w:eastAsia="zh-CN"/>
        </w:rPr>
        <w:t>34场</w:t>
      </w:r>
      <w:r>
        <w:rPr>
          <w:rFonts w:hint="eastAsia" w:ascii="楷体" w:hAnsi="楷体" w:eastAsia="楷体"/>
          <w:sz w:val="32"/>
          <w:szCs w:val="32"/>
          <w:highlight w:val="none"/>
        </w:rPr>
        <w:t>直播带岗活动。立足职能，聚焦稳岗就业人社重点领域，灵活开展各项活动，推进落实就业工作，扩大人社政策覆盖面，助力人才供需精准对接。开展高层次人才认定工作，人才数量</w:t>
      </w:r>
      <w:r>
        <w:rPr>
          <w:rFonts w:hint="eastAsia" w:ascii="楷体" w:hAnsi="楷体" w:eastAsia="楷体"/>
          <w:sz w:val="32"/>
          <w:szCs w:val="32"/>
          <w:highlight w:val="none"/>
          <w:lang w:val="en-US" w:eastAsia="zh-CN"/>
        </w:rPr>
        <w:t>322</w:t>
      </w:r>
      <w:r>
        <w:rPr>
          <w:rFonts w:hint="eastAsia" w:ascii="楷体" w:hAnsi="楷体" w:eastAsia="楷体"/>
          <w:sz w:val="32"/>
          <w:szCs w:val="32"/>
          <w:highlight w:val="none"/>
        </w:rPr>
        <w:t>人。来沈留沈就业创业高校毕业生</w:t>
      </w:r>
      <w:r>
        <w:rPr>
          <w:rFonts w:hint="eastAsia" w:ascii="楷体" w:hAnsi="楷体" w:eastAsia="楷体"/>
          <w:sz w:val="32"/>
          <w:szCs w:val="32"/>
          <w:highlight w:val="none"/>
          <w:lang w:val="en-US" w:eastAsia="zh-CN"/>
        </w:rPr>
        <w:t>15236</w:t>
      </w:r>
      <w:r>
        <w:rPr>
          <w:rFonts w:hint="eastAsia" w:ascii="楷体" w:hAnsi="楷体" w:eastAsia="楷体"/>
          <w:sz w:val="32"/>
          <w:szCs w:val="32"/>
          <w:highlight w:val="none"/>
        </w:rPr>
        <w:t>人。</w:t>
      </w:r>
    </w:p>
    <w:p w14:paraId="3B3659DA">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2024年</w:t>
      </w:r>
      <w:r>
        <w:rPr>
          <w:rFonts w:hint="eastAsia" w:ascii="楷体" w:hAnsi="楷体" w:eastAsia="楷体"/>
          <w:sz w:val="32"/>
          <w:szCs w:val="32"/>
          <w:highlight w:val="none"/>
          <w:lang w:eastAsia="zh-CN"/>
        </w:rPr>
        <w:t>，</w:t>
      </w:r>
      <w:r>
        <w:rPr>
          <w:rFonts w:hint="eastAsia" w:ascii="楷体" w:hAnsi="楷体" w:eastAsia="楷体"/>
          <w:sz w:val="32"/>
          <w:szCs w:val="32"/>
          <w:highlight w:val="none"/>
        </w:rPr>
        <w:t>为城乡低保户1560户、2180人发放保障金2101.6万元</w:t>
      </w:r>
      <w:r>
        <w:rPr>
          <w:rFonts w:hint="eastAsia" w:ascii="楷体" w:hAnsi="楷体" w:eastAsia="楷体"/>
          <w:sz w:val="32"/>
          <w:szCs w:val="32"/>
          <w:highlight w:val="none"/>
          <w:lang w:eastAsia="zh-CN"/>
        </w:rPr>
        <w:t>，</w:t>
      </w:r>
      <w:r>
        <w:rPr>
          <w:rFonts w:hint="eastAsia" w:ascii="楷体" w:hAnsi="楷体" w:eastAsia="楷体"/>
          <w:sz w:val="32"/>
          <w:szCs w:val="32"/>
          <w:highlight w:val="none"/>
        </w:rPr>
        <w:t>为城乡特困人员291户、303人发放资金446.5万元</w:t>
      </w:r>
      <w:r>
        <w:rPr>
          <w:rFonts w:hint="eastAsia" w:ascii="楷体" w:hAnsi="楷体" w:eastAsia="楷体"/>
          <w:sz w:val="32"/>
          <w:szCs w:val="32"/>
          <w:highlight w:val="none"/>
          <w:lang w:eastAsia="zh-CN"/>
        </w:rPr>
        <w:t>，</w:t>
      </w:r>
      <w:r>
        <w:rPr>
          <w:rFonts w:hint="eastAsia" w:ascii="楷体" w:hAnsi="楷体" w:eastAsia="楷体"/>
          <w:sz w:val="32"/>
          <w:szCs w:val="32"/>
          <w:highlight w:val="none"/>
        </w:rPr>
        <w:t>落实特殊群体补贴发放工作，为4204名残疾人发放“两项补贴”612.0万元；全年共发放各类资金375</w:t>
      </w:r>
      <w:r>
        <w:rPr>
          <w:rFonts w:hint="eastAsia" w:ascii="楷体" w:hAnsi="楷体" w:eastAsia="楷体"/>
          <w:sz w:val="32"/>
          <w:szCs w:val="32"/>
          <w:highlight w:val="none"/>
          <w:lang w:val="en-US" w:eastAsia="zh-CN"/>
        </w:rPr>
        <w:t>1.0</w:t>
      </w:r>
      <w:r>
        <w:rPr>
          <w:rFonts w:hint="eastAsia" w:ascii="楷体" w:hAnsi="楷体" w:eastAsia="楷体"/>
          <w:sz w:val="32"/>
          <w:szCs w:val="32"/>
          <w:highlight w:val="none"/>
        </w:rPr>
        <w:t>万元。</w:t>
      </w:r>
    </w:p>
    <w:p w14:paraId="5779D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pacing w:val="0"/>
          <w:kern w:val="21"/>
          <w:sz w:val="32"/>
          <w:szCs w:val="32"/>
          <w:highlight w:val="none"/>
          <w:lang w:val="en-US" w:eastAsia="zh-CN"/>
        </w:rPr>
      </w:pPr>
      <w:r>
        <w:rPr>
          <w:rFonts w:hint="eastAsia" w:ascii="楷体" w:hAnsi="楷体" w:eastAsia="楷体" w:cs="Times New Roman"/>
          <w:color w:val="auto"/>
          <w:sz w:val="32"/>
          <w:szCs w:val="32"/>
          <w:highlight w:val="none"/>
          <w:lang w:val="en-US" w:eastAsia="zh-CN"/>
        </w:rPr>
        <w:t>2024年，政府购买居家养老服务，实现112个城市社区全覆盖，培育品质养老社区（村屯）156个，建成社区食堂23个，依托德澜全运村居家养老服务中心建成沈阳首家“养老服务+嵌入式护理站”，</w:t>
      </w:r>
      <w:r>
        <w:rPr>
          <w:rFonts w:hint="eastAsia" w:ascii="楷体" w:hAnsi="楷体" w:eastAsia="楷体" w:cs="楷体"/>
          <w:b w:val="0"/>
          <w:bCs w:val="0"/>
          <w:color w:val="auto"/>
          <w:spacing w:val="0"/>
          <w:kern w:val="21"/>
          <w:sz w:val="32"/>
          <w:szCs w:val="32"/>
          <w:lang w:val="en-US" w:eastAsia="zh-CN"/>
        </w:rPr>
        <w:t>建成沈阳市第一个区级智慧养老信息管理指挥中心，建成沈阳市唯一区级品质养老人才实训基地。</w:t>
      </w:r>
      <w:r>
        <w:rPr>
          <w:rFonts w:hint="eastAsia" w:ascii="楷体" w:hAnsi="楷体" w:eastAsia="楷体" w:cs="楷体"/>
          <w:color w:val="auto"/>
          <w:spacing w:val="0"/>
          <w:kern w:val="21"/>
          <w:sz w:val="32"/>
          <w:szCs w:val="32"/>
          <w:lang w:val="en-US" w:eastAsia="zh-CN"/>
        </w:rPr>
        <w:t>沈阳市浑南区社区居家养老服务设施网络建设项目，为</w:t>
      </w:r>
      <w:r>
        <w:rPr>
          <w:rFonts w:hint="eastAsia" w:ascii="楷体" w:hAnsi="楷体" w:eastAsia="楷体" w:cs="楷体"/>
          <w:b w:val="0"/>
          <w:bCs w:val="0"/>
          <w:color w:val="auto"/>
          <w:spacing w:val="0"/>
          <w:kern w:val="21"/>
          <w:sz w:val="32"/>
          <w:szCs w:val="32"/>
          <w:highlight w:val="none"/>
          <w:lang w:val="en-US" w:eastAsia="zh-CN"/>
        </w:rPr>
        <w:t>全省唯一成功申报2023年度中央预算内资金投资项目，总投资900万元，争取中央预算内投资715万元，辽宁省财政投资45万元。</w:t>
      </w:r>
      <w:r>
        <w:rPr>
          <w:rFonts w:hint="eastAsia" w:ascii="楷体" w:hAnsi="楷体" w:eastAsia="楷体" w:cs="楷体"/>
          <w:b w:val="0"/>
          <w:bCs w:val="0"/>
          <w:color w:val="auto"/>
          <w:spacing w:val="0"/>
          <w:kern w:val="21"/>
          <w:sz w:val="32"/>
          <w:szCs w:val="32"/>
          <w:lang w:val="en-US" w:eastAsia="zh-CN"/>
        </w:rPr>
        <w:t>在全省率先实现社区养老服务设施建设取得中央预算资金支持，全省</w:t>
      </w:r>
      <w:r>
        <w:rPr>
          <w:rFonts w:hint="eastAsia" w:ascii="楷体" w:hAnsi="楷体" w:eastAsia="楷体" w:cs="楷体"/>
          <w:b w:val="0"/>
          <w:bCs w:val="0"/>
          <w:color w:val="auto"/>
          <w:spacing w:val="0"/>
          <w:kern w:val="21"/>
          <w:sz w:val="32"/>
          <w:szCs w:val="32"/>
          <w:highlight w:val="none"/>
          <w:lang w:val="en-US" w:eastAsia="zh-CN"/>
        </w:rPr>
        <w:t>首创社区</w:t>
      </w:r>
      <w:r>
        <w:rPr>
          <w:rFonts w:hint="eastAsia" w:ascii="楷体" w:hAnsi="楷体" w:eastAsia="楷体" w:cs="楷体"/>
          <w:b w:val="0"/>
          <w:bCs w:val="0"/>
          <w:color w:val="auto"/>
          <w:spacing w:val="0"/>
          <w:kern w:val="21"/>
          <w:sz w:val="32"/>
          <w:szCs w:val="32"/>
          <w:lang w:val="en-US" w:eastAsia="zh-CN"/>
        </w:rPr>
        <w:t>“嵌入式”养老服务综合体</w:t>
      </w:r>
      <w:r>
        <w:rPr>
          <w:rFonts w:hint="eastAsia" w:ascii="楷体" w:hAnsi="楷体" w:eastAsia="楷体" w:cs="楷体"/>
          <w:b w:val="0"/>
          <w:bCs w:val="0"/>
          <w:color w:val="auto"/>
          <w:spacing w:val="0"/>
          <w:kern w:val="21"/>
          <w:sz w:val="32"/>
          <w:szCs w:val="32"/>
          <w:highlight w:val="none"/>
          <w:lang w:val="en-US" w:eastAsia="zh-CN"/>
        </w:rPr>
        <w:t>公建民营模式。白塔街道全运村社区先后被评为全国示范性老年友好型社区，</w:t>
      </w:r>
      <w:r>
        <w:rPr>
          <w:rFonts w:hint="eastAsia" w:ascii="楷体" w:hAnsi="楷体" w:eastAsia="楷体" w:cs="楷体"/>
          <w:b w:val="0"/>
          <w:bCs w:val="0"/>
          <w:color w:val="auto"/>
          <w:spacing w:val="0"/>
          <w:kern w:val="21"/>
          <w:sz w:val="32"/>
          <w:szCs w:val="32"/>
          <w:lang w:val="en-US" w:eastAsia="zh-CN"/>
        </w:rPr>
        <w:t>连续2年</w:t>
      </w:r>
      <w:r>
        <w:rPr>
          <w:rFonts w:hint="eastAsia" w:ascii="楷体" w:hAnsi="楷体" w:eastAsia="楷体" w:cs="楷体"/>
          <w:b w:val="0"/>
          <w:bCs w:val="0"/>
          <w:vanish w:val="0"/>
          <w:color w:val="auto"/>
          <w:spacing w:val="0"/>
          <w:w w:val="100"/>
          <w:kern w:val="21"/>
          <w:sz w:val="32"/>
          <w:szCs w:val="32"/>
          <w:lang w:val="en-US" w:eastAsia="zh-CN" w:bidi="ar"/>
        </w:rPr>
        <w:t>在沈阳都市圈7城1区养老护理员职业技能大赛中获得总分第一名和优秀组织奖。</w:t>
      </w:r>
    </w:p>
    <w:p w14:paraId="4B2F9964">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b w:val="0"/>
          <w:bCs w:val="0"/>
          <w:sz w:val="32"/>
          <w:szCs w:val="32"/>
          <w:highlight w:val="none"/>
        </w:rPr>
      </w:pPr>
      <w:r>
        <w:rPr>
          <w:rFonts w:hint="eastAsia" w:ascii="黑体" w:hAnsi="黑体" w:eastAsia="黑体" w:cs="黑体"/>
          <w:b w:val="0"/>
          <w:bCs w:val="0"/>
          <w:sz w:val="32"/>
          <w:szCs w:val="32"/>
          <w:highlight w:val="none"/>
          <w:lang w:val="en-US" w:eastAsia="zh-CN"/>
        </w:rPr>
        <w:t>七</w:t>
      </w:r>
      <w:r>
        <w:rPr>
          <w:rFonts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val="zh-CN"/>
        </w:rPr>
        <w:t>科学技术和教育</w:t>
      </w:r>
    </w:p>
    <w:p w14:paraId="0E9C42DA">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ascii="楷体" w:hAnsi="楷体" w:eastAsia="楷体"/>
          <w:b/>
          <w:sz w:val="32"/>
          <w:szCs w:val="32"/>
          <w:highlight w:val="none"/>
        </w:rPr>
      </w:pPr>
      <w:r>
        <w:rPr>
          <w:rFonts w:hint="eastAsia" w:ascii="楷体" w:hAnsi="楷体" w:eastAsia="楷体" w:cs="黑体"/>
          <w:b/>
          <w:sz w:val="32"/>
          <w:szCs w:val="32"/>
          <w:highlight w:val="none"/>
          <w:lang w:val="zh-CN"/>
        </w:rPr>
        <w:t>科学技术</w:t>
      </w:r>
    </w:p>
    <w:p w14:paraId="3BC44D8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Times New Roman"/>
          <w:b w:val="0"/>
          <w:bCs w:val="0"/>
          <w:kern w:val="2"/>
          <w:sz w:val="32"/>
          <w:szCs w:val="32"/>
          <w:highlight w:val="none"/>
          <w:lang w:val="en-US" w:eastAsia="zh-CN" w:bidi="ar-SA"/>
        </w:rPr>
      </w:pPr>
      <w:r>
        <w:rPr>
          <w:rFonts w:hint="eastAsia" w:ascii="楷体" w:hAnsi="楷体" w:eastAsia="楷体" w:cs="Times New Roman"/>
          <w:b w:val="0"/>
          <w:bCs w:val="0"/>
          <w:kern w:val="2"/>
          <w:sz w:val="32"/>
          <w:szCs w:val="32"/>
          <w:highlight w:val="none"/>
          <w:lang w:val="en-US" w:eastAsia="zh-CN" w:bidi="ar-SA"/>
        </w:rPr>
        <w:t>推动创新平台建设。辽宁材料实验室二期首批工程8座实验楼、2座加工制备车间全部封顶，分析测试中心公共服务平台实现高质量开放共享，格莱特国际研究中心揭牌运行。辽宁辽河实验室1200平方米独立科研场所投入使用，人形机器人实现落地行走、水导激光加工装备批量交付。超大型深部工程灾害物理模拟设施核心加载系统主体建设取得阶段性重要成果，累计申请专利26项。工业具身智能研究装置开展预研工作，已纳入中国科学院“十五五”信息领域打包项目库。新增各类创新平台29家、总数达到402家，科研能级显著提升，为创新技术产业化奠定坚实基础。</w:t>
      </w:r>
    </w:p>
    <w:p w14:paraId="0F80979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b w:val="0"/>
          <w:bCs w:val="0"/>
          <w:kern w:val="2"/>
          <w:sz w:val="32"/>
          <w:szCs w:val="32"/>
          <w:highlight w:val="none"/>
          <w:lang w:val="en-US" w:eastAsia="zh-CN" w:bidi="ar-SA"/>
        </w:rPr>
      </w:pPr>
      <w:r>
        <w:rPr>
          <w:rFonts w:hint="eastAsia" w:ascii="楷体" w:hAnsi="楷体" w:eastAsia="楷体" w:cs="Times New Roman"/>
          <w:b w:val="0"/>
          <w:bCs w:val="0"/>
          <w:kern w:val="2"/>
          <w:sz w:val="32"/>
          <w:szCs w:val="32"/>
          <w:highlight w:val="none"/>
          <w:lang w:val="en-US" w:eastAsia="zh-CN" w:bidi="ar-SA"/>
        </w:rPr>
        <w:t>大力培育创新主体。2024年新增注册科技型中小企业381家，总数达到3652家；新培育高新技术企业294家，总数达到1527家；新增雏鹰107家，总数达到828家；新增瞪羚企业13家，总数达到86家；新增独角兽类企业2家，总数达到6家，其中东软睿驰获评独角兽企业。全区各类科技型企业已超过7000家，同比增长13%。科学研究和技术服务业规上企业61家，全年完成营业收入36.6亿元、比上年增长13.1%，拉动全市提升1.7个百分点。组织实施关键核心技术攻关项目49个，攻克关键核心技术问题88个。6个项目获2023年度国家科学技术奖，占全市55%。</w:t>
      </w:r>
    </w:p>
    <w:p w14:paraId="4F86A13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b w:val="0"/>
          <w:bCs w:val="0"/>
          <w:kern w:val="2"/>
          <w:sz w:val="32"/>
          <w:szCs w:val="32"/>
          <w:highlight w:val="none"/>
          <w:lang w:val="en-US" w:eastAsia="zh-CN" w:bidi="ar-SA"/>
        </w:rPr>
      </w:pPr>
      <w:r>
        <w:rPr>
          <w:rFonts w:hint="eastAsia" w:ascii="楷体" w:hAnsi="楷体" w:eastAsia="楷体" w:cs="Times New Roman"/>
          <w:b w:val="0"/>
          <w:bCs w:val="0"/>
          <w:kern w:val="2"/>
          <w:sz w:val="32"/>
          <w:szCs w:val="32"/>
          <w:highlight w:val="none"/>
          <w:lang w:val="en-US" w:eastAsia="zh-CN" w:bidi="ar-SA"/>
        </w:rPr>
        <w:t>加快科技成果转化。2024年促成技术合同3698项，成交额突破232.7亿元、占全市32%，比上年增长10.3%，火炬统计人均技术合同交易额位列全国高新区第9名。新建科技成果转化中试基地3个，现有中试基地28个（现有省级中试基地1家、省级中试平台5家、市级中试基地22家），总数占全市43.9%。新增沈阳理工大学、辽宁何氏医学院、沈阳城市建设学院等3家市级大学科技园，总数达到5家。“新东拓+”科技招商专项行动签约项目55个，其中27个项目已启动运营，智慧之云项目使用率达到100%，科学家工作坊已交付空间项目使用率达到68%。</w:t>
      </w:r>
    </w:p>
    <w:p w14:paraId="2F03F52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kern w:val="2"/>
          <w:sz w:val="32"/>
          <w:szCs w:val="32"/>
          <w:highlight w:val="yellow"/>
          <w:lang w:val="en-US" w:eastAsia="zh-CN" w:bidi="ar-SA"/>
        </w:rPr>
      </w:pPr>
      <w:r>
        <w:rPr>
          <w:rFonts w:hint="eastAsia" w:ascii="楷体" w:hAnsi="楷体" w:eastAsia="楷体" w:cs="Times New Roman"/>
          <w:b w:val="0"/>
          <w:bCs w:val="0"/>
          <w:kern w:val="2"/>
          <w:sz w:val="32"/>
          <w:szCs w:val="32"/>
          <w:highlight w:val="none"/>
          <w:lang w:val="en-US" w:eastAsia="zh-CN" w:bidi="ar-SA"/>
        </w:rPr>
        <w:t>优化创新创业生态。新培育盛京绿谷等双创载体8家，总数达到90家，其中：国家级20</w:t>
      </w:r>
      <w:r>
        <w:rPr>
          <w:rFonts w:hint="eastAsia" w:ascii="楷体" w:hAnsi="楷体" w:eastAsia="楷体" w:cs="Times New Roman"/>
          <w:kern w:val="2"/>
          <w:sz w:val="32"/>
          <w:szCs w:val="32"/>
          <w:highlight w:val="none"/>
          <w:lang w:val="en-US" w:eastAsia="zh-CN" w:bidi="ar-SA"/>
        </w:rPr>
        <w:t>家、省级24家、市级30家。孵化面积252万平方米，在孵企业（团队）超过6000家（个）。全年组织双创载体举办创新创业活动519场，参与人数超过2.4万人。举办第十三届中国创新创业大赛高端装备制造全国总决赛，集聚全国181家企业、60家投融资机构，进行项目对接、融通交流、区域推介，叫响浑南双创品牌，重点跟进中科星图、无锡埃瑞微半导体等项目团队35家，落地全国赛优秀项目1家。</w:t>
      </w:r>
    </w:p>
    <w:p w14:paraId="3214250B">
      <w:pPr>
        <w:keepNext w:val="0"/>
        <w:keepLines w:val="0"/>
        <w:pageBreakBefore w:val="0"/>
        <w:widowControl w:val="0"/>
        <w:kinsoku/>
        <w:wordWrap/>
        <w:overflowPunct/>
        <w:topLinePunct w:val="0"/>
        <w:autoSpaceDE w:val="0"/>
        <w:autoSpaceDN w:val="0"/>
        <w:bidi w:val="0"/>
        <w:adjustRightInd w:val="0"/>
        <w:snapToGrid/>
        <w:spacing w:line="560" w:lineRule="exact"/>
        <w:ind w:firstLine="667" w:firstLineChars="200"/>
        <w:textAlignment w:val="auto"/>
        <w:rPr>
          <w:rFonts w:ascii="楷体" w:hAnsi="楷体" w:eastAsia="楷体" w:cs="黑体"/>
          <w:b/>
          <w:bCs/>
          <w:spacing w:val="6"/>
          <w:kern w:val="0"/>
          <w:sz w:val="32"/>
          <w:szCs w:val="32"/>
          <w:highlight w:val="none"/>
          <w:lang w:val="zh-CN"/>
        </w:rPr>
      </w:pPr>
      <w:r>
        <w:rPr>
          <w:rFonts w:hint="eastAsia" w:ascii="楷体" w:hAnsi="楷体" w:eastAsia="楷体" w:cs="黑体"/>
          <w:b/>
          <w:bCs/>
          <w:spacing w:val="6"/>
          <w:kern w:val="0"/>
          <w:sz w:val="32"/>
          <w:szCs w:val="32"/>
          <w:highlight w:val="none"/>
          <w:lang w:val="zh-CN"/>
        </w:rPr>
        <w:t>教育</w:t>
      </w:r>
    </w:p>
    <w:p w14:paraId="2D879704">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2024年底，浑南区共有公办中小学校35所、教师3776人，在校中小学生52880人，其中:小学39280人、初中10651人、高中2949人;民办学校4所，其中:义务教育学校2所、完中</w:t>
      </w:r>
      <w:r>
        <w:rPr>
          <w:rFonts w:hint="eastAsia" w:ascii="楷体" w:hAnsi="楷体" w:eastAsia="楷体" w:cs="黑体"/>
          <w:bCs/>
          <w:color w:val="auto"/>
          <w:kern w:val="2"/>
          <w:sz w:val="32"/>
          <w:szCs w:val="32"/>
          <w:highlight w:val="none"/>
          <w:vertAlign w:val="superscript"/>
          <w:lang w:val="en-US" w:eastAsia="zh-CN" w:bidi="ar-SA"/>
        </w:rPr>
        <w:fldChar w:fldCharType="begin"/>
      </w:r>
      <w:r>
        <w:rPr>
          <w:rFonts w:hint="eastAsia" w:ascii="楷体" w:hAnsi="楷体" w:eastAsia="楷体" w:cs="黑体"/>
          <w:bCs/>
          <w:color w:val="auto"/>
          <w:kern w:val="2"/>
          <w:sz w:val="32"/>
          <w:szCs w:val="32"/>
          <w:highlight w:val="none"/>
          <w:vertAlign w:val="superscript"/>
          <w:lang w:val="en-US" w:eastAsia="zh-CN" w:bidi="ar-SA"/>
        </w:rPr>
        <w:instrText xml:space="preserve"> REF _Ref1490 \r \h </w:instrText>
      </w:r>
      <w:r>
        <w:rPr>
          <w:rFonts w:hint="eastAsia" w:ascii="楷体" w:hAnsi="楷体" w:eastAsia="楷体" w:cs="黑体"/>
          <w:bCs/>
          <w:color w:val="auto"/>
          <w:kern w:val="2"/>
          <w:sz w:val="32"/>
          <w:szCs w:val="32"/>
          <w:highlight w:val="none"/>
          <w:vertAlign w:val="superscript"/>
          <w:lang w:val="en-US" w:eastAsia="zh-CN" w:bidi="ar-SA"/>
        </w:rPr>
        <w:fldChar w:fldCharType="separate"/>
      </w:r>
      <w:r>
        <w:rPr>
          <w:rFonts w:hint="eastAsia" w:ascii="楷体" w:hAnsi="楷体" w:eastAsia="楷体" w:cs="黑体"/>
          <w:bCs/>
          <w:color w:val="auto"/>
          <w:kern w:val="2"/>
          <w:sz w:val="32"/>
          <w:szCs w:val="32"/>
          <w:highlight w:val="none"/>
          <w:vertAlign w:val="superscript"/>
          <w:lang w:val="en-US" w:eastAsia="zh-CN" w:bidi="ar-SA"/>
        </w:rPr>
        <w:t>[7]</w:t>
      </w:r>
      <w:r>
        <w:rPr>
          <w:rFonts w:hint="eastAsia" w:ascii="楷体" w:hAnsi="楷体" w:eastAsia="楷体" w:cs="黑体"/>
          <w:bCs/>
          <w:color w:val="auto"/>
          <w:kern w:val="2"/>
          <w:sz w:val="32"/>
          <w:szCs w:val="32"/>
          <w:highlight w:val="none"/>
          <w:vertAlign w:val="superscript"/>
          <w:lang w:val="en-US" w:eastAsia="zh-CN" w:bidi="ar-SA"/>
        </w:rPr>
        <w:fldChar w:fldCharType="end"/>
      </w:r>
      <w:r>
        <w:rPr>
          <w:rFonts w:hint="eastAsia" w:ascii="楷体" w:hAnsi="楷体" w:eastAsia="楷体" w:cs="黑体"/>
          <w:bCs/>
          <w:color w:val="auto"/>
          <w:kern w:val="2"/>
          <w:sz w:val="32"/>
          <w:szCs w:val="32"/>
          <w:highlight w:val="none"/>
          <w:lang w:val="en-US" w:eastAsia="zh-CN" w:bidi="ar-SA"/>
        </w:rPr>
        <w:t>1所、高中1所，在校生4299人、教师560人。中等职业学校15所，其中:公办学校6所、民办学校9所，共开设56个专业，在校生10021人、教师1193人。学前教育机构243所，其中公办幼儿园38所、民办幼儿园152所、学前儿童看护点49所、托育机构4所。全区在园儿童20840人，其中:公办幼儿园10000人、民办幼儿园8704人、学前儿童看护点2035人、托育101人。</w:t>
      </w:r>
    </w:p>
    <w:p w14:paraId="00F4F0D9">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2024年，面向教育部直属六所院校及全国部分一流建设高校招聘优秀应届毕业生教师22人，面向社会招聘教师104人，急需紧缺教师招聘95名，共计221名，其中:本科学历170人、研究生学历51人。</w:t>
      </w:r>
    </w:p>
    <w:p w14:paraId="1993D49C">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新学校建设呈现突破态势。组织开展新一期中小学建设规划方案编制，提出到2025年底重点推进11所中小学建设新目标。启动沈阳二中浑南高中、创新第一高中工程建设，实现机器人科技小学开工、智慧第二小学复工，科技城中小学、创新一小工程建设进展顺利。启动荣盛紫堤东郡六期、万锦红树湾、华发鸿景嘉园等小区配套幼儿园建设，均完成工程量50%以上，华润长安里、龙湖天璞等小区配套幼儿园装修改造完工并顺利开园招生。</w:t>
      </w:r>
    </w:p>
    <w:p w14:paraId="79279A05">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双减”工作扎实推进。依托“智慧+”特色区本课程体系:增加课后服务供给，全区35所中小学全面启动“5+2”课后服务工作，35所学校根据实际需求提供延时服务，2所学校提供假期托管服务。通过“1+1+1+1+N”(即1个暂行办法，1个信用评价，1个黑白名单,1次规范办学机构创建活动，N次检查)促进我区校外培训机构健康、有序、规范发展。</w:t>
      </w:r>
    </w:p>
    <w:p w14:paraId="388A701C">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中高考成绩持续攀升。沈阳市第五十一中学600分以上高分人数共计40人，高分率10%，最高分681分，较去年省排名提升1637个位次。历史类最高分627分，较去年省排名提升1094个位次。特控(一本)率70%。沈阳市浑南区高级中学600分以上实现零突破，本科上线率97.9%，物理类最高分611分，较2023年提高1928个位次，历史类最高分603分,较2023年提高1360个位次。2024年中考最高分781.5分，750分以上共计273人，三校(育才、省实验、二中)达线共计109人，占学生总数的2.9%，较去年提升了1.9个百分点。</w:t>
      </w:r>
    </w:p>
    <w:p w14:paraId="60D5FA3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lang w:val="zh-CN"/>
        </w:rPr>
        <w:t>、文旅、体育和卫生</w:t>
      </w:r>
    </w:p>
    <w:p w14:paraId="64C8DFCE">
      <w:pPr>
        <w:keepNext w:val="0"/>
        <w:keepLines w:val="0"/>
        <w:pageBreakBefore w:val="0"/>
        <w:tabs>
          <w:tab w:val="left" w:pos="3107"/>
        </w:tabs>
        <w:kinsoku/>
        <w:wordWrap/>
        <w:overflowPunct/>
        <w:topLinePunct w:val="0"/>
        <w:autoSpaceDE w:val="0"/>
        <w:autoSpaceDN w:val="0"/>
        <w:bidi w:val="0"/>
        <w:adjustRightInd w:val="0"/>
        <w:snapToGrid/>
        <w:spacing w:line="560" w:lineRule="exact"/>
        <w:ind w:firstLine="643" w:firstLineChars="200"/>
        <w:textAlignment w:val="auto"/>
        <w:rPr>
          <w:rFonts w:ascii="楷体" w:hAnsi="楷体" w:eastAsia="楷体" w:cs="黑体"/>
          <w:b/>
          <w:color w:val="FF0000"/>
          <w:sz w:val="32"/>
          <w:szCs w:val="32"/>
          <w:highlight w:val="none"/>
          <w:lang w:val="zh-CN"/>
        </w:rPr>
      </w:pPr>
      <w:r>
        <w:rPr>
          <w:rFonts w:hint="eastAsia" w:ascii="楷体" w:hAnsi="楷体" w:eastAsia="楷体" w:cs="黑体"/>
          <w:b/>
          <w:sz w:val="32"/>
          <w:szCs w:val="32"/>
          <w:highlight w:val="none"/>
          <w:lang w:val="zh-CN"/>
        </w:rPr>
        <w:t>文旅、体育</w:t>
      </w:r>
      <w:r>
        <w:rPr>
          <w:rFonts w:ascii="楷体" w:hAnsi="楷体" w:eastAsia="楷体" w:cs="黑体"/>
          <w:b/>
          <w:color w:val="FF0000"/>
          <w:sz w:val="32"/>
          <w:szCs w:val="32"/>
          <w:highlight w:val="none"/>
          <w:lang w:val="zh-CN"/>
        </w:rPr>
        <w:tab/>
      </w:r>
    </w:p>
    <w:p w14:paraId="04FB74EA">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文化服务供给持续增强。群众文化活动持续丰富，开展文艺惠民演出50场，群众文化艺术培训近500场。地区演艺市场持续火爆，郭富城、蔡依林、刘若英、周深等9场大型演唱会汇集浑南，点燃激情城市热点。公共文化服务设施持续优化，提升改造了佟家峪村、伙牛村、沙河子村、祝家村等4个村文化广场和世博园文化驿站。全年开展“阅享浑南”系列活动190余场，创办了“莫子山书香市集”，进一步拓展阅读边界。莫子山城市书房获得了沈阳市第十五届全民读书季“优秀阅读品牌”“最美城市书房”等称号。</w:t>
      </w:r>
    </w:p>
    <w:p w14:paraId="4C3059E3">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积极与省级文化场馆互动。协助辽宁省博物馆获评国家3A级景区、辽宁省科技馆获评4A级景区，共同举办辽宁省博物馆首届文创设计大赛，协办推出大政殿藏宝盒、柿柿如意首饰盒、好事发生高档挂件、辽三彩皮囊壶等60余件文创产品，辽宁省博物馆入选全国博物馆客流指数top10，中央公园区域人气带动效应显著。加强文化遗产保护利用，持续开展非遗代表性项目、代表性传承人进学校、进社区、进景区活动300余场，推动非遗代表性项目产业化、市场化运营。</w:t>
      </w:r>
    </w:p>
    <w:p w14:paraId="7CF93832">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eastAsia"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旅游市场消费升级。先后推出“来浑南·过大年”“美好潮南来”“悠然夏季”“CITY醉浑南”等大型文体旅系列活动，推出子活动250余项。浑河夜游外滩市集等成为夜沈阳新亮点，推出“火凤凰+灯光秀+声动外滩”场景，时光里酒吧街被省文旅厅拟确定为“省级夜间文化和旅游消费集聚区培育名单”。依托篝火音乐会、喷火表演、炫彩音乐喷泉、文艺舞台、美食市集、大马戏表演等，在中央公园月平均开展各类演出20余场。策划音乐喷泉“嫦娥奔月”等出圈IP,沈阳频频登上全国热榜。创新开展浑南九小夏日托管，为全国2000多名小学生定制周末景区畅玩。</w:t>
      </w:r>
    </w:p>
    <w:p w14:paraId="3E778B60">
      <w:pPr>
        <w:pStyle w:val="29"/>
        <w:keepNext w:val="0"/>
        <w:keepLines w:val="0"/>
        <w:pageBreakBefore w:val="0"/>
        <w:widowControl w:val="0"/>
        <w:tabs>
          <w:tab w:val="right" w:leader="dot" w:pos="4819"/>
          <w:tab w:val="right" w:leader="dot" w:pos="4900"/>
        </w:tabs>
        <w:kinsoku/>
        <w:wordWrap/>
        <w:overflowPunct/>
        <w:topLinePunct w:val="0"/>
        <w:autoSpaceDE w:val="0"/>
        <w:autoSpaceDN w:val="0"/>
        <w:bidi w:val="0"/>
        <w:adjustRightInd w:val="0"/>
        <w:snapToGrid/>
        <w:spacing w:beforeLines="0" w:afterLines="0" w:line="560" w:lineRule="exact"/>
        <w:ind w:left="0" w:leftChars="0" w:firstLine="640" w:firstLineChars="200"/>
        <w:jc w:val="both"/>
        <w:textAlignment w:val="center"/>
        <w:rPr>
          <w:rFonts w:hint="default" w:ascii="楷体" w:hAnsi="楷体" w:eastAsia="楷体" w:cs="黑体"/>
          <w:bCs/>
          <w:color w:val="auto"/>
          <w:kern w:val="2"/>
          <w:sz w:val="32"/>
          <w:szCs w:val="32"/>
          <w:highlight w:val="none"/>
          <w:lang w:val="en-US" w:eastAsia="zh-CN" w:bidi="ar-SA"/>
        </w:rPr>
      </w:pPr>
      <w:r>
        <w:rPr>
          <w:rFonts w:hint="eastAsia" w:ascii="楷体" w:hAnsi="楷体" w:eastAsia="楷体" w:cs="黑体"/>
          <w:bCs/>
          <w:color w:val="auto"/>
          <w:kern w:val="2"/>
          <w:sz w:val="32"/>
          <w:szCs w:val="32"/>
          <w:highlight w:val="none"/>
          <w:lang w:val="en-US" w:eastAsia="zh-CN" w:bidi="ar-SA"/>
        </w:rPr>
        <w:t>体育活力进一步释放。擦亮“全国武术之乡”品牌，完成首批3所“武术进校园”示范学校建设。打造“赛艇之都”，举办2024年亚洲青年赛艇锦标赛，中国代表队共斩获13金、2银、2铜。办好辽篮辽足赛事，圆满完成了45场赛事保障任务。充分发挥浑南区冰雪资源丰富优势，在2023-2024雪季，举办省市级以上冰雪赛事10场。依托特有山地资源，举办多场路跑赛事。</w:t>
      </w:r>
    </w:p>
    <w:p w14:paraId="78773D9C">
      <w:pPr>
        <w:keepNext w:val="0"/>
        <w:keepLines w:val="0"/>
        <w:pageBreakBefore w:val="0"/>
        <w:kinsoku/>
        <w:wordWrap/>
        <w:overflowPunct/>
        <w:topLinePunct w:val="0"/>
        <w:autoSpaceDE w:val="0"/>
        <w:autoSpaceDN w:val="0"/>
        <w:bidi w:val="0"/>
        <w:adjustRightInd w:val="0"/>
        <w:snapToGrid/>
        <w:spacing w:line="560" w:lineRule="exact"/>
        <w:ind w:firstLine="667" w:firstLineChars="200"/>
        <w:rPr>
          <w:rFonts w:ascii="楷体" w:hAnsi="楷体" w:eastAsia="楷体" w:cs="黑体"/>
          <w:b/>
          <w:bCs/>
          <w:spacing w:val="6"/>
          <w:kern w:val="0"/>
          <w:sz w:val="32"/>
          <w:szCs w:val="32"/>
          <w:lang w:val="zh-CN"/>
        </w:rPr>
      </w:pPr>
      <w:r>
        <w:rPr>
          <w:rFonts w:hint="eastAsia" w:ascii="楷体" w:hAnsi="楷体" w:eastAsia="楷体" w:cs="黑体"/>
          <w:b/>
          <w:bCs/>
          <w:spacing w:val="6"/>
          <w:kern w:val="0"/>
          <w:sz w:val="32"/>
          <w:szCs w:val="32"/>
          <w:lang w:val="zh-CN"/>
        </w:rPr>
        <w:t>卫生</w:t>
      </w:r>
    </w:p>
    <w:p w14:paraId="222909E4">
      <w:pPr>
        <w:keepNext w:val="0"/>
        <w:keepLines w:val="0"/>
        <w:pageBreakBefore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color w:val="auto"/>
          <w:sz w:val="32"/>
          <w:szCs w:val="32"/>
          <w:highlight w:val="none"/>
          <w:lang w:val="en-US" w:eastAsia="zh-CN"/>
        </w:rPr>
      </w:pPr>
      <w:r>
        <w:rPr>
          <w:rFonts w:hint="eastAsia" w:ascii="仿宋" w:hAnsi="仿宋" w:eastAsia="仿宋" w:cs="仿宋"/>
          <w:sz w:val="32"/>
          <w:szCs w:val="32"/>
          <w:highlight w:val="none"/>
          <w:lang w:eastAsia="zh-CN"/>
        </w:rPr>
        <w:t>（</w:t>
      </w:r>
      <w:r>
        <w:rPr>
          <w:rFonts w:hint="eastAsia" w:ascii="楷体" w:hAnsi="楷体" w:eastAsia="楷体" w:cs="Times New Roman"/>
          <w:sz w:val="32"/>
          <w:szCs w:val="32"/>
          <w:highlight w:val="none"/>
          <w:lang w:val="en-US" w:eastAsia="zh-CN"/>
        </w:rPr>
        <w:t>以下数据含沈抚）</w:t>
      </w:r>
      <w:r>
        <w:rPr>
          <w:rFonts w:hint="eastAsia" w:ascii="楷体" w:hAnsi="楷体" w:eastAsia="楷体" w:cs="Times New Roman"/>
          <w:color w:val="auto"/>
          <w:sz w:val="32"/>
          <w:szCs w:val="32"/>
          <w:highlight w:val="none"/>
          <w:lang w:val="en-US" w:eastAsia="zh-CN"/>
        </w:rPr>
        <w:t>拥有医疗卫生机构502个，其中：医院18家，社区卫生服务中心8个，卫生院5个，村卫生室134个，门诊部76个，诊所、卫生所、医务室、护理站253个，疾病预防控制中心（卫生监督所）3个，桃仙国际机场股份有限公司急救站1个，计划生育协会1个，检验站所5个。省、市属医疗卫生机构12个。</w:t>
      </w:r>
    </w:p>
    <w:p w14:paraId="202B44E9">
      <w:pPr>
        <w:keepNext w:val="0"/>
        <w:keepLines w:val="0"/>
        <w:pageBreakBefore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color w:val="auto"/>
          <w:sz w:val="32"/>
          <w:szCs w:val="32"/>
          <w:highlight w:val="none"/>
          <w:lang w:val="en-US" w:eastAsia="zh-CN"/>
        </w:rPr>
      </w:pPr>
      <w:r>
        <w:rPr>
          <w:rFonts w:hint="eastAsia" w:ascii="楷体" w:hAnsi="楷体" w:eastAsia="楷体" w:cs="Times New Roman"/>
          <w:color w:val="auto"/>
          <w:sz w:val="32"/>
          <w:szCs w:val="32"/>
          <w:highlight w:val="none"/>
          <w:lang w:val="en-US" w:eastAsia="zh-CN"/>
        </w:rPr>
        <w:t>医疗机构房屋总建筑面积106.7万平方米，其中业务用房面积21.3万平方米，万元以上设备总价值146679万元，共计7382台件，设置住院床位5940张。平均每千人拥有床位7.4张、卫生技术人员10.6人。</w:t>
      </w:r>
    </w:p>
    <w:p w14:paraId="020DB00A">
      <w:pPr>
        <w:keepNext w:val="0"/>
        <w:keepLines w:val="0"/>
        <w:pageBreakBefore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color w:val="auto"/>
          <w:sz w:val="32"/>
          <w:szCs w:val="32"/>
          <w:highlight w:val="none"/>
          <w:lang w:val="en-US" w:eastAsia="zh-CN"/>
        </w:rPr>
      </w:pPr>
      <w:r>
        <w:rPr>
          <w:rFonts w:hint="eastAsia" w:ascii="楷体" w:hAnsi="楷体" w:eastAsia="楷体" w:cs="Times New Roman"/>
          <w:color w:val="auto"/>
          <w:sz w:val="32"/>
          <w:szCs w:val="32"/>
          <w:highlight w:val="none"/>
          <w:lang w:val="en-US" w:eastAsia="zh-CN"/>
        </w:rPr>
        <w:t>卫生技术人员8465人，其中：拥有执业（助理）医师3224人，注册护士4078人，药师（士）220人，技师（士）711人，卫生监督员28人，其他204人。</w:t>
      </w:r>
    </w:p>
    <w:p w14:paraId="029BCC5E">
      <w:pPr>
        <w:keepNext w:val="0"/>
        <w:keepLines w:val="0"/>
        <w:pageBreakBefore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sz w:val="32"/>
          <w:szCs w:val="32"/>
          <w:highlight w:val="none"/>
          <w:lang w:val="en-US" w:eastAsia="zh-CN"/>
        </w:rPr>
      </w:pPr>
      <w:r>
        <w:rPr>
          <w:rFonts w:hint="eastAsia" w:ascii="仿宋" w:hAnsi="仿宋" w:eastAsia="仿宋" w:cs="仿宋"/>
          <w:sz w:val="32"/>
          <w:szCs w:val="32"/>
          <w:highlight w:val="none"/>
          <w:lang w:eastAsia="zh-CN"/>
        </w:rPr>
        <w:t>（</w:t>
      </w:r>
      <w:r>
        <w:rPr>
          <w:rFonts w:hint="eastAsia" w:ascii="楷体" w:hAnsi="楷体" w:eastAsia="楷体" w:cs="Times New Roman"/>
          <w:sz w:val="32"/>
          <w:szCs w:val="32"/>
          <w:highlight w:val="none"/>
          <w:lang w:val="en-US" w:eastAsia="zh-CN"/>
        </w:rPr>
        <w:t>以下数据不含沈抚）扩大城乡居民电子健康档案覆盖面达83.3%；新生儿访视率94.6%，7岁以下儿童健康管理率92.3%；完善孕前优生、婚前医学检查等工作，为孕产妇提供保健服务，早孕建册率94.4%，产后访视率96.7%；按期推进宫颈癌、乳腺癌“两癌”筛查工作。</w:t>
      </w:r>
    </w:p>
    <w:p w14:paraId="104894B9">
      <w:pPr>
        <w:keepNext w:val="0"/>
        <w:keepLines w:val="0"/>
        <w:pageBreakBefore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有313个家庭医生团队深入社区（村），开展签约服务，建立家庭医生签约服务台账。家庭医生团队为老年人建立健康档案，提供中医药健康管理服务等。利用微信、家庭医生签约平台等网络，了解签约居民需求，并定期发送健康教育知识，制定个性化签约服务包，充分满足签约居民需求。2024年，常住人口签约数18.5万，签约率24.3%，65岁以上老年人签约7.6万，签约率75.0%。</w:t>
      </w:r>
    </w:p>
    <w:p w14:paraId="76D0347B">
      <w:pPr>
        <w:keepNext w:val="0"/>
        <w:keepLines w:val="0"/>
        <w:pageBreakBefore w:val="0"/>
        <w:widowControl w:val="0"/>
        <w:tabs>
          <w:tab w:val="left" w:pos="3600"/>
        </w:tabs>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cs="黑体"/>
          <w:b/>
          <w:bCs/>
          <w:sz w:val="32"/>
          <w:szCs w:val="32"/>
          <w:highlight w:val="none"/>
          <w:lang w:val="zh-CN"/>
        </w:rPr>
      </w:pP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lang w:val="zh-CN"/>
        </w:rPr>
        <w:t>、人口</w:t>
      </w:r>
      <w:r>
        <w:rPr>
          <w:rFonts w:ascii="黑体" w:hAnsi="黑体" w:eastAsia="黑体" w:cs="黑体"/>
          <w:b/>
          <w:bCs/>
          <w:sz w:val="32"/>
          <w:szCs w:val="32"/>
          <w:highlight w:val="none"/>
          <w:lang w:val="zh-CN"/>
        </w:rPr>
        <w:tab/>
      </w:r>
    </w:p>
    <w:p w14:paraId="3C84E55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宋体"/>
          <w:sz w:val="32"/>
          <w:szCs w:val="32"/>
          <w:highlight w:val="none"/>
          <w:lang w:val="zh-CN"/>
        </w:rPr>
      </w:pPr>
      <w:r>
        <w:rPr>
          <w:rFonts w:hint="eastAsia" w:ascii="楷体" w:hAnsi="楷体" w:eastAsia="楷体" w:cs="宋体"/>
          <w:sz w:val="32"/>
          <w:szCs w:val="32"/>
          <w:highlight w:val="none"/>
          <w:lang w:val="zh-CN"/>
        </w:rPr>
        <w:t>20</w:t>
      </w:r>
      <w:r>
        <w:rPr>
          <w:rFonts w:ascii="楷体" w:hAnsi="楷体" w:eastAsia="楷体" w:cs="宋体"/>
          <w:sz w:val="32"/>
          <w:szCs w:val="32"/>
          <w:highlight w:val="none"/>
          <w:lang w:val="zh-CN"/>
        </w:rPr>
        <w:t>2</w:t>
      </w:r>
      <w:r>
        <w:rPr>
          <w:rFonts w:hint="eastAsia" w:ascii="楷体" w:hAnsi="楷体" w:eastAsia="楷体" w:cs="宋体"/>
          <w:sz w:val="32"/>
          <w:szCs w:val="32"/>
          <w:highlight w:val="none"/>
          <w:lang w:val="en-US" w:eastAsia="zh-CN"/>
        </w:rPr>
        <w:t>4</w:t>
      </w:r>
      <w:r>
        <w:rPr>
          <w:rFonts w:hint="eastAsia" w:ascii="楷体" w:hAnsi="楷体" w:eastAsia="楷体" w:cs="宋体"/>
          <w:sz w:val="32"/>
          <w:szCs w:val="32"/>
          <w:highlight w:val="none"/>
          <w:lang w:val="zh-CN"/>
        </w:rPr>
        <w:t>年，我区常住人口</w:t>
      </w:r>
      <w:r>
        <w:rPr>
          <w:rFonts w:hint="eastAsia" w:ascii="楷体" w:hAnsi="楷体" w:eastAsia="楷体" w:cs="宋体"/>
          <w:sz w:val="32"/>
          <w:szCs w:val="32"/>
          <w:highlight w:val="none"/>
          <w:vertAlign w:val="superscript"/>
          <w:lang w:val="zh-CN" w:eastAsia="zh-CN"/>
        </w:rPr>
        <w:fldChar w:fldCharType="begin"/>
      </w:r>
      <w:r>
        <w:rPr>
          <w:rFonts w:hint="eastAsia" w:ascii="楷体" w:hAnsi="楷体" w:eastAsia="楷体" w:cs="宋体"/>
          <w:sz w:val="32"/>
          <w:szCs w:val="32"/>
          <w:highlight w:val="none"/>
          <w:vertAlign w:val="superscript"/>
          <w:lang w:val="zh-CN" w:eastAsia="zh-CN"/>
        </w:rPr>
        <w:instrText xml:space="preserve"> REF _Ref18966 \r \h </w:instrText>
      </w:r>
      <w:r>
        <w:rPr>
          <w:rFonts w:hint="eastAsia" w:ascii="楷体" w:hAnsi="楷体" w:eastAsia="楷体" w:cs="宋体"/>
          <w:sz w:val="32"/>
          <w:szCs w:val="32"/>
          <w:highlight w:val="none"/>
          <w:vertAlign w:val="superscript"/>
          <w:lang w:val="zh-CN" w:eastAsia="zh-CN"/>
        </w:rPr>
        <w:fldChar w:fldCharType="separate"/>
      </w:r>
      <w:r>
        <w:rPr>
          <w:rFonts w:hint="eastAsia" w:ascii="楷体" w:hAnsi="楷体" w:eastAsia="楷体" w:cs="宋体"/>
          <w:sz w:val="32"/>
          <w:szCs w:val="32"/>
          <w:highlight w:val="none"/>
          <w:vertAlign w:val="superscript"/>
          <w:lang w:val="zh-CN" w:eastAsia="zh-CN"/>
        </w:rPr>
        <w:t>[8]</w:t>
      </w:r>
      <w:r>
        <w:rPr>
          <w:rFonts w:hint="eastAsia" w:ascii="楷体" w:hAnsi="楷体" w:eastAsia="楷体" w:cs="宋体"/>
          <w:sz w:val="32"/>
          <w:szCs w:val="32"/>
          <w:highlight w:val="none"/>
          <w:vertAlign w:val="superscript"/>
          <w:lang w:val="zh-CN" w:eastAsia="zh-CN"/>
        </w:rPr>
        <w:fldChar w:fldCharType="end"/>
      </w:r>
      <w:r>
        <w:rPr>
          <w:rFonts w:hint="eastAsia" w:ascii="楷体" w:hAnsi="楷体" w:eastAsia="楷体" w:cs="宋体"/>
          <w:sz w:val="32"/>
          <w:szCs w:val="32"/>
          <w:highlight w:val="none"/>
          <w:lang w:val="zh-CN"/>
        </w:rPr>
        <w:t>91</w:t>
      </w:r>
      <w:r>
        <w:rPr>
          <w:rFonts w:hint="eastAsia" w:ascii="楷体" w:hAnsi="楷体" w:eastAsia="楷体" w:cs="宋体"/>
          <w:sz w:val="32"/>
          <w:szCs w:val="32"/>
          <w:highlight w:val="none"/>
          <w:lang w:val="en-US" w:eastAsia="zh-CN"/>
        </w:rPr>
        <w:t>.0</w:t>
      </w:r>
      <w:r>
        <w:rPr>
          <w:rFonts w:hint="eastAsia" w:ascii="楷体" w:hAnsi="楷体" w:eastAsia="楷体" w:cs="宋体"/>
          <w:sz w:val="32"/>
          <w:szCs w:val="32"/>
          <w:highlight w:val="none"/>
          <w:lang w:val="zh-CN"/>
        </w:rPr>
        <w:t>万人，比上年增加7.9万人。户籍人口49.6万人。全年出生人口4653人，出生率为5.3‰；死亡人口2548人，死亡率为2.9‰；自然增长率为2.4‰。</w:t>
      </w:r>
    </w:p>
    <w:p w14:paraId="0A36125E">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楷体" w:hAnsi="楷体" w:eastAsia="楷体" w:cs="宋体"/>
          <w:sz w:val="32"/>
          <w:szCs w:val="32"/>
          <w:highlight w:val="yellow"/>
          <w:lang w:val="zh-CN"/>
        </w:rPr>
      </w:pPr>
    </w:p>
    <w:p w14:paraId="6FD18645">
      <w:pPr>
        <w:pStyle w:val="5"/>
        <w:rPr>
          <w:rFonts w:hint="eastAsia"/>
          <w:highlight w:val="yellow"/>
          <w:lang w:val="zh-CN"/>
        </w:rPr>
      </w:pPr>
    </w:p>
    <w:p w14:paraId="77C5E805">
      <w:pPr>
        <w:rPr>
          <w:rFonts w:hint="eastAsia" w:ascii="楷体" w:hAnsi="楷体" w:eastAsia="楷体" w:cs="仿宋_GB2312"/>
          <w:b/>
          <w:bCs/>
          <w:spacing w:val="15"/>
          <w:szCs w:val="21"/>
          <w:highlight w:val="none"/>
          <w:lang w:val="en-US" w:eastAsia="zh-CN"/>
        </w:rPr>
      </w:pPr>
      <w:r>
        <w:rPr>
          <w:rFonts w:hint="eastAsia" w:ascii="楷体" w:hAnsi="楷体" w:eastAsia="楷体" w:cs="仿宋_GB2312"/>
          <w:b/>
          <w:bCs/>
          <w:spacing w:val="15"/>
          <w:szCs w:val="21"/>
          <w:highlight w:val="none"/>
          <w:lang w:val="en-US" w:eastAsia="zh-CN"/>
        </w:rPr>
        <w:br w:type="page"/>
      </w:r>
    </w:p>
    <w:p w14:paraId="7B5DD9D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仿宋_GB2312"/>
          <w:b/>
          <w:bCs/>
          <w:spacing w:val="15"/>
          <w:szCs w:val="21"/>
          <w:highlight w:val="none"/>
          <w:lang w:val="zh-CN"/>
        </w:rPr>
      </w:pPr>
      <w:r>
        <w:rPr>
          <w:rFonts w:hint="eastAsia" w:ascii="楷体" w:hAnsi="楷体" w:eastAsia="楷体" w:cs="仿宋_GB2312"/>
          <w:b/>
          <w:bCs/>
          <w:spacing w:val="15"/>
          <w:szCs w:val="21"/>
          <w:highlight w:val="none"/>
          <w:lang w:val="en-US" w:eastAsia="zh-CN"/>
        </w:rPr>
        <w:t>注释</w:t>
      </w:r>
      <w:r>
        <w:rPr>
          <w:rFonts w:hint="eastAsia" w:ascii="楷体" w:hAnsi="楷体" w:eastAsia="楷体" w:cs="仿宋_GB2312"/>
          <w:b/>
          <w:bCs/>
          <w:spacing w:val="15"/>
          <w:szCs w:val="21"/>
          <w:highlight w:val="none"/>
          <w:lang w:val="zh-CN"/>
        </w:rPr>
        <w:t>：</w:t>
      </w:r>
    </w:p>
    <w:p w14:paraId="4DACB923">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eastAsia" w:ascii="楷体" w:hAnsi="楷体" w:eastAsia="楷体" w:cs="仿宋_GB2312"/>
          <w:spacing w:val="15"/>
          <w:szCs w:val="21"/>
          <w:highlight w:val="none"/>
          <w:lang w:val="en-US" w:eastAsia="zh-CN"/>
        </w:rPr>
      </w:pPr>
      <w:bookmarkStart w:id="0" w:name="_Ref18228"/>
      <w:r>
        <w:rPr>
          <w:rFonts w:hint="eastAsia" w:ascii="楷体" w:hAnsi="楷体" w:eastAsia="楷体" w:cs="仿宋_GB2312"/>
          <w:spacing w:val="15"/>
          <w:szCs w:val="21"/>
          <w:highlight w:val="none"/>
          <w:lang w:val="en-US" w:eastAsia="zh-CN"/>
        </w:rPr>
        <w:t>本公报中2024年数据均为初步统计数或初步核算数，部分指标数据在年报时可能还有调整。</w:t>
      </w:r>
      <w:bookmarkEnd w:id="0"/>
      <w:r>
        <w:rPr>
          <w:rFonts w:hint="eastAsia" w:ascii="楷体" w:hAnsi="楷体" w:eastAsia="楷体" w:cs="仿宋_GB2312"/>
          <w:spacing w:val="15"/>
          <w:szCs w:val="21"/>
          <w:highlight w:val="none"/>
          <w:lang w:val="en-US" w:eastAsia="zh-CN"/>
        </w:rPr>
        <w:t>部分数据因四舍五入的原因，存在着与分项合计不等的情况。</w:t>
      </w:r>
    </w:p>
    <w:p w14:paraId="26EA07D7">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default" w:ascii="楷体" w:hAnsi="楷体" w:eastAsia="楷体" w:cs="仿宋_GB2312"/>
          <w:spacing w:val="15"/>
          <w:szCs w:val="21"/>
          <w:highlight w:val="none"/>
          <w:lang w:val="en-US" w:eastAsia="zh-CN"/>
        </w:rPr>
      </w:pPr>
      <w:bookmarkStart w:id="1" w:name="_Ref18369"/>
      <w:r>
        <w:rPr>
          <w:rFonts w:hint="eastAsia" w:ascii="楷体" w:hAnsi="楷体" w:eastAsia="楷体" w:cs="仿宋_GB2312"/>
          <w:spacing w:val="15"/>
          <w:szCs w:val="21"/>
          <w:highlight w:val="none"/>
          <w:lang w:val="en-US" w:eastAsia="zh-CN"/>
        </w:rPr>
        <w:t>地区生产总值、各产业增加值按现价计算，增长速度按不变价格计算。</w:t>
      </w:r>
      <w:bookmarkEnd w:id="1"/>
    </w:p>
    <w:p w14:paraId="45A31A43">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eastAsia" w:ascii="楷体" w:hAnsi="楷体" w:eastAsia="楷体" w:cs="仿宋_GB2312"/>
          <w:spacing w:val="15"/>
          <w:szCs w:val="21"/>
          <w:highlight w:val="none"/>
          <w:lang w:val="en-US" w:eastAsia="zh-CN"/>
        </w:rPr>
      </w:pPr>
      <w:bookmarkStart w:id="2" w:name="_Ref18470"/>
      <w:r>
        <w:rPr>
          <w:rFonts w:hint="eastAsia" w:ascii="楷体" w:hAnsi="楷体" w:eastAsia="楷体" w:cs="仿宋_GB2312"/>
          <w:spacing w:val="15"/>
          <w:szCs w:val="21"/>
          <w:highlight w:val="none"/>
          <w:lang w:val="en-US" w:eastAsia="zh-CN"/>
        </w:rPr>
        <w:t>规模以上工业统计范围为年主营业务收入2000万元及以上的工业法人企业。</w:t>
      </w:r>
      <w:bookmarkEnd w:id="2"/>
    </w:p>
    <w:p w14:paraId="64E5AC48">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eastAsia" w:ascii="楷体" w:hAnsi="楷体" w:eastAsia="楷体" w:cs="仿宋_GB2312"/>
          <w:spacing w:val="15"/>
          <w:szCs w:val="21"/>
          <w:highlight w:val="none"/>
          <w:lang w:val="en-US" w:eastAsia="zh-CN"/>
        </w:rPr>
      </w:pPr>
      <w:bookmarkStart w:id="3" w:name="_Ref18522"/>
      <w:r>
        <w:rPr>
          <w:rFonts w:hint="eastAsia" w:ascii="楷体" w:hAnsi="楷体" w:eastAsia="楷体" w:cs="仿宋_GB2312"/>
          <w:spacing w:val="15"/>
          <w:szCs w:val="21"/>
          <w:highlight w:val="none"/>
          <w:lang w:val="en-US" w:eastAsia="zh-CN"/>
        </w:rPr>
        <w:t>固定资产投资统计的起点为计划总投资500万元及以上项目。</w:t>
      </w:r>
      <w:bookmarkEnd w:id="3"/>
    </w:p>
    <w:p w14:paraId="4D3963FA">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default" w:ascii="楷体" w:hAnsi="楷体" w:eastAsia="楷体" w:cs="仿宋_GB2312"/>
          <w:spacing w:val="15"/>
          <w:szCs w:val="21"/>
          <w:highlight w:val="none"/>
          <w:lang w:val="en-US" w:eastAsia="zh-CN"/>
        </w:rPr>
      </w:pPr>
      <w:bookmarkStart w:id="4" w:name="_Ref18676"/>
      <w:r>
        <w:rPr>
          <w:rFonts w:hint="default" w:ascii="楷体" w:hAnsi="楷体" w:eastAsia="楷体" w:cs="仿宋_GB2312"/>
          <w:spacing w:val="15"/>
          <w:szCs w:val="21"/>
          <w:highlight w:val="none"/>
          <w:lang w:val="en-US" w:eastAsia="zh-CN"/>
        </w:rPr>
        <w:t>社会消费品零售总额统计中限额以上单位指年主营业务收入2000万元及以上的批发业企业(单位)、500万元及以上的零售业企业(单位)、200万元及以上的住宿和餐饮业企业(单位)。</w:t>
      </w:r>
      <w:bookmarkEnd w:id="4"/>
    </w:p>
    <w:p w14:paraId="357816EC">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default" w:ascii="楷体" w:hAnsi="楷体" w:eastAsia="楷体" w:cs="仿宋_GB2312"/>
          <w:spacing w:val="15"/>
          <w:szCs w:val="21"/>
          <w:highlight w:val="none"/>
          <w:lang w:val="en-US" w:eastAsia="zh-CN"/>
        </w:rPr>
      </w:pPr>
      <w:bookmarkStart w:id="5" w:name="_Ref18728"/>
      <w:r>
        <w:rPr>
          <w:rFonts w:hint="default" w:ascii="楷体" w:hAnsi="楷体" w:eastAsia="楷体" w:cs="仿宋_GB2312"/>
          <w:spacing w:val="15"/>
          <w:szCs w:val="21"/>
          <w:highlight w:val="none"/>
          <w:lang w:val="en-US" w:eastAsia="zh-CN"/>
        </w:rPr>
        <w:t>限额以上单位实物商品网上零售额指限额以上企业(单位)通过公共网络交易平台(包括自建网站和第三方平台)取得订单，售给个人、社会集团非生产、非经营用的实物商品金额(含增值税)，付款可以在网上进行，也可以在网下进行。公共网络包括计算机互联网、移动互联网等。</w:t>
      </w:r>
      <w:bookmarkEnd w:id="5"/>
    </w:p>
    <w:p w14:paraId="1A961027">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default" w:ascii="楷体" w:hAnsi="楷体" w:eastAsia="楷体" w:cs="仿宋_GB2312"/>
          <w:spacing w:val="15"/>
          <w:szCs w:val="21"/>
          <w:highlight w:val="none"/>
          <w:lang w:val="en-US" w:eastAsia="zh-CN"/>
        </w:rPr>
      </w:pPr>
      <w:bookmarkStart w:id="6" w:name="_Ref1490"/>
      <w:r>
        <w:rPr>
          <w:rFonts w:hint="eastAsia" w:ascii="楷体" w:hAnsi="楷体" w:eastAsia="楷体" w:cs="仿宋_GB2312"/>
          <w:spacing w:val="15"/>
          <w:szCs w:val="21"/>
          <w:highlight w:val="none"/>
          <w:lang w:val="en-US" w:eastAsia="zh-CN"/>
        </w:rPr>
        <w:t>完中即为完全中学，指的是同时设有初中部和高中部的学校。</w:t>
      </w:r>
      <w:bookmarkEnd w:id="6"/>
    </w:p>
    <w:p w14:paraId="655036D2">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leftChars="0" w:firstLine="420" w:firstLineChars="0"/>
        <w:jc w:val="left"/>
        <w:textAlignment w:val="auto"/>
        <w:rPr>
          <w:rFonts w:hint="default" w:ascii="楷体" w:hAnsi="楷体" w:eastAsia="楷体" w:cs="仿宋_GB2312"/>
          <w:spacing w:val="15"/>
          <w:szCs w:val="21"/>
          <w:highlight w:val="none"/>
          <w:lang w:val="en-US" w:eastAsia="zh-CN"/>
        </w:rPr>
      </w:pPr>
      <w:bookmarkStart w:id="7" w:name="_Ref18966"/>
      <w:r>
        <w:rPr>
          <w:rFonts w:hint="eastAsia" w:ascii="楷体" w:hAnsi="楷体" w:eastAsia="楷体" w:cs="仿宋_GB2312"/>
          <w:spacing w:val="15"/>
          <w:szCs w:val="21"/>
          <w:highlight w:val="none"/>
          <w:lang w:val="en-US" w:eastAsia="zh-CN"/>
        </w:rPr>
        <w:t>人口数据为截至</w:t>
      </w:r>
      <w:bookmarkStart w:id="8" w:name="_GoBack"/>
      <w:bookmarkEnd w:id="8"/>
      <w:r>
        <w:rPr>
          <w:rFonts w:hint="eastAsia" w:ascii="楷体" w:hAnsi="楷体" w:eastAsia="楷体" w:cs="仿宋_GB2312"/>
          <w:spacing w:val="15"/>
          <w:szCs w:val="21"/>
          <w:highlight w:val="none"/>
          <w:lang w:val="en-US" w:eastAsia="zh-CN"/>
        </w:rPr>
        <w:t>2024年10月31日的统计数据，不包含沈抚地区。</w:t>
      </w:r>
      <w:bookmarkEnd w:id="7"/>
    </w:p>
    <w:p w14:paraId="67E1DB2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仿宋_GB2312"/>
          <w:spacing w:val="15"/>
          <w:szCs w:val="21"/>
          <w:highlight w:val="none"/>
          <w:lang w:val="en-US" w:eastAsia="zh-CN"/>
        </w:rPr>
      </w:pPr>
    </w:p>
    <w:p w14:paraId="61603CE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仿宋_GB2312"/>
          <w:b/>
          <w:bCs/>
          <w:spacing w:val="15"/>
          <w:szCs w:val="21"/>
          <w:highlight w:val="none"/>
          <w:lang w:val="zh-CN"/>
        </w:rPr>
      </w:pPr>
      <w:r>
        <w:rPr>
          <w:rFonts w:hint="eastAsia" w:ascii="楷体" w:hAnsi="楷体" w:eastAsia="楷体" w:cs="仿宋_GB2312"/>
          <w:b/>
          <w:bCs/>
          <w:spacing w:val="15"/>
          <w:szCs w:val="21"/>
          <w:highlight w:val="none"/>
          <w:lang w:val="en-US" w:eastAsia="zh-CN"/>
        </w:rPr>
        <w:t>资料来源</w:t>
      </w:r>
      <w:r>
        <w:rPr>
          <w:rFonts w:hint="eastAsia" w:ascii="楷体" w:hAnsi="楷体" w:eastAsia="楷体" w:cs="仿宋_GB2312"/>
          <w:b/>
          <w:bCs/>
          <w:spacing w:val="15"/>
          <w:szCs w:val="21"/>
          <w:highlight w:val="none"/>
          <w:lang w:val="zh-CN"/>
        </w:rPr>
        <w:t>：</w:t>
      </w:r>
    </w:p>
    <w:p w14:paraId="791CB2C7">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default" w:ascii="楷体" w:hAnsi="楷体" w:eastAsia="楷体" w:cs="仿宋_GB2312"/>
          <w:spacing w:val="15"/>
          <w:szCs w:val="21"/>
          <w:highlight w:val="none"/>
          <w:lang w:val="en-US" w:eastAsia="zh-CN"/>
        </w:rPr>
      </w:pPr>
      <w:r>
        <w:rPr>
          <w:rFonts w:hint="eastAsia" w:ascii="楷体" w:hAnsi="楷体" w:eastAsia="楷体" w:cs="仿宋_GB2312"/>
          <w:spacing w:val="15"/>
          <w:szCs w:val="21"/>
          <w:highlight w:val="none"/>
          <w:lang w:val="en-US" w:eastAsia="zh-CN"/>
        </w:rPr>
        <w:t>本公报中农业数据来自浑南区农业农村局；城乡建设数据来自浑南区城建局；对外经济数据来自高新区投资促进局和浑南区商务局；财政数据来自浑南区财政局；就业方面数据来自浑南区人社局；社会保障和养老数据来自浑南区民政局；科技部分数据来自浑南区科技局；教育数据来自浑南区教育局；文旅、体育数据来自浑南区文旅局；卫生数据来自浑南区卫健局；其他数据均来自浑南区统计局。</w:t>
      </w:r>
    </w:p>
    <w:sectPr>
      <w:footerReference r:id="rId3"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894"/>
    </w:sdtPr>
    <w:sdtContent>
      <w:p w14:paraId="64B60C9E">
        <w:pPr>
          <w:pStyle w:val="9"/>
          <w:jc w:val="center"/>
        </w:pPr>
        <w:r>
          <w:fldChar w:fldCharType="begin"/>
        </w:r>
        <w:r>
          <w:instrText xml:space="preserve">PAGE   \* MERGEFORMAT</w:instrText>
        </w:r>
        <w:r>
          <w:fldChar w:fldCharType="separate"/>
        </w:r>
        <w:r>
          <w:rPr>
            <w:lang w:val="zh-CN"/>
          </w:rPr>
          <w:t>14</w:t>
        </w:r>
        <w:r>
          <w:fldChar w:fldCharType="end"/>
        </w:r>
      </w:p>
    </w:sdtContent>
  </w:sdt>
  <w:p w14:paraId="653D3DC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7C01A"/>
    <w:multiLevelType w:val="singleLevel"/>
    <w:tmpl w:val="7B97C01A"/>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Y2ZlZDZkZDU1NDUzZGE4Zjg3ZmUwMTZlNDk2M2YifQ=="/>
  </w:docVars>
  <w:rsids>
    <w:rsidRoot w:val="00040887"/>
    <w:rsid w:val="00002398"/>
    <w:rsid w:val="0000457C"/>
    <w:rsid w:val="00006560"/>
    <w:rsid w:val="0000663A"/>
    <w:rsid w:val="00011FEF"/>
    <w:rsid w:val="00012936"/>
    <w:rsid w:val="00013C00"/>
    <w:rsid w:val="00015844"/>
    <w:rsid w:val="00016EFD"/>
    <w:rsid w:val="00021EED"/>
    <w:rsid w:val="00023658"/>
    <w:rsid w:val="0002472B"/>
    <w:rsid w:val="00026EEC"/>
    <w:rsid w:val="000301CE"/>
    <w:rsid w:val="0003086F"/>
    <w:rsid w:val="00032165"/>
    <w:rsid w:val="00035659"/>
    <w:rsid w:val="00037A57"/>
    <w:rsid w:val="00040887"/>
    <w:rsid w:val="00041C0E"/>
    <w:rsid w:val="0004514E"/>
    <w:rsid w:val="00047826"/>
    <w:rsid w:val="0005030D"/>
    <w:rsid w:val="00050620"/>
    <w:rsid w:val="00051B9E"/>
    <w:rsid w:val="00054624"/>
    <w:rsid w:val="000549B7"/>
    <w:rsid w:val="00054A7A"/>
    <w:rsid w:val="00054B29"/>
    <w:rsid w:val="000563B7"/>
    <w:rsid w:val="000571F6"/>
    <w:rsid w:val="0006098C"/>
    <w:rsid w:val="00070E6E"/>
    <w:rsid w:val="0007295A"/>
    <w:rsid w:val="00072FA3"/>
    <w:rsid w:val="0007352F"/>
    <w:rsid w:val="00074DF7"/>
    <w:rsid w:val="00075F0E"/>
    <w:rsid w:val="000777B0"/>
    <w:rsid w:val="0008045F"/>
    <w:rsid w:val="000823DF"/>
    <w:rsid w:val="00082767"/>
    <w:rsid w:val="000839B1"/>
    <w:rsid w:val="00083E0F"/>
    <w:rsid w:val="00085FAE"/>
    <w:rsid w:val="000862EB"/>
    <w:rsid w:val="00086439"/>
    <w:rsid w:val="00086EC2"/>
    <w:rsid w:val="0008766B"/>
    <w:rsid w:val="00087B65"/>
    <w:rsid w:val="00087D57"/>
    <w:rsid w:val="00090380"/>
    <w:rsid w:val="0009053E"/>
    <w:rsid w:val="00091BA4"/>
    <w:rsid w:val="00091CBD"/>
    <w:rsid w:val="00092ED9"/>
    <w:rsid w:val="000930DE"/>
    <w:rsid w:val="000949E7"/>
    <w:rsid w:val="000959E4"/>
    <w:rsid w:val="00095F0B"/>
    <w:rsid w:val="00097549"/>
    <w:rsid w:val="000A03E5"/>
    <w:rsid w:val="000A059B"/>
    <w:rsid w:val="000A09E8"/>
    <w:rsid w:val="000A0E6E"/>
    <w:rsid w:val="000A15B3"/>
    <w:rsid w:val="000A2949"/>
    <w:rsid w:val="000A4E87"/>
    <w:rsid w:val="000A6557"/>
    <w:rsid w:val="000A719D"/>
    <w:rsid w:val="000A79E7"/>
    <w:rsid w:val="000B2DE5"/>
    <w:rsid w:val="000B4EA8"/>
    <w:rsid w:val="000B52FE"/>
    <w:rsid w:val="000B545D"/>
    <w:rsid w:val="000B7143"/>
    <w:rsid w:val="000B74EC"/>
    <w:rsid w:val="000C3DFE"/>
    <w:rsid w:val="000C6BEB"/>
    <w:rsid w:val="000D1538"/>
    <w:rsid w:val="000D1DB3"/>
    <w:rsid w:val="000D1E28"/>
    <w:rsid w:val="000D283C"/>
    <w:rsid w:val="000D4652"/>
    <w:rsid w:val="000D7C4D"/>
    <w:rsid w:val="000E03E3"/>
    <w:rsid w:val="000E1A1A"/>
    <w:rsid w:val="000E58C4"/>
    <w:rsid w:val="000E7F71"/>
    <w:rsid w:val="000F04AC"/>
    <w:rsid w:val="000F2C58"/>
    <w:rsid w:val="000F2FDF"/>
    <w:rsid w:val="000F3C9B"/>
    <w:rsid w:val="000F44BF"/>
    <w:rsid w:val="00100388"/>
    <w:rsid w:val="0010096F"/>
    <w:rsid w:val="00102211"/>
    <w:rsid w:val="001027DE"/>
    <w:rsid w:val="00102880"/>
    <w:rsid w:val="00103D6E"/>
    <w:rsid w:val="0010486B"/>
    <w:rsid w:val="00112AAC"/>
    <w:rsid w:val="00113C14"/>
    <w:rsid w:val="00114120"/>
    <w:rsid w:val="001163E3"/>
    <w:rsid w:val="001214DC"/>
    <w:rsid w:val="00122279"/>
    <w:rsid w:val="00123B2D"/>
    <w:rsid w:val="001256FE"/>
    <w:rsid w:val="00125F0E"/>
    <w:rsid w:val="0012766C"/>
    <w:rsid w:val="00133F1C"/>
    <w:rsid w:val="001358E0"/>
    <w:rsid w:val="00135E85"/>
    <w:rsid w:val="00136A41"/>
    <w:rsid w:val="00137636"/>
    <w:rsid w:val="00140CBB"/>
    <w:rsid w:val="00143611"/>
    <w:rsid w:val="00144CA3"/>
    <w:rsid w:val="00146BE1"/>
    <w:rsid w:val="001472AD"/>
    <w:rsid w:val="0014785D"/>
    <w:rsid w:val="0015195A"/>
    <w:rsid w:val="001548E5"/>
    <w:rsid w:val="00156E69"/>
    <w:rsid w:val="001571EE"/>
    <w:rsid w:val="00157307"/>
    <w:rsid w:val="00162A29"/>
    <w:rsid w:val="00163F3D"/>
    <w:rsid w:val="001641A7"/>
    <w:rsid w:val="00164CD5"/>
    <w:rsid w:val="00170A0D"/>
    <w:rsid w:val="00174BA6"/>
    <w:rsid w:val="00176CE9"/>
    <w:rsid w:val="0017765D"/>
    <w:rsid w:val="00180E6D"/>
    <w:rsid w:val="00181EC2"/>
    <w:rsid w:val="00182CC4"/>
    <w:rsid w:val="001834F5"/>
    <w:rsid w:val="00187F28"/>
    <w:rsid w:val="001907CB"/>
    <w:rsid w:val="001924FB"/>
    <w:rsid w:val="001925C9"/>
    <w:rsid w:val="00193829"/>
    <w:rsid w:val="00195C0E"/>
    <w:rsid w:val="00196A33"/>
    <w:rsid w:val="001A2431"/>
    <w:rsid w:val="001A269A"/>
    <w:rsid w:val="001A4E90"/>
    <w:rsid w:val="001A62B6"/>
    <w:rsid w:val="001A6AE9"/>
    <w:rsid w:val="001A6EF2"/>
    <w:rsid w:val="001B1CD7"/>
    <w:rsid w:val="001B1F87"/>
    <w:rsid w:val="001B62F9"/>
    <w:rsid w:val="001C0A05"/>
    <w:rsid w:val="001C34F8"/>
    <w:rsid w:val="001C41A9"/>
    <w:rsid w:val="001C5921"/>
    <w:rsid w:val="001C5EB2"/>
    <w:rsid w:val="001C7BB3"/>
    <w:rsid w:val="001D1245"/>
    <w:rsid w:val="001D443E"/>
    <w:rsid w:val="001D57D9"/>
    <w:rsid w:val="001E01AA"/>
    <w:rsid w:val="001E38F2"/>
    <w:rsid w:val="001E397C"/>
    <w:rsid w:val="001E6198"/>
    <w:rsid w:val="001E65A3"/>
    <w:rsid w:val="001E65CC"/>
    <w:rsid w:val="001F0646"/>
    <w:rsid w:val="001F0AD1"/>
    <w:rsid w:val="001F18AA"/>
    <w:rsid w:val="001F351F"/>
    <w:rsid w:val="001F6541"/>
    <w:rsid w:val="001F7C8D"/>
    <w:rsid w:val="00200828"/>
    <w:rsid w:val="002015C2"/>
    <w:rsid w:val="002017E8"/>
    <w:rsid w:val="002044EC"/>
    <w:rsid w:val="0020594C"/>
    <w:rsid w:val="002075D6"/>
    <w:rsid w:val="00211CF8"/>
    <w:rsid w:val="002175B2"/>
    <w:rsid w:val="00220670"/>
    <w:rsid w:val="00224148"/>
    <w:rsid w:val="00225B92"/>
    <w:rsid w:val="00226A7C"/>
    <w:rsid w:val="0022726C"/>
    <w:rsid w:val="00227810"/>
    <w:rsid w:val="002301F8"/>
    <w:rsid w:val="00231D1B"/>
    <w:rsid w:val="00231FC8"/>
    <w:rsid w:val="00233D92"/>
    <w:rsid w:val="00234792"/>
    <w:rsid w:val="00235D09"/>
    <w:rsid w:val="002367F1"/>
    <w:rsid w:val="00236D68"/>
    <w:rsid w:val="0024321E"/>
    <w:rsid w:val="00245983"/>
    <w:rsid w:val="00247E4D"/>
    <w:rsid w:val="00250D29"/>
    <w:rsid w:val="00251EE7"/>
    <w:rsid w:val="00252747"/>
    <w:rsid w:val="00252810"/>
    <w:rsid w:val="0025634E"/>
    <w:rsid w:val="00260613"/>
    <w:rsid w:val="00261755"/>
    <w:rsid w:val="0026198C"/>
    <w:rsid w:val="00263AD9"/>
    <w:rsid w:val="00265771"/>
    <w:rsid w:val="00266353"/>
    <w:rsid w:val="002663B4"/>
    <w:rsid w:val="0026692B"/>
    <w:rsid w:val="00267CEE"/>
    <w:rsid w:val="00267EB0"/>
    <w:rsid w:val="00270B58"/>
    <w:rsid w:val="0027383B"/>
    <w:rsid w:val="00273DA2"/>
    <w:rsid w:val="002762F2"/>
    <w:rsid w:val="002771BC"/>
    <w:rsid w:val="00280182"/>
    <w:rsid w:val="002815AF"/>
    <w:rsid w:val="002839BD"/>
    <w:rsid w:val="002852FE"/>
    <w:rsid w:val="002866FE"/>
    <w:rsid w:val="00286BAA"/>
    <w:rsid w:val="0029044D"/>
    <w:rsid w:val="00290771"/>
    <w:rsid w:val="00294331"/>
    <w:rsid w:val="0029719A"/>
    <w:rsid w:val="00297423"/>
    <w:rsid w:val="002A480B"/>
    <w:rsid w:val="002A488A"/>
    <w:rsid w:val="002A56A1"/>
    <w:rsid w:val="002A7490"/>
    <w:rsid w:val="002B07D9"/>
    <w:rsid w:val="002B0C12"/>
    <w:rsid w:val="002B196B"/>
    <w:rsid w:val="002B3CEC"/>
    <w:rsid w:val="002B5959"/>
    <w:rsid w:val="002B6EB5"/>
    <w:rsid w:val="002B72BE"/>
    <w:rsid w:val="002B7D2A"/>
    <w:rsid w:val="002C01BC"/>
    <w:rsid w:val="002C1932"/>
    <w:rsid w:val="002C3B14"/>
    <w:rsid w:val="002C3EC5"/>
    <w:rsid w:val="002C4DB5"/>
    <w:rsid w:val="002C5498"/>
    <w:rsid w:val="002D0768"/>
    <w:rsid w:val="002D31D1"/>
    <w:rsid w:val="002D5516"/>
    <w:rsid w:val="002D78D8"/>
    <w:rsid w:val="002E0147"/>
    <w:rsid w:val="002E140F"/>
    <w:rsid w:val="002E4285"/>
    <w:rsid w:val="002E4D22"/>
    <w:rsid w:val="002F05FB"/>
    <w:rsid w:val="002F3150"/>
    <w:rsid w:val="002F529A"/>
    <w:rsid w:val="002F61E4"/>
    <w:rsid w:val="002F7E89"/>
    <w:rsid w:val="0030414E"/>
    <w:rsid w:val="003049E7"/>
    <w:rsid w:val="003055BC"/>
    <w:rsid w:val="00310555"/>
    <w:rsid w:val="00312FB7"/>
    <w:rsid w:val="00317F03"/>
    <w:rsid w:val="003224B9"/>
    <w:rsid w:val="00322E1B"/>
    <w:rsid w:val="00332E91"/>
    <w:rsid w:val="0033459C"/>
    <w:rsid w:val="00334DFC"/>
    <w:rsid w:val="00341BB1"/>
    <w:rsid w:val="003427DD"/>
    <w:rsid w:val="003430D6"/>
    <w:rsid w:val="003452B6"/>
    <w:rsid w:val="00345860"/>
    <w:rsid w:val="00350A70"/>
    <w:rsid w:val="00351D76"/>
    <w:rsid w:val="00360847"/>
    <w:rsid w:val="003617FF"/>
    <w:rsid w:val="00362AD9"/>
    <w:rsid w:val="00365DCC"/>
    <w:rsid w:val="003722B4"/>
    <w:rsid w:val="00373416"/>
    <w:rsid w:val="0037452C"/>
    <w:rsid w:val="00376D22"/>
    <w:rsid w:val="003812A6"/>
    <w:rsid w:val="003812B8"/>
    <w:rsid w:val="00383FA7"/>
    <w:rsid w:val="003841A9"/>
    <w:rsid w:val="00384787"/>
    <w:rsid w:val="00387E74"/>
    <w:rsid w:val="00390754"/>
    <w:rsid w:val="00390A98"/>
    <w:rsid w:val="0039439F"/>
    <w:rsid w:val="003963E2"/>
    <w:rsid w:val="003A045A"/>
    <w:rsid w:val="003A2D3D"/>
    <w:rsid w:val="003A34FA"/>
    <w:rsid w:val="003A41E9"/>
    <w:rsid w:val="003A4EBD"/>
    <w:rsid w:val="003A4F0D"/>
    <w:rsid w:val="003A5330"/>
    <w:rsid w:val="003A5D35"/>
    <w:rsid w:val="003A793E"/>
    <w:rsid w:val="003B0E43"/>
    <w:rsid w:val="003B4F72"/>
    <w:rsid w:val="003C018A"/>
    <w:rsid w:val="003C4013"/>
    <w:rsid w:val="003D126B"/>
    <w:rsid w:val="003D17A4"/>
    <w:rsid w:val="003D58F9"/>
    <w:rsid w:val="003D5919"/>
    <w:rsid w:val="003D6586"/>
    <w:rsid w:val="003E0CE6"/>
    <w:rsid w:val="003E23AC"/>
    <w:rsid w:val="003E4841"/>
    <w:rsid w:val="003E484B"/>
    <w:rsid w:val="003E5574"/>
    <w:rsid w:val="003E61B4"/>
    <w:rsid w:val="003E7B82"/>
    <w:rsid w:val="003E7E4B"/>
    <w:rsid w:val="003F4054"/>
    <w:rsid w:val="003F6460"/>
    <w:rsid w:val="003F7682"/>
    <w:rsid w:val="003F7B7B"/>
    <w:rsid w:val="00400984"/>
    <w:rsid w:val="00402F1D"/>
    <w:rsid w:val="00404201"/>
    <w:rsid w:val="00404C99"/>
    <w:rsid w:val="00405EED"/>
    <w:rsid w:val="00406A1E"/>
    <w:rsid w:val="00407457"/>
    <w:rsid w:val="00407832"/>
    <w:rsid w:val="00410AB0"/>
    <w:rsid w:val="00412B91"/>
    <w:rsid w:val="00413AD2"/>
    <w:rsid w:val="00414E48"/>
    <w:rsid w:val="0041622D"/>
    <w:rsid w:val="0042004B"/>
    <w:rsid w:val="0042005E"/>
    <w:rsid w:val="00423FD4"/>
    <w:rsid w:val="00424E25"/>
    <w:rsid w:val="00427641"/>
    <w:rsid w:val="00431147"/>
    <w:rsid w:val="00432394"/>
    <w:rsid w:val="00433C93"/>
    <w:rsid w:val="00435111"/>
    <w:rsid w:val="00435FD4"/>
    <w:rsid w:val="00436EBC"/>
    <w:rsid w:val="00440DD7"/>
    <w:rsid w:val="004447B0"/>
    <w:rsid w:val="00451752"/>
    <w:rsid w:val="00455B84"/>
    <w:rsid w:val="004566CE"/>
    <w:rsid w:val="00460EE0"/>
    <w:rsid w:val="00461C0A"/>
    <w:rsid w:val="004658D1"/>
    <w:rsid w:val="00467795"/>
    <w:rsid w:val="00467A9D"/>
    <w:rsid w:val="00467FD1"/>
    <w:rsid w:val="00470D28"/>
    <w:rsid w:val="004724ED"/>
    <w:rsid w:val="00472BAB"/>
    <w:rsid w:val="00473A55"/>
    <w:rsid w:val="0048516B"/>
    <w:rsid w:val="00485399"/>
    <w:rsid w:val="004866C3"/>
    <w:rsid w:val="0048734A"/>
    <w:rsid w:val="004911E1"/>
    <w:rsid w:val="0049342A"/>
    <w:rsid w:val="004975E2"/>
    <w:rsid w:val="004A00C5"/>
    <w:rsid w:val="004A2D84"/>
    <w:rsid w:val="004A3620"/>
    <w:rsid w:val="004A3752"/>
    <w:rsid w:val="004A52C2"/>
    <w:rsid w:val="004A7ADE"/>
    <w:rsid w:val="004A7CB4"/>
    <w:rsid w:val="004B099F"/>
    <w:rsid w:val="004B0E26"/>
    <w:rsid w:val="004B26B5"/>
    <w:rsid w:val="004B45FC"/>
    <w:rsid w:val="004B4B71"/>
    <w:rsid w:val="004B570A"/>
    <w:rsid w:val="004B66D0"/>
    <w:rsid w:val="004B6EA0"/>
    <w:rsid w:val="004B7C37"/>
    <w:rsid w:val="004C0292"/>
    <w:rsid w:val="004C0D56"/>
    <w:rsid w:val="004C0F2F"/>
    <w:rsid w:val="004C0F92"/>
    <w:rsid w:val="004C1591"/>
    <w:rsid w:val="004C534F"/>
    <w:rsid w:val="004D125B"/>
    <w:rsid w:val="004D1DBB"/>
    <w:rsid w:val="004D6899"/>
    <w:rsid w:val="004D79F0"/>
    <w:rsid w:val="004D7C8B"/>
    <w:rsid w:val="004D7E6F"/>
    <w:rsid w:val="004E3DC8"/>
    <w:rsid w:val="004E591C"/>
    <w:rsid w:val="004E642F"/>
    <w:rsid w:val="004E6D82"/>
    <w:rsid w:val="004F0391"/>
    <w:rsid w:val="004F0971"/>
    <w:rsid w:val="004F0EC6"/>
    <w:rsid w:val="004F1AF8"/>
    <w:rsid w:val="004F3490"/>
    <w:rsid w:val="004F5536"/>
    <w:rsid w:val="004F5C6D"/>
    <w:rsid w:val="004F606F"/>
    <w:rsid w:val="004F7B4A"/>
    <w:rsid w:val="0050015A"/>
    <w:rsid w:val="0050020C"/>
    <w:rsid w:val="00503BA0"/>
    <w:rsid w:val="00506FEE"/>
    <w:rsid w:val="00511780"/>
    <w:rsid w:val="0051326B"/>
    <w:rsid w:val="00513972"/>
    <w:rsid w:val="005157D1"/>
    <w:rsid w:val="005165EB"/>
    <w:rsid w:val="00517C39"/>
    <w:rsid w:val="005232BE"/>
    <w:rsid w:val="00523547"/>
    <w:rsid w:val="0052557B"/>
    <w:rsid w:val="00527AA3"/>
    <w:rsid w:val="00527B7E"/>
    <w:rsid w:val="005300C9"/>
    <w:rsid w:val="005309CC"/>
    <w:rsid w:val="00530AEB"/>
    <w:rsid w:val="0053327E"/>
    <w:rsid w:val="00533427"/>
    <w:rsid w:val="0053503B"/>
    <w:rsid w:val="00537D5C"/>
    <w:rsid w:val="00540234"/>
    <w:rsid w:val="00541227"/>
    <w:rsid w:val="00545C53"/>
    <w:rsid w:val="005509EB"/>
    <w:rsid w:val="00553077"/>
    <w:rsid w:val="00554680"/>
    <w:rsid w:val="005624EE"/>
    <w:rsid w:val="00564052"/>
    <w:rsid w:val="0056464C"/>
    <w:rsid w:val="0056573D"/>
    <w:rsid w:val="00566454"/>
    <w:rsid w:val="005673CC"/>
    <w:rsid w:val="00567A63"/>
    <w:rsid w:val="00571237"/>
    <w:rsid w:val="00571575"/>
    <w:rsid w:val="00575F9E"/>
    <w:rsid w:val="005763A6"/>
    <w:rsid w:val="00581221"/>
    <w:rsid w:val="00584660"/>
    <w:rsid w:val="00584DA5"/>
    <w:rsid w:val="00584E85"/>
    <w:rsid w:val="0059005E"/>
    <w:rsid w:val="0059163C"/>
    <w:rsid w:val="00592F80"/>
    <w:rsid w:val="005958E9"/>
    <w:rsid w:val="005968F3"/>
    <w:rsid w:val="005A1DC7"/>
    <w:rsid w:val="005A3300"/>
    <w:rsid w:val="005A42C2"/>
    <w:rsid w:val="005A5A29"/>
    <w:rsid w:val="005B0264"/>
    <w:rsid w:val="005B0AB5"/>
    <w:rsid w:val="005B15F2"/>
    <w:rsid w:val="005B1D77"/>
    <w:rsid w:val="005B4927"/>
    <w:rsid w:val="005B6009"/>
    <w:rsid w:val="005B65C5"/>
    <w:rsid w:val="005B74D6"/>
    <w:rsid w:val="005B7FDB"/>
    <w:rsid w:val="005C0409"/>
    <w:rsid w:val="005C1107"/>
    <w:rsid w:val="005C28A4"/>
    <w:rsid w:val="005C3872"/>
    <w:rsid w:val="005C41F0"/>
    <w:rsid w:val="005C597F"/>
    <w:rsid w:val="005C67E7"/>
    <w:rsid w:val="005D7DB0"/>
    <w:rsid w:val="005E0395"/>
    <w:rsid w:val="005E3556"/>
    <w:rsid w:val="005E3874"/>
    <w:rsid w:val="005E4045"/>
    <w:rsid w:val="005E5B45"/>
    <w:rsid w:val="005E66FE"/>
    <w:rsid w:val="005F0309"/>
    <w:rsid w:val="005F0887"/>
    <w:rsid w:val="005F175C"/>
    <w:rsid w:val="005F1D07"/>
    <w:rsid w:val="005F236B"/>
    <w:rsid w:val="005F2DBB"/>
    <w:rsid w:val="005F6021"/>
    <w:rsid w:val="00600D85"/>
    <w:rsid w:val="0060363F"/>
    <w:rsid w:val="0060463E"/>
    <w:rsid w:val="006053F7"/>
    <w:rsid w:val="00605EE6"/>
    <w:rsid w:val="00607016"/>
    <w:rsid w:val="00611ADC"/>
    <w:rsid w:val="00612FBF"/>
    <w:rsid w:val="00613205"/>
    <w:rsid w:val="006134E7"/>
    <w:rsid w:val="006147D0"/>
    <w:rsid w:val="006156FE"/>
    <w:rsid w:val="00622866"/>
    <w:rsid w:val="00623E5D"/>
    <w:rsid w:val="0063270B"/>
    <w:rsid w:val="006337A6"/>
    <w:rsid w:val="006355EB"/>
    <w:rsid w:val="006417E8"/>
    <w:rsid w:val="00641C36"/>
    <w:rsid w:val="0064424C"/>
    <w:rsid w:val="006449E6"/>
    <w:rsid w:val="00645542"/>
    <w:rsid w:val="006462DD"/>
    <w:rsid w:val="00647437"/>
    <w:rsid w:val="006503E6"/>
    <w:rsid w:val="0065252A"/>
    <w:rsid w:val="00654BF6"/>
    <w:rsid w:val="00654CB8"/>
    <w:rsid w:val="00654D9A"/>
    <w:rsid w:val="006566C8"/>
    <w:rsid w:val="006574F3"/>
    <w:rsid w:val="00657A48"/>
    <w:rsid w:val="006617DC"/>
    <w:rsid w:val="00663BE8"/>
    <w:rsid w:val="00664033"/>
    <w:rsid w:val="00665523"/>
    <w:rsid w:val="00665AC4"/>
    <w:rsid w:val="0066794F"/>
    <w:rsid w:val="006701C3"/>
    <w:rsid w:val="00670374"/>
    <w:rsid w:val="0067204C"/>
    <w:rsid w:val="00672BEE"/>
    <w:rsid w:val="00673C66"/>
    <w:rsid w:val="00685865"/>
    <w:rsid w:val="00687E1B"/>
    <w:rsid w:val="0069021C"/>
    <w:rsid w:val="006931FD"/>
    <w:rsid w:val="0069777A"/>
    <w:rsid w:val="006978D1"/>
    <w:rsid w:val="006A1C3B"/>
    <w:rsid w:val="006A290A"/>
    <w:rsid w:val="006A2CB6"/>
    <w:rsid w:val="006A3EFE"/>
    <w:rsid w:val="006A5F91"/>
    <w:rsid w:val="006B10AE"/>
    <w:rsid w:val="006B22E6"/>
    <w:rsid w:val="006B546C"/>
    <w:rsid w:val="006B73BB"/>
    <w:rsid w:val="006C02AC"/>
    <w:rsid w:val="006C1EF3"/>
    <w:rsid w:val="006C201A"/>
    <w:rsid w:val="006C5624"/>
    <w:rsid w:val="006D03D2"/>
    <w:rsid w:val="006D0EFA"/>
    <w:rsid w:val="006D28EE"/>
    <w:rsid w:val="006D2C8F"/>
    <w:rsid w:val="006D3ECE"/>
    <w:rsid w:val="006D4B18"/>
    <w:rsid w:val="006D5140"/>
    <w:rsid w:val="006D5A7D"/>
    <w:rsid w:val="006E00DA"/>
    <w:rsid w:val="006E0B57"/>
    <w:rsid w:val="006E1C0C"/>
    <w:rsid w:val="006E2CD0"/>
    <w:rsid w:val="006E3384"/>
    <w:rsid w:val="006E4372"/>
    <w:rsid w:val="006E765F"/>
    <w:rsid w:val="006F09F8"/>
    <w:rsid w:val="006F11DF"/>
    <w:rsid w:val="006F12BC"/>
    <w:rsid w:val="006F4F56"/>
    <w:rsid w:val="006F52BD"/>
    <w:rsid w:val="006F7492"/>
    <w:rsid w:val="0070070E"/>
    <w:rsid w:val="0070351C"/>
    <w:rsid w:val="00703B02"/>
    <w:rsid w:val="00707AFF"/>
    <w:rsid w:val="0071076F"/>
    <w:rsid w:val="00710C92"/>
    <w:rsid w:val="00711325"/>
    <w:rsid w:val="007158F7"/>
    <w:rsid w:val="007167B7"/>
    <w:rsid w:val="00716AF6"/>
    <w:rsid w:val="00717EB8"/>
    <w:rsid w:val="00720E7B"/>
    <w:rsid w:val="00721883"/>
    <w:rsid w:val="00721CF3"/>
    <w:rsid w:val="007233BF"/>
    <w:rsid w:val="007242ED"/>
    <w:rsid w:val="007262F8"/>
    <w:rsid w:val="007310AE"/>
    <w:rsid w:val="00732A31"/>
    <w:rsid w:val="0073497D"/>
    <w:rsid w:val="007361B2"/>
    <w:rsid w:val="0074136D"/>
    <w:rsid w:val="00741461"/>
    <w:rsid w:val="007468EC"/>
    <w:rsid w:val="00751B05"/>
    <w:rsid w:val="00756205"/>
    <w:rsid w:val="00757705"/>
    <w:rsid w:val="00757AD7"/>
    <w:rsid w:val="007603A1"/>
    <w:rsid w:val="00761038"/>
    <w:rsid w:val="00763FAF"/>
    <w:rsid w:val="00764E2C"/>
    <w:rsid w:val="00765764"/>
    <w:rsid w:val="00770E27"/>
    <w:rsid w:val="007715A0"/>
    <w:rsid w:val="00772D92"/>
    <w:rsid w:val="00775463"/>
    <w:rsid w:val="00775961"/>
    <w:rsid w:val="00775B68"/>
    <w:rsid w:val="00775CB1"/>
    <w:rsid w:val="007765FE"/>
    <w:rsid w:val="00776C1D"/>
    <w:rsid w:val="00777D2D"/>
    <w:rsid w:val="00777D54"/>
    <w:rsid w:val="0078137A"/>
    <w:rsid w:val="00782751"/>
    <w:rsid w:val="00786EB7"/>
    <w:rsid w:val="00787DEB"/>
    <w:rsid w:val="00787E1F"/>
    <w:rsid w:val="0079180B"/>
    <w:rsid w:val="00793CC7"/>
    <w:rsid w:val="00793D24"/>
    <w:rsid w:val="00794DC8"/>
    <w:rsid w:val="00797F7B"/>
    <w:rsid w:val="007A1FEE"/>
    <w:rsid w:val="007A759E"/>
    <w:rsid w:val="007B08BD"/>
    <w:rsid w:val="007B12C5"/>
    <w:rsid w:val="007B13B6"/>
    <w:rsid w:val="007B20A3"/>
    <w:rsid w:val="007B27DB"/>
    <w:rsid w:val="007B5402"/>
    <w:rsid w:val="007B685E"/>
    <w:rsid w:val="007B6ABB"/>
    <w:rsid w:val="007C54A3"/>
    <w:rsid w:val="007C7F42"/>
    <w:rsid w:val="007D0785"/>
    <w:rsid w:val="007D07FE"/>
    <w:rsid w:val="007D160C"/>
    <w:rsid w:val="007D28F0"/>
    <w:rsid w:val="007D493A"/>
    <w:rsid w:val="007D671C"/>
    <w:rsid w:val="007D7165"/>
    <w:rsid w:val="007E0D38"/>
    <w:rsid w:val="007E1989"/>
    <w:rsid w:val="007E505F"/>
    <w:rsid w:val="007E6BF7"/>
    <w:rsid w:val="007E75D5"/>
    <w:rsid w:val="007E7DA2"/>
    <w:rsid w:val="007F4CA5"/>
    <w:rsid w:val="007F5C77"/>
    <w:rsid w:val="007F680E"/>
    <w:rsid w:val="007F6F50"/>
    <w:rsid w:val="00800483"/>
    <w:rsid w:val="008032AA"/>
    <w:rsid w:val="008035F8"/>
    <w:rsid w:val="00807828"/>
    <w:rsid w:val="00813496"/>
    <w:rsid w:val="00814C9B"/>
    <w:rsid w:val="0081509A"/>
    <w:rsid w:val="008242E6"/>
    <w:rsid w:val="00825469"/>
    <w:rsid w:val="00825EC4"/>
    <w:rsid w:val="00827EA6"/>
    <w:rsid w:val="00830045"/>
    <w:rsid w:val="008306B9"/>
    <w:rsid w:val="008316E9"/>
    <w:rsid w:val="00831A30"/>
    <w:rsid w:val="008333B4"/>
    <w:rsid w:val="00833CE8"/>
    <w:rsid w:val="00835AD9"/>
    <w:rsid w:val="00836059"/>
    <w:rsid w:val="00837B0D"/>
    <w:rsid w:val="00840698"/>
    <w:rsid w:val="00841FD9"/>
    <w:rsid w:val="00844446"/>
    <w:rsid w:val="0084737E"/>
    <w:rsid w:val="00851F51"/>
    <w:rsid w:val="00854C1B"/>
    <w:rsid w:val="0085624E"/>
    <w:rsid w:val="00856D14"/>
    <w:rsid w:val="008572A5"/>
    <w:rsid w:val="00861003"/>
    <w:rsid w:val="00863498"/>
    <w:rsid w:val="00863D05"/>
    <w:rsid w:val="0086478C"/>
    <w:rsid w:val="00864FE0"/>
    <w:rsid w:val="00871AED"/>
    <w:rsid w:val="0087419E"/>
    <w:rsid w:val="0087609A"/>
    <w:rsid w:val="00880F32"/>
    <w:rsid w:val="008840A7"/>
    <w:rsid w:val="008902F4"/>
    <w:rsid w:val="008903D7"/>
    <w:rsid w:val="00890C3C"/>
    <w:rsid w:val="00890DE7"/>
    <w:rsid w:val="008913E3"/>
    <w:rsid w:val="00893677"/>
    <w:rsid w:val="00894593"/>
    <w:rsid w:val="00895055"/>
    <w:rsid w:val="00895376"/>
    <w:rsid w:val="008958E0"/>
    <w:rsid w:val="008961ED"/>
    <w:rsid w:val="00897123"/>
    <w:rsid w:val="00897E0D"/>
    <w:rsid w:val="008A1F30"/>
    <w:rsid w:val="008A22A2"/>
    <w:rsid w:val="008A29B4"/>
    <w:rsid w:val="008A2AEA"/>
    <w:rsid w:val="008A3919"/>
    <w:rsid w:val="008A4BE8"/>
    <w:rsid w:val="008A5516"/>
    <w:rsid w:val="008A5D5E"/>
    <w:rsid w:val="008B4629"/>
    <w:rsid w:val="008B50EA"/>
    <w:rsid w:val="008B5197"/>
    <w:rsid w:val="008B5464"/>
    <w:rsid w:val="008B64B5"/>
    <w:rsid w:val="008B7138"/>
    <w:rsid w:val="008C0890"/>
    <w:rsid w:val="008C1E93"/>
    <w:rsid w:val="008C3442"/>
    <w:rsid w:val="008C6ABA"/>
    <w:rsid w:val="008D0EFA"/>
    <w:rsid w:val="008D1415"/>
    <w:rsid w:val="008E0045"/>
    <w:rsid w:val="008E1159"/>
    <w:rsid w:val="008E20F8"/>
    <w:rsid w:val="008E4478"/>
    <w:rsid w:val="008E7EAC"/>
    <w:rsid w:val="008F03D5"/>
    <w:rsid w:val="008F4E72"/>
    <w:rsid w:val="008F6EA7"/>
    <w:rsid w:val="008F7763"/>
    <w:rsid w:val="008F7F5D"/>
    <w:rsid w:val="00900436"/>
    <w:rsid w:val="009022F0"/>
    <w:rsid w:val="00903313"/>
    <w:rsid w:val="0090341A"/>
    <w:rsid w:val="00904CC1"/>
    <w:rsid w:val="00905E70"/>
    <w:rsid w:val="00907F62"/>
    <w:rsid w:val="00911F62"/>
    <w:rsid w:val="00912287"/>
    <w:rsid w:val="0091240E"/>
    <w:rsid w:val="00914245"/>
    <w:rsid w:val="00916FA1"/>
    <w:rsid w:val="00925074"/>
    <w:rsid w:val="0092612E"/>
    <w:rsid w:val="00932A49"/>
    <w:rsid w:val="00933410"/>
    <w:rsid w:val="009339B5"/>
    <w:rsid w:val="00934CB5"/>
    <w:rsid w:val="009364A0"/>
    <w:rsid w:val="0094387E"/>
    <w:rsid w:val="009509EA"/>
    <w:rsid w:val="00950E34"/>
    <w:rsid w:val="00955012"/>
    <w:rsid w:val="00957F87"/>
    <w:rsid w:val="009608A4"/>
    <w:rsid w:val="00963309"/>
    <w:rsid w:val="00964DB5"/>
    <w:rsid w:val="00964ECB"/>
    <w:rsid w:val="00966270"/>
    <w:rsid w:val="0096644E"/>
    <w:rsid w:val="009666A8"/>
    <w:rsid w:val="00970C4E"/>
    <w:rsid w:val="00972CB0"/>
    <w:rsid w:val="00974F72"/>
    <w:rsid w:val="00980BA0"/>
    <w:rsid w:val="00987132"/>
    <w:rsid w:val="0098797B"/>
    <w:rsid w:val="009879B6"/>
    <w:rsid w:val="0099130F"/>
    <w:rsid w:val="0099256E"/>
    <w:rsid w:val="009A4323"/>
    <w:rsid w:val="009A476D"/>
    <w:rsid w:val="009A4CE9"/>
    <w:rsid w:val="009B07FC"/>
    <w:rsid w:val="009B0A71"/>
    <w:rsid w:val="009B15A3"/>
    <w:rsid w:val="009C0BA6"/>
    <w:rsid w:val="009C1966"/>
    <w:rsid w:val="009C1C43"/>
    <w:rsid w:val="009C1E18"/>
    <w:rsid w:val="009C2F41"/>
    <w:rsid w:val="009C365A"/>
    <w:rsid w:val="009C3DA9"/>
    <w:rsid w:val="009C5009"/>
    <w:rsid w:val="009C5CE7"/>
    <w:rsid w:val="009C79DE"/>
    <w:rsid w:val="009D011F"/>
    <w:rsid w:val="009D2FAD"/>
    <w:rsid w:val="009D3FA7"/>
    <w:rsid w:val="009D4B2C"/>
    <w:rsid w:val="009D73C3"/>
    <w:rsid w:val="009E05FE"/>
    <w:rsid w:val="009E570E"/>
    <w:rsid w:val="009E6148"/>
    <w:rsid w:val="009E6809"/>
    <w:rsid w:val="009E6AB0"/>
    <w:rsid w:val="009E6BE8"/>
    <w:rsid w:val="009E6BE9"/>
    <w:rsid w:val="009E71E4"/>
    <w:rsid w:val="009F17B0"/>
    <w:rsid w:val="009F3601"/>
    <w:rsid w:val="009F399D"/>
    <w:rsid w:val="009F3A6C"/>
    <w:rsid w:val="009F3C91"/>
    <w:rsid w:val="009F47A1"/>
    <w:rsid w:val="009F49BA"/>
    <w:rsid w:val="009F75B1"/>
    <w:rsid w:val="009F7E54"/>
    <w:rsid w:val="00A00668"/>
    <w:rsid w:val="00A0224C"/>
    <w:rsid w:val="00A0275C"/>
    <w:rsid w:val="00A03395"/>
    <w:rsid w:val="00A04564"/>
    <w:rsid w:val="00A0564F"/>
    <w:rsid w:val="00A06FF8"/>
    <w:rsid w:val="00A077A7"/>
    <w:rsid w:val="00A10076"/>
    <w:rsid w:val="00A10300"/>
    <w:rsid w:val="00A12E63"/>
    <w:rsid w:val="00A13716"/>
    <w:rsid w:val="00A143CB"/>
    <w:rsid w:val="00A161A9"/>
    <w:rsid w:val="00A17084"/>
    <w:rsid w:val="00A17633"/>
    <w:rsid w:val="00A21F52"/>
    <w:rsid w:val="00A22EDD"/>
    <w:rsid w:val="00A23E55"/>
    <w:rsid w:val="00A31BB5"/>
    <w:rsid w:val="00A320D2"/>
    <w:rsid w:val="00A34EC5"/>
    <w:rsid w:val="00A35A8F"/>
    <w:rsid w:val="00A35CA7"/>
    <w:rsid w:val="00A419D7"/>
    <w:rsid w:val="00A41E9A"/>
    <w:rsid w:val="00A44C29"/>
    <w:rsid w:val="00A45795"/>
    <w:rsid w:val="00A47AAD"/>
    <w:rsid w:val="00A53A8B"/>
    <w:rsid w:val="00A54AE2"/>
    <w:rsid w:val="00A55083"/>
    <w:rsid w:val="00A555B3"/>
    <w:rsid w:val="00A5680C"/>
    <w:rsid w:val="00A578D3"/>
    <w:rsid w:val="00A57DC6"/>
    <w:rsid w:val="00A57DE6"/>
    <w:rsid w:val="00A60F9C"/>
    <w:rsid w:val="00A622D0"/>
    <w:rsid w:val="00A66050"/>
    <w:rsid w:val="00A70926"/>
    <w:rsid w:val="00A723D1"/>
    <w:rsid w:val="00A735E1"/>
    <w:rsid w:val="00A753B7"/>
    <w:rsid w:val="00A75A0F"/>
    <w:rsid w:val="00A806A0"/>
    <w:rsid w:val="00A83119"/>
    <w:rsid w:val="00A8378E"/>
    <w:rsid w:val="00A865DE"/>
    <w:rsid w:val="00A8665E"/>
    <w:rsid w:val="00A9006F"/>
    <w:rsid w:val="00A91A11"/>
    <w:rsid w:val="00A93584"/>
    <w:rsid w:val="00A95149"/>
    <w:rsid w:val="00A95D8B"/>
    <w:rsid w:val="00A977F1"/>
    <w:rsid w:val="00AA2038"/>
    <w:rsid w:val="00AA4B23"/>
    <w:rsid w:val="00AA745B"/>
    <w:rsid w:val="00AB10B2"/>
    <w:rsid w:val="00AB1DF8"/>
    <w:rsid w:val="00AB308E"/>
    <w:rsid w:val="00AB3C0D"/>
    <w:rsid w:val="00AB3E9C"/>
    <w:rsid w:val="00AB58D1"/>
    <w:rsid w:val="00AB61DC"/>
    <w:rsid w:val="00AB620D"/>
    <w:rsid w:val="00AC114A"/>
    <w:rsid w:val="00AC5805"/>
    <w:rsid w:val="00AC65FA"/>
    <w:rsid w:val="00AC7380"/>
    <w:rsid w:val="00AD12D7"/>
    <w:rsid w:val="00AD21B4"/>
    <w:rsid w:val="00AE29F8"/>
    <w:rsid w:val="00AE756E"/>
    <w:rsid w:val="00AE7FC8"/>
    <w:rsid w:val="00AF195A"/>
    <w:rsid w:val="00AF1CEF"/>
    <w:rsid w:val="00AF2CC4"/>
    <w:rsid w:val="00AF3CB5"/>
    <w:rsid w:val="00AF54E8"/>
    <w:rsid w:val="00AF664D"/>
    <w:rsid w:val="00B003E7"/>
    <w:rsid w:val="00B02042"/>
    <w:rsid w:val="00B02193"/>
    <w:rsid w:val="00B062C1"/>
    <w:rsid w:val="00B06384"/>
    <w:rsid w:val="00B1229B"/>
    <w:rsid w:val="00B1412E"/>
    <w:rsid w:val="00B14B09"/>
    <w:rsid w:val="00B15F60"/>
    <w:rsid w:val="00B1741E"/>
    <w:rsid w:val="00B174F9"/>
    <w:rsid w:val="00B17E48"/>
    <w:rsid w:val="00B26F97"/>
    <w:rsid w:val="00B2739D"/>
    <w:rsid w:val="00B30056"/>
    <w:rsid w:val="00B3299F"/>
    <w:rsid w:val="00B32EB3"/>
    <w:rsid w:val="00B36694"/>
    <w:rsid w:val="00B372E8"/>
    <w:rsid w:val="00B4064E"/>
    <w:rsid w:val="00B42C06"/>
    <w:rsid w:val="00B42C31"/>
    <w:rsid w:val="00B5265B"/>
    <w:rsid w:val="00B538B2"/>
    <w:rsid w:val="00B53ABE"/>
    <w:rsid w:val="00B54A95"/>
    <w:rsid w:val="00B54D29"/>
    <w:rsid w:val="00B559D5"/>
    <w:rsid w:val="00B56082"/>
    <w:rsid w:val="00B56A34"/>
    <w:rsid w:val="00B56F59"/>
    <w:rsid w:val="00B57411"/>
    <w:rsid w:val="00B6264F"/>
    <w:rsid w:val="00B6367F"/>
    <w:rsid w:val="00B65A32"/>
    <w:rsid w:val="00B65D0F"/>
    <w:rsid w:val="00B65EFE"/>
    <w:rsid w:val="00B67001"/>
    <w:rsid w:val="00B736E3"/>
    <w:rsid w:val="00B75EC1"/>
    <w:rsid w:val="00B77437"/>
    <w:rsid w:val="00B81EB5"/>
    <w:rsid w:val="00B85908"/>
    <w:rsid w:val="00B9060B"/>
    <w:rsid w:val="00B922E6"/>
    <w:rsid w:val="00B92452"/>
    <w:rsid w:val="00B929EF"/>
    <w:rsid w:val="00B92CFC"/>
    <w:rsid w:val="00B93138"/>
    <w:rsid w:val="00B9423E"/>
    <w:rsid w:val="00B9608B"/>
    <w:rsid w:val="00BA0EAF"/>
    <w:rsid w:val="00BA120F"/>
    <w:rsid w:val="00BA4E49"/>
    <w:rsid w:val="00BA5888"/>
    <w:rsid w:val="00BA594D"/>
    <w:rsid w:val="00BA6841"/>
    <w:rsid w:val="00BA7C4F"/>
    <w:rsid w:val="00BB27DE"/>
    <w:rsid w:val="00BB373B"/>
    <w:rsid w:val="00BB3EC6"/>
    <w:rsid w:val="00BB5188"/>
    <w:rsid w:val="00BB51ED"/>
    <w:rsid w:val="00BC2307"/>
    <w:rsid w:val="00BC4258"/>
    <w:rsid w:val="00BC523D"/>
    <w:rsid w:val="00BC7892"/>
    <w:rsid w:val="00BD0885"/>
    <w:rsid w:val="00BD0E34"/>
    <w:rsid w:val="00BD2A61"/>
    <w:rsid w:val="00BE0AFF"/>
    <w:rsid w:val="00BF6C9D"/>
    <w:rsid w:val="00BF7B00"/>
    <w:rsid w:val="00BF7E48"/>
    <w:rsid w:val="00C01447"/>
    <w:rsid w:val="00C0516D"/>
    <w:rsid w:val="00C11055"/>
    <w:rsid w:val="00C11181"/>
    <w:rsid w:val="00C117F6"/>
    <w:rsid w:val="00C11C36"/>
    <w:rsid w:val="00C13476"/>
    <w:rsid w:val="00C13A5C"/>
    <w:rsid w:val="00C13A8C"/>
    <w:rsid w:val="00C13B25"/>
    <w:rsid w:val="00C13CE2"/>
    <w:rsid w:val="00C16EC3"/>
    <w:rsid w:val="00C20842"/>
    <w:rsid w:val="00C2118F"/>
    <w:rsid w:val="00C211DA"/>
    <w:rsid w:val="00C21954"/>
    <w:rsid w:val="00C21BDD"/>
    <w:rsid w:val="00C23295"/>
    <w:rsid w:val="00C26BF2"/>
    <w:rsid w:val="00C277D7"/>
    <w:rsid w:val="00C31184"/>
    <w:rsid w:val="00C31EAA"/>
    <w:rsid w:val="00C31F13"/>
    <w:rsid w:val="00C336D9"/>
    <w:rsid w:val="00C35211"/>
    <w:rsid w:val="00C4209D"/>
    <w:rsid w:val="00C42782"/>
    <w:rsid w:val="00C4612C"/>
    <w:rsid w:val="00C47307"/>
    <w:rsid w:val="00C50B8E"/>
    <w:rsid w:val="00C521A5"/>
    <w:rsid w:val="00C5322B"/>
    <w:rsid w:val="00C560D0"/>
    <w:rsid w:val="00C57F89"/>
    <w:rsid w:val="00C607FE"/>
    <w:rsid w:val="00C63681"/>
    <w:rsid w:val="00C661CC"/>
    <w:rsid w:val="00C6642C"/>
    <w:rsid w:val="00C673CC"/>
    <w:rsid w:val="00C700EA"/>
    <w:rsid w:val="00C71AB0"/>
    <w:rsid w:val="00C723AA"/>
    <w:rsid w:val="00C72CD2"/>
    <w:rsid w:val="00C74476"/>
    <w:rsid w:val="00C773C6"/>
    <w:rsid w:val="00C77E02"/>
    <w:rsid w:val="00C8275F"/>
    <w:rsid w:val="00C82AA4"/>
    <w:rsid w:val="00C82D66"/>
    <w:rsid w:val="00C85F7D"/>
    <w:rsid w:val="00C8736B"/>
    <w:rsid w:val="00C87FBF"/>
    <w:rsid w:val="00C9348E"/>
    <w:rsid w:val="00C95E20"/>
    <w:rsid w:val="00C975EF"/>
    <w:rsid w:val="00CA27AA"/>
    <w:rsid w:val="00CA363F"/>
    <w:rsid w:val="00CA58B9"/>
    <w:rsid w:val="00CA72D5"/>
    <w:rsid w:val="00CB0FB4"/>
    <w:rsid w:val="00CB5285"/>
    <w:rsid w:val="00CC0527"/>
    <w:rsid w:val="00CC1AC8"/>
    <w:rsid w:val="00CC3F96"/>
    <w:rsid w:val="00CC4B67"/>
    <w:rsid w:val="00CC6064"/>
    <w:rsid w:val="00CC7185"/>
    <w:rsid w:val="00CD054D"/>
    <w:rsid w:val="00CE3E45"/>
    <w:rsid w:val="00CE53B3"/>
    <w:rsid w:val="00CE63DF"/>
    <w:rsid w:val="00CF166C"/>
    <w:rsid w:val="00CF7196"/>
    <w:rsid w:val="00D0199A"/>
    <w:rsid w:val="00D026BE"/>
    <w:rsid w:val="00D02AA1"/>
    <w:rsid w:val="00D02E60"/>
    <w:rsid w:val="00D031FB"/>
    <w:rsid w:val="00D03306"/>
    <w:rsid w:val="00D05E34"/>
    <w:rsid w:val="00D06B14"/>
    <w:rsid w:val="00D109E7"/>
    <w:rsid w:val="00D110D8"/>
    <w:rsid w:val="00D11C7E"/>
    <w:rsid w:val="00D12100"/>
    <w:rsid w:val="00D13286"/>
    <w:rsid w:val="00D13486"/>
    <w:rsid w:val="00D16562"/>
    <w:rsid w:val="00D16792"/>
    <w:rsid w:val="00D2042B"/>
    <w:rsid w:val="00D2054A"/>
    <w:rsid w:val="00D210F1"/>
    <w:rsid w:val="00D21975"/>
    <w:rsid w:val="00D2255B"/>
    <w:rsid w:val="00D24545"/>
    <w:rsid w:val="00D31912"/>
    <w:rsid w:val="00D34387"/>
    <w:rsid w:val="00D34ADD"/>
    <w:rsid w:val="00D40751"/>
    <w:rsid w:val="00D40A17"/>
    <w:rsid w:val="00D42589"/>
    <w:rsid w:val="00D42D9D"/>
    <w:rsid w:val="00D44369"/>
    <w:rsid w:val="00D447AB"/>
    <w:rsid w:val="00D44B66"/>
    <w:rsid w:val="00D47ED3"/>
    <w:rsid w:val="00D54D43"/>
    <w:rsid w:val="00D56706"/>
    <w:rsid w:val="00D63699"/>
    <w:rsid w:val="00D6525C"/>
    <w:rsid w:val="00D67C74"/>
    <w:rsid w:val="00D71D41"/>
    <w:rsid w:val="00D73824"/>
    <w:rsid w:val="00D74025"/>
    <w:rsid w:val="00D749C3"/>
    <w:rsid w:val="00D74A2B"/>
    <w:rsid w:val="00D768F2"/>
    <w:rsid w:val="00D76D0D"/>
    <w:rsid w:val="00D778B9"/>
    <w:rsid w:val="00D808A5"/>
    <w:rsid w:val="00D8105B"/>
    <w:rsid w:val="00D828CE"/>
    <w:rsid w:val="00D836AA"/>
    <w:rsid w:val="00D863A8"/>
    <w:rsid w:val="00D86636"/>
    <w:rsid w:val="00D909E4"/>
    <w:rsid w:val="00D9222C"/>
    <w:rsid w:val="00D92D4D"/>
    <w:rsid w:val="00D94115"/>
    <w:rsid w:val="00D950C0"/>
    <w:rsid w:val="00D95763"/>
    <w:rsid w:val="00D95BC8"/>
    <w:rsid w:val="00D97C46"/>
    <w:rsid w:val="00DA102C"/>
    <w:rsid w:val="00DA33E7"/>
    <w:rsid w:val="00DA474F"/>
    <w:rsid w:val="00DA50B4"/>
    <w:rsid w:val="00DA6438"/>
    <w:rsid w:val="00DA6797"/>
    <w:rsid w:val="00DB05AB"/>
    <w:rsid w:val="00DB0908"/>
    <w:rsid w:val="00DB3392"/>
    <w:rsid w:val="00DB3FA9"/>
    <w:rsid w:val="00DB4261"/>
    <w:rsid w:val="00DB5FC6"/>
    <w:rsid w:val="00DC1496"/>
    <w:rsid w:val="00DC1E4B"/>
    <w:rsid w:val="00DC4858"/>
    <w:rsid w:val="00DC5AA2"/>
    <w:rsid w:val="00DC61F7"/>
    <w:rsid w:val="00DD11DB"/>
    <w:rsid w:val="00DD13EC"/>
    <w:rsid w:val="00DD3093"/>
    <w:rsid w:val="00DD365F"/>
    <w:rsid w:val="00DD44DC"/>
    <w:rsid w:val="00DD6660"/>
    <w:rsid w:val="00DD7656"/>
    <w:rsid w:val="00DD77F1"/>
    <w:rsid w:val="00DE499E"/>
    <w:rsid w:val="00DE5E1A"/>
    <w:rsid w:val="00DF5E5B"/>
    <w:rsid w:val="00DF6CA5"/>
    <w:rsid w:val="00DF7731"/>
    <w:rsid w:val="00DF7DE3"/>
    <w:rsid w:val="00E0083F"/>
    <w:rsid w:val="00E02513"/>
    <w:rsid w:val="00E04EF3"/>
    <w:rsid w:val="00E067A7"/>
    <w:rsid w:val="00E07189"/>
    <w:rsid w:val="00E07841"/>
    <w:rsid w:val="00E24F41"/>
    <w:rsid w:val="00E27AF6"/>
    <w:rsid w:val="00E30D49"/>
    <w:rsid w:val="00E3400F"/>
    <w:rsid w:val="00E35992"/>
    <w:rsid w:val="00E37016"/>
    <w:rsid w:val="00E37607"/>
    <w:rsid w:val="00E400ED"/>
    <w:rsid w:val="00E40EDA"/>
    <w:rsid w:val="00E42423"/>
    <w:rsid w:val="00E464E9"/>
    <w:rsid w:val="00E47E15"/>
    <w:rsid w:val="00E507E3"/>
    <w:rsid w:val="00E508C2"/>
    <w:rsid w:val="00E53F57"/>
    <w:rsid w:val="00E54001"/>
    <w:rsid w:val="00E5414D"/>
    <w:rsid w:val="00E543FE"/>
    <w:rsid w:val="00E55102"/>
    <w:rsid w:val="00E60AEF"/>
    <w:rsid w:val="00E60DFD"/>
    <w:rsid w:val="00E61A90"/>
    <w:rsid w:val="00E62578"/>
    <w:rsid w:val="00E626C9"/>
    <w:rsid w:val="00E66D49"/>
    <w:rsid w:val="00E7022B"/>
    <w:rsid w:val="00E72A99"/>
    <w:rsid w:val="00E74B8D"/>
    <w:rsid w:val="00E74E1F"/>
    <w:rsid w:val="00E7676C"/>
    <w:rsid w:val="00E77157"/>
    <w:rsid w:val="00E77816"/>
    <w:rsid w:val="00E8032C"/>
    <w:rsid w:val="00E80FB7"/>
    <w:rsid w:val="00E83517"/>
    <w:rsid w:val="00E83C23"/>
    <w:rsid w:val="00E858E6"/>
    <w:rsid w:val="00E905F0"/>
    <w:rsid w:val="00E90D40"/>
    <w:rsid w:val="00E923B2"/>
    <w:rsid w:val="00E94C25"/>
    <w:rsid w:val="00E9529F"/>
    <w:rsid w:val="00E954C0"/>
    <w:rsid w:val="00E9663F"/>
    <w:rsid w:val="00E96763"/>
    <w:rsid w:val="00E97173"/>
    <w:rsid w:val="00EA12A2"/>
    <w:rsid w:val="00EA2337"/>
    <w:rsid w:val="00EA4680"/>
    <w:rsid w:val="00EA5EF4"/>
    <w:rsid w:val="00EA62B3"/>
    <w:rsid w:val="00EA78A9"/>
    <w:rsid w:val="00EA7D2F"/>
    <w:rsid w:val="00EB0338"/>
    <w:rsid w:val="00EB0BF6"/>
    <w:rsid w:val="00EB0C55"/>
    <w:rsid w:val="00EB1021"/>
    <w:rsid w:val="00EB40D7"/>
    <w:rsid w:val="00EB4E2D"/>
    <w:rsid w:val="00EB621C"/>
    <w:rsid w:val="00EB65BA"/>
    <w:rsid w:val="00EB7A02"/>
    <w:rsid w:val="00EC1F44"/>
    <w:rsid w:val="00EC28E8"/>
    <w:rsid w:val="00EC3162"/>
    <w:rsid w:val="00EC36C2"/>
    <w:rsid w:val="00EC3B56"/>
    <w:rsid w:val="00EC57DE"/>
    <w:rsid w:val="00EC7B3C"/>
    <w:rsid w:val="00ED00F2"/>
    <w:rsid w:val="00ED1316"/>
    <w:rsid w:val="00ED3A00"/>
    <w:rsid w:val="00ED5EF1"/>
    <w:rsid w:val="00EE0C3B"/>
    <w:rsid w:val="00EE0F76"/>
    <w:rsid w:val="00EE0F95"/>
    <w:rsid w:val="00EE19FE"/>
    <w:rsid w:val="00EE209A"/>
    <w:rsid w:val="00EE2819"/>
    <w:rsid w:val="00EE33BC"/>
    <w:rsid w:val="00EE3EB6"/>
    <w:rsid w:val="00EE4F08"/>
    <w:rsid w:val="00EE55CC"/>
    <w:rsid w:val="00EE5F05"/>
    <w:rsid w:val="00EE7D33"/>
    <w:rsid w:val="00EE7FC1"/>
    <w:rsid w:val="00EF082D"/>
    <w:rsid w:val="00EF1F2B"/>
    <w:rsid w:val="00EF3B8A"/>
    <w:rsid w:val="00EF47A6"/>
    <w:rsid w:val="00EF60AD"/>
    <w:rsid w:val="00EF79DF"/>
    <w:rsid w:val="00F02C18"/>
    <w:rsid w:val="00F040D4"/>
    <w:rsid w:val="00F05D50"/>
    <w:rsid w:val="00F06520"/>
    <w:rsid w:val="00F07071"/>
    <w:rsid w:val="00F101C8"/>
    <w:rsid w:val="00F10B64"/>
    <w:rsid w:val="00F1409A"/>
    <w:rsid w:val="00F1612A"/>
    <w:rsid w:val="00F17470"/>
    <w:rsid w:val="00F200EF"/>
    <w:rsid w:val="00F21D35"/>
    <w:rsid w:val="00F26F4E"/>
    <w:rsid w:val="00F2700A"/>
    <w:rsid w:val="00F31597"/>
    <w:rsid w:val="00F31A52"/>
    <w:rsid w:val="00F32144"/>
    <w:rsid w:val="00F33C93"/>
    <w:rsid w:val="00F35534"/>
    <w:rsid w:val="00F3770E"/>
    <w:rsid w:val="00F40633"/>
    <w:rsid w:val="00F409C9"/>
    <w:rsid w:val="00F440DF"/>
    <w:rsid w:val="00F447A4"/>
    <w:rsid w:val="00F4523E"/>
    <w:rsid w:val="00F4734A"/>
    <w:rsid w:val="00F5036F"/>
    <w:rsid w:val="00F53C6C"/>
    <w:rsid w:val="00F54595"/>
    <w:rsid w:val="00F54AEB"/>
    <w:rsid w:val="00F66EBA"/>
    <w:rsid w:val="00F70AE8"/>
    <w:rsid w:val="00F710E3"/>
    <w:rsid w:val="00F72405"/>
    <w:rsid w:val="00F7269D"/>
    <w:rsid w:val="00F76EDB"/>
    <w:rsid w:val="00F80CDE"/>
    <w:rsid w:val="00F84487"/>
    <w:rsid w:val="00F849D8"/>
    <w:rsid w:val="00F90821"/>
    <w:rsid w:val="00F927D6"/>
    <w:rsid w:val="00F92C11"/>
    <w:rsid w:val="00F9367C"/>
    <w:rsid w:val="00F9390D"/>
    <w:rsid w:val="00F9741D"/>
    <w:rsid w:val="00F97A28"/>
    <w:rsid w:val="00FA16DE"/>
    <w:rsid w:val="00FA1F87"/>
    <w:rsid w:val="00FA30C1"/>
    <w:rsid w:val="00FA499C"/>
    <w:rsid w:val="00FA59E9"/>
    <w:rsid w:val="00FA755C"/>
    <w:rsid w:val="00FB0161"/>
    <w:rsid w:val="00FB290C"/>
    <w:rsid w:val="00FB2FA8"/>
    <w:rsid w:val="00FB6384"/>
    <w:rsid w:val="00FB6DC9"/>
    <w:rsid w:val="00FC1F07"/>
    <w:rsid w:val="00FC2812"/>
    <w:rsid w:val="00FC3734"/>
    <w:rsid w:val="00FC3EE3"/>
    <w:rsid w:val="00FC3F36"/>
    <w:rsid w:val="00FC46C3"/>
    <w:rsid w:val="00FC5FB3"/>
    <w:rsid w:val="00FC72AC"/>
    <w:rsid w:val="00FD09CA"/>
    <w:rsid w:val="00FD237E"/>
    <w:rsid w:val="00FD2752"/>
    <w:rsid w:val="00FD2D9B"/>
    <w:rsid w:val="00FD6688"/>
    <w:rsid w:val="00FD6719"/>
    <w:rsid w:val="00FD7EDF"/>
    <w:rsid w:val="00FE146B"/>
    <w:rsid w:val="00FE1CB2"/>
    <w:rsid w:val="00FE21D2"/>
    <w:rsid w:val="00FE2EF0"/>
    <w:rsid w:val="00FE3BD1"/>
    <w:rsid w:val="00FE5019"/>
    <w:rsid w:val="00FE5A20"/>
    <w:rsid w:val="00FF02CC"/>
    <w:rsid w:val="00FF06A7"/>
    <w:rsid w:val="00FF3A6E"/>
    <w:rsid w:val="00FF480B"/>
    <w:rsid w:val="00FF6A62"/>
    <w:rsid w:val="00FF6E5B"/>
    <w:rsid w:val="027C62EA"/>
    <w:rsid w:val="02B96468"/>
    <w:rsid w:val="032A1114"/>
    <w:rsid w:val="044259F2"/>
    <w:rsid w:val="054F4E62"/>
    <w:rsid w:val="058145E6"/>
    <w:rsid w:val="05B1769D"/>
    <w:rsid w:val="072C44ED"/>
    <w:rsid w:val="076B2218"/>
    <w:rsid w:val="07F40D0C"/>
    <w:rsid w:val="0827362C"/>
    <w:rsid w:val="091F2D9D"/>
    <w:rsid w:val="09407BC5"/>
    <w:rsid w:val="098C05B9"/>
    <w:rsid w:val="0A136152"/>
    <w:rsid w:val="0B21158B"/>
    <w:rsid w:val="0B21413D"/>
    <w:rsid w:val="0BAD28E2"/>
    <w:rsid w:val="0C3C5A14"/>
    <w:rsid w:val="0CAD46CF"/>
    <w:rsid w:val="0CC91051"/>
    <w:rsid w:val="0D965AC4"/>
    <w:rsid w:val="0E2624D8"/>
    <w:rsid w:val="0EA47F8C"/>
    <w:rsid w:val="0EAA4EB7"/>
    <w:rsid w:val="0F275098"/>
    <w:rsid w:val="0FCD3553"/>
    <w:rsid w:val="107E484D"/>
    <w:rsid w:val="10821E3A"/>
    <w:rsid w:val="11117AA6"/>
    <w:rsid w:val="111D4066"/>
    <w:rsid w:val="119670A5"/>
    <w:rsid w:val="11BC2C2C"/>
    <w:rsid w:val="11DF4D7D"/>
    <w:rsid w:val="11E626AA"/>
    <w:rsid w:val="12A81981"/>
    <w:rsid w:val="12C94B24"/>
    <w:rsid w:val="130B7EEE"/>
    <w:rsid w:val="132E1AB0"/>
    <w:rsid w:val="14683EA9"/>
    <w:rsid w:val="15E97F60"/>
    <w:rsid w:val="16387561"/>
    <w:rsid w:val="17090456"/>
    <w:rsid w:val="17425BE4"/>
    <w:rsid w:val="17C53862"/>
    <w:rsid w:val="17F7246E"/>
    <w:rsid w:val="183151D0"/>
    <w:rsid w:val="18892496"/>
    <w:rsid w:val="18DF508A"/>
    <w:rsid w:val="1AF53561"/>
    <w:rsid w:val="1B493FBB"/>
    <w:rsid w:val="1B8C7DFA"/>
    <w:rsid w:val="1CBF5FD1"/>
    <w:rsid w:val="1CC75E56"/>
    <w:rsid w:val="1D4445DA"/>
    <w:rsid w:val="1E124827"/>
    <w:rsid w:val="1FDF3B9A"/>
    <w:rsid w:val="1FFE1506"/>
    <w:rsid w:val="20216FA3"/>
    <w:rsid w:val="203647FC"/>
    <w:rsid w:val="213F3F43"/>
    <w:rsid w:val="21AC30CE"/>
    <w:rsid w:val="225134CE"/>
    <w:rsid w:val="226F2247"/>
    <w:rsid w:val="22B67BED"/>
    <w:rsid w:val="22C73E32"/>
    <w:rsid w:val="241456F5"/>
    <w:rsid w:val="24263942"/>
    <w:rsid w:val="2432221F"/>
    <w:rsid w:val="248F097F"/>
    <w:rsid w:val="261F21D6"/>
    <w:rsid w:val="263A0DBE"/>
    <w:rsid w:val="275D6B12"/>
    <w:rsid w:val="2762237B"/>
    <w:rsid w:val="27BD1CA7"/>
    <w:rsid w:val="28154A9C"/>
    <w:rsid w:val="28215D92"/>
    <w:rsid w:val="28A47D4E"/>
    <w:rsid w:val="28D175B1"/>
    <w:rsid w:val="2923425E"/>
    <w:rsid w:val="29563A48"/>
    <w:rsid w:val="29635C1A"/>
    <w:rsid w:val="29BC6D25"/>
    <w:rsid w:val="2AF25593"/>
    <w:rsid w:val="2B344A2B"/>
    <w:rsid w:val="2BE45A54"/>
    <w:rsid w:val="2BF33824"/>
    <w:rsid w:val="2BF65788"/>
    <w:rsid w:val="2C122BA8"/>
    <w:rsid w:val="2F082A75"/>
    <w:rsid w:val="2FBF5C51"/>
    <w:rsid w:val="2FE71F62"/>
    <w:rsid w:val="301D23B4"/>
    <w:rsid w:val="32713375"/>
    <w:rsid w:val="32805DAB"/>
    <w:rsid w:val="335A65FC"/>
    <w:rsid w:val="33A15FD9"/>
    <w:rsid w:val="343706EB"/>
    <w:rsid w:val="345D63A4"/>
    <w:rsid w:val="34713BFD"/>
    <w:rsid w:val="34731D56"/>
    <w:rsid w:val="347F11B0"/>
    <w:rsid w:val="34EF48E0"/>
    <w:rsid w:val="35904557"/>
    <w:rsid w:val="362B124F"/>
    <w:rsid w:val="36997FED"/>
    <w:rsid w:val="3735795D"/>
    <w:rsid w:val="37A147F9"/>
    <w:rsid w:val="37FC4696"/>
    <w:rsid w:val="382460B6"/>
    <w:rsid w:val="386046B4"/>
    <w:rsid w:val="38F372D7"/>
    <w:rsid w:val="3A1514CF"/>
    <w:rsid w:val="3AC01AE8"/>
    <w:rsid w:val="3ACA05FB"/>
    <w:rsid w:val="3D67E275"/>
    <w:rsid w:val="3D6E1773"/>
    <w:rsid w:val="3D970B1A"/>
    <w:rsid w:val="3ECF7E9E"/>
    <w:rsid w:val="3EE6343A"/>
    <w:rsid w:val="3F7D4A75"/>
    <w:rsid w:val="3F876EAB"/>
    <w:rsid w:val="3FA56E51"/>
    <w:rsid w:val="3FCF06A2"/>
    <w:rsid w:val="3FF5D5DB"/>
    <w:rsid w:val="3FFB7A3A"/>
    <w:rsid w:val="403F40B9"/>
    <w:rsid w:val="411E510D"/>
    <w:rsid w:val="412B4376"/>
    <w:rsid w:val="41802B27"/>
    <w:rsid w:val="423275E6"/>
    <w:rsid w:val="42E35BCE"/>
    <w:rsid w:val="42F77616"/>
    <w:rsid w:val="42FF1D74"/>
    <w:rsid w:val="43150FF8"/>
    <w:rsid w:val="43584088"/>
    <w:rsid w:val="43AE3EEF"/>
    <w:rsid w:val="43FF197F"/>
    <w:rsid w:val="44A616A1"/>
    <w:rsid w:val="458F6464"/>
    <w:rsid w:val="46380EA2"/>
    <w:rsid w:val="47307948"/>
    <w:rsid w:val="4770243A"/>
    <w:rsid w:val="47C70F11"/>
    <w:rsid w:val="49A5461D"/>
    <w:rsid w:val="4A427058"/>
    <w:rsid w:val="4AB8212E"/>
    <w:rsid w:val="4B4A7D1A"/>
    <w:rsid w:val="4CD60F91"/>
    <w:rsid w:val="4CD7176C"/>
    <w:rsid w:val="4DD7403B"/>
    <w:rsid w:val="4E4769A2"/>
    <w:rsid w:val="4E4F4B57"/>
    <w:rsid w:val="4ED92673"/>
    <w:rsid w:val="4FE70DC0"/>
    <w:rsid w:val="519A258E"/>
    <w:rsid w:val="52AC2E3B"/>
    <w:rsid w:val="53FC47B6"/>
    <w:rsid w:val="545C5350"/>
    <w:rsid w:val="54736DF7"/>
    <w:rsid w:val="55CF657E"/>
    <w:rsid w:val="57A63135"/>
    <w:rsid w:val="57F64296"/>
    <w:rsid w:val="5842711A"/>
    <w:rsid w:val="58755CA9"/>
    <w:rsid w:val="58883870"/>
    <w:rsid w:val="58EE31BF"/>
    <w:rsid w:val="59CF13FB"/>
    <w:rsid w:val="5A3A2904"/>
    <w:rsid w:val="5A4B325F"/>
    <w:rsid w:val="5AE9584C"/>
    <w:rsid w:val="5CD40D99"/>
    <w:rsid w:val="5CEB6393"/>
    <w:rsid w:val="5D6323CD"/>
    <w:rsid w:val="5DD46E27"/>
    <w:rsid w:val="5DF68335"/>
    <w:rsid w:val="5F69359F"/>
    <w:rsid w:val="5FDC1FC3"/>
    <w:rsid w:val="61447E20"/>
    <w:rsid w:val="61BC5C8F"/>
    <w:rsid w:val="62377985"/>
    <w:rsid w:val="62DD6A26"/>
    <w:rsid w:val="62EC4C13"/>
    <w:rsid w:val="63065449"/>
    <w:rsid w:val="63C82598"/>
    <w:rsid w:val="63E87188"/>
    <w:rsid w:val="64EC0EFA"/>
    <w:rsid w:val="66466D93"/>
    <w:rsid w:val="67140294"/>
    <w:rsid w:val="678418BE"/>
    <w:rsid w:val="689D7809"/>
    <w:rsid w:val="690305C1"/>
    <w:rsid w:val="69F60125"/>
    <w:rsid w:val="6B3D1718"/>
    <w:rsid w:val="6B7F71AF"/>
    <w:rsid w:val="6CE52309"/>
    <w:rsid w:val="6D4B2536"/>
    <w:rsid w:val="6D5B7F27"/>
    <w:rsid w:val="6DC87C3E"/>
    <w:rsid w:val="6DD10C8D"/>
    <w:rsid w:val="6DFA6436"/>
    <w:rsid w:val="6E4803B1"/>
    <w:rsid w:val="6F270127"/>
    <w:rsid w:val="6F665D41"/>
    <w:rsid w:val="6FC30AAA"/>
    <w:rsid w:val="6FEE510A"/>
    <w:rsid w:val="71494E20"/>
    <w:rsid w:val="717A163C"/>
    <w:rsid w:val="7278201F"/>
    <w:rsid w:val="72E8393C"/>
    <w:rsid w:val="737D59D6"/>
    <w:rsid w:val="737F73DD"/>
    <w:rsid w:val="74476A9B"/>
    <w:rsid w:val="74AB34A7"/>
    <w:rsid w:val="756C6DDD"/>
    <w:rsid w:val="75CB740A"/>
    <w:rsid w:val="760F40D7"/>
    <w:rsid w:val="76AA2618"/>
    <w:rsid w:val="76C07B16"/>
    <w:rsid w:val="76D0047D"/>
    <w:rsid w:val="7702473D"/>
    <w:rsid w:val="78B35B57"/>
    <w:rsid w:val="78B611AB"/>
    <w:rsid w:val="79B4794C"/>
    <w:rsid w:val="7AB7745D"/>
    <w:rsid w:val="7AC65815"/>
    <w:rsid w:val="7B7F441F"/>
    <w:rsid w:val="7BCDA0C3"/>
    <w:rsid w:val="7E426F42"/>
    <w:rsid w:val="7E7D7AB7"/>
    <w:rsid w:val="7E8F5854"/>
    <w:rsid w:val="7E941FD6"/>
    <w:rsid w:val="7F343772"/>
    <w:rsid w:val="7F5FEE76"/>
    <w:rsid w:val="7F63129E"/>
    <w:rsid w:val="7FB1091F"/>
    <w:rsid w:val="7FDF831A"/>
    <w:rsid w:val="7FFB350E"/>
    <w:rsid w:val="7FFC484F"/>
    <w:rsid w:val="AB3D985D"/>
    <w:rsid w:val="B7EFB8B7"/>
    <w:rsid w:val="BDEEE5BE"/>
    <w:rsid w:val="BFB98539"/>
    <w:rsid w:val="BFDFF84E"/>
    <w:rsid w:val="CEB2658C"/>
    <w:rsid w:val="CFFEC27B"/>
    <w:rsid w:val="DD74F49B"/>
    <w:rsid w:val="E7FB2A90"/>
    <w:rsid w:val="EA97AAE1"/>
    <w:rsid w:val="EEFAF24B"/>
    <w:rsid w:val="F4FFADCB"/>
    <w:rsid w:val="F5EDD42B"/>
    <w:rsid w:val="FCB6A9E8"/>
    <w:rsid w:val="FF72F4F7"/>
    <w:rsid w:val="FF9D616E"/>
    <w:rsid w:val="FFCFA276"/>
    <w:rsid w:val="FFEF75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jc w:val="left"/>
      <w:outlineLvl w:val="1"/>
    </w:pPr>
    <w:rPr>
      <w:rFonts w:ascii="楷体_GB2312" w:hAnsi="楷体_GB2312" w:eastAsia="楷体_GB231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ascii="Times New Roman" w:hAnsi="Times New Roman" w:eastAsia="仿宋_GB2312" w:cs="Times New Roman"/>
      <w:sz w:val="32"/>
      <w:szCs w:val="32"/>
    </w:rPr>
  </w:style>
  <w:style w:type="paragraph" w:styleId="4">
    <w:name w:val="annotation text"/>
    <w:basedOn w:val="1"/>
    <w:autoRedefine/>
    <w:semiHidden/>
    <w:unhideWhenUsed/>
    <w:qFormat/>
    <w:uiPriority w:val="99"/>
    <w:pPr>
      <w:jc w:val="left"/>
    </w:pPr>
  </w:style>
  <w:style w:type="paragraph" w:styleId="5">
    <w:name w:val="Body Text"/>
    <w:basedOn w:val="1"/>
    <w:next w:val="1"/>
    <w:autoRedefine/>
    <w:qFormat/>
    <w:uiPriority w:val="1"/>
    <w:pPr>
      <w:widowControl w:val="0"/>
      <w:adjustRightInd/>
      <w:snapToGrid/>
      <w:spacing w:after="0"/>
      <w:jc w:val="both"/>
    </w:pPr>
    <w:rPr>
      <w:rFonts w:ascii="仿宋" w:hAnsi="仿宋" w:eastAsia="仿宋" w:cs="仿宋"/>
      <w:kern w:val="2"/>
      <w:sz w:val="32"/>
      <w:szCs w:val="32"/>
      <w:lang w:val="zh-CN" w:bidi="zh-CN"/>
    </w:rPr>
  </w:style>
  <w:style w:type="paragraph" w:styleId="6">
    <w:name w:val="Body Text Indent"/>
    <w:basedOn w:val="1"/>
    <w:next w:val="3"/>
    <w:autoRedefine/>
    <w:qFormat/>
    <w:uiPriority w:val="0"/>
    <w:pPr>
      <w:ind w:firstLine="645"/>
    </w:pPr>
    <w:rPr>
      <w:rFonts w:eastAsia="仿宋_GB2312"/>
      <w:sz w:val="32"/>
    </w:rPr>
  </w:style>
  <w:style w:type="paragraph" w:styleId="7">
    <w:name w:val="Date"/>
    <w:basedOn w:val="1"/>
    <w:next w:val="1"/>
    <w:link w:val="28"/>
    <w:autoRedefine/>
    <w:semiHidden/>
    <w:unhideWhenUsed/>
    <w:qFormat/>
    <w:uiPriority w:val="99"/>
    <w:pPr>
      <w:ind w:left="100" w:leftChars="2500"/>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autoRedefine/>
    <w:unhideWhenUsed/>
    <w:qFormat/>
    <w:uiPriority w:val="99"/>
    <w:pPr>
      <w:ind w:firstLine="420" w:firstLineChars="100"/>
    </w:pPr>
  </w:style>
  <w:style w:type="paragraph" w:styleId="12">
    <w:name w:val="Body Text First Indent 2"/>
    <w:basedOn w:val="6"/>
    <w:next w:val="13"/>
    <w:autoRedefine/>
    <w:unhideWhenUsed/>
    <w:qFormat/>
    <w:uiPriority w:val="99"/>
    <w:pPr>
      <w:ind w:firstLine="420"/>
    </w:pPr>
  </w:style>
  <w:style w:type="paragraph" w:customStyle="1" w:styleId="13">
    <w:name w:val="正文1"/>
    <w:basedOn w:val="14"/>
    <w:next w:val="12"/>
    <w:autoRedefine/>
    <w:unhideWhenUsed/>
    <w:qFormat/>
    <w:uiPriority w:val="99"/>
    <w:pPr>
      <w:spacing w:beforeLines="0" w:afterLines="0"/>
      <w:ind w:firstLine="454"/>
    </w:pPr>
    <w:rPr>
      <w:rFonts w:hint="eastAsia"/>
      <w:sz w:val="20"/>
      <w:szCs w:val="24"/>
    </w:rPr>
  </w:style>
  <w:style w:type="paragraph" w:customStyle="1" w:styleId="14">
    <w:name w:val="[基本段落]"/>
    <w:basedOn w:val="15"/>
    <w:autoRedefine/>
    <w:unhideWhenUsed/>
    <w:qFormat/>
    <w:uiPriority w:val="99"/>
    <w:pPr>
      <w:spacing w:beforeLines="0" w:afterLines="0" w:line="280" w:lineRule="atLeast"/>
    </w:pPr>
    <w:rPr>
      <w:rFonts w:hint="eastAsia"/>
      <w:sz w:val="22"/>
      <w:szCs w:val="24"/>
    </w:rPr>
  </w:style>
  <w:style w:type="paragraph" w:customStyle="1" w:styleId="15">
    <w:name w:val="[无段落样式]"/>
    <w:autoRedefine/>
    <w:unhideWhenUsed/>
    <w:qFormat/>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imes New Roman"/>
      <w:color w:val="000000"/>
      <w:sz w:val="24"/>
      <w:szCs w:val="24"/>
      <w:lang w:val="zh-CN"/>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rPr>
      <w:rFonts w:ascii="Times New Roman" w:hAnsi="Times New Roman" w:eastAsia="宋体" w:cs="Times New Roman"/>
    </w:rPr>
  </w:style>
  <w:style w:type="character" w:styleId="20">
    <w:name w:val="Emphasis"/>
    <w:basedOn w:val="18"/>
    <w:autoRedefine/>
    <w:qFormat/>
    <w:uiPriority w:val="20"/>
    <w:rPr>
      <w:i/>
      <w:iCs/>
    </w:rPr>
  </w:style>
  <w:style w:type="character" w:customStyle="1" w:styleId="21">
    <w:name w:val="页眉 字符"/>
    <w:link w:val="10"/>
    <w:autoRedefine/>
    <w:qFormat/>
    <w:uiPriority w:val="99"/>
    <w:rPr>
      <w:kern w:val="2"/>
      <w:sz w:val="18"/>
      <w:szCs w:val="18"/>
    </w:rPr>
  </w:style>
  <w:style w:type="character" w:customStyle="1" w:styleId="22">
    <w:name w:val="页脚 字符"/>
    <w:link w:val="9"/>
    <w:autoRedefine/>
    <w:qFormat/>
    <w:uiPriority w:val="99"/>
    <w:rPr>
      <w:kern w:val="2"/>
      <w:sz w:val="18"/>
      <w:szCs w:val="18"/>
    </w:rPr>
  </w:style>
  <w:style w:type="paragraph" w:customStyle="1" w:styleId="23">
    <w:name w:val="p0"/>
    <w:basedOn w:val="1"/>
    <w:autoRedefine/>
    <w:qFormat/>
    <w:uiPriority w:val="0"/>
    <w:pPr>
      <w:widowControl/>
    </w:pPr>
    <w:rPr>
      <w:rFonts w:ascii="Times New Roman" w:hAnsi="Times New Roman"/>
      <w:szCs w:val="21"/>
    </w:rPr>
  </w:style>
  <w:style w:type="paragraph" w:customStyle="1" w:styleId="24">
    <w:name w:val="Char"/>
    <w:basedOn w:val="1"/>
    <w:autoRedefine/>
    <w:semiHidden/>
    <w:qFormat/>
    <w:uiPriority w:val="0"/>
    <w:pPr>
      <w:widowControl/>
      <w:spacing w:after="160" w:line="240" w:lineRule="exact"/>
      <w:jc w:val="left"/>
    </w:pPr>
    <w:rPr>
      <w:rFonts w:ascii="Verdana" w:hAnsi="Verdana" w:eastAsia="仿宋_GB2312"/>
      <w:spacing w:val="20"/>
      <w:kern w:val="0"/>
      <w:sz w:val="20"/>
      <w:szCs w:val="20"/>
      <w:lang w:eastAsia="en-US"/>
    </w:rPr>
  </w:style>
  <w:style w:type="character" w:customStyle="1" w:styleId="25">
    <w:name w:val="批注框文本 字符"/>
    <w:link w:val="8"/>
    <w:autoRedefine/>
    <w:semiHidden/>
    <w:qFormat/>
    <w:uiPriority w:val="99"/>
    <w:rPr>
      <w:kern w:val="2"/>
      <w:sz w:val="18"/>
      <w:szCs w:val="18"/>
    </w:rPr>
  </w:style>
  <w:style w:type="paragraph" w:styleId="26">
    <w:name w:val="Quote"/>
    <w:basedOn w:val="1"/>
    <w:next w:val="1"/>
    <w:link w:val="27"/>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8"/>
    <w:link w:val="26"/>
    <w:autoRedefine/>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28">
    <w:name w:val="日期 字符"/>
    <w:basedOn w:val="18"/>
    <w:link w:val="7"/>
    <w:autoRedefine/>
    <w:semiHidden/>
    <w:qFormat/>
    <w:uiPriority w:val="99"/>
    <w:rPr>
      <w:kern w:val="2"/>
      <w:sz w:val="21"/>
      <w:szCs w:val="22"/>
    </w:rPr>
  </w:style>
  <w:style w:type="paragraph" w:customStyle="1" w:styleId="29">
    <w:name w:val="目录宋体"/>
    <w:basedOn w:val="30"/>
    <w:autoRedefine/>
    <w:unhideWhenUsed/>
    <w:qFormat/>
    <w:uiPriority w:val="99"/>
    <w:pPr>
      <w:widowControl w:val="0"/>
      <w:autoSpaceDE w:val="0"/>
      <w:autoSpaceDN w:val="0"/>
      <w:adjustRightInd w:val="0"/>
      <w:spacing w:beforeLines="0" w:afterLines="0" w:line="280" w:lineRule="atLeast"/>
      <w:ind w:left="227" w:firstLine="0"/>
      <w:jc w:val="left"/>
      <w:textAlignment w:val="center"/>
    </w:pPr>
    <w:rPr>
      <w:rFonts w:hint="eastAsia" w:ascii="宋体" w:hAnsi="宋体" w:eastAsia="宋体" w:cs="Times New Roman"/>
      <w:color w:val="000000"/>
      <w:sz w:val="20"/>
      <w:szCs w:val="24"/>
      <w:lang w:val="zh-CN"/>
    </w:rPr>
  </w:style>
  <w:style w:type="paragraph" w:customStyle="1" w:styleId="30">
    <w:name w:val="目录楷体"/>
    <w:basedOn w:val="13"/>
    <w:autoRedefine/>
    <w:unhideWhenUsed/>
    <w:qFormat/>
    <w:uiPriority w:val="99"/>
    <w:pPr>
      <w:widowControl w:val="0"/>
      <w:autoSpaceDE w:val="0"/>
      <w:autoSpaceDN w:val="0"/>
      <w:adjustRightInd w:val="0"/>
      <w:spacing w:beforeLines="0" w:afterLines="0" w:line="280" w:lineRule="atLeast"/>
      <w:ind w:firstLine="0"/>
      <w:jc w:val="both"/>
      <w:textAlignment w:val="center"/>
    </w:pPr>
    <w:rPr>
      <w:rFonts w:hint="eastAsia" w:ascii="方正楷体简体" w:hAnsi="方正楷体简体" w:eastAsia="方正楷体简体" w:cs="Times New Roman"/>
      <w:color w:val="000000"/>
      <w:sz w:val="20"/>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2A5F8-A1F9-4E0F-A481-2D282982EAAE}">
  <ds:schemaRefs/>
</ds:datastoreItem>
</file>

<file path=docProps/app.xml><?xml version="1.0" encoding="utf-8"?>
<Properties xmlns="http://schemas.openxmlformats.org/officeDocument/2006/extended-properties" xmlns:vt="http://schemas.openxmlformats.org/officeDocument/2006/docPropsVTypes">
  <Pages>16</Pages>
  <Words>690</Words>
  <Characters>890</Characters>
  <Lines>52</Lines>
  <Paragraphs>14</Paragraphs>
  <TotalTime>3</TotalTime>
  <ScaleCrop>false</ScaleCrop>
  <LinksUpToDate>false</LinksUpToDate>
  <CharactersWithSpaces>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2019-01-26T17:54:00Z</dcterms:created>
  <dc:creator>heechankim</dc:creator>
  <cp:lastModifiedBy>杨洋</cp:lastModifiedBy>
  <cp:lastPrinted>2025-05-29T07:48:00Z</cp:lastPrinted>
  <dcterms:modified xsi:type="dcterms:W3CDTF">2025-06-13T02:47:25Z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C1B232D4D8DC44148FC40A5C7ED139E0_13</vt:lpwstr>
  </property>
  <property fmtid="{D5CDD505-2E9C-101B-9397-08002B2CF9AE}" pid="4" name="KSOTemplateDocerSaveRecord">
    <vt:lpwstr>eyJoZGlkIjoiNzZiZTQ3ZmI1OTFmODUzNzgwMGRlNDBmMWZiZDQzMjEiLCJ1c2VySWQiOiIyMzQ0MjI2NjQifQ==</vt:lpwstr>
  </property>
</Properties>
</file>