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18"/>
        </w:tabs>
        <w:spacing w:before="190" w:line="168" w:lineRule="auto"/>
        <w:ind w:firstLine="1746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2"/>
          <w:sz w:val="44"/>
          <w:szCs w:val="44"/>
        </w:rPr>
        <w:t>沈阳市浑南区市场监督管理局</w:t>
      </w:r>
    </w:p>
    <w:p>
      <w:pPr>
        <w:spacing w:before="1" w:line="204" w:lineRule="auto"/>
        <w:ind w:firstLine="2637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-2"/>
          <w:sz w:val="44"/>
          <w:szCs w:val="44"/>
        </w:rPr>
        <w:t>行政处罚决定书</w:t>
      </w:r>
    </w:p>
    <w:p>
      <w:pPr>
        <w:tabs>
          <w:tab w:val="left" w:pos="2725"/>
        </w:tabs>
        <w:spacing w:before="38" w:line="183" w:lineRule="auto"/>
        <w:ind w:firstLine="2151" w:firstLineChars="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7"/>
          <w:sz w:val="32"/>
          <w:szCs w:val="32"/>
        </w:rPr>
        <w:t>沈浑南市监处罚〔</w:t>
      </w:r>
      <w:r>
        <w:rPr>
          <w:rFonts w:hint="eastAsia" w:ascii="仿宋" w:hAnsi="仿宋" w:eastAsia="仿宋" w:cs="仿宋"/>
          <w:b/>
          <w:bCs/>
          <w:spacing w:val="18"/>
          <w:sz w:val="32"/>
          <w:szCs w:val="32"/>
        </w:rPr>
        <w:t>2022</w:t>
      </w:r>
      <w:r>
        <w:rPr>
          <w:rFonts w:hint="eastAsia" w:ascii="仿宋" w:hAnsi="仿宋" w:eastAsia="仿宋" w:cs="仿宋"/>
          <w:b/>
          <w:bCs/>
          <w:spacing w:val="-7"/>
          <w:sz w:val="32"/>
          <w:szCs w:val="32"/>
        </w:rPr>
        <w:t>〕124号</w:t>
      </w:r>
    </w:p>
    <w:p>
      <w:pPr>
        <w:spacing w:line="414" w:lineRule="auto"/>
        <w:rPr>
          <w:rFonts w:ascii="仿宋" w:hAnsi="仿宋" w:eastAsia="仿宋" w:cs="仿宋"/>
        </w:rPr>
      </w:pPr>
    </w:p>
    <w:p>
      <w:pPr>
        <w:spacing w:line="440" w:lineRule="exact"/>
        <w:jc w:val="both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经营者名称：沈阳市浑南区李文静西医内科诊所</w:t>
      </w:r>
    </w:p>
    <w:p>
      <w:pPr>
        <w:spacing w:line="440" w:lineRule="exact"/>
        <w:jc w:val="both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社会信用代码:</w:t>
      </w:r>
    </w:p>
    <w:p>
      <w:pPr>
        <w:spacing w:line="440" w:lineRule="exact"/>
        <w:jc w:val="both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负责人：李文静；</w:t>
      </w:r>
    </w:p>
    <w:p>
      <w:pPr>
        <w:spacing w:line="440" w:lineRule="exact"/>
        <w:jc w:val="both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住所：</w:t>
      </w:r>
    </w:p>
    <w:p>
      <w:pPr>
        <w:spacing w:line="440" w:lineRule="exact"/>
        <w:jc w:val="both"/>
        <w:textAlignment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主体类型：个体工商户</w:t>
      </w:r>
    </w:p>
    <w:p>
      <w:pPr>
        <w:spacing w:line="440" w:lineRule="exact"/>
        <w:jc w:val="both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经营范围：西医内科诊疗（依法须经批准的项目，经相关部门批准后方可开展经营活动，具体经营项目以审批结果为准）。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10月19日，我局执法人员对沈阳浑南区李文静西医内科诊所经营场所进行检查，发现当事人处置室内有脱脂纱布块（规格：8cm*10cm-8p，生产批号：20080610，生产日期：2020年8月6日，失效日期：2022年8月5日，注册证编号：豫械注准：20162640183，生产企业：新乡市康民卫材开发有限公司）1小包，当事人现场提供了樟树市兆水贸易有限公司随货同行单，标示注册证号：豫械注准20162640183，产品批号20080610，有效期2022年8月5日）。执法人员立即下达《责令改正通知书》，要求当事人立即停止使用过期的医疗器械。</w:t>
      </w:r>
    </w:p>
    <w:p>
      <w:pPr>
        <w:spacing w:line="440" w:lineRule="exact"/>
        <w:ind w:firstLine="640" w:firstLineChars="200"/>
        <w:jc w:val="both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2022年10月19日，经主管局长批准对涉案医疗器械实施了扣押行政强制措施。</w:t>
      </w:r>
    </w:p>
    <w:p>
      <w:pPr>
        <w:spacing w:line="440" w:lineRule="exact"/>
        <w:ind w:firstLine="640" w:firstLineChars="200"/>
        <w:jc w:val="both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2022年10月20日，经主管局长批准，以当事人使用过期的医疗器械为由立案。</w:t>
      </w:r>
    </w:p>
    <w:p>
      <w:pPr>
        <w:spacing w:line="440" w:lineRule="exact"/>
        <w:ind w:firstLine="640" w:firstLineChars="200"/>
        <w:jc w:val="both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2022年10月24日执法人员在沈阳市浑南区李相市场监督管理所303室对当事人执业医师李文静进行询问调查,并制作了询问笔录。</w:t>
      </w:r>
    </w:p>
    <w:p>
      <w:pPr>
        <w:spacing w:line="500" w:lineRule="atLeast"/>
        <w:ind w:firstLine="64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经调查，</w:t>
      </w:r>
      <w:r>
        <w:rPr>
          <w:rFonts w:hint="eastAsia" w:ascii="仿宋" w:hAnsi="仿宋" w:eastAsia="仿宋" w:cs="仿宋"/>
          <w:sz w:val="30"/>
          <w:szCs w:val="30"/>
        </w:rPr>
        <w:t>当事人于2020年10月21日从樟树市兆水商贸有限公司购进脱脂纱布块1包（注册证编号：豫械注准20162640183，产品批号20080610，有效期至2022-8-5，器械标签标示有：脱脂纱布块），价格为20元，每包内有40小包，每小包价格为0.5元。截止2022年10月19日，当事人使用过期涉案医疗器械1次（1小包），执法人员现场发现1小包，违法货值金额为0.5X2=1元。。该器械主要用于清洁皮肤、粘膜或创面。由于用量少，赶上疫情期间没有及时查看日期，造成错误使用。</w:t>
      </w:r>
    </w:p>
    <w:p>
      <w:pPr>
        <w:spacing w:line="440" w:lineRule="exact"/>
        <w:ind w:firstLine="640" w:firstLineChars="200"/>
        <w:jc w:val="both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上述事实，主要有以下证据证明：</w:t>
      </w:r>
    </w:p>
    <w:p>
      <w:pPr>
        <w:tabs>
          <w:tab w:val="left" w:pos="312"/>
        </w:tabs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1、当事人营业执照复印件1分，负责人身份证复印件1分，授权委托书1份，委托人身份证复印件1份，医疗机构执业许可证复印件1份，证明当事人合法经营主体资格；</w:t>
      </w:r>
    </w:p>
    <w:p>
      <w:pPr>
        <w:tabs>
          <w:tab w:val="left" w:pos="312"/>
        </w:tabs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2、现场笔录2份，证明执法人员对当事人住所进行检查和复查情况；</w:t>
      </w:r>
    </w:p>
    <w:p>
      <w:pPr>
        <w:tabs>
          <w:tab w:val="left" w:pos="312"/>
        </w:tabs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3、《场所/设施/财务清单》（沈浑南市监强制[2022]023号）1份，证明执法人员实施扣押证据的情况；</w:t>
      </w:r>
    </w:p>
    <w:p>
      <w:pPr>
        <w:tabs>
          <w:tab w:val="left" w:pos="312"/>
        </w:tabs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4、《实施行政强制措施决定书》（沈浑南市监强制[2022]023号），证明执法人员扣押过期的医疗器械情况；</w:t>
      </w:r>
    </w:p>
    <w:p>
      <w:pPr>
        <w:tabs>
          <w:tab w:val="left" w:pos="312"/>
        </w:tabs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5、《询问通知书》（沈浑南市监询问通[2022]12-025号）</w:t>
      </w:r>
    </w:p>
    <w:p>
      <w:pPr>
        <w:spacing w:line="500" w:lineRule="atLeast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，询问笔录一份，证明当事人使用过期医疗器械的事实；</w:t>
      </w:r>
    </w:p>
    <w:p>
      <w:pPr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6、樟树市兆水贸易有限公司随货同行单1份，樟树市兆水贸易有限公司营业执照复印件1份，樟树市兆水贸易有限公司第二类医疗器械经营备案凭证复印件1份，脱脂纱布块医疗器械注册证1份，</w:t>
      </w:r>
      <w:r>
        <w:rPr>
          <w:rFonts w:hint="eastAsia" w:ascii="仿宋" w:hAnsi="仿宋" w:eastAsia="仿宋" w:cs="仿宋"/>
          <w:sz w:val="28"/>
          <w:szCs w:val="28"/>
        </w:rPr>
        <w:t>医疗机构药品、器械验收记录表复印件1份</w:t>
      </w:r>
      <w:r>
        <w:rPr>
          <w:rFonts w:hint="eastAsia" w:ascii="仿宋" w:hAnsi="仿宋" w:eastAsia="仿宋" w:cs="仿宋"/>
          <w:sz w:val="30"/>
          <w:szCs w:val="30"/>
        </w:rPr>
        <w:t>。证明脱脂纱布块来源合法；</w:t>
      </w:r>
    </w:p>
    <w:p>
      <w:pPr>
        <w:tabs>
          <w:tab w:val="left" w:pos="312"/>
        </w:tabs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7、已扣押脱脂纱布块1小包，以及包装标示照片复印件1份，证明当事人违法事实；</w:t>
      </w:r>
    </w:p>
    <w:p>
      <w:pPr>
        <w:tabs>
          <w:tab w:val="left" w:pos="312"/>
        </w:tabs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8、《责令改正通知书》（沈浑南市监责改[2022]12-027号），证明当事人责令整改情况；</w:t>
      </w:r>
    </w:p>
    <w:p>
      <w:pPr>
        <w:tabs>
          <w:tab w:val="left" w:pos="312"/>
        </w:tabs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</w:t>
      </w:r>
      <w:r>
        <w:rPr>
          <w:rFonts w:hint="eastAsia" w:ascii="仿宋" w:hAnsi="仿宋" w:eastAsia="仿宋" w:cs="仿宋"/>
          <w:sz w:val="28"/>
          <w:szCs w:val="28"/>
        </w:rPr>
        <w:t>医疗机构药品、器械验收记录表复印件1份</w:t>
      </w:r>
      <w:r>
        <w:rPr>
          <w:rFonts w:hint="eastAsia" w:ascii="仿宋" w:hAnsi="仿宋" w:eastAsia="仿宋" w:cs="仿宋"/>
          <w:sz w:val="30"/>
          <w:szCs w:val="30"/>
        </w:rPr>
        <w:t>，证明当事人履行验收义务；</w:t>
      </w:r>
    </w:p>
    <w:p>
      <w:pPr>
        <w:tabs>
          <w:tab w:val="left" w:pos="312"/>
        </w:tabs>
        <w:spacing w:line="500" w:lineRule="atLeast"/>
        <w:ind w:firstLine="600" w:firstLineChars="200"/>
        <w:textAlignment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10、执法录像刻录光盘一份，证明执法人员执法情况。</w:t>
      </w:r>
    </w:p>
    <w:p>
      <w:pPr>
        <w:spacing w:before="104" w:line="440" w:lineRule="exact"/>
        <w:ind w:left="34" w:right="17" w:firstLine="688" w:firstLineChars="21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2022年11月3日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231F20"/>
          <w:sz w:val="32"/>
          <w:szCs w:val="32"/>
        </w:rPr>
        <w:t>我局向当事人送达了《行政处罚告知书》（沈浑南市监罚告〔2022〕12-010号），当事人在法定期限内未提出陈述、申辩理由。</w:t>
      </w:r>
    </w:p>
    <w:p>
      <w:pPr>
        <w:pStyle w:val="5"/>
        <w:shd w:val="clear" w:color="auto" w:fill="FFFFFF"/>
        <w:spacing w:beforeAutospacing="0" w:afterAutospacing="0" w:line="4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认为，当事人使用过期的疗器械的行为反《医疗器械监督管理条例》第五十五条“医疗器械经营企业、使用单位不得经营、使用未依法注册或者备案、无合格证明文件以及过期、失效、淘汰的医疗器械。”的规定，构成使用过期的医疗器械的行为，应当给予当事人行政处罚。</w:t>
      </w:r>
    </w:p>
    <w:p>
      <w:pPr>
        <w:spacing w:line="440" w:lineRule="exact"/>
        <w:ind w:firstLine="640" w:firstLineChars="200"/>
        <w:jc w:val="both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事人违法使用医疗器械货值1元，低于一万元。涉案的脱脂纱布块来源合法，同时在案件调查过程中当事人积极配合我局执法人员调查，如实陈述违法事实并主动提供证据材料，符合《辽宁省药品监督管理局行政处罚裁量权适用规定》第九条“有下列情形之一的，可以依法从轻或者减轻行政处罚：”第二项“（二）违法行为轻微，社会危害性较小的；”、第四项“（四）积极配合药品监管部门调查，如实陈述违法事实并主动提供证据材料的；”的规定，给予当事人减轻处罚，具有《辽宁省药品监督管理局医疗器械行政处罚裁量基准》编码“Ln-qxcf-006”中减轻裁量因素，可适用减轻裁量基准“货值金额不足1万元的，并处2万元以下罚款；货值金额1万元以上的，并处货值金额5倍以下罚款”。</w:t>
      </w:r>
    </w:p>
    <w:p>
      <w:pPr>
        <w:pStyle w:val="5"/>
        <w:shd w:val="clear" w:color="auto" w:fill="FFFFFF"/>
        <w:spacing w:beforeAutospacing="0" w:afterAutospacing="0" w:line="4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医疗器械监督管理条例》第八十六条“有下列情形之一的，由负责药品监督管理的部门责令改正，没收违法生产经营使用的医疗器械；违法生产经营使用的医疗器械货值金额不足1万元的，并处2万元以上5万元以下罚款；货值金额1万元以上的，并处货值金额5倍以上20倍以下罚款；情节严重的，责令停产停业，直至由原发证部门吊销医疗器械注册证、医疗器械生产许可证、医疗器械经营许可证，对违法单位的法定代表人、主要负责人、直接负责的主管人员和其他责任人员，没收违法行为发生期间自本单位所获收入，并处所获收入30%以上3倍以下罚款，10年内禁止其从事医疗器械生产经营活动：”第三项“（三）经营、使用无合格证明文件、过期、失效、淘汰的医疗器械，或者使用未依法注册的医疗器械；”规定，没收违法生经营使用的医疗器械，责令当事人立即停止使用过期的医疗器械。按照《辽宁省药品监督管理局医疗器械行政处罚裁量基准》编码“Ln-qxcf-006”减轻裁量基准，决定给予当事人如下处罚：</w:t>
      </w:r>
    </w:p>
    <w:p>
      <w:pPr>
        <w:pStyle w:val="5"/>
        <w:shd w:val="clear" w:color="auto" w:fill="FFFFFF"/>
        <w:spacing w:beforeAutospacing="0" w:afterAutospacing="0" w:line="4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1.没收违法使用的脱脂纱布块1小包；</w:t>
      </w:r>
    </w:p>
    <w:p>
      <w:pPr>
        <w:pStyle w:val="5"/>
        <w:shd w:val="clear" w:color="auto" w:fill="FFFFFF"/>
        <w:spacing w:beforeAutospacing="0" w:afterAutospacing="0" w:line="44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2.罚款4000元整。</w:t>
      </w:r>
    </w:p>
    <w:p>
      <w:pPr>
        <w:adjustRightInd/>
        <w:snapToGrid/>
        <w:spacing w:line="44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当事人</w:t>
      </w:r>
      <w:r>
        <w:rPr>
          <w:rFonts w:hint="eastAsia" w:ascii="仿宋" w:hAnsi="仿宋" w:eastAsia="仿宋" w:cs="仿宋"/>
          <w:bCs/>
          <w:sz w:val="32"/>
          <w:szCs w:val="32"/>
        </w:rPr>
        <w:t>应当自收到本处罚决定书之日起十五日内，到我局科技与财务科开具《辽宁省非税收入电子缴款通知书》，并将罚款缴至非税收入财政汇缴专户，帐户名称：辽宁省非税收入待解缴帐户。逾期不缴纳罚款，本局将根据《中华人民共和国行政处罚法》第七十二条第一款第（一）项、第（四）项的规定，每日按罚款数额的百分之三加处罚款并申请人民法院强制执行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adjustRightInd/>
        <w:snapToGrid/>
        <w:spacing w:line="4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当事人如对本行政处罚决定不服，可以在收到本决定之日起60日内向沈阳市浑南区人民政府申请复议；也可以在收到本处罚决定书之日起6个月内依法向沈阳高新技术产业开发区人民法院提起行政诉讼。当事人对行政处罚决定不服申请行政复议或者提起行政诉讼的，行政处罚不停止执行。</w:t>
      </w:r>
    </w:p>
    <w:p>
      <w:pPr>
        <w:spacing w:before="104" w:line="240" w:lineRule="atLeast"/>
        <w:ind w:left="34" w:right="17" w:firstLine="602" w:firstLineChars="215"/>
        <w:rPr>
          <w:rFonts w:ascii="仿宋" w:hAnsi="仿宋" w:eastAsia="仿宋" w:cs="仿宋"/>
          <w:sz w:val="28"/>
          <w:szCs w:val="28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snapToGrid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Cs/>
          <w:snapToGrid/>
          <w:kern w:val="2"/>
          <w:sz w:val="32"/>
          <w:szCs w:val="32"/>
        </w:rPr>
        <w:t xml:space="preserve">  </w:t>
      </w:r>
    </w:p>
    <w:p>
      <w:pPr>
        <w:tabs>
          <w:tab w:val="left" w:pos="5667"/>
        </w:tabs>
        <w:spacing w:before="104" w:line="240" w:lineRule="atLeast"/>
        <w:ind w:right="861" w:firstLine="3744" w:firstLineChars="1200"/>
        <w:rPr>
          <w:rFonts w:ascii="仿宋" w:hAnsi="仿宋" w:eastAsia="仿宋" w:cs="仿宋"/>
          <w:spacing w:val="-4"/>
          <w:sz w:val="32"/>
          <w:szCs w:val="32"/>
        </w:rPr>
      </w:pPr>
    </w:p>
    <w:p>
      <w:pPr>
        <w:tabs>
          <w:tab w:val="left" w:pos="5667"/>
        </w:tabs>
        <w:spacing w:before="104" w:line="240" w:lineRule="atLeast"/>
        <w:ind w:right="861" w:firstLine="3744" w:firstLineChars="1200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沈阳市浑南区</w:t>
      </w:r>
      <w:r>
        <w:rPr>
          <w:rFonts w:ascii="仿宋" w:hAnsi="仿宋" w:eastAsia="仿宋" w:cs="仿宋"/>
          <w:spacing w:val="-4"/>
          <w:sz w:val="32"/>
          <w:szCs w:val="32"/>
        </w:rPr>
        <w:t>市场监督管理局</w:t>
      </w:r>
    </w:p>
    <w:p>
      <w:pPr>
        <w:tabs>
          <w:tab w:val="left" w:pos="2593"/>
        </w:tabs>
        <w:spacing w:line="240" w:lineRule="atLeast"/>
        <w:ind w:firstLine="4608" w:firstLineChars="1600"/>
        <w:rPr>
          <w:rFonts w:ascii="黑体" w:hAnsi="黑体" w:eastAsia="仿宋" w:cs="黑体"/>
          <w:color w:val="231F20"/>
          <w:sz w:val="28"/>
          <w:szCs w:val="28"/>
        </w:rPr>
      </w:pPr>
      <w:r>
        <w:rPr>
          <w:rFonts w:hint="eastAsia" w:ascii="仿宋" w:hAnsi="仿宋" w:eastAsia="仿宋" w:cs="仿宋"/>
          <w:spacing w:val="-16"/>
          <w:sz w:val="32"/>
          <w:szCs w:val="32"/>
        </w:rPr>
        <w:t>2022</w:t>
      </w:r>
      <w:r>
        <w:rPr>
          <w:rFonts w:ascii="仿宋" w:hAnsi="仿宋" w:eastAsia="仿宋" w:cs="仿宋"/>
          <w:spacing w:val="-1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11</w:t>
      </w:r>
      <w:r>
        <w:rPr>
          <w:rFonts w:ascii="仿宋" w:hAnsi="仿宋" w:eastAsia="仿宋" w:cs="仿宋"/>
          <w:spacing w:val="-16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4"/>
          <w:sz w:val="32"/>
          <w:szCs w:val="32"/>
        </w:rPr>
        <w:t>11日</w:t>
      </w:r>
    </w:p>
    <w:p>
      <w:pPr>
        <w:tabs>
          <w:tab w:val="left" w:pos="2593"/>
        </w:tabs>
        <w:spacing w:line="240" w:lineRule="atLeast"/>
        <w:ind w:firstLine="4760" w:firstLineChars="17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4760" w:firstLineChars="17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4760" w:firstLineChars="17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4760" w:firstLineChars="17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4760" w:firstLineChars="17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4760" w:firstLineChars="17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4760" w:firstLineChars="17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4760" w:firstLineChars="17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ind w:firstLine="4760" w:firstLineChars="1700"/>
        <w:rPr>
          <w:rFonts w:ascii="黑体" w:hAnsi="黑体" w:eastAsia="黑体" w:cs="黑体"/>
          <w:color w:val="231F20"/>
          <w:sz w:val="28"/>
          <w:szCs w:val="28"/>
        </w:rPr>
      </w:pPr>
    </w:p>
    <w:p>
      <w:pPr>
        <w:tabs>
          <w:tab w:val="left" w:pos="2593"/>
        </w:tabs>
        <w:spacing w:line="240" w:lineRule="atLeast"/>
        <w:rPr>
          <w:rFonts w:ascii="黑体" w:hAnsi="黑体" w:eastAsia="黑体" w:cs="黑体"/>
          <w:color w:val="231F20"/>
          <w:sz w:val="32"/>
          <w:szCs w:val="32"/>
        </w:rPr>
      </w:pPr>
    </w:p>
    <w:p>
      <w:pPr>
        <w:tabs>
          <w:tab w:val="left" w:pos="2593"/>
        </w:tabs>
        <w:spacing w:line="240" w:lineRule="atLeast"/>
      </w:pPr>
      <w:r>
        <w:rPr>
          <w:rFonts w:ascii="黑体" w:hAnsi="黑体" w:eastAsia="黑体" w:cs="黑体"/>
          <w:color w:val="231F20"/>
          <w:sz w:val="32"/>
          <w:szCs w:val="32"/>
        </w:rPr>
        <w:t>（市场监督管理部门将依法向社会公开行政处罚决定信息）</w:t>
      </w:r>
    </w:p>
    <w:sectPr>
      <w:footerReference r:id="rId3" w:type="default"/>
      <w:pgSz w:w="11906" w:h="16838"/>
      <w:pgMar w:top="1043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textAlignment w:val="center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5549900" cy="15875"/>
          <wp:effectExtent l="0" t="0" r="0" b="0"/>
          <wp:docPr id="216" name="IM 2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IM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0534" cy="16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</w:pPr>
    <w:r>
      <w:rPr>
        <w:rFonts w:ascii="仿宋" w:hAnsi="仿宋" w:eastAsia="仿宋" w:cs="仿宋"/>
        <w:spacing w:val="-10"/>
        <w:sz w:val="28"/>
        <w:szCs w:val="28"/>
      </w:rPr>
      <w:t>本文书一式</w:t>
    </w:r>
    <w:r>
      <w:rPr>
        <w:rFonts w:hint="eastAsia" w:ascii="仿宋" w:hAnsi="仿宋" w:eastAsia="仿宋" w:cs="仿宋"/>
        <w:spacing w:val="6"/>
        <w:sz w:val="28"/>
        <w:szCs w:val="28"/>
      </w:rPr>
      <w:t>四</w:t>
    </w:r>
    <w:r>
      <w:rPr>
        <w:rFonts w:ascii="仿宋" w:hAnsi="仿宋" w:eastAsia="仿宋" w:cs="仿宋"/>
        <w:spacing w:val="-10"/>
        <w:sz w:val="28"/>
        <w:szCs w:val="28"/>
      </w:rPr>
      <w:t>份，</w:t>
    </w:r>
    <w:r>
      <w:rPr>
        <w:rFonts w:hint="eastAsia" w:ascii="仿宋" w:hAnsi="仿宋" w:eastAsia="仿宋" w:cs="仿宋"/>
        <w:spacing w:val="20"/>
        <w:sz w:val="28"/>
        <w:szCs w:val="28"/>
      </w:rPr>
      <w:t>一</w:t>
    </w:r>
    <w:r>
      <w:rPr>
        <w:rFonts w:ascii="仿宋" w:hAnsi="仿宋" w:eastAsia="仿宋" w:cs="仿宋"/>
        <w:spacing w:val="-10"/>
        <w:sz w:val="28"/>
        <w:szCs w:val="28"/>
      </w:rPr>
      <w:t>份送达，</w:t>
    </w:r>
    <w:r>
      <w:rPr>
        <w:rFonts w:hint="eastAsia" w:ascii="仿宋" w:hAnsi="仿宋" w:eastAsia="仿宋" w:cs="仿宋"/>
        <w:spacing w:val="-10"/>
        <w:sz w:val="28"/>
        <w:szCs w:val="28"/>
      </w:rPr>
      <w:t>二</w:t>
    </w:r>
    <w:r>
      <w:rPr>
        <w:rFonts w:ascii="仿宋" w:hAnsi="仿宋" w:eastAsia="仿宋" w:cs="仿宋"/>
        <w:spacing w:val="-10"/>
        <w:sz w:val="28"/>
        <w:szCs w:val="28"/>
      </w:rPr>
      <w:t>份归档，</w:t>
    </w:r>
    <w:r>
      <w:rPr>
        <w:rFonts w:hint="eastAsia" w:ascii="仿宋" w:hAnsi="仿宋" w:eastAsia="仿宋" w:cs="仿宋"/>
        <w:spacing w:val="-10"/>
        <w:sz w:val="28"/>
        <w:szCs w:val="28"/>
      </w:rPr>
      <w:t>一份承办部门留存</w:t>
    </w:r>
    <w:r>
      <w:rPr>
        <w:rFonts w:ascii="仿宋" w:hAnsi="仿宋" w:eastAsia="仿宋" w:cs="仿宋"/>
        <w:spacing w:val="-10"/>
        <w:sz w:val="28"/>
        <w:szCs w:val="28"/>
      </w:rPr>
      <w:t>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RmMmEyN2NiNmVmMzE5ODMwYmNkYzlkMjM1NTk2N2IifQ=="/>
  </w:docVars>
  <w:rsids>
    <w:rsidRoot w:val="19B2158E"/>
    <w:rsid w:val="00046518"/>
    <w:rsid w:val="000B0285"/>
    <w:rsid w:val="00123F9E"/>
    <w:rsid w:val="00135135"/>
    <w:rsid w:val="00402A5A"/>
    <w:rsid w:val="0042337C"/>
    <w:rsid w:val="00487492"/>
    <w:rsid w:val="00495139"/>
    <w:rsid w:val="004B42CA"/>
    <w:rsid w:val="00502BED"/>
    <w:rsid w:val="006E79C1"/>
    <w:rsid w:val="00731F24"/>
    <w:rsid w:val="00812B29"/>
    <w:rsid w:val="008D1EC5"/>
    <w:rsid w:val="009127C7"/>
    <w:rsid w:val="00926E4D"/>
    <w:rsid w:val="009F681D"/>
    <w:rsid w:val="00C06E14"/>
    <w:rsid w:val="00C82154"/>
    <w:rsid w:val="00CA504E"/>
    <w:rsid w:val="00CD74EE"/>
    <w:rsid w:val="00D97784"/>
    <w:rsid w:val="00DA242D"/>
    <w:rsid w:val="00DC69FD"/>
    <w:rsid w:val="00DD784D"/>
    <w:rsid w:val="00E27C8F"/>
    <w:rsid w:val="00E65032"/>
    <w:rsid w:val="00FE39BD"/>
    <w:rsid w:val="00FE5C7D"/>
    <w:rsid w:val="03262229"/>
    <w:rsid w:val="047D00F2"/>
    <w:rsid w:val="05FF6CB2"/>
    <w:rsid w:val="060A4F41"/>
    <w:rsid w:val="06CD5B5A"/>
    <w:rsid w:val="07DE1A96"/>
    <w:rsid w:val="0826063D"/>
    <w:rsid w:val="0AAE35C0"/>
    <w:rsid w:val="10B16091"/>
    <w:rsid w:val="12014F2C"/>
    <w:rsid w:val="134F6C87"/>
    <w:rsid w:val="164918C3"/>
    <w:rsid w:val="17B5270A"/>
    <w:rsid w:val="196B3EFC"/>
    <w:rsid w:val="19B2158E"/>
    <w:rsid w:val="1B1C538E"/>
    <w:rsid w:val="1CDB4ADE"/>
    <w:rsid w:val="1DDD26CD"/>
    <w:rsid w:val="1F89105F"/>
    <w:rsid w:val="1F9E79C7"/>
    <w:rsid w:val="1FE66DA5"/>
    <w:rsid w:val="20DA0C08"/>
    <w:rsid w:val="271355E0"/>
    <w:rsid w:val="27F33FEA"/>
    <w:rsid w:val="286A3F94"/>
    <w:rsid w:val="2C0026DB"/>
    <w:rsid w:val="2D8C6FAE"/>
    <w:rsid w:val="2F7B222C"/>
    <w:rsid w:val="2FD57E95"/>
    <w:rsid w:val="305C7757"/>
    <w:rsid w:val="357C20B2"/>
    <w:rsid w:val="377F1FA9"/>
    <w:rsid w:val="385775AE"/>
    <w:rsid w:val="38BA5478"/>
    <w:rsid w:val="39896207"/>
    <w:rsid w:val="39965EB4"/>
    <w:rsid w:val="3A9367A9"/>
    <w:rsid w:val="3D2404E8"/>
    <w:rsid w:val="3D837EB9"/>
    <w:rsid w:val="3F125FDD"/>
    <w:rsid w:val="42FD7D48"/>
    <w:rsid w:val="45493FAE"/>
    <w:rsid w:val="476F5185"/>
    <w:rsid w:val="49263F5E"/>
    <w:rsid w:val="4AEE089B"/>
    <w:rsid w:val="4D067B4C"/>
    <w:rsid w:val="4E90443B"/>
    <w:rsid w:val="4F811CEE"/>
    <w:rsid w:val="51D97BDB"/>
    <w:rsid w:val="53E50C2B"/>
    <w:rsid w:val="55BE35BE"/>
    <w:rsid w:val="56683EEA"/>
    <w:rsid w:val="569459B3"/>
    <w:rsid w:val="56FB4FA6"/>
    <w:rsid w:val="5CC52489"/>
    <w:rsid w:val="608D2A8C"/>
    <w:rsid w:val="62502908"/>
    <w:rsid w:val="66B912B0"/>
    <w:rsid w:val="67386806"/>
    <w:rsid w:val="683C193B"/>
    <w:rsid w:val="6842639B"/>
    <w:rsid w:val="6A920D4B"/>
    <w:rsid w:val="6A945674"/>
    <w:rsid w:val="6C5D2C06"/>
    <w:rsid w:val="6C801107"/>
    <w:rsid w:val="6D7952F5"/>
    <w:rsid w:val="6E34121C"/>
    <w:rsid w:val="6E662FC3"/>
    <w:rsid w:val="70685C01"/>
    <w:rsid w:val="70D170B7"/>
    <w:rsid w:val="71727D91"/>
    <w:rsid w:val="73784C27"/>
    <w:rsid w:val="74744448"/>
    <w:rsid w:val="78AC487A"/>
    <w:rsid w:val="7C4F2043"/>
    <w:rsid w:val="7C6E710D"/>
    <w:rsid w:val="7E5E47BF"/>
    <w:rsid w:val="7EA264BE"/>
    <w:rsid w:val="7EA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customStyle="1" w:styleId="8">
    <w:name w:val="Table Paragraph"/>
    <w:basedOn w:val="1"/>
    <w:qFormat/>
    <w:uiPriority w:val="0"/>
    <w:pPr>
      <w:widowControl w:val="0"/>
      <w:kinsoku/>
      <w:autoSpaceDE/>
      <w:autoSpaceDN/>
      <w:snapToGrid/>
      <w:spacing w:line="360" w:lineRule="atLeast"/>
    </w:pPr>
    <w:rPr>
      <w:rFonts w:ascii="Times New Roman" w:hAnsi="Times New Roman" w:eastAsia="宋体" w:cs="Times New Roman"/>
      <w:snapToGrid/>
      <w:color w:val="auto"/>
      <w:sz w:val="24"/>
      <w:szCs w:val="2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2330</Characters>
  <Lines>19</Lines>
  <Paragraphs>5</Paragraphs>
  <TotalTime>17</TotalTime>
  <ScaleCrop>false</ScaleCrop>
  <LinksUpToDate>false</LinksUpToDate>
  <CharactersWithSpaces>2733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2021-08-30T06:03:00Z</dcterms:created>
  <dc:creator>刘小➰粘</dc:creator>
  <cp:lastModifiedBy>Administrator</cp:lastModifiedBy>
  <cp:lastPrinted>2022-11-03T07:29:00Z</cp:lastPrinted>
  <dcterms:modified xsi:type="dcterms:W3CDTF">2022-11-14T06:26:34Z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1FB60E1B08AD4E1F957025A723E3D31B</vt:lpwstr>
  </property>
</Properties>
</file>