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110F2">
      <w:pPr>
        <w:tabs>
          <w:tab w:val="left" w:pos="3518"/>
        </w:tabs>
        <w:spacing w:before="190" w:line="168" w:lineRule="auto"/>
        <w:ind w:firstLine="1746"/>
        <w:rPr>
          <w:rFonts w:hint="eastAsia" w:ascii="仿宋" w:hAnsi="仿宋" w:eastAsia="仿宋" w:cs="仿宋"/>
          <w:b/>
          <w:bCs/>
          <w:sz w:val="44"/>
          <w:szCs w:val="44"/>
        </w:rPr>
      </w:pPr>
      <w:r>
        <w:rPr>
          <w:rFonts w:hint="eastAsia" w:ascii="仿宋" w:hAnsi="仿宋" w:eastAsia="仿宋" w:cs="仿宋"/>
          <w:b/>
          <w:bCs/>
          <w:spacing w:val="-2"/>
          <w:sz w:val="44"/>
          <w:szCs w:val="44"/>
          <w:u w:val="none"/>
          <w:lang w:eastAsia="zh-CN"/>
        </w:rPr>
        <w:t>沈阳市浑南区</w:t>
      </w:r>
      <w:r>
        <w:rPr>
          <w:rFonts w:hint="eastAsia" w:ascii="仿宋" w:hAnsi="仿宋" w:eastAsia="仿宋" w:cs="仿宋"/>
          <w:b/>
          <w:bCs/>
          <w:spacing w:val="-2"/>
          <w:sz w:val="44"/>
          <w:szCs w:val="44"/>
        </w:rPr>
        <w:t>市场监督管理局</w:t>
      </w:r>
    </w:p>
    <w:p w14:paraId="5F3401D2">
      <w:pPr>
        <w:spacing w:before="1" w:line="204" w:lineRule="auto"/>
        <w:jc w:val="center"/>
        <w:rPr>
          <w:rFonts w:hint="eastAsia" w:ascii="仿宋" w:hAnsi="仿宋" w:eastAsia="仿宋" w:cs="仿宋"/>
          <w:b/>
          <w:bCs/>
          <w:sz w:val="44"/>
          <w:szCs w:val="44"/>
        </w:rPr>
      </w:pPr>
      <w:r>
        <w:rPr>
          <w:rFonts w:hint="eastAsia" w:ascii="仿宋" w:hAnsi="仿宋" w:eastAsia="仿宋" w:cs="仿宋"/>
          <w:b/>
          <w:bCs/>
          <w:spacing w:val="-2"/>
          <w:sz w:val="44"/>
          <w:szCs w:val="44"/>
        </w:rPr>
        <w:t>行政处罚决定书</w:t>
      </w:r>
    </w:p>
    <w:p w14:paraId="185D0ED8">
      <w:pPr>
        <w:tabs>
          <w:tab w:val="left" w:pos="2725"/>
        </w:tabs>
        <w:spacing w:before="38" w:line="183" w:lineRule="auto"/>
        <w:ind w:firstLine="2219"/>
        <w:rPr>
          <w:rFonts w:ascii="仿宋" w:hAnsi="仿宋" w:eastAsia="仿宋" w:cs="仿宋"/>
          <w:color w:val="auto"/>
          <w:sz w:val="32"/>
          <w:szCs w:val="32"/>
        </w:rPr>
      </w:pPr>
      <w:r>
        <w:rPr>
          <w:rFonts w:hint="eastAsia" w:ascii="仿宋" w:hAnsi="仿宋" w:eastAsia="仿宋" w:cs="仿宋"/>
          <w:b/>
          <w:bCs/>
          <w:spacing w:val="-7"/>
          <w:sz w:val="32"/>
          <w:szCs w:val="32"/>
          <w:u w:val="none"/>
          <w:lang w:eastAsia="zh-CN"/>
        </w:rPr>
        <w:t>沈浑南</w:t>
      </w:r>
      <w:r>
        <w:rPr>
          <w:rFonts w:hint="eastAsia" w:ascii="仿宋" w:hAnsi="仿宋" w:eastAsia="仿宋" w:cs="仿宋"/>
          <w:b/>
          <w:bCs/>
          <w:spacing w:val="-7"/>
          <w:sz w:val="32"/>
          <w:szCs w:val="32"/>
        </w:rPr>
        <w:t>市监</w:t>
      </w:r>
      <w:r>
        <w:rPr>
          <w:rFonts w:hint="eastAsia" w:ascii="仿宋" w:hAnsi="仿宋" w:eastAsia="仿宋" w:cs="仿宋"/>
          <w:b/>
          <w:bCs/>
          <w:spacing w:val="-7"/>
          <w:sz w:val="32"/>
          <w:szCs w:val="32"/>
          <w:lang w:eastAsia="zh-CN"/>
        </w:rPr>
        <w:t>处</w:t>
      </w:r>
      <w:r>
        <w:rPr>
          <w:rFonts w:hint="eastAsia" w:ascii="仿宋" w:hAnsi="仿宋" w:eastAsia="仿宋" w:cs="仿宋"/>
          <w:b/>
          <w:bCs/>
          <w:spacing w:val="-7"/>
          <w:sz w:val="32"/>
          <w:szCs w:val="32"/>
        </w:rPr>
        <w:t>罚〔</w:t>
      </w:r>
      <w:r>
        <w:rPr>
          <w:rFonts w:hint="eastAsia" w:ascii="仿宋" w:hAnsi="仿宋" w:eastAsia="仿宋" w:cs="仿宋"/>
          <w:b/>
          <w:bCs/>
          <w:spacing w:val="18"/>
          <w:sz w:val="32"/>
          <w:szCs w:val="32"/>
          <w:u w:val="single" w:color="auto"/>
        </w:rPr>
        <w:t xml:space="preserve"> </w:t>
      </w:r>
      <w:r>
        <w:rPr>
          <w:rFonts w:hint="eastAsia" w:ascii="仿宋" w:hAnsi="仿宋" w:eastAsia="仿宋" w:cs="仿宋"/>
          <w:b/>
          <w:bCs/>
          <w:spacing w:val="18"/>
          <w:sz w:val="32"/>
          <w:szCs w:val="32"/>
          <w:u w:val="single" w:color="auto"/>
          <w:lang w:val="en-US" w:eastAsia="zh-CN"/>
        </w:rPr>
        <w:t>2022</w:t>
      </w:r>
      <w:r>
        <w:rPr>
          <w:rFonts w:hint="eastAsia" w:ascii="仿宋" w:hAnsi="仿宋" w:eastAsia="仿宋" w:cs="仿宋"/>
          <w:b/>
          <w:bCs/>
          <w:spacing w:val="18"/>
          <w:sz w:val="32"/>
          <w:szCs w:val="32"/>
          <w:u w:val="single" w:color="auto"/>
        </w:rPr>
        <w:t xml:space="preserve"> </w:t>
      </w:r>
      <w:r>
        <w:rPr>
          <w:rFonts w:hint="eastAsia" w:ascii="仿宋" w:hAnsi="仿宋" w:eastAsia="仿宋" w:cs="仿宋"/>
          <w:b/>
          <w:bCs/>
          <w:color w:val="auto"/>
          <w:spacing w:val="-7"/>
          <w:sz w:val="32"/>
          <w:szCs w:val="32"/>
        </w:rPr>
        <w:t>〕</w:t>
      </w:r>
      <w:r>
        <w:rPr>
          <w:rFonts w:hint="eastAsia" w:ascii="仿宋" w:hAnsi="仿宋" w:eastAsia="仿宋" w:cs="仿宋"/>
          <w:b/>
          <w:bCs/>
          <w:color w:val="auto"/>
          <w:spacing w:val="68"/>
          <w:sz w:val="32"/>
          <w:szCs w:val="32"/>
          <w:u w:val="none" w:color="auto"/>
          <w:lang w:val="en-US" w:eastAsia="zh-CN"/>
        </w:rPr>
        <w:t>070</w:t>
      </w:r>
      <w:r>
        <w:rPr>
          <w:rFonts w:hint="eastAsia" w:ascii="仿宋" w:hAnsi="仿宋" w:eastAsia="仿宋" w:cs="仿宋"/>
          <w:b/>
          <w:bCs/>
          <w:color w:val="auto"/>
          <w:spacing w:val="-7"/>
          <w:sz w:val="32"/>
          <w:szCs w:val="32"/>
        </w:rPr>
        <w:t>号</w:t>
      </w:r>
    </w:p>
    <w:p w14:paraId="50D450C6">
      <w:pPr>
        <w:keepNext w:val="0"/>
        <w:keepLines w:val="0"/>
        <w:pageBreakBefore w:val="0"/>
        <w:widowControl/>
        <w:kinsoku w:val="0"/>
        <w:wordWrap/>
        <w:overflowPunct/>
        <w:topLinePunct w:val="0"/>
        <w:autoSpaceDE w:val="0"/>
        <w:autoSpaceDN w:val="0"/>
        <w:bidi w:val="0"/>
        <w:adjustRightInd w:val="0"/>
        <w:snapToGrid w:val="0"/>
        <w:spacing w:before="104" w:line="240" w:lineRule="atLeast"/>
        <w:ind w:right="17"/>
        <w:textAlignment w:val="baseline"/>
        <w:rPr>
          <w:rFonts w:hint="eastAsia" w:ascii="仿宋" w:hAnsi="仿宋" w:eastAsia="仿宋" w:cs="仿宋"/>
          <w:spacing w:val="0"/>
          <w:w w:val="89"/>
          <w:sz w:val="28"/>
          <w:szCs w:val="28"/>
        </w:rPr>
      </w:pPr>
    </w:p>
    <w:p w14:paraId="3984184D">
      <w:pPr>
        <w:keepNext w:val="0"/>
        <w:keepLines w:val="0"/>
        <w:pageBreakBefore w:val="0"/>
        <w:widowControl/>
        <w:kinsoku w:val="0"/>
        <w:wordWrap/>
        <w:overflowPunct/>
        <w:topLinePunct w:val="0"/>
        <w:autoSpaceDE w:val="0"/>
        <w:autoSpaceDN w:val="0"/>
        <w:bidi w:val="0"/>
        <w:adjustRightInd w:val="0"/>
        <w:snapToGrid w:val="0"/>
        <w:spacing w:before="104" w:line="240" w:lineRule="atLeast"/>
        <w:ind w:right="17"/>
        <w:textAlignment w:val="baseline"/>
        <w:rPr>
          <w:rFonts w:hint="eastAsia" w:ascii="仿宋" w:hAnsi="仿宋" w:eastAsia="仿宋" w:cs="仿宋"/>
          <w:spacing w:val="0"/>
          <w:w w:val="89"/>
          <w:sz w:val="28"/>
          <w:szCs w:val="28"/>
        </w:rPr>
      </w:pPr>
      <w:r>
        <w:rPr>
          <w:rFonts w:hint="eastAsia" w:ascii="仿宋" w:hAnsi="仿宋" w:eastAsia="仿宋" w:cs="仿宋"/>
          <w:spacing w:val="0"/>
          <w:w w:val="89"/>
          <w:sz w:val="28"/>
          <w:szCs w:val="28"/>
        </w:rPr>
        <w:t>当事人：</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沈阳市浑南区乐水汇洗浴中心</w:t>
      </w:r>
      <w:r>
        <w:rPr>
          <w:rFonts w:hint="eastAsia" w:ascii="仿宋" w:hAnsi="仿宋" w:eastAsia="仿宋" w:cs="仿宋"/>
          <w:spacing w:val="0"/>
          <w:sz w:val="28"/>
          <w:szCs w:val="28"/>
          <w:u w:val="single" w:color="auto"/>
        </w:rPr>
        <w:t xml:space="preserve">                  </w:t>
      </w:r>
    </w:p>
    <w:p w14:paraId="0D742FEA">
      <w:pPr>
        <w:keepNext w:val="0"/>
        <w:keepLines w:val="0"/>
        <w:pageBreakBefore w:val="0"/>
        <w:widowControl/>
        <w:kinsoku w:val="0"/>
        <w:wordWrap/>
        <w:overflowPunct/>
        <w:topLinePunct w:val="0"/>
        <w:autoSpaceDE w:val="0"/>
        <w:autoSpaceDN w:val="0"/>
        <w:bidi w:val="0"/>
        <w:adjustRightInd w:val="0"/>
        <w:snapToGrid w:val="0"/>
        <w:spacing w:before="104" w:line="240" w:lineRule="atLeast"/>
        <w:ind w:left="34" w:right="17" w:firstLine="34"/>
        <w:textAlignment w:val="baseline"/>
        <w:rPr>
          <w:rFonts w:hint="eastAsia" w:ascii="仿宋" w:hAnsi="仿宋" w:eastAsia="仿宋" w:cs="仿宋"/>
          <w:spacing w:val="0"/>
          <w:sz w:val="28"/>
          <w:szCs w:val="28"/>
          <w:u w:val="single" w:color="auto"/>
        </w:rPr>
      </w:pPr>
      <w:r>
        <w:rPr>
          <w:rFonts w:hint="eastAsia" w:ascii="仿宋" w:hAnsi="仿宋" w:eastAsia="仿宋" w:cs="仿宋"/>
          <w:spacing w:val="0"/>
          <w:sz w:val="28"/>
          <w:szCs w:val="28"/>
        </w:rPr>
        <w:t>主体资格证照名称：</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lang w:eastAsia="zh-CN"/>
        </w:rPr>
        <w:t>营业执照</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统一社会信用代码</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住所（住址</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p>
    <w:p w14:paraId="132D8997">
      <w:pPr>
        <w:keepNext w:val="0"/>
        <w:keepLines w:val="0"/>
        <w:pageBreakBefore w:val="0"/>
        <w:widowControl/>
        <w:kinsoku w:val="0"/>
        <w:wordWrap/>
        <w:overflowPunct/>
        <w:topLinePunct w:val="0"/>
        <w:autoSpaceDE w:val="0"/>
        <w:autoSpaceDN w:val="0"/>
        <w:bidi w:val="0"/>
        <w:adjustRightInd w:val="0"/>
        <w:snapToGrid w:val="0"/>
        <w:spacing w:before="104" w:line="240" w:lineRule="atLeast"/>
        <w:ind w:left="34" w:right="17" w:firstLine="34"/>
        <w:textAlignment w:val="baseline"/>
        <w:rPr>
          <w:rFonts w:hint="eastAsia" w:ascii="仿宋" w:hAnsi="仿宋" w:eastAsia="仿宋" w:cs="仿宋"/>
          <w:color w:val="231F20"/>
          <w:spacing w:val="1"/>
          <w:sz w:val="28"/>
          <w:szCs w:val="28"/>
          <w:u w:val="none"/>
          <w14:textOutline w14:w="5793" w14:cap="sq" w14:cmpd="sng">
            <w14:solidFill>
              <w14:srgbClr w14:val="231F20"/>
            </w14:solidFill>
            <w14:prstDash w14:val="solid"/>
            <w14:bevel/>
          </w14:textOutline>
        </w:rPr>
      </w:pPr>
      <w:r>
        <w:rPr>
          <w:rFonts w:hint="eastAsia" w:ascii="仿宋" w:hAnsi="仿宋" w:eastAsia="仿宋" w:cs="仿宋"/>
          <w:spacing w:val="0"/>
          <w:sz w:val="28"/>
          <w:szCs w:val="28"/>
        </w:rPr>
        <w:t xml:space="preserve"> 法定代表人（负责人、经营者</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lang w:val="en-US" w:eastAsia="zh-CN"/>
        </w:rPr>
        <w:t>袁建义</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p>
    <w:p w14:paraId="70312F80">
      <w:pPr>
        <w:spacing w:line="400" w:lineRule="exact"/>
        <w:ind w:firstLine="560" w:firstLineChars="200"/>
        <w:rPr>
          <w:rFonts w:hint="eastAsia" w:ascii="仿宋" w:hAnsi="仿宋" w:eastAsia="仿宋"/>
          <w:sz w:val="28"/>
          <w:szCs w:val="28"/>
          <w:u w:val="none" w:color="auto"/>
        </w:rPr>
      </w:pPr>
    </w:p>
    <w:p w14:paraId="707790DF">
      <w:pPr>
        <w:tabs>
          <w:tab w:val="left" w:pos="4380"/>
        </w:tabs>
        <w:spacing w:line="480" w:lineRule="exact"/>
        <w:ind w:right="17"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2022年8月25日，我执法人员在日常监督检查过程中，发现当事人沈阳市浑南区乐水汇洗浴中心经营的露兰姬娜乳木果·丝滑雪嫩手膜包装上标注的成分与“化妆瓶监管”软件上查询到的备案证信息中成分内容不一致，存在标签瑕疵。我执法人员于2022年8月30日，对当事人下达了《责令改正通知书》（沈浑南市监责改〔2022〕10-024号）</w:t>
      </w:r>
      <w:r>
        <w:rPr>
          <w:rFonts w:ascii="仿宋" w:hAnsi="仿宋" w:eastAsia="仿宋" w:cs="仿宋"/>
          <w:spacing w:val="0"/>
          <w:sz w:val="28"/>
          <w:szCs w:val="28"/>
        </w:rPr>
        <w:t>，</w:t>
      </w:r>
      <w:r>
        <w:rPr>
          <w:rFonts w:hint="eastAsia" w:ascii="仿宋" w:hAnsi="仿宋" w:eastAsia="仿宋" w:cs="仿宋"/>
          <w:spacing w:val="0"/>
          <w:sz w:val="28"/>
          <w:szCs w:val="28"/>
          <w:lang w:val="en-US" w:eastAsia="zh-CN"/>
        </w:rPr>
        <w:t>2022年9月6日再次进行检查当事人在规定期限内未能改正违法行为。</w:t>
      </w:r>
    </w:p>
    <w:p w14:paraId="7B3ACD73">
      <w:pPr>
        <w:tabs>
          <w:tab w:val="left" w:pos="4380"/>
        </w:tabs>
        <w:spacing w:line="480" w:lineRule="exact"/>
        <w:ind w:right="17"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2022年9月8日，经主管领导批准立案。</w:t>
      </w:r>
    </w:p>
    <w:p w14:paraId="63C74319">
      <w:pPr>
        <w:tabs>
          <w:tab w:val="left" w:pos="4380"/>
        </w:tabs>
        <w:spacing w:line="480" w:lineRule="exact"/>
        <w:ind w:right="17" w:firstLine="560" w:firstLineChars="200"/>
        <w:rPr>
          <w:rFonts w:hint="eastAsia" w:ascii="仿宋" w:hAnsi="仿宋" w:eastAsia="仿宋" w:cs="仿宋"/>
          <w:spacing w:val="0"/>
          <w:sz w:val="28"/>
          <w:szCs w:val="28"/>
          <w:u w:val="none" w:color="auto"/>
          <w:lang w:val="en-US" w:eastAsia="zh-CN"/>
        </w:rPr>
      </w:pPr>
      <w:r>
        <w:rPr>
          <w:rFonts w:hint="eastAsia" w:ascii="仿宋_GB2312" w:hAnsi="仿宋_GB2312" w:eastAsia="仿宋_GB2312" w:cs="仿宋_GB2312"/>
          <w:sz w:val="28"/>
          <w:szCs w:val="28"/>
          <w:u w:val="none" w:color="auto"/>
        </w:rPr>
        <w:t>202</w:t>
      </w:r>
      <w:r>
        <w:rPr>
          <w:rFonts w:hint="eastAsia" w:ascii="仿宋_GB2312" w:hAnsi="仿宋_GB2312" w:eastAsia="仿宋_GB2312" w:cs="仿宋_GB2312"/>
          <w:sz w:val="28"/>
          <w:szCs w:val="28"/>
          <w:u w:val="none" w:color="auto"/>
          <w:lang w:val="en-US" w:eastAsia="zh-CN"/>
        </w:rPr>
        <w:t>2</w:t>
      </w:r>
      <w:r>
        <w:rPr>
          <w:rFonts w:hint="eastAsia" w:ascii="仿宋_GB2312" w:hAnsi="仿宋_GB2312" w:eastAsia="仿宋_GB2312" w:cs="仿宋_GB2312"/>
          <w:sz w:val="28"/>
          <w:szCs w:val="28"/>
          <w:u w:val="none" w:color="auto"/>
        </w:rPr>
        <w:t>年</w:t>
      </w:r>
      <w:r>
        <w:rPr>
          <w:rFonts w:hint="eastAsia" w:ascii="仿宋_GB2312" w:hAnsi="仿宋_GB2312" w:eastAsia="仿宋_GB2312" w:cs="仿宋_GB2312"/>
          <w:sz w:val="28"/>
          <w:szCs w:val="28"/>
          <w:u w:val="none" w:color="auto"/>
          <w:lang w:val="en-US" w:eastAsia="zh-CN"/>
        </w:rPr>
        <w:t>9</w:t>
      </w:r>
      <w:r>
        <w:rPr>
          <w:rFonts w:hint="eastAsia" w:ascii="仿宋_GB2312" w:hAnsi="仿宋_GB2312" w:eastAsia="仿宋_GB2312" w:cs="仿宋_GB2312"/>
          <w:sz w:val="28"/>
          <w:szCs w:val="28"/>
          <w:u w:val="none" w:color="auto"/>
        </w:rPr>
        <w:t>月</w:t>
      </w:r>
      <w:r>
        <w:rPr>
          <w:rFonts w:hint="eastAsia" w:ascii="仿宋_GB2312" w:hAnsi="仿宋_GB2312" w:eastAsia="仿宋_GB2312" w:cs="仿宋_GB2312"/>
          <w:sz w:val="28"/>
          <w:szCs w:val="28"/>
          <w:u w:val="none" w:color="auto"/>
          <w:lang w:val="en-US" w:eastAsia="zh-CN"/>
        </w:rPr>
        <w:t>9</w:t>
      </w:r>
      <w:r>
        <w:rPr>
          <w:rFonts w:hint="eastAsia" w:ascii="仿宋_GB2312" w:hAnsi="仿宋_GB2312" w:eastAsia="仿宋_GB2312" w:cs="仿宋_GB2312"/>
          <w:sz w:val="28"/>
          <w:szCs w:val="28"/>
          <w:u w:val="none" w:color="auto"/>
        </w:rPr>
        <w:t>日，我执法人员对当事人下达了《询问通知书》，202</w:t>
      </w:r>
      <w:r>
        <w:rPr>
          <w:rFonts w:hint="eastAsia" w:ascii="仿宋_GB2312" w:hAnsi="仿宋_GB2312" w:eastAsia="仿宋_GB2312" w:cs="仿宋_GB2312"/>
          <w:sz w:val="28"/>
          <w:szCs w:val="28"/>
          <w:u w:val="none" w:color="auto"/>
          <w:lang w:val="en-US" w:eastAsia="zh-CN"/>
        </w:rPr>
        <w:t>2</w:t>
      </w:r>
      <w:r>
        <w:rPr>
          <w:rFonts w:hint="eastAsia" w:ascii="仿宋_GB2312" w:hAnsi="仿宋_GB2312" w:eastAsia="仿宋_GB2312" w:cs="仿宋_GB2312"/>
          <w:sz w:val="28"/>
          <w:szCs w:val="28"/>
          <w:u w:val="none" w:color="auto"/>
        </w:rPr>
        <w:t>年</w:t>
      </w:r>
      <w:r>
        <w:rPr>
          <w:rFonts w:hint="eastAsia" w:ascii="仿宋_GB2312" w:hAnsi="仿宋_GB2312" w:eastAsia="仿宋_GB2312" w:cs="仿宋_GB2312"/>
          <w:sz w:val="28"/>
          <w:szCs w:val="28"/>
          <w:u w:val="none" w:color="auto"/>
          <w:lang w:val="en-US" w:eastAsia="zh-CN"/>
        </w:rPr>
        <w:t>9</w:t>
      </w:r>
      <w:r>
        <w:rPr>
          <w:rFonts w:hint="eastAsia" w:ascii="仿宋_GB2312" w:hAnsi="仿宋_GB2312" w:eastAsia="仿宋_GB2312" w:cs="仿宋_GB2312"/>
          <w:sz w:val="28"/>
          <w:szCs w:val="28"/>
          <w:u w:val="none" w:color="auto"/>
        </w:rPr>
        <w:t>月</w:t>
      </w:r>
      <w:r>
        <w:rPr>
          <w:rFonts w:hint="eastAsia" w:ascii="仿宋_GB2312" w:hAnsi="仿宋_GB2312" w:eastAsia="仿宋_GB2312" w:cs="仿宋_GB2312"/>
          <w:sz w:val="28"/>
          <w:szCs w:val="28"/>
          <w:u w:val="none" w:color="auto"/>
          <w:lang w:val="en-US" w:eastAsia="zh-CN"/>
        </w:rPr>
        <w:t>9</w:t>
      </w:r>
      <w:r>
        <w:rPr>
          <w:rFonts w:hint="eastAsia" w:ascii="仿宋_GB2312" w:hAnsi="仿宋_GB2312" w:eastAsia="仿宋_GB2312" w:cs="仿宋_GB2312"/>
          <w:sz w:val="28"/>
          <w:szCs w:val="28"/>
          <w:u w:val="none" w:color="auto"/>
        </w:rPr>
        <w:t>日，我执法人员对当事人进行了询问并制作了《询问笔录》。</w:t>
      </w:r>
      <w:r>
        <w:rPr>
          <w:rFonts w:hint="eastAsia" w:ascii="仿宋_GB2312" w:hAnsi="仿宋_GB2312" w:eastAsia="仿宋_GB2312" w:cs="仿宋_GB2312"/>
          <w:sz w:val="28"/>
          <w:szCs w:val="28"/>
          <w:u w:val="none" w:color="auto"/>
          <w:lang w:val="en-US" w:eastAsia="zh-CN"/>
        </w:rPr>
        <w:t>9</w:t>
      </w:r>
      <w:r>
        <w:rPr>
          <w:rFonts w:hint="eastAsia" w:ascii="仿宋_GB2312" w:hAnsi="仿宋_GB2312" w:eastAsia="仿宋_GB2312" w:cs="仿宋_GB2312"/>
          <w:sz w:val="28"/>
          <w:szCs w:val="28"/>
          <w:u w:val="none" w:color="auto"/>
        </w:rPr>
        <w:t>月</w:t>
      </w:r>
      <w:r>
        <w:rPr>
          <w:rFonts w:hint="eastAsia" w:ascii="仿宋_GB2312" w:hAnsi="仿宋_GB2312" w:eastAsia="仿宋_GB2312" w:cs="仿宋_GB2312"/>
          <w:sz w:val="28"/>
          <w:szCs w:val="28"/>
          <w:u w:val="none" w:color="auto"/>
          <w:lang w:val="en-US" w:eastAsia="zh-CN"/>
        </w:rPr>
        <w:t>30</w:t>
      </w:r>
      <w:r>
        <w:rPr>
          <w:rFonts w:hint="eastAsia" w:ascii="仿宋_GB2312" w:hAnsi="仿宋_GB2312" w:eastAsia="仿宋_GB2312" w:cs="仿宋_GB2312"/>
          <w:sz w:val="28"/>
          <w:szCs w:val="28"/>
          <w:u w:val="none" w:color="auto"/>
        </w:rPr>
        <w:t>日，我局执法人员再次对</w:t>
      </w:r>
      <w:r>
        <w:rPr>
          <w:rFonts w:hint="eastAsia" w:ascii="仿宋_GB2312" w:hAnsi="仿宋_GB2312" w:eastAsia="仿宋_GB2312" w:cs="仿宋_GB2312"/>
          <w:sz w:val="28"/>
          <w:szCs w:val="28"/>
          <w:u w:val="none" w:color="auto"/>
          <w:lang w:eastAsia="zh-CN"/>
        </w:rPr>
        <w:t>当事人</w:t>
      </w:r>
      <w:r>
        <w:rPr>
          <w:rFonts w:hint="eastAsia" w:ascii="仿宋_GB2312" w:hAnsi="仿宋_GB2312" w:eastAsia="仿宋_GB2312" w:cs="仿宋_GB2312"/>
          <w:sz w:val="28"/>
          <w:szCs w:val="28"/>
          <w:u w:val="none" w:color="auto"/>
        </w:rPr>
        <w:t>进行了现场检查，未发现有</w:t>
      </w:r>
      <w:r>
        <w:rPr>
          <w:rFonts w:hint="eastAsia" w:ascii="仿宋" w:hAnsi="仿宋" w:eastAsia="仿宋" w:cs="仿宋"/>
          <w:spacing w:val="0"/>
          <w:sz w:val="28"/>
          <w:szCs w:val="28"/>
          <w:lang w:val="en-US" w:eastAsia="zh-CN"/>
        </w:rPr>
        <w:t>露兰姬娜乳木果·丝滑雪嫩手膜</w:t>
      </w:r>
      <w:r>
        <w:rPr>
          <w:rFonts w:hint="eastAsia" w:ascii="仿宋_GB2312" w:hAnsi="仿宋_GB2312" w:eastAsia="仿宋_GB2312" w:cs="仿宋_GB2312"/>
          <w:sz w:val="28"/>
          <w:szCs w:val="28"/>
          <w:u w:val="none" w:color="auto"/>
        </w:rPr>
        <w:t>在</w:t>
      </w:r>
      <w:r>
        <w:rPr>
          <w:rFonts w:hint="eastAsia" w:ascii="仿宋_GB2312" w:hAnsi="仿宋_GB2312" w:eastAsia="仿宋_GB2312" w:cs="仿宋_GB2312"/>
          <w:sz w:val="28"/>
          <w:szCs w:val="28"/>
          <w:u w:val="none" w:color="auto"/>
          <w:lang w:eastAsia="zh-CN"/>
        </w:rPr>
        <w:t>经营</w:t>
      </w:r>
      <w:r>
        <w:rPr>
          <w:rFonts w:hint="eastAsia" w:ascii="仿宋_GB2312" w:hAnsi="仿宋_GB2312" w:eastAsia="仿宋_GB2312" w:cs="仿宋_GB2312"/>
          <w:sz w:val="28"/>
          <w:szCs w:val="28"/>
          <w:u w:val="none" w:color="auto"/>
        </w:rPr>
        <w:t>。</w:t>
      </w:r>
    </w:p>
    <w:p w14:paraId="270249E8">
      <w:pPr>
        <w:ind w:firstLineChars="200"/>
        <w:rPr>
          <w:rFonts w:hint="default" w:ascii="仿宋" w:hAnsi="仿宋" w:eastAsia="仿宋" w:cs="仿宋"/>
          <w:spacing w:val="0"/>
          <w:sz w:val="28"/>
          <w:szCs w:val="28"/>
          <w:u w:val="single" w:color="auto"/>
          <w:lang w:val="en-US" w:eastAsia="zh-CN"/>
        </w:rPr>
      </w:pPr>
      <w:r>
        <w:rPr>
          <w:rFonts w:hint="eastAsia" w:ascii="仿宋" w:hAnsi="仿宋" w:eastAsia="仿宋" w:cs="仿宋"/>
          <w:spacing w:val="0"/>
          <w:sz w:val="28"/>
          <w:szCs w:val="28"/>
          <w:lang w:val="en-US" w:eastAsia="zh-CN"/>
        </w:rPr>
        <w:t>经查，当事人沈阳市浑南区乐水汇洗浴中心经营的露兰姬娜乳木果·丝滑雪嫩手膜，包装上标注的成分信息为“水、甘油、丙二醇、海藻糖、水解霍霍巴酯类、透明质酸钠、黄原胶、丙烯酰二甲基牛磺酸铵/VP共聚物、泛醇、积雪草（CENTELLA ASIATICA）提取物、虎杖（POLYGONUM CUSPIDATUM）根提取物、黄芩（SCUTELLARIA BAICALENSIS）根提取物、牛油果树（BUTYROSPERMUM PARKII）提取物、光果甘草（GLYCYRRHIZA GLABRA）根提取物、母菊（CHAMOMILLA RECUTITA）花提取物、迷迭香（ </w:t>
      </w:r>
      <w:r>
        <w:rPr>
          <w:rFonts w:hint="default" w:ascii="仿宋" w:hAnsi="仿宋" w:eastAsia="仿宋" w:cs="仿宋"/>
          <w:spacing w:val="0"/>
          <w:sz w:val="28"/>
          <w:szCs w:val="28"/>
          <w:lang w:val="en-US" w:eastAsia="zh-CN"/>
        </w:rPr>
        <w:fldChar w:fldCharType="begin"/>
      </w:r>
      <w:r>
        <w:rPr>
          <w:rFonts w:hint="default" w:ascii="仿宋" w:hAnsi="仿宋" w:eastAsia="仿宋" w:cs="仿宋"/>
          <w:spacing w:val="0"/>
          <w:sz w:val="28"/>
          <w:szCs w:val="28"/>
          <w:lang w:val="en-US" w:eastAsia="zh-CN"/>
        </w:rPr>
        <w:instrText xml:space="preserve"> HYPERLINK "https://cn.bing.com/dict/search?q=Rosmarinus&amp;FORM=BDVSP6&amp;cc=cn" </w:instrText>
      </w:r>
      <w:r>
        <w:rPr>
          <w:rFonts w:hint="default" w:ascii="仿宋" w:hAnsi="仿宋" w:eastAsia="仿宋" w:cs="仿宋"/>
          <w:spacing w:val="0"/>
          <w:sz w:val="28"/>
          <w:szCs w:val="28"/>
          <w:lang w:val="en-US" w:eastAsia="zh-CN"/>
        </w:rPr>
        <w:fldChar w:fldCharType="separate"/>
      </w:r>
      <w:r>
        <w:rPr>
          <w:rFonts w:hint="default" w:ascii="仿宋" w:hAnsi="仿宋" w:eastAsia="仿宋" w:cs="仿宋"/>
          <w:spacing w:val="0"/>
          <w:sz w:val="28"/>
          <w:szCs w:val="28"/>
          <w:lang w:val="en-US" w:eastAsia="zh-CN"/>
        </w:rPr>
        <w:t>R</w:t>
      </w:r>
      <w:r>
        <w:rPr>
          <w:rFonts w:hint="eastAsia" w:ascii="仿宋" w:hAnsi="仿宋" w:eastAsia="仿宋" w:cs="仿宋"/>
          <w:spacing w:val="0"/>
          <w:sz w:val="28"/>
          <w:szCs w:val="28"/>
          <w:lang w:val="en-US" w:eastAsia="zh-CN"/>
        </w:rPr>
        <w:t>OSMARINUS OFFICINALIS</w:t>
      </w:r>
      <w:r>
        <w:rPr>
          <w:rFonts w:hint="default" w:ascii="仿宋" w:hAnsi="仿宋" w:eastAsia="仿宋" w:cs="仿宋"/>
          <w:spacing w:val="0"/>
          <w:sz w:val="28"/>
          <w:szCs w:val="28"/>
          <w:lang w:val="en-US" w:eastAsia="zh-CN"/>
        </w:rPr>
        <w:fldChar w:fldCharType="end"/>
      </w:r>
      <w:r>
        <w:rPr>
          <w:rFonts w:hint="eastAsia" w:ascii="仿宋" w:hAnsi="仿宋" w:eastAsia="仿宋" w:cs="仿宋"/>
          <w:spacing w:val="0"/>
          <w:sz w:val="28"/>
          <w:szCs w:val="28"/>
          <w:lang w:val="en-US" w:eastAsia="zh-CN"/>
        </w:rPr>
        <w:t>)叶提取物、茶（CAMELLIA SINENSIS）叶提取物、苯氧乙醇、羟苯甲酯、甲基异噻唑啉酮、PEG-40氢化蓖麻油、香精”，化妆品备案证中的成分信息为“水、甘油、丙二醇、聚甘油-10、泛醇、黄原胶、丙烯酰二甲基牛磺酸铵/VP共聚物、PEG-40氢化蓖麻油，苯氧乙醇、水解霍霍巴酯类、羟苯甲酯、海藻糖、香精、甲基异噻唑啉酮、透明质酸钠、积雪草（CENTELLA ASIATICA）提取物、牛油果树（BUTYROSPERMUM PARKII）提取物、黄芩（SCUTELLARIA BAICALENSIS）根提取物、虎杖（POLYGONUM CUSPIDATUM）根提取物、光果甘草（GLYCYRRHIZA GLABRA）根提取物、茶（CAMELLIA SINENSIS）叶提取物、迷迭香（</w:t>
      </w:r>
      <w:r>
        <w:rPr>
          <w:rFonts w:ascii="Arial" w:hAnsi="Arial" w:eastAsia="宋体" w:cs="Arial"/>
          <w:b/>
          <w:bCs/>
          <w:i w:val="0"/>
          <w:iCs w:val="0"/>
          <w:caps w:val="0"/>
          <w:color w:val="333333"/>
          <w:spacing w:val="0"/>
          <w:sz w:val="28"/>
          <w:szCs w:val="28"/>
          <w:shd w:val="clear" w:color="auto" w:fill="FFFFFF"/>
        </w:rPr>
        <w:t> </w:t>
      </w:r>
      <w:r>
        <w:rPr>
          <w:rFonts w:hint="default" w:ascii="仿宋" w:hAnsi="仿宋" w:eastAsia="仿宋" w:cs="仿宋"/>
          <w:spacing w:val="0"/>
          <w:sz w:val="28"/>
          <w:szCs w:val="28"/>
          <w:lang w:val="en-US" w:eastAsia="zh-CN"/>
        </w:rPr>
        <w:fldChar w:fldCharType="begin"/>
      </w:r>
      <w:r>
        <w:rPr>
          <w:rFonts w:hint="default" w:ascii="仿宋" w:hAnsi="仿宋" w:eastAsia="仿宋" w:cs="仿宋"/>
          <w:spacing w:val="0"/>
          <w:sz w:val="28"/>
          <w:szCs w:val="28"/>
          <w:lang w:val="en-US" w:eastAsia="zh-CN"/>
        </w:rPr>
        <w:instrText xml:space="preserve"> HYPERLINK "https://cn.bing.com/dict/search?q=Rosmarinus&amp;FORM=BDVSP6&amp;cc=cn" </w:instrText>
      </w:r>
      <w:r>
        <w:rPr>
          <w:rFonts w:hint="default" w:ascii="仿宋" w:hAnsi="仿宋" w:eastAsia="仿宋" w:cs="仿宋"/>
          <w:spacing w:val="0"/>
          <w:sz w:val="28"/>
          <w:szCs w:val="28"/>
          <w:lang w:val="en-US" w:eastAsia="zh-CN"/>
        </w:rPr>
        <w:fldChar w:fldCharType="separate"/>
      </w:r>
      <w:r>
        <w:rPr>
          <w:rFonts w:hint="default" w:ascii="仿宋" w:hAnsi="仿宋" w:eastAsia="仿宋" w:cs="仿宋"/>
          <w:spacing w:val="0"/>
          <w:sz w:val="28"/>
          <w:szCs w:val="28"/>
          <w:lang w:val="en-US" w:eastAsia="zh-CN"/>
        </w:rPr>
        <w:t>R</w:t>
      </w:r>
      <w:r>
        <w:rPr>
          <w:rFonts w:hint="eastAsia" w:ascii="仿宋" w:hAnsi="仿宋" w:eastAsia="仿宋" w:cs="仿宋"/>
          <w:spacing w:val="0"/>
          <w:sz w:val="28"/>
          <w:szCs w:val="28"/>
          <w:lang w:val="en-US" w:eastAsia="zh-CN"/>
        </w:rPr>
        <w:t>OSMARINUS OFFICINALIS</w:t>
      </w:r>
      <w:r>
        <w:rPr>
          <w:rFonts w:hint="default" w:ascii="仿宋" w:hAnsi="仿宋" w:eastAsia="仿宋" w:cs="仿宋"/>
          <w:spacing w:val="0"/>
          <w:sz w:val="28"/>
          <w:szCs w:val="28"/>
          <w:lang w:val="en-US" w:eastAsia="zh-CN"/>
        </w:rPr>
        <w:fldChar w:fldCharType="end"/>
      </w:r>
      <w:r>
        <w:rPr>
          <w:rFonts w:hint="eastAsia" w:ascii="仿宋" w:hAnsi="仿宋" w:eastAsia="仿宋" w:cs="仿宋"/>
          <w:spacing w:val="0"/>
          <w:sz w:val="28"/>
          <w:szCs w:val="28"/>
          <w:lang w:val="en-US" w:eastAsia="zh-CN"/>
        </w:rPr>
        <w:t>)叶提取物、母菊（CHAMOMILLA RECUTITA）花提取物”，成分顺序不一致。标签存在瑕疵但不影响质量安全且不会对消费者造成误导。当事人经营该化妆品是从丁乐一经营的商铺（</w:t>
      </w:r>
      <w:bookmarkStart w:id="0" w:name="_GoBack"/>
      <w:bookmarkEnd w:id="0"/>
      <w:r>
        <w:rPr>
          <w:rFonts w:hint="eastAsia" w:ascii="仿宋" w:hAnsi="仿宋" w:eastAsia="仿宋" w:cs="仿宋"/>
          <w:spacing w:val="0"/>
          <w:sz w:val="28"/>
          <w:szCs w:val="28"/>
          <w:lang w:val="en-US" w:eastAsia="zh-CN"/>
        </w:rPr>
        <w:t>统一社会信用代码为92210103MA0XU6NN1K）进行进货，共进50盒，每盒进价13元，货值金额650元</w:t>
      </w:r>
      <w:r>
        <w:rPr>
          <w:rFonts w:hint="eastAsia" w:ascii="仿宋" w:hAnsi="仿宋" w:eastAsia="仿宋" w:cs="仿宋"/>
          <w:color w:val="auto"/>
          <w:spacing w:val="0"/>
          <w:sz w:val="28"/>
          <w:szCs w:val="28"/>
          <w:lang w:val="en-US" w:eastAsia="zh-CN"/>
        </w:rPr>
        <w:t>。</w:t>
      </w:r>
      <w:r>
        <w:rPr>
          <w:rFonts w:hint="eastAsia" w:ascii="仿宋" w:hAnsi="仿宋" w:eastAsia="仿宋" w:cs="仿宋"/>
          <w:spacing w:val="0"/>
          <w:sz w:val="28"/>
          <w:szCs w:val="28"/>
          <w:lang w:val="en-US" w:eastAsia="zh-CN"/>
        </w:rPr>
        <w:t>当事人依法提供了供货商资质、产品备案信息、检验合格报告等手续。但未能在规定期限内将标签存在瑕疵的化妆品退回，未能改正违法行为。</w:t>
      </w:r>
    </w:p>
    <w:p w14:paraId="2803D21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3" w:line="14" w:lineRule="atLeast"/>
        <w:ind w:right="16" w:rightChars="0"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上述事实，主要有以下证据证明：</w:t>
      </w:r>
    </w:p>
    <w:p w14:paraId="5D51B3C2">
      <w:pPr>
        <w:keepNext w:val="0"/>
        <w:keepLines w:val="0"/>
        <w:pageBreakBefore w:val="0"/>
        <w:widowControl/>
        <w:tabs>
          <w:tab w:val="left" w:pos="4380"/>
        </w:tabs>
        <w:kinsoku w:val="0"/>
        <w:wordWrap/>
        <w:overflowPunct/>
        <w:topLinePunct w:val="0"/>
        <w:autoSpaceDE w:val="0"/>
        <w:autoSpaceDN w:val="0"/>
        <w:bidi w:val="0"/>
        <w:adjustRightInd w:val="0"/>
        <w:snapToGrid w:val="0"/>
        <w:spacing w:line="14" w:lineRule="atLeast"/>
        <w:ind w:left="17" w:right="17" w:firstLine="692"/>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1.现场笔录三份，证明案件来源及整改情况；</w:t>
      </w:r>
    </w:p>
    <w:p w14:paraId="149605D1">
      <w:pPr>
        <w:keepNext w:val="0"/>
        <w:keepLines w:val="0"/>
        <w:pageBreakBefore w:val="0"/>
        <w:widowControl/>
        <w:tabs>
          <w:tab w:val="left" w:pos="4380"/>
        </w:tabs>
        <w:kinsoku w:val="0"/>
        <w:wordWrap/>
        <w:overflowPunct/>
        <w:topLinePunct w:val="0"/>
        <w:autoSpaceDE w:val="0"/>
        <w:autoSpaceDN w:val="0"/>
        <w:bidi w:val="0"/>
        <w:adjustRightInd w:val="0"/>
        <w:snapToGrid w:val="0"/>
        <w:spacing w:line="14" w:lineRule="atLeast"/>
        <w:ind w:left="17" w:right="17" w:firstLine="692"/>
        <w:textAlignment w:val="baseline"/>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2.当事人营业执照复印件一份，证明其具备经营资格；</w:t>
      </w:r>
    </w:p>
    <w:p w14:paraId="6E6AE5FD">
      <w:pPr>
        <w:keepNext w:val="0"/>
        <w:keepLines w:val="0"/>
        <w:pageBreakBefore w:val="0"/>
        <w:widowControl/>
        <w:tabs>
          <w:tab w:val="left" w:pos="4380"/>
        </w:tabs>
        <w:kinsoku w:val="0"/>
        <w:wordWrap/>
        <w:overflowPunct/>
        <w:topLinePunct w:val="0"/>
        <w:autoSpaceDE w:val="0"/>
        <w:autoSpaceDN w:val="0"/>
        <w:bidi w:val="0"/>
        <w:adjustRightInd w:val="0"/>
        <w:snapToGrid w:val="0"/>
        <w:spacing w:line="14" w:lineRule="atLeast"/>
        <w:ind w:left="17" w:right="17" w:firstLine="692"/>
        <w:textAlignment w:val="baseline"/>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3.委托代理人身份证复印件及授权委托书一份，证明其具备接受询问调查的权限；</w:t>
      </w:r>
    </w:p>
    <w:p w14:paraId="38AEB9B4">
      <w:pPr>
        <w:keepNext w:val="0"/>
        <w:keepLines w:val="0"/>
        <w:pageBreakBefore w:val="0"/>
        <w:widowControl/>
        <w:tabs>
          <w:tab w:val="left" w:pos="4380"/>
        </w:tabs>
        <w:kinsoku w:val="0"/>
        <w:wordWrap/>
        <w:overflowPunct/>
        <w:topLinePunct w:val="0"/>
        <w:autoSpaceDE w:val="0"/>
        <w:autoSpaceDN w:val="0"/>
        <w:bidi w:val="0"/>
        <w:adjustRightInd w:val="0"/>
        <w:snapToGrid w:val="0"/>
        <w:spacing w:line="14" w:lineRule="atLeast"/>
        <w:ind w:left="17" w:right="17" w:firstLine="692"/>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4.执法记录录像刻录光盘一张（执法记录仪记录的音像资料一份），证明当事人现场经营情况；</w:t>
      </w:r>
    </w:p>
    <w:p w14:paraId="5EF38FFC">
      <w:pPr>
        <w:keepNext w:val="0"/>
        <w:keepLines w:val="0"/>
        <w:pageBreakBefore w:val="0"/>
        <w:widowControl/>
        <w:tabs>
          <w:tab w:val="left" w:pos="4380"/>
        </w:tabs>
        <w:kinsoku w:val="0"/>
        <w:wordWrap/>
        <w:overflowPunct/>
        <w:topLinePunct w:val="0"/>
        <w:autoSpaceDE w:val="0"/>
        <w:autoSpaceDN w:val="0"/>
        <w:bidi w:val="0"/>
        <w:adjustRightInd w:val="0"/>
        <w:snapToGrid w:val="0"/>
        <w:spacing w:line="14" w:lineRule="atLeast"/>
        <w:ind w:left="17" w:right="17" w:firstLine="692"/>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 xml:space="preserve">5.询问笔录1份，证明当事人承认其经营标签存在瑕疵的化妆品且拒不改正情况。 </w:t>
      </w:r>
    </w:p>
    <w:p w14:paraId="0E747563">
      <w:pPr>
        <w:keepNext w:val="0"/>
        <w:keepLines w:val="0"/>
        <w:pageBreakBefore w:val="0"/>
        <w:widowControl/>
        <w:tabs>
          <w:tab w:val="left" w:pos="4380"/>
        </w:tabs>
        <w:kinsoku w:val="0"/>
        <w:wordWrap/>
        <w:overflowPunct/>
        <w:topLinePunct w:val="0"/>
        <w:autoSpaceDE w:val="0"/>
        <w:autoSpaceDN w:val="0"/>
        <w:bidi w:val="0"/>
        <w:adjustRightInd w:val="0"/>
        <w:snapToGrid w:val="0"/>
        <w:spacing w:line="14" w:lineRule="atLeast"/>
        <w:ind w:left="17" w:right="17" w:firstLine="692"/>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6.供货商营业执照、化妆品备案信息、产品检验合格报告等材料，证明其销售的是合法产品；</w:t>
      </w:r>
    </w:p>
    <w:p w14:paraId="4DE74B78">
      <w:pPr>
        <w:keepNext w:val="0"/>
        <w:keepLines w:val="0"/>
        <w:pageBreakBefore w:val="0"/>
        <w:widowControl/>
        <w:tabs>
          <w:tab w:val="left" w:pos="4380"/>
        </w:tabs>
        <w:kinsoku w:val="0"/>
        <w:wordWrap/>
        <w:overflowPunct/>
        <w:topLinePunct w:val="0"/>
        <w:autoSpaceDE w:val="0"/>
        <w:autoSpaceDN w:val="0"/>
        <w:bidi w:val="0"/>
        <w:adjustRightInd w:val="0"/>
        <w:snapToGrid w:val="0"/>
        <w:spacing w:line="14" w:lineRule="atLeast"/>
        <w:ind w:left="17" w:right="17" w:firstLine="692"/>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7.产品标注的成分内容照片及备案证上的截图，证明违法的事实。</w:t>
      </w:r>
    </w:p>
    <w:p w14:paraId="2BF24A0D">
      <w:pPr>
        <w:keepNext w:val="0"/>
        <w:keepLines w:val="0"/>
        <w:pageBreakBefore w:val="0"/>
        <w:widowControl/>
        <w:tabs>
          <w:tab w:val="left" w:pos="4380"/>
        </w:tabs>
        <w:kinsoku w:val="0"/>
        <w:wordWrap/>
        <w:overflowPunct/>
        <w:topLinePunct w:val="0"/>
        <w:autoSpaceDE w:val="0"/>
        <w:autoSpaceDN w:val="0"/>
        <w:bidi w:val="0"/>
        <w:adjustRightInd w:val="0"/>
        <w:snapToGrid w:val="0"/>
        <w:spacing w:line="14" w:lineRule="atLeast"/>
        <w:ind w:left="17" w:right="17" w:firstLine="692"/>
        <w:textAlignment w:val="baseline"/>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8.责令改正通知书一份，证明责令改正的事实。</w:t>
      </w:r>
    </w:p>
    <w:p w14:paraId="248C6EDE">
      <w:pPr>
        <w:keepNext w:val="0"/>
        <w:keepLines w:val="0"/>
        <w:pageBreakBefore w:val="0"/>
        <w:kinsoku/>
        <w:wordWrap/>
        <w:overflowPunct/>
        <w:topLinePunct w:val="0"/>
        <w:bidi w:val="0"/>
        <w:snapToGrid/>
        <w:spacing w:line="500" w:lineRule="exact"/>
        <w:ind w:firstLine="560" w:firstLineChars="200"/>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rPr>
        <w:t>202</w:t>
      </w:r>
      <w:r>
        <w:rPr>
          <w:rFonts w:hint="eastAsia" w:ascii="仿宋_GB2312" w:hAnsi="仿宋_GB2312" w:eastAsia="仿宋_GB2312" w:cs="仿宋_GB2312"/>
          <w:sz w:val="28"/>
          <w:szCs w:val="28"/>
          <w:u w:val="none" w:color="auto"/>
          <w:lang w:val="en-US" w:eastAsia="zh-CN"/>
        </w:rPr>
        <w:t>2</w:t>
      </w:r>
      <w:r>
        <w:rPr>
          <w:rFonts w:hint="eastAsia" w:ascii="仿宋_GB2312" w:hAnsi="仿宋_GB2312" w:eastAsia="仿宋_GB2312" w:cs="仿宋_GB2312"/>
          <w:sz w:val="28"/>
          <w:szCs w:val="28"/>
          <w:u w:val="none" w:color="auto"/>
        </w:rPr>
        <w:t>年</w:t>
      </w:r>
      <w:r>
        <w:rPr>
          <w:rFonts w:hint="eastAsia" w:ascii="仿宋_GB2312" w:hAnsi="仿宋_GB2312" w:eastAsia="仿宋_GB2312" w:cs="仿宋_GB2312"/>
          <w:sz w:val="28"/>
          <w:szCs w:val="28"/>
          <w:u w:val="none" w:color="auto"/>
          <w:lang w:val="en-US" w:eastAsia="zh-CN"/>
        </w:rPr>
        <w:t>11</w:t>
      </w:r>
      <w:r>
        <w:rPr>
          <w:rFonts w:hint="eastAsia" w:ascii="仿宋_GB2312" w:hAnsi="仿宋_GB2312" w:eastAsia="仿宋_GB2312" w:cs="仿宋_GB2312"/>
          <w:sz w:val="28"/>
          <w:szCs w:val="28"/>
          <w:u w:val="none" w:color="auto"/>
        </w:rPr>
        <w:t>月</w:t>
      </w:r>
      <w:r>
        <w:rPr>
          <w:rFonts w:hint="eastAsia" w:ascii="仿宋_GB2312" w:hAnsi="仿宋_GB2312" w:eastAsia="仿宋_GB2312" w:cs="仿宋_GB2312"/>
          <w:sz w:val="28"/>
          <w:szCs w:val="28"/>
          <w:u w:val="none" w:color="auto"/>
          <w:lang w:val="en-US" w:eastAsia="zh-CN"/>
        </w:rPr>
        <w:t>3</w:t>
      </w:r>
      <w:r>
        <w:rPr>
          <w:rFonts w:hint="eastAsia" w:ascii="仿宋_GB2312" w:hAnsi="仿宋_GB2312" w:eastAsia="仿宋_GB2312" w:cs="仿宋_GB2312"/>
          <w:sz w:val="28"/>
          <w:szCs w:val="28"/>
          <w:u w:val="none" w:color="auto"/>
        </w:rPr>
        <w:t>日，本局向当事人送达了《行政处罚告知书》（沈浑南市监罚告[202</w:t>
      </w:r>
      <w:r>
        <w:rPr>
          <w:rFonts w:hint="eastAsia" w:ascii="仿宋_GB2312" w:hAnsi="仿宋_GB2312" w:eastAsia="仿宋_GB2312" w:cs="仿宋_GB2312"/>
          <w:sz w:val="28"/>
          <w:szCs w:val="28"/>
          <w:u w:val="none" w:color="auto"/>
          <w:lang w:val="en-US" w:eastAsia="zh-CN"/>
        </w:rPr>
        <w:t>2</w:t>
      </w:r>
      <w:r>
        <w:rPr>
          <w:rFonts w:hint="eastAsia" w:ascii="仿宋_GB2312" w:hAnsi="仿宋_GB2312" w:eastAsia="仿宋_GB2312" w:cs="仿宋_GB2312"/>
          <w:sz w:val="28"/>
          <w:szCs w:val="28"/>
          <w:u w:val="none" w:color="auto"/>
        </w:rPr>
        <w:t>]</w:t>
      </w:r>
      <w:r>
        <w:rPr>
          <w:rFonts w:hint="eastAsia" w:ascii="仿宋_GB2312" w:hAnsi="仿宋_GB2312" w:eastAsia="仿宋_GB2312" w:cs="仿宋_GB2312"/>
          <w:sz w:val="28"/>
          <w:szCs w:val="28"/>
          <w:u w:val="none" w:color="auto"/>
          <w:lang w:val="en-US" w:eastAsia="zh-CN"/>
        </w:rPr>
        <w:t>10-024</w:t>
      </w:r>
      <w:r>
        <w:rPr>
          <w:rFonts w:hint="eastAsia" w:ascii="仿宋_GB2312" w:hAnsi="仿宋_GB2312" w:eastAsia="仿宋_GB2312" w:cs="仿宋_GB2312"/>
          <w:sz w:val="28"/>
          <w:szCs w:val="28"/>
          <w:u w:val="none" w:color="auto"/>
        </w:rPr>
        <w:t>号），告知当事人拟作出的行政处罚内容及事实、理由、依据，并告知当事人依法享有陈述权、申辩权的权利。当事人在规定期限内未陈述、申辩理由。</w:t>
      </w:r>
    </w:p>
    <w:p w14:paraId="664C9B87">
      <w:pPr>
        <w:keepNext w:val="0"/>
        <w:keepLines w:val="0"/>
        <w:pageBreakBefore w:val="0"/>
        <w:kinsoku/>
        <w:wordWrap/>
        <w:overflowPunct/>
        <w:topLinePunct w:val="0"/>
        <w:bidi w:val="0"/>
        <w:snapToGrid/>
        <w:spacing w:line="500" w:lineRule="exact"/>
        <w:ind w:firstLine="560" w:firstLineChars="200"/>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本局认为，</w:t>
      </w:r>
      <w:r>
        <w:rPr>
          <w:rFonts w:hint="eastAsia" w:ascii="仿宋" w:hAnsi="仿宋" w:eastAsia="仿宋" w:cs="仿宋"/>
          <w:spacing w:val="0"/>
          <w:sz w:val="28"/>
          <w:szCs w:val="28"/>
          <w:lang w:val="en-US" w:eastAsia="zh-CN"/>
        </w:rPr>
        <w:t>当事人存在经营的化妆品的标签存在瑕疵但不影响质量安全且不会对消费者造成误导的行为，由我执法人员责令改正后拒不改正，违反了《化妆品标签管理办法》第二十条、《化妆品监督管理条例》第六十一条第二款：“生产经营的化妆品的标签存在瑕疵但不影响质量安全且不会对消费者造成误导的，由负责药品监督管理的部门责令改正；拒不改正的，处2000元以下罚款。”之规定。构成</w:t>
      </w:r>
      <w:r>
        <w:rPr>
          <w:rFonts w:hint="eastAsia" w:ascii="仿宋" w:hAnsi="仿宋" w:eastAsia="仿宋" w:cs="仿宋"/>
          <w:sz w:val="28"/>
          <w:szCs w:val="28"/>
          <w:lang w:eastAsia="zh-CN"/>
        </w:rPr>
        <w:t>经营的化妆品的标签存在瑕疵但不影响质量安全且不会对消费者造成误导的行为</w:t>
      </w:r>
      <w:r>
        <w:rPr>
          <w:rFonts w:hint="eastAsia" w:ascii="仿宋_GB2312" w:hAnsi="仿宋_GB2312" w:eastAsia="仿宋_GB2312" w:cs="仿宋_GB2312"/>
          <w:sz w:val="28"/>
          <w:szCs w:val="28"/>
          <w:u w:val="none" w:color="auto"/>
        </w:rPr>
        <w:t>。</w:t>
      </w:r>
      <w:r>
        <w:rPr>
          <w:rFonts w:hint="eastAsia" w:ascii="仿宋_GB2312" w:hAnsi="仿宋_GB2312" w:eastAsia="仿宋_GB2312" w:cs="仿宋_GB2312"/>
          <w:sz w:val="28"/>
          <w:szCs w:val="28"/>
          <w:u w:val="none" w:color="auto"/>
          <w:lang w:val="en-US" w:eastAsia="zh-CN"/>
        </w:rPr>
        <w:t xml:space="preserve"> </w:t>
      </w:r>
    </w:p>
    <w:p w14:paraId="0971B42D">
      <w:pPr>
        <w:keepNext w:val="0"/>
        <w:keepLines w:val="0"/>
        <w:pageBreakBefore w:val="0"/>
        <w:widowControl/>
        <w:tabs>
          <w:tab w:val="left" w:pos="4380"/>
        </w:tabs>
        <w:kinsoku w:val="0"/>
        <w:wordWrap/>
        <w:overflowPunct/>
        <w:topLinePunct w:val="0"/>
        <w:autoSpaceDE w:val="0"/>
        <w:autoSpaceDN w:val="0"/>
        <w:bidi w:val="0"/>
        <w:adjustRightInd w:val="0"/>
        <w:snapToGrid w:val="0"/>
        <w:spacing w:line="14" w:lineRule="atLeast"/>
        <w:ind w:right="17" w:firstLine="560" w:firstLineChars="200"/>
        <w:textAlignment w:val="baseline"/>
        <w:rPr>
          <w:rFonts w:hint="eastAsia" w:ascii="仿宋" w:hAnsi="仿宋" w:eastAsia="仿宋" w:cs="仿宋"/>
          <w:spacing w:val="0"/>
          <w:sz w:val="28"/>
          <w:szCs w:val="28"/>
          <w:lang w:val="en-US" w:eastAsia="zh-CN"/>
        </w:rPr>
      </w:pPr>
      <w:r>
        <w:rPr>
          <w:rFonts w:hint="eastAsia" w:ascii="仿宋_GB2312" w:hAnsi="仿宋_GB2312" w:eastAsia="仿宋_GB2312" w:cs="仿宋_GB2312"/>
          <w:sz w:val="28"/>
          <w:szCs w:val="28"/>
          <w:u w:val="none" w:color="auto"/>
          <w:lang w:val="en-US" w:eastAsia="zh-CN"/>
        </w:rPr>
        <w:t>综上，当事人上述行为</w:t>
      </w:r>
      <w:r>
        <w:rPr>
          <w:rFonts w:hint="eastAsia" w:ascii="仿宋" w:hAnsi="仿宋" w:eastAsia="仿宋" w:cs="仿宋"/>
          <w:spacing w:val="0"/>
          <w:sz w:val="28"/>
          <w:szCs w:val="28"/>
          <w:lang w:val="en-US" w:eastAsia="zh-CN"/>
        </w:rPr>
        <w:t>违反了《化妆品标签管理办法》第二十条、《化妆品监督管理条例》第六十一条第二款：“生产经营的化妆品的标签存在瑕疵但不影响质量安全且不会对消费者造成误导</w:t>
      </w:r>
      <w:r>
        <w:rPr>
          <w:rFonts w:hint="eastAsia" w:ascii="仿宋_GB2312" w:hAnsi="仿宋_GB2312" w:eastAsia="仿宋_GB2312" w:cs="仿宋_GB2312"/>
          <w:sz w:val="28"/>
          <w:szCs w:val="28"/>
          <w:u w:val="none" w:color="auto"/>
        </w:rPr>
        <w:t>的行为</w:t>
      </w:r>
      <w:r>
        <w:rPr>
          <w:rFonts w:hint="eastAsia" w:ascii="仿宋_GB2312" w:hAnsi="仿宋_GB2312" w:eastAsia="仿宋_GB2312" w:cs="仿宋_GB2312"/>
          <w:sz w:val="28"/>
          <w:szCs w:val="28"/>
          <w:u w:val="none"/>
        </w:rPr>
        <w:t>。</w:t>
      </w:r>
      <w:r>
        <w:rPr>
          <w:rFonts w:hint="eastAsia" w:ascii="仿宋" w:hAnsi="仿宋" w:eastAsia="仿宋" w:cs="仿宋"/>
          <w:spacing w:val="0"/>
          <w:sz w:val="28"/>
          <w:szCs w:val="28"/>
          <w:lang w:val="en-US" w:eastAsia="zh-CN"/>
        </w:rPr>
        <w:t>依据《化妆品监督管理条例》第六十一条第二款“生产经营的化妆品的标签存在瑕疵但不影响质量安全且不会对消费者造成误导的，由负责药品监督管理的部门责令改正；拒不改正的，处2000元以下罚款。”之规定</w:t>
      </w:r>
      <w:r>
        <w:rPr>
          <w:rFonts w:hint="eastAsia" w:ascii="仿宋_GB2312" w:hAnsi="仿宋_GB2312" w:eastAsia="仿宋_GB2312" w:cs="仿宋_GB2312"/>
          <w:sz w:val="28"/>
          <w:szCs w:val="28"/>
          <w:u w:val="none"/>
        </w:rPr>
        <w:t>，</w:t>
      </w:r>
      <w:r>
        <w:rPr>
          <w:rFonts w:hint="eastAsia" w:ascii="仿宋" w:hAnsi="仿宋" w:eastAsia="仿宋" w:cs="仿宋"/>
          <w:spacing w:val="0"/>
          <w:sz w:val="28"/>
          <w:szCs w:val="28"/>
          <w:lang w:val="en-US" w:eastAsia="zh-CN"/>
        </w:rPr>
        <w:t>应对当事人处以2000元以下罚款。按照《辽宁省药品监督管理局化妆品行政处罚裁量基准》编码Ln-hzpcf-003规定，裁量阶次“一般裁量基准：拒不改正的，处600元以上1400元下罚款”，决定对当事人给予以下处罚：</w:t>
      </w:r>
    </w:p>
    <w:p w14:paraId="5A9F277E">
      <w:pPr>
        <w:keepNext w:val="0"/>
        <w:keepLines w:val="0"/>
        <w:pageBreakBefore w:val="0"/>
        <w:widowControl/>
        <w:tabs>
          <w:tab w:val="left" w:pos="4380"/>
        </w:tabs>
        <w:kinsoku w:val="0"/>
        <w:wordWrap/>
        <w:overflowPunct/>
        <w:topLinePunct w:val="0"/>
        <w:autoSpaceDE w:val="0"/>
        <w:autoSpaceDN w:val="0"/>
        <w:bidi w:val="0"/>
        <w:adjustRightInd w:val="0"/>
        <w:snapToGrid w:val="0"/>
        <w:spacing w:line="14" w:lineRule="atLeast"/>
        <w:ind w:right="17" w:firstLine="560" w:firstLineChars="200"/>
        <w:textAlignment w:val="baseline"/>
        <w:rPr>
          <w:rFonts w:hint="eastAsia" w:ascii="仿宋" w:hAnsi="仿宋" w:eastAsia="仿宋" w:cs="仿宋"/>
          <w:spacing w:val="0"/>
          <w:sz w:val="28"/>
          <w:szCs w:val="28"/>
          <w:lang w:val="en-US" w:eastAsia="zh-CN"/>
        </w:rPr>
      </w:pPr>
    </w:p>
    <w:p w14:paraId="5343EA70">
      <w:pPr>
        <w:keepNext w:val="0"/>
        <w:keepLines w:val="0"/>
        <w:pageBreakBefore w:val="0"/>
        <w:widowControl/>
        <w:tabs>
          <w:tab w:val="left" w:pos="4380"/>
        </w:tabs>
        <w:kinsoku w:val="0"/>
        <w:wordWrap/>
        <w:overflowPunct/>
        <w:topLinePunct w:val="0"/>
        <w:autoSpaceDE w:val="0"/>
        <w:autoSpaceDN w:val="0"/>
        <w:bidi w:val="0"/>
        <w:adjustRightInd w:val="0"/>
        <w:snapToGrid w:val="0"/>
        <w:spacing w:line="14" w:lineRule="atLeast"/>
        <w:ind w:right="17" w:firstLine="560" w:firstLineChars="200"/>
        <w:textAlignment w:val="baseline"/>
        <w:rPr>
          <w:rFonts w:hint="eastAsia" w:ascii="仿宋_GB2312" w:hAnsi="仿宋_GB2312" w:eastAsia="仿宋_GB2312" w:cs="仿宋_GB2312"/>
          <w:bCs/>
          <w:sz w:val="28"/>
          <w:szCs w:val="28"/>
        </w:rPr>
      </w:pPr>
      <w:r>
        <w:rPr>
          <w:rFonts w:hint="eastAsia" w:ascii="仿宋" w:hAnsi="仿宋" w:eastAsia="仿宋" w:cs="仿宋"/>
          <w:spacing w:val="0"/>
          <w:sz w:val="28"/>
          <w:szCs w:val="28"/>
          <w:lang w:val="en-US" w:eastAsia="zh-CN"/>
        </w:rPr>
        <w:t>罚款1000元。</w:t>
      </w:r>
    </w:p>
    <w:p w14:paraId="4AFC1AC0">
      <w:pPr>
        <w:keepNext w:val="0"/>
        <w:keepLines w:val="0"/>
        <w:pageBreakBefore w:val="0"/>
        <w:kinsoku/>
        <w:wordWrap/>
        <w:overflowPunct/>
        <w:topLinePunct w:val="0"/>
        <w:bidi w:val="0"/>
        <w:snapToGrid/>
        <w:spacing w:line="500" w:lineRule="exact"/>
        <w:ind w:firstLine="560" w:firstLineChars="200"/>
        <w:textAlignment w:val="auto"/>
        <w:rPr>
          <w:rFonts w:hint="eastAsia" w:ascii="仿宋_GB2312" w:hAnsi="仿宋" w:eastAsia="仿宋_GB2312" w:cs="仿宋"/>
          <w:kern w:val="2"/>
          <w:sz w:val="28"/>
          <w:szCs w:val="28"/>
        </w:rPr>
      </w:pPr>
    </w:p>
    <w:p w14:paraId="7D643070">
      <w:pPr>
        <w:keepNext w:val="0"/>
        <w:keepLines w:val="0"/>
        <w:pageBreakBefore w:val="0"/>
        <w:kinsoku/>
        <w:wordWrap/>
        <w:overflowPunct/>
        <w:topLinePunct w:val="0"/>
        <w:bidi w:val="0"/>
        <w:snapToGrid/>
        <w:spacing w:line="500" w:lineRule="exact"/>
        <w:ind w:firstLine="560" w:firstLineChars="200"/>
        <w:textAlignment w:val="auto"/>
        <w:rPr>
          <w:rFonts w:hint="eastAsia" w:ascii="仿宋_GB2312" w:hAnsi="仿宋" w:eastAsia="仿宋_GB2312" w:cs="仿宋"/>
          <w:kern w:val="2"/>
          <w:sz w:val="28"/>
          <w:szCs w:val="28"/>
        </w:rPr>
      </w:pPr>
      <w:r>
        <w:rPr>
          <w:rFonts w:hint="eastAsia" w:ascii="仿宋_GB2312" w:hAnsi="仿宋" w:eastAsia="仿宋_GB2312" w:cs="仿宋"/>
          <w:kern w:val="2"/>
          <w:sz w:val="28"/>
          <w:szCs w:val="28"/>
        </w:rPr>
        <w:t>当事人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七十二条第一款第（一）项、第（四）项的规定，每日按罚款数额的百分之三加处罚款并申请人民法院强制执行。</w:t>
      </w:r>
    </w:p>
    <w:p w14:paraId="64ED5BB3">
      <w:pPr>
        <w:keepNext w:val="0"/>
        <w:keepLines w:val="0"/>
        <w:pageBreakBefore w:val="0"/>
        <w:widowControl w:val="0"/>
        <w:kinsoku/>
        <w:wordWrap/>
        <w:overflowPunct/>
        <w:topLinePunct w:val="0"/>
        <w:bidi w:val="0"/>
        <w:adjustRightInd/>
        <w:snapToGrid/>
        <w:spacing w:after="0" w:line="480" w:lineRule="exact"/>
        <w:ind w:firstLine="560" w:firstLineChars="200"/>
        <w:jc w:val="both"/>
        <w:textAlignment w:val="auto"/>
        <w:rPr>
          <w:rFonts w:hint="eastAsia" w:ascii="仿宋_GB2312" w:hAnsi="仿宋_GB2312" w:eastAsia="仿宋_GB2312" w:cs="仿宋_GB2312"/>
          <w:sz w:val="28"/>
          <w:szCs w:val="28"/>
          <w:u w:val="none" w:color="auto"/>
        </w:rPr>
      </w:pPr>
      <w:r>
        <w:rPr>
          <w:rFonts w:hint="eastAsia" w:ascii="仿宋_GB2312" w:hAnsi="仿宋" w:eastAsia="仿宋_GB2312" w:cs="仿宋"/>
          <w:kern w:val="2"/>
          <w:sz w:val="28"/>
          <w:szCs w:val="28"/>
        </w:rPr>
        <w:t>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w:t>
      </w:r>
    </w:p>
    <w:p w14:paraId="41C044F1">
      <w:pPr>
        <w:keepNext w:val="0"/>
        <w:keepLines w:val="0"/>
        <w:pageBreakBefore w:val="0"/>
        <w:widowControl w:val="0"/>
        <w:numPr>
          <w:ilvl w:val="0"/>
          <w:numId w:val="0"/>
        </w:numPr>
        <w:kinsoku/>
        <w:wordWrap/>
        <w:overflowPunct/>
        <w:topLinePunct w:val="0"/>
        <w:bidi w:val="0"/>
        <w:adjustRightInd/>
        <w:snapToGrid/>
        <w:spacing w:after="0" w:line="480" w:lineRule="exact"/>
        <w:jc w:val="both"/>
        <w:textAlignment w:val="auto"/>
        <w:rPr>
          <w:rFonts w:hint="eastAsia" w:ascii="仿宋_GB2312" w:hAnsi="仿宋_GB2312" w:eastAsia="仿宋_GB2312" w:cs="仿宋_GB2312"/>
          <w:sz w:val="28"/>
          <w:szCs w:val="28"/>
          <w:u w:val="none"/>
          <w:lang w:val="en-US" w:eastAsia="zh-CN"/>
        </w:rPr>
      </w:pPr>
    </w:p>
    <w:p w14:paraId="74440E2D">
      <w:pPr>
        <w:keepNext w:val="0"/>
        <w:keepLines w:val="0"/>
        <w:pageBreakBefore w:val="0"/>
        <w:widowControl/>
        <w:tabs>
          <w:tab w:val="left" w:pos="973"/>
        </w:tabs>
        <w:kinsoku w:val="0"/>
        <w:wordWrap/>
        <w:overflowPunct/>
        <w:topLinePunct w:val="0"/>
        <w:autoSpaceDE w:val="0"/>
        <w:autoSpaceDN w:val="0"/>
        <w:bidi w:val="0"/>
        <w:adjustRightInd w:val="0"/>
        <w:snapToGrid w:val="0"/>
        <w:spacing w:line="240" w:lineRule="atLeast"/>
        <w:jc w:val="left"/>
        <w:textAlignment w:val="baseline"/>
        <w:rPr>
          <w:rFonts w:hint="eastAsia" w:ascii="仿宋" w:hAnsi="仿宋" w:eastAsia="仿宋" w:cs="仿宋"/>
          <w:b/>
          <w:bCs/>
          <w:sz w:val="28"/>
          <w:szCs w:val="28"/>
          <w:u w:val="single"/>
          <w:lang w:val="en-US" w:eastAsia="zh-CN"/>
        </w:rPr>
      </w:pPr>
    </w:p>
    <w:p w14:paraId="21A53D65">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52" w:firstLineChars="1600"/>
        <w:textAlignment w:val="baseline"/>
        <w:rPr>
          <w:rFonts w:hint="eastAsia" w:ascii="仿宋" w:hAnsi="仿宋" w:eastAsia="仿宋" w:cs="仿宋"/>
          <w:spacing w:val="-4"/>
          <w:sz w:val="28"/>
          <w:szCs w:val="28"/>
          <w:lang w:val="en-US" w:eastAsia="zh-CN"/>
        </w:rPr>
      </w:pPr>
    </w:p>
    <w:p w14:paraId="59FDA09C">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52" w:firstLineChars="1600"/>
        <w:textAlignment w:val="baseline"/>
        <w:rPr>
          <w:rFonts w:ascii="仿宋" w:hAnsi="仿宋" w:eastAsia="仿宋" w:cs="仿宋"/>
          <w:spacing w:val="-4"/>
          <w:sz w:val="28"/>
          <w:szCs w:val="28"/>
        </w:rPr>
      </w:pPr>
      <w:r>
        <w:rPr>
          <w:rFonts w:hint="eastAsia" w:ascii="仿宋" w:hAnsi="仿宋" w:eastAsia="仿宋" w:cs="仿宋"/>
          <w:spacing w:val="-4"/>
          <w:sz w:val="28"/>
          <w:szCs w:val="28"/>
          <w:lang w:val="en-US" w:eastAsia="zh-CN"/>
        </w:rPr>
        <w:t>沈阳市浑南区</w:t>
      </w:r>
      <w:r>
        <w:rPr>
          <w:rFonts w:ascii="仿宋" w:hAnsi="仿宋" w:eastAsia="仿宋" w:cs="仿宋"/>
          <w:spacing w:val="-4"/>
          <w:sz w:val="28"/>
          <w:szCs w:val="28"/>
        </w:rPr>
        <w:t>市场监督管理局</w:t>
      </w:r>
    </w:p>
    <w:p w14:paraId="49C16579">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5320" w:firstLineChars="1900"/>
        <w:textAlignment w:val="baseline"/>
        <w:rPr>
          <w:rFonts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pacing w:val="-30"/>
          <w:sz w:val="28"/>
          <w:szCs w:val="28"/>
        </w:rPr>
        <w:t>（</w:t>
      </w:r>
      <w:r>
        <w:rPr>
          <w:rFonts w:ascii="仿宋" w:hAnsi="仿宋" w:eastAsia="仿宋" w:cs="仿宋"/>
          <w:spacing w:val="-65"/>
          <w:sz w:val="28"/>
          <w:szCs w:val="28"/>
        </w:rPr>
        <w:t xml:space="preserve"> </w:t>
      </w:r>
      <w:r>
        <w:rPr>
          <w:rFonts w:ascii="仿宋" w:hAnsi="仿宋" w:eastAsia="仿宋" w:cs="仿宋"/>
          <w:spacing w:val="-30"/>
          <w:sz w:val="28"/>
          <w:szCs w:val="28"/>
        </w:rPr>
        <w:t>印</w:t>
      </w:r>
      <w:r>
        <w:rPr>
          <w:rFonts w:ascii="仿宋" w:hAnsi="仿宋" w:eastAsia="仿宋" w:cs="仿宋"/>
          <w:spacing w:val="23"/>
          <w:sz w:val="28"/>
          <w:szCs w:val="28"/>
        </w:rPr>
        <w:t xml:space="preserve"> </w:t>
      </w:r>
      <w:r>
        <w:rPr>
          <w:rFonts w:ascii="仿宋" w:hAnsi="仿宋" w:eastAsia="仿宋" w:cs="仿宋"/>
          <w:spacing w:val="-30"/>
          <w:sz w:val="28"/>
          <w:szCs w:val="28"/>
        </w:rPr>
        <w:t>章</w:t>
      </w:r>
      <w:r>
        <w:rPr>
          <w:rFonts w:ascii="仿宋" w:hAnsi="仿宋" w:eastAsia="仿宋" w:cs="仿宋"/>
          <w:spacing w:val="-119"/>
          <w:sz w:val="28"/>
          <w:szCs w:val="28"/>
        </w:rPr>
        <w:t xml:space="preserve"> </w:t>
      </w:r>
      <w:r>
        <w:rPr>
          <w:rFonts w:ascii="仿宋" w:hAnsi="仿宋" w:eastAsia="仿宋" w:cs="仿宋"/>
          <w:spacing w:val="-30"/>
          <w:sz w:val="28"/>
          <w:szCs w:val="28"/>
        </w:rPr>
        <w:t>）</w:t>
      </w:r>
    </w:p>
    <w:p w14:paraId="2D36C2CD">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ind w:firstLine="5184" w:firstLineChars="1800"/>
        <w:jc w:val="left"/>
        <w:textAlignment w:val="baseline"/>
        <w:rPr>
          <w:rFonts w:ascii="仿宋" w:hAnsi="仿宋" w:eastAsia="仿宋" w:cs="仿宋"/>
          <w:spacing w:val="-16"/>
          <w:sz w:val="32"/>
          <w:szCs w:val="32"/>
        </w:rPr>
      </w:pPr>
      <w:r>
        <w:rPr>
          <w:rFonts w:hint="eastAsia" w:ascii="仿宋" w:hAnsi="仿宋" w:eastAsia="仿宋" w:cs="仿宋"/>
          <w:spacing w:val="-16"/>
          <w:sz w:val="32"/>
          <w:szCs w:val="32"/>
          <w:lang w:val="en-US" w:eastAsia="zh-CN"/>
        </w:rPr>
        <w:t>2022</w:t>
      </w:r>
      <w:r>
        <w:rPr>
          <w:rFonts w:ascii="仿宋" w:hAnsi="仿宋" w:eastAsia="仿宋" w:cs="仿宋"/>
          <w:spacing w:val="-16"/>
          <w:sz w:val="32"/>
          <w:szCs w:val="32"/>
        </w:rPr>
        <w:t>年</w:t>
      </w:r>
      <w:r>
        <w:rPr>
          <w:rFonts w:hint="eastAsia" w:ascii="仿宋" w:hAnsi="仿宋" w:eastAsia="仿宋" w:cs="仿宋"/>
          <w:spacing w:val="-16"/>
          <w:sz w:val="32"/>
          <w:szCs w:val="32"/>
          <w:lang w:val="en-US" w:eastAsia="zh-CN"/>
        </w:rPr>
        <w:t>11</w:t>
      </w:r>
      <w:r>
        <w:rPr>
          <w:rFonts w:ascii="仿宋" w:hAnsi="仿宋" w:eastAsia="仿宋" w:cs="仿宋"/>
          <w:spacing w:val="-16"/>
          <w:sz w:val="32"/>
          <w:szCs w:val="32"/>
        </w:rPr>
        <w:t>月</w:t>
      </w:r>
      <w:r>
        <w:rPr>
          <w:rFonts w:hint="eastAsia" w:ascii="仿宋" w:hAnsi="仿宋" w:eastAsia="仿宋" w:cs="仿宋"/>
          <w:spacing w:val="-16"/>
          <w:sz w:val="32"/>
          <w:szCs w:val="32"/>
          <w:lang w:val="en-US" w:eastAsia="zh-CN"/>
        </w:rPr>
        <w:t>11</w:t>
      </w:r>
      <w:r>
        <w:rPr>
          <w:rFonts w:ascii="仿宋" w:hAnsi="仿宋" w:eastAsia="仿宋" w:cs="仿宋"/>
          <w:spacing w:val="-16"/>
          <w:sz w:val="32"/>
          <w:szCs w:val="32"/>
        </w:rPr>
        <w:t>日</w:t>
      </w:r>
    </w:p>
    <w:p w14:paraId="7EC7CC26">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ind w:firstLine="840" w:firstLineChars="300"/>
        <w:jc w:val="left"/>
        <w:textAlignment w:val="baseline"/>
        <w:rPr>
          <w:rFonts w:hint="default"/>
          <w:spacing w:val="0"/>
          <w:sz w:val="20"/>
          <w:szCs w:val="20"/>
          <w:lang w:val="en-US" w:eastAsia="zh-CN"/>
        </w:rPr>
      </w:pPr>
      <w:r>
        <w:rPr>
          <w:rFonts w:ascii="黑体" w:hAnsi="黑体" w:eastAsia="黑体" w:cs="黑体"/>
          <w:color w:val="231F20"/>
          <w:spacing w:val="0"/>
          <w:sz w:val="28"/>
          <w:szCs w:val="28"/>
        </w:rPr>
        <w:t>（市场监督管理部门将依法向社会公开行政处罚决定信息）</w:t>
      </w:r>
    </w:p>
    <w:p w14:paraId="65107FAC">
      <w:pPr>
        <w:rPr>
          <w:rFonts w:hint="eastAsia"/>
          <w:lang w:eastAsia="zh-CN"/>
        </w:rPr>
      </w:pP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BB5BB">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r>
      <w:rPr>
        <w:sz w:val="20"/>
        <w:szCs w:val="20"/>
      </w:rPr>
      <w:drawing>
        <wp:inline distT="0" distB="0" distL="0" distR="0">
          <wp:extent cx="5549900" cy="1587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
                  <a:stretch>
                    <a:fillRect/>
                  </a:stretch>
                </pic:blipFill>
                <pic:spPr>
                  <a:xfrm>
                    <a:off x="0" y="0"/>
                    <a:ext cx="5550534" cy="16509"/>
                  </a:xfrm>
                  <a:prstGeom prst="rect">
                    <a:avLst/>
                  </a:prstGeom>
                </pic:spPr>
              </pic:pic>
            </a:graphicData>
          </a:graphic>
        </wp:inline>
      </w:drawing>
    </w:r>
  </w:p>
  <w:p w14:paraId="10855C3C">
    <w:pPr>
      <w:pStyle w:val="2"/>
    </w:pPr>
    <w:r>
      <w:rPr>
        <w:rFonts w:ascii="仿宋" w:hAnsi="仿宋" w:eastAsia="仿宋" w:cs="仿宋"/>
        <w:spacing w:val="-10"/>
        <w:sz w:val="28"/>
        <w:szCs w:val="28"/>
      </w:rPr>
      <w:t>本文书一式</w:t>
    </w:r>
    <w:r>
      <w:rPr>
        <w:rFonts w:hint="eastAsia" w:ascii="仿宋" w:hAnsi="仿宋" w:eastAsia="仿宋" w:cs="仿宋"/>
        <w:spacing w:val="-10"/>
        <w:sz w:val="28"/>
        <w:szCs w:val="28"/>
        <w:lang w:eastAsia="zh-CN"/>
      </w:rPr>
      <w:t>四</w:t>
    </w:r>
    <w:r>
      <w:rPr>
        <w:rFonts w:ascii="仿宋" w:hAnsi="仿宋" w:eastAsia="仿宋" w:cs="仿宋"/>
        <w:spacing w:val="-10"/>
        <w:sz w:val="28"/>
        <w:szCs w:val="28"/>
      </w:rPr>
      <w:t>份，</w:t>
    </w:r>
    <w:r>
      <w:rPr>
        <w:rFonts w:hint="eastAsia" w:ascii="仿宋" w:hAnsi="仿宋" w:eastAsia="仿宋" w:cs="仿宋"/>
        <w:spacing w:val="20"/>
        <w:sz w:val="28"/>
        <w:szCs w:val="28"/>
        <w:u w:val="none" w:color="auto"/>
        <w:lang w:eastAsia="zh-CN"/>
      </w:rPr>
      <w:t>一</w:t>
    </w:r>
    <w:r>
      <w:rPr>
        <w:rFonts w:ascii="仿宋" w:hAnsi="仿宋" w:eastAsia="仿宋" w:cs="仿宋"/>
        <w:spacing w:val="-10"/>
        <w:sz w:val="28"/>
        <w:szCs w:val="28"/>
      </w:rPr>
      <w:t>份送达，</w:t>
    </w:r>
    <w:r>
      <w:rPr>
        <w:rFonts w:hint="eastAsia" w:ascii="仿宋" w:hAnsi="仿宋" w:eastAsia="仿宋" w:cs="仿宋"/>
        <w:spacing w:val="-10"/>
        <w:sz w:val="28"/>
        <w:szCs w:val="28"/>
        <w:lang w:eastAsia="zh-CN"/>
      </w:rPr>
      <w:t>两</w:t>
    </w:r>
    <w:r>
      <w:rPr>
        <w:rFonts w:ascii="仿宋" w:hAnsi="仿宋" w:eastAsia="仿宋" w:cs="仿宋"/>
        <w:spacing w:val="-10"/>
        <w:sz w:val="28"/>
        <w:szCs w:val="28"/>
      </w:rPr>
      <w:t>份归档，</w:t>
    </w:r>
    <w:r>
      <w:rPr>
        <w:rFonts w:hint="eastAsia" w:ascii="仿宋" w:hAnsi="仿宋" w:eastAsia="仿宋" w:cs="仿宋"/>
        <w:spacing w:val="-10"/>
        <w:sz w:val="28"/>
        <w:szCs w:val="28"/>
        <w:lang w:eastAsia="zh-CN"/>
      </w:rPr>
      <w:t>一份办案机构留存</w:t>
    </w:r>
    <w:r>
      <w:rPr>
        <w:rFonts w:ascii="仿宋" w:hAnsi="仿宋" w:eastAsia="仿宋" w:cs="仿宋"/>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ZTQ3ZmI1OTFmODUzNzgwMGRlNDBmMWZiZDQzMjEifQ=="/>
  </w:docVars>
  <w:rsids>
    <w:rsidRoot w:val="19B2158E"/>
    <w:rsid w:val="00420B31"/>
    <w:rsid w:val="01A2752D"/>
    <w:rsid w:val="01AD537C"/>
    <w:rsid w:val="03D3679A"/>
    <w:rsid w:val="040C3F8D"/>
    <w:rsid w:val="04275C66"/>
    <w:rsid w:val="07696422"/>
    <w:rsid w:val="0E391BF4"/>
    <w:rsid w:val="102467D2"/>
    <w:rsid w:val="10B84C48"/>
    <w:rsid w:val="14E2677B"/>
    <w:rsid w:val="16051115"/>
    <w:rsid w:val="16A23DDE"/>
    <w:rsid w:val="17027A3C"/>
    <w:rsid w:val="19B2158E"/>
    <w:rsid w:val="1A3E25F8"/>
    <w:rsid w:val="1CB957A5"/>
    <w:rsid w:val="1CF61832"/>
    <w:rsid w:val="212E04F6"/>
    <w:rsid w:val="21E172BC"/>
    <w:rsid w:val="21F4496F"/>
    <w:rsid w:val="25757D24"/>
    <w:rsid w:val="25F85C91"/>
    <w:rsid w:val="269F5939"/>
    <w:rsid w:val="29954F11"/>
    <w:rsid w:val="2B8308AF"/>
    <w:rsid w:val="2FEE3756"/>
    <w:rsid w:val="30760016"/>
    <w:rsid w:val="31263A95"/>
    <w:rsid w:val="35C661CB"/>
    <w:rsid w:val="36434034"/>
    <w:rsid w:val="366D7234"/>
    <w:rsid w:val="36BC716C"/>
    <w:rsid w:val="37746185"/>
    <w:rsid w:val="3BEB24E7"/>
    <w:rsid w:val="3F3D3BFA"/>
    <w:rsid w:val="40A52BD7"/>
    <w:rsid w:val="4220752A"/>
    <w:rsid w:val="4452733E"/>
    <w:rsid w:val="44F8784B"/>
    <w:rsid w:val="45090788"/>
    <w:rsid w:val="45D90F4D"/>
    <w:rsid w:val="47561263"/>
    <w:rsid w:val="47B06439"/>
    <w:rsid w:val="4874082E"/>
    <w:rsid w:val="48DD1926"/>
    <w:rsid w:val="4AAB0072"/>
    <w:rsid w:val="4CC00341"/>
    <w:rsid w:val="4D525408"/>
    <w:rsid w:val="4EB60F47"/>
    <w:rsid w:val="4F923326"/>
    <w:rsid w:val="51B32C63"/>
    <w:rsid w:val="546609BE"/>
    <w:rsid w:val="54F45B07"/>
    <w:rsid w:val="54F53B7E"/>
    <w:rsid w:val="57887FA1"/>
    <w:rsid w:val="588B0BE7"/>
    <w:rsid w:val="5B7C71A8"/>
    <w:rsid w:val="5BDE751B"/>
    <w:rsid w:val="5CA24033"/>
    <w:rsid w:val="5D7D03C6"/>
    <w:rsid w:val="5EBA5DCD"/>
    <w:rsid w:val="5EF46A2B"/>
    <w:rsid w:val="629904C7"/>
    <w:rsid w:val="660956FE"/>
    <w:rsid w:val="66221C95"/>
    <w:rsid w:val="69AB1ED9"/>
    <w:rsid w:val="6C3D7011"/>
    <w:rsid w:val="71DB5192"/>
    <w:rsid w:val="71FC15CC"/>
    <w:rsid w:val="725B2B9B"/>
    <w:rsid w:val="74744448"/>
    <w:rsid w:val="773F5F0A"/>
    <w:rsid w:val="77A97944"/>
    <w:rsid w:val="77C45E7B"/>
    <w:rsid w:val="7BC7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2138</Words>
  <Characters>2532</Characters>
  <Lines>0</Lines>
  <Paragraphs>0</Paragraphs>
  <TotalTime>13</TotalTime>
  <ScaleCrop>false</ScaleCrop>
  <LinksUpToDate>false</LinksUpToDate>
  <CharactersWithSpaces>2775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杨洋</cp:lastModifiedBy>
  <cp:lastPrinted>2022-11-07T06:19:00Z</cp:lastPrinted>
  <dcterms:modified xsi:type="dcterms:W3CDTF">2024-10-22T07:24:54Z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1FB60E1B08AD4E1F957025A723E3D31B</vt:lpwstr>
  </property>
</Properties>
</file>