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18"/>
        </w:tabs>
        <w:spacing w:before="190" w:line="168" w:lineRule="auto"/>
        <w:ind w:firstLine="1746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2"/>
          <w:sz w:val="44"/>
          <w:szCs w:val="44"/>
          <w:u w:val="single"/>
        </w:rPr>
        <w:t>沈阳市浑南区</w:t>
      </w:r>
      <w:r>
        <w:rPr>
          <w:rFonts w:hint="eastAsia" w:ascii="仿宋" w:hAnsi="仿宋" w:eastAsia="仿宋" w:cs="仿宋"/>
          <w:b/>
          <w:bCs/>
          <w:spacing w:val="-2"/>
          <w:sz w:val="44"/>
          <w:szCs w:val="44"/>
        </w:rPr>
        <w:t>市场监督管理局</w:t>
      </w:r>
    </w:p>
    <w:p>
      <w:pPr>
        <w:spacing w:before="1" w:line="204" w:lineRule="auto"/>
        <w:ind w:firstLine="2637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2"/>
          <w:sz w:val="44"/>
          <w:szCs w:val="44"/>
        </w:rPr>
        <w:t>行政处罚决定书</w:t>
      </w:r>
    </w:p>
    <w:p>
      <w:pPr>
        <w:tabs>
          <w:tab w:val="left" w:pos="2725"/>
        </w:tabs>
        <w:spacing w:before="38" w:line="183" w:lineRule="auto"/>
        <w:ind w:firstLine="221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7"/>
          <w:sz w:val="32"/>
          <w:szCs w:val="32"/>
          <w:u w:val="single"/>
        </w:rPr>
        <w:t>沈浑南</w:t>
      </w:r>
      <w:r>
        <w:rPr>
          <w:rFonts w:hint="eastAsia" w:ascii="仿宋" w:hAnsi="仿宋" w:eastAsia="仿宋" w:cs="仿宋"/>
          <w:b/>
          <w:bCs/>
          <w:spacing w:val="-7"/>
          <w:sz w:val="32"/>
          <w:szCs w:val="32"/>
        </w:rPr>
        <w:t>市监处罚〔</w:t>
      </w:r>
      <w:r>
        <w:rPr>
          <w:rFonts w:hint="eastAsia" w:ascii="仿宋" w:hAnsi="仿宋" w:eastAsia="仿宋" w:cs="仿宋"/>
          <w:b/>
          <w:bCs/>
          <w:spacing w:val="18"/>
          <w:sz w:val="32"/>
          <w:szCs w:val="32"/>
          <w:u w:val="single"/>
        </w:rPr>
        <w:t>2022</w:t>
      </w:r>
      <w:r>
        <w:rPr>
          <w:rFonts w:hint="eastAsia" w:ascii="仿宋" w:hAnsi="仿宋" w:eastAsia="仿宋" w:cs="仿宋"/>
          <w:b/>
          <w:bCs/>
          <w:spacing w:val="-7"/>
          <w:sz w:val="32"/>
          <w:szCs w:val="32"/>
        </w:rPr>
        <w:t>〕</w:t>
      </w:r>
      <w:r>
        <w:rPr>
          <w:rFonts w:hint="eastAsia" w:ascii="仿宋" w:hAnsi="仿宋" w:eastAsia="仿宋" w:cs="仿宋"/>
          <w:b/>
          <w:bCs/>
          <w:spacing w:val="-7"/>
          <w:sz w:val="32"/>
          <w:szCs w:val="32"/>
          <w:lang w:val="en-US" w:eastAsia="zh-CN"/>
        </w:rPr>
        <w:t>090</w:t>
      </w:r>
      <w:r>
        <w:rPr>
          <w:rFonts w:hint="eastAsia" w:ascii="仿宋" w:hAnsi="仿宋" w:eastAsia="仿宋" w:cs="仿宋"/>
          <w:b/>
          <w:bCs/>
          <w:spacing w:val="-7"/>
          <w:sz w:val="32"/>
          <w:szCs w:val="32"/>
        </w:rPr>
        <w:t>号</w:t>
      </w:r>
    </w:p>
    <w:p>
      <w:pPr>
        <w:spacing w:line="414" w:lineRule="auto"/>
        <w:rPr>
          <w:rFonts w:ascii="仿宋" w:hAnsi="仿宋" w:eastAsia="仿宋" w:cs="仿宋"/>
        </w:rPr>
      </w:pPr>
    </w:p>
    <w:p>
      <w:pPr>
        <w:spacing w:before="104" w:line="240" w:lineRule="atLeast"/>
        <w:ind w:left="34" w:right="17" w:firstLine="3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当事人：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亿博物业服务有限公司沈阳分公司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spacing w:before="104" w:line="240" w:lineRule="atLeast"/>
        <w:ind w:left="34" w:right="17" w:firstLine="34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统一社会信用代码：</w:t>
      </w:r>
    </w:p>
    <w:p>
      <w:pPr>
        <w:spacing w:before="104" w:line="240" w:lineRule="atLeast"/>
        <w:ind w:left="34" w:right="17" w:firstLine="34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住所：</w:t>
      </w:r>
    </w:p>
    <w:p>
      <w:pPr>
        <w:spacing w:before="104" w:line="240" w:lineRule="atLeast"/>
        <w:ind w:left="34" w:right="17" w:firstLine="34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法定代表人：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郭振勇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</w:p>
    <w:p>
      <w:pPr>
        <w:spacing w:before="104" w:line="240" w:lineRule="atLeast"/>
        <w:ind w:left="34" w:right="17" w:firstLine="645" w:firstLineChars="215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9月2日，执法人员在对位于沈阳市浑南区沈营大街526-29号的隆河谷小区使用的电梯进行检查时发现，36#-东、36#-西两部电梯使用标志上“下次检验日期”为2022年6月，已超期。电梯使用单位为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亿博物业服务</w:t>
      </w:r>
      <w:r>
        <w:rPr>
          <w:rFonts w:hint="eastAsia" w:ascii="仿宋" w:hAnsi="仿宋" w:eastAsia="仿宋" w:cs="仿宋"/>
          <w:sz w:val="30"/>
          <w:szCs w:val="30"/>
        </w:rPr>
        <w:t>有限公司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沈阳分公司，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当场不能提供电梯有效期内的检验报告和使用标志，执法人员下达了《特种设备安全监察指令书》（浑南市监特令字【2022】10-004号）和《限期提供材料通知书》，责令该公司9月12日前停止使用未经定期检验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电梯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，检验合格后继续使用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spacing w:before="104" w:line="240" w:lineRule="atLeast"/>
        <w:ind w:left="34" w:right="17" w:firstLine="645" w:firstLineChars="215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9月14日，执法人员对你公司使用的36#和35#楼共四部电梯进行了复查，现场发现36#楼两部电梯使用标志仍然不变，35#楼一、二单元两部电梯使用标志上“下次检验日期”为2021年10月，已超期。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你公司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的行为涉嫌违反了《中华人民共和国特种设备安全法》第四十条第三款“未经定期检验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或者检验不合格的特种设备，不得继续使用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规定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spacing w:before="104" w:line="240" w:lineRule="atLeast"/>
        <w:ind w:left="34" w:right="17" w:firstLine="645" w:firstLineChars="2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2022年9月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sz w:val="30"/>
          <w:szCs w:val="30"/>
        </w:rPr>
        <w:t>日，经主管领导批准立案。</w:t>
      </w:r>
    </w:p>
    <w:p>
      <w:pPr>
        <w:spacing w:before="104" w:line="240" w:lineRule="atLeast"/>
        <w:ind w:left="34" w:right="17" w:firstLine="645" w:firstLineChars="2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2022年9月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sz w:val="30"/>
          <w:szCs w:val="30"/>
        </w:rPr>
        <w:t>日，我执法人员依法对你公司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授权委托人工程部主管谭学东</w:t>
      </w:r>
      <w:r>
        <w:rPr>
          <w:rFonts w:hint="eastAsia" w:ascii="仿宋" w:hAnsi="仿宋" w:eastAsia="仿宋" w:cs="仿宋"/>
          <w:sz w:val="30"/>
          <w:szCs w:val="30"/>
        </w:rPr>
        <w:t>进行了询问并制作了询问笔录。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谭学东承认了你公司使用的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36#楼2部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电梯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未经定期检验的事实。</w:t>
      </w:r>
    </w:p>
    <w:p>
      <w:pPr>
        <w:spacing w:before="104" w:line="240" w:lineRule="atLeast"/>
        <w:ind w:left="34" w:right="17" w:firstLine="645" w:firstLineChars="215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2022年10月14日，我局执法人员再次进行了现场复查，35#楼两部电梯已检验合格，粘贴了合格的使用标志;36#楼两部电梯仍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不能提供有效期内的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检验报告和使用标志。</w:t>
      </w:r>
    </w:p>
    <w:p>
      <w:pPr>
        <w:spacing w:before="104" w:line="240" w:lineRule="atLeast"/>
        <w:ind w:left="34" w:right="17" w:firstLine="34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上述事实，主要有以下证据证明：</w:t>
      </w:r>
    </w:p>
    <w:p>
      <w:pPr>
        <w:spacing w:before="104" w:line="240" w:lineRule="atLeast"/>
        <w:ind w:left="34" w:right="17" w:firstLine="645" w:firstLineChars="2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《特种设备现场安全监督检查记录》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《现场笔录》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份，证明我局执法人员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三次</w:t>
      </w:r>
      <w:r>
        <w:rPr>
          <w:rFonts w:hint="eastAsia" w:ascii="仿宋" w:hAnsi="仿宋" w:eastAsia="仿宋" w:cs="仿宋"/>
          <w:sz w:val="30"/>
          <w:szCs w:val="30"/>
        </w:rPr>
        <w:t>现场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检查</w:t>
      </w:r>
      <w:r>
        <w:rPr>
          <w:rFonts w:hint="eastAsia" w:ascii="仿宋" w:hAnsi="仿宋" w:eastAsia="仿宋" w:cs="仿宋"/>
          <w:sz w:val="30"/>
          <w:szCs w:val="30"/>
        </w:rPr>
        <w:t xml:space="preserve">发现的情况。 </w:t>
      </w:r>
    </w:p>
    <w:p>
      <w:pPr>
        <w:spacing w:before="104" w:line="240" w:lineRule="atLeast"/>
        <w:ind w:left="34" w:right="17" w:firstLine="645" w:firstLineChars="2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特种设备安全监察指令书</w:t>
      </w:r>
      <w:r>
        <w:rPr>
          <w:rFonts w:hint="eastAsia" w:ascii="仿宋" w:hAnsi="仿宋" w:eastAsia="仿宋" w:cs="仿宋"/>
          <w:sz w:val="30"/>
          <w:szCs w:val="30"/>
        </w:rPr>
        <w:t>》1份，证明该公司违法事实及执法人员纠正违法事实所采取的措施。</w:t>
      </w:r>
    </w:p>
    <w:p>
      <w:pPr>
        <w:spacing w:before="104" w:line="240" w:lineRule="atLeast"/>
        <w:ind w:left="34" w:right="17" w:firstLine="645" w:firstLineChars="2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3.《询问笔录》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份，证明该公司违法事实。</w:t>
      </w:r>
    </w:p>
    <w:p>
      <w:pPr>
        <w:spacing w:before="104" w:line="240" w:lineRule="atLeast"/>
        <w:ind w:left="34" w:right="17" w:firstLine="645" w:firstLineChars="2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特种设备使用标志</w:t>
      </w:r>
      <w:r>
        <w:rPr>
          <w:rFonts w:hint="eastAsia" w:ascii="仿宋" w:hAnsi="仿宋" w:eastAsia="仿宋" w:cs="仿宋"/>
          <w:sz w:val="30"/>
          <w:szCs w:val="30"/>
        </w:rPr>
        <w:t>照片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张，证明该公司的违法行为。</w:t>
      </w:r>
    </w:p>
    <w:p>
      <w:pPr>
        <w:spacing w:before="104" w:line="240" w:lineRule="atLeast"/>
        <w:ind w:left="34" w:right="17" w:firstLine="645" w:firstLineChars="2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5.《营业执照》副本复印件1份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，郭振勇</w:t>
      </w:r>
      <w:r>
        <w:rPr>
          <w:rFonts w:hint="eastAsia" w:ascii="仿宋" w:hAnsi="仿宋" w:eastAsia="仿宋" w:cs="仿宋"/>
          <w:sz w:val="30"/>
          <w:szCs w:val="30"/>
        </w:rPr>
        <w:t>身份证复印件1份，《授权委托书》1份，授权委托代理人身份证复印件1份，证明该公司的基本情况及被调查人的身份情况。</w:t>
      </w:r>
    </w:p>
    <w:p>
      <w:pPr>
        <w:spacing w:before="104" w:line="240" w:lineRule="atLeast"/>
        <w:ind w:left="34" w:right="17" w:firstLine="645" w:firstLineChars="215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6.执法记录音像资料刻录光盘一张，证明执法人员现场检查情况。</w:t>
      </w:r>
    </w:p>
    <w:p>
      <w:pPr>
        <w:spacing w:before="104" w:line="240" w:lineRule="atLeast"/>
        <w:ind w:left="34" w:right="17" w:firstLine="645" w:firstLineChars="215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日，我执法人员依法对你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下达了行政处罚告知书（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沈</w:t>
      </w:r>
      <w:r>
        <w:rPr>
          <w:rFonts w:hint="eastAsia" w:ascii="仿宋" w:hAnsi="仿宋" w:eastAsia="仿宋" w:cs="仿宋"/>
          <w:sz w:val="30"/>
          <w:szCs w:val="30"/>
        </w:rPr>
        <w:t>浑南市监罚告〔202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〕10-0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号），告知当事人有权在规定期限内进行陈述、申辩。当事人自收到告知书之日起五个工作日内未行使陈述、申辩权。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spacing w:before="104" w:line="240" w:lineRule="atLeast"/>
        <w:ind w:left="34" w:right="17" w:firstLine="645" w:firstLineChars="2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本局认为，你公司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使</w:t>
      </w:r>
      <w:r>
        <w:rPr>
          <w:rFonts w:hint="eastAsia" w:ascii="仿宋" w:hAnsi="仿宋" w:eastAsia="仿宋" w:cs="仿宋"/>
          <w:sz w:val="30"/>
          <w:szCs w:val="30"/>
        </w:rPr>
        <w:t>用的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部电梯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未经定期检验的行为</w:t>
      </w:r>
      <w:r>
        <w:rPr>
          <w:rFonts w:hint="eastAsia" w:ascii="仿宋" w:hAnsi="仿宋" w:eastAsia="仿宋" w:cs="仿宋"/>
          <w:sz w:val="30"/>
          <w:szCs w:val="30"/>
        </w:rPr>
        <w:t>，涉嫌违反了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《中华人民共和国特种设备安全法》第四十条第三款“未经检验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或者检验不合格的特种设备，不得继续使用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之规定，构成了涉嫌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使用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未经定期检验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的特种设备</w:t>
      </w:r>
      <w:r>
        <w:rPr>
          <w:rFonts w:hint="eastAsia" w:ascii="仿宋" w:hAnsi="仿宋" w:eastAsia="仿宋" w:cs="仿宋"/>
          <w:sz w:val="30"/>
          <w:szCs w:val="30"/>
        </w:rPr>
        <w:t>行为。</w:t>
      </w:r>
    </w:p>
    <w:p>
      <w:pPr>
        <w:spacing w:before="104" w:line="240" w:lineRule="atLeast"/>
        <w:ind w:left="34" w:right="17" w:firstLine="645" w:firstLineChars="215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依据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《中华人民共和国特种设备安全法》</w:t>
      </w:r>
      <w:r>
        <w:rPr>
          <w:rFonts w:hint="eastAsia" w:ascii="仿宋" w:hAnsi="仿宋" w:eastAsia="仿宋" w:cs="仿宋"/>
          <w:sz w:val="30"/>
          <w:szCs w:val="30"/>
        </w:rPr>
        <w:t>第八十四条“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违反本法规定，</w:t>
      </w:r>
      <w:r>
        <w:rPr>
          <w:rFonts w:hint="eastAsia" w:ascii="仿宋" w:hAnsi="仿宋" w:eastAsia="仿宋" w:cs="仿宋"/>
          <w:sz w:val="30"/>
          <w:szCs w:val="30"/>
        </w:rPr>
        <w:t>特种设备使用单位有下列行为之一的，责令停止使用有关特种设备，处三万元以上三十万元以下罚款：（一）使用未取得许可生产，未经检验或者检验不合格的特种设备，或者国家明令淘汰、已经报废的特种设备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之规定，责令停止使用有关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电梯。</w:t>
      </w:r>
    </w:p>
    <w:p>
      <w:pPr>
        <w:spacing w:before="104" w:line="240" w:lineRule="atLeast"/>
        <w:ind w:left="34" w:right="17" w:firstLine="645" w:firstLineChars="2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鉴于你公司以前未发生过类似的违法行为，属于首次违法，且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你</w:t>
      </w:r>
      <w:r>
        <w:rPr>
          <w:rFonts w:hint="eastAsia" w:ascii="仿宋" w:hAnsi="仿宋" w:eastAsia="仿宋" w:cs="仿宋"/>
          <w:sz w:val="30"/>
          <w:szCs w:val="30"/>
        </w:rPr>
        <w:t>公司收到《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特种设备安全监察指令书</w:t>
      </w:r>
      <w:r>
        <w:rPr>
          <w:rFonts w:hint="eastAsia" w:ascii="仿宋" w:hAnsi="仿宋" w:eastAsia="仿宋" w:cs="仿宋"/>
          <w:sz w:val="30"/>
          <w:szCs w:val="30"/>
        </w:rPr>
        <w:t>》后，能积极配合执法人员调查，未造成危害后果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，目前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24部电梯已通过沈阳市特检院检验人员的检验并合格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符合《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辽宁省</w:t>
      </w:r>
      <w:r>
        <w:rPr>
          <w:rFonts w:hint="eastAsia" w:ascii="仿宋" w:hAnsi="仿宋" w:eastAsia="仿宋" w:cs="仿宋"/>
          <w:sz w:val="30"/>
          <w:szCs w:val="30"/>
        </w:rPr>
        <w:t>市场监督管理〈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特种设备安全法</w:t>
      </w:r>
      <w:r>
        <w:rPr>
          <w:rFonts w:hint="eastAsia" w:ascii="仿宋" w:hAnsi="仿宋" w:eastAsia="仿宋" w:cs="仿宋"/>
          <w:sz w:val="30"/>
          <w:szCs w:val="30"/>
        </w:rPr>
        <w:t>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行政处罚裁量基准》</w:t>
      </w:r>
      <w:r>
        <w:rPr>
          <w:rFonts w:hint="eastAsia" w:ascii="仿宋" w:hAnsi="仿宋" w:eastAsia="仿宋" w:cs="仿宋"/>
          <w:sz w:val="30"/>
          <w:szCs w:val="30"/>
        </w:rPr>
        <w:t>序号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适用情形“</w:t>
      </w:r>
      <w:r>
        <w:rPr>
          <w:rFonts w:hint="eastAsia" w:ascii="仿宋" w:hAnsi="仿宋" w:eastAsia="仿宋" w:cs="仿宋"/>
          <w:sz w:val="30"/>
          <w:szCs w:val="30"/>
        </w:rPr>
        <w:t>有第（一）项、第（二）项情形的：初次违法的”规定之情形。</w:t>
      </w:r>
    </w:p>
    <w:p>
      <w:pPr>
        <w:spacing w:before="104" w:line="240" w:lineRule="atLeast"/>
        <w:ind w:left="34" w:right="17" w:firstLine="645" w:firstLineChars="2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综上，你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上述行为违反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了</w:t>
      </w:r>
      <w:r>
        <w:rPr>
          <w:rFonts w:hint="eastAsia" w:ascii="仿宋" w:hAnsi="仿宋" w:eastAsia="仿宋" w:cs="仿宋"/>
          <w:sz w:val="30"/>
          <w:szCs w:val="30"/>
        </w:rPr>
        <w:t>《中华人民共和国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特种设备安全法</w:t>
      </w:r>
      <w:r>
        <w:rPr>
          <w:rFonts w:hint="eastAsia" w:ascii="仿宋" w:hAnsi="仿宋" w:eastAsia="仿宋" w:cs="仿宋"/>
          <w:sz w:val="30"/>
          <w:szCs w:val="30"/>
        </w:rPr>
        <w:t>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第四十条第三款</w:t>
      </w:r>
      <w:r>
        <w:rPr>
          <w:rFonts w:hint="eastAsia" w:ascii="仿宋" w:hAnsi="仿宋" w:eastAsia="仿宋" w:cs="仿宋"/>
          <w:sz w:val="30"/>
          <w:szCs w:val="30"/>
        </w:rPr>
        <w:t>之规定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依据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《中华人民共和国特种设备安全法》</w:t>
      </w:r>
      <w:r>
        <w:rPr>
          <w:rFonts w:hint="eastAsia" w:ascii="仿宋" w:hAnsi="仿宋" w:eastAsia="仿宋" w:cs="仿宋"/>
          <w:sz w:val="30"/>
          <w:szCs w:val="30"/>
        </w:rPr>
        <w:t>第八十四条“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违反本法规定，</w:t>
      </w:r>
      <w:r>
        <w:rPr>
          <w:rFonts w:hint="eastAsia" w:ascii="仿宋" w:hAnsi="仿宋" w:eastAsia="仿宋" w:cs="仿宋"/>
          <w:sz w:val="30"/>
          <w:szCs w:val="30"/>
        </w:rPr>
        <w:t>特种设备使用单位有下列行为之一的，责令停止使用有关特种设备，处三万元以上三十万元以下罚款：（一）使用未取得许可生产，未经检验或者检验不合格的特种设备，或者国家明令淘汰、已经报废的特种设备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之规定，责令停止使用有关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电梯。同时按照</w:t>
      </w:r>
      <w:r>
        <w:rPr>
          <w:rFonts w:hint="eastAsia" w:ascii="仿宋" w:hAnsi="仿宋" w:eastAsia="仿宋" w:cs="仿宋"/>
          <w:sz w:val="30"/>
          <w:szCs w:val="30"/>
        </w:rPr>
        <w:t>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辽宁省</w:t>
      </w:r>
      <w:r>
        <w:rPr>
          <w:rFonts w:hint="eastAsia" w:ascii="仿宋" w:hAnsi="仿宋" w:eastAsia="仿宋" w:cs="仿宋"/>
          <w:sz w:val="30"/>
          <w:szCs w:val="30"/>
        </w:rPr>
        <w:t>市场监督管理〈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特种设备安全法</w:t>
      </w:r>
      <w:r>
        <w:rPr>
          <w:rFonts w:hint="eastAsia" w:ascii="仿宋" w:hAnsi="仿宋" w:eastAsia="仿宋" w:cs="仿宋"/>
          <w:sz w:val="30"/>
          <w:szCs w:val="30"/>
        </w:rPr>
        <w:t>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行政处罚裁量基准》</w:t>
      </w:r>
      <w:r>
        <w:rPr>
          <w:rFonts w:hint="eastAsia" w:ascii="仿宋" w:hAnsi="仿宋" w:eastAsia="仿宋" w:cs="仿宋"/>
          <w:sz w:val="30"/>
          <w:szCs w:val="30"/>
        </w:rPr>
        <w:t>序号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15从轻裁量标准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3万~11.1万元罚款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”之规定，</w:t>
      </w:r>
      <w:r>
        <w:rPr>
          <w:rFonts w:hint="eastAsia" w:ascii="仿宋" w:hAnsi="仿宋" w:eastAsia="仿宋" w:cs="仿宋"/>
          <w:sz w:val="30"/>
          <w:szCs w:val="30"/>
        </w:rPr>
        <w:t>决定对你公司处罚如下：</w:t>
      </w:r>
    </w:p>
    <w:p>
      <w:pPr>
        <w:spacing w:before="104" w:line="240" w:lineRule="atLeast"/>
        <w:ind w:left="34" w:right="17" w:firstLine="645" w:firstLineChars="2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处以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3万元</w:t>
      </w:r>
      <w:r>
        <w:rPr>
          <w:rFonts w:hint="eastAsia" w:ascii="仿宋" w:hAnsi="仿宋" w:eastAsia="仿宋" w:cs="仿宋"/>
          <w:sz w:val="30"/>
          <w:szCs w:val="30"/>
        </w:rPr>
        <w:t>罚款。</w:t>
      </w:r>
    </w:p>
    <w:p>
      <w:pPr>
        <w:spacing w:before="104" w:line="240" w:lineRule="atLeast"/>
        <w:ind w:left="34" w:right="17" w:firstLine="645" w:firstLineChars="215"/>
        <w:rPr>
          <w:rFonts w:hint="eastAsia" w:ascii="仿宋" w:hAnsi="仿宋" w:eastAsia="仿宋" w:cs="仿宋"/>
          <w:sz w:val="30"/>
          <w:szCs w:val="30"/>
        </w:rPr>
      </w:pPr>
    </w:p>
    <w:p>
      <w:pPr>
        <w:spacing w:before="104" w:line="240" w:lineRule="atLeast"/>
        <w:ind w:left="34" w:right="17" w:firstLine="645" w:firstLineChars="2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当事人应当自收到本处罚决定书之日起十五日内，到我局科技与财务科开具《辽宁省非税收入电子缴款通知书》，并将罚款缴至非税收入财政汇缴专户，帐户名称：辽宁省非税收入待解缴帐户。逾期不缴纳罚款，本局将根据《中华人民共和国行政处罚法》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七</w:t>
      </w:r>
      <w:r>
        <w:rPr>
          <w:rFonts w:hint="eastAsia" w:ascii="仿宋" w:hAnsi="仿宋" w:eastAsia="仿宋" w:cs="仿宋"/>
          <w:sz w:val="30"/>
          <w:szCs w:val="30"/>
        </w:rPr>
        <w:t>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条第一款第（一）项、第（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）项的规定，每日按罚款数额的百分之三加处罚款并申请人民法院强制执行。</w:t>
      </w:r>
    </w:p>
    <w:p>
      <w:pPr>
        <w:spacing w:before="104" w:line="240" w:lineRule="atLeast"/>
        <w:ind w:left="34" w:right="17" w:firstLine="645" w:firstLineChars="2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不服本行政处罚决定，可以在收到本决定之日起60日内向沈阳市浑南区人民政府申请复议；也可以在收到本处罚决定书之日起6个月内依法向沈阳高新技术产业开发区人民法院提起行政诉讼。当事人对行政处罚决定不服申请行政复议或者提起行政诉讼的，行政处罚不停止执行。</w:t>
      </w:r>
    </w:p>
    <w:p>
      <w:pPr>
        <w:spacing w:before="104" w:line="240" w:lineRule="atLeast"/>
        <w:ind w:left="34" w:right="17" w:firstLine="34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</w:t>
      </w:r>
    </w:p>
    <w:p>
      <w:pPr>
        <w:spacing w:before="104" w:line="240" w:lineRule="atLeast"/>
        <w:ind w:right="17" w:firstLine="3900" w:firstLineChars="13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沈阳市浑南区市场监督管理局</w:t>
      </w:r>
    </w:p>
    <w:p>
      <w:pPr>
        <w:spacing w:before="104" w:line="240" w:lineRule="atLeast"/>
        <w:ind w:left="34" w:right="17" w:firstLine="34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spacing w:before="104" w:line="240" w:lineRule="atLeast"/>
        <w:ind w:right="17" w:firstLine="5100" w:firstLineChars="17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2022年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tabs>
          <w:tab w:val="left" w:pos="2593"/>
        </w:tabs>
        <w:spacing w:line="240" w:lineRule="atLeast"/>
        <w:ind w:firstLine="840" w:firstLineChars="300"/>
        <w:rPr>
          <w:rFonts w:ascii="黑体" w:hAnsi="黑体" w:eastAsia="黑体" w:cs="黑体"/>
          <w:color w:val="231F20"/>
          <w:sz w:val="28"/>
          <w:szCs w:val="28"/>
        </w:rPr>
      </w:pPr>
    </w:p>
    <w:p>
      <w:pPr>
        <w:tabs>
          <w:tab w:val="left" w:pos="2593"/>
        </w:tabs>
        <w:spacing w:line="240" w:lineRule="atLeast"/>
        <w:ind w:firstLine="840" w:firstLineChars="300"/>
        <w:rPr>
          <w:rFonts w:ascii="黑体" w:hAnsi="黑体" w:eastAsia="黑体" w:cs="黑体"/>
          <w:color w:val="231F20"/>
          <w:sz w:val="28"/>
          <w:szCs w:val="28"/>
        </w:rPr>
      </w:pPr>
    </w:p>
    <w:p>
      <w:pPr>
        <w:tabs>
          <w:tab w:val="left" w:pos="2593"/>
        </w:tabs>
        <w:spacing w:line="240" w:lineRule="atLeast"/>
        <w:ind w:firstLine="840" w:firstLineChars="300"/>
        <w:rPr>
          <w:sz w:val="20"/>
          <w:szCs w:val="20"/>
        </w:rPr>
      </w:pPr>
      <w:r>
        <w:rPr>
          <w:rFonts w:ascii="黑体" w:hAnsi="黑体" w:eastAsia="黑体" w:cs="黑体"/>
          <w:color w:val="231F20"/>
          <w:sz w:val="28"/>
          <w:szCs w:val="28"/>
        </w:rPr>
        <w:t>（市场监督管理部门将依法向社会公开行政处罚决定信息）</w:t>
      </w:r>
    </w:p>
    <w:p/>
    <w:sectPr>
      <w:footerReference r:id="rId3" w:type="default"/>
      <w:pgSz w:w="11906" w:h="16838"/>
      <w:pgMar w:top="1043" w:right="1519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textAlignment w:val="center"/>
      <w:rPr>
        <w:sz w:val="20"/>
        <w:szCs w:val="20"/>
      </w:rPr>
    </w:pPr>
    <w:r>
      <w:rPr>
        <w:sz w:val="20"/>
        <w:szCs w:val="20"/>
      </w:rPr>
      <w:drawing>
        <wp:inline distT="0" distB="0" distL="0" distR="0">
          <wp:extent cx="5549900" cy="15875"/>
          <wp:effectExtent l="0" t="0" r="0" b="0"/>
          <wp:docPr id="216" name="IM 2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" name="IM 2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0534" cy="16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</w:pPr>
    <w:r>
      <w:rPr>
        <w:rFonts w:ascii="仿宋" w:hAnsi="仿宋" w:eastAsia="仿宋" w:cs="仿宋"/>
        <w:spacing w:val="-10"/>
        <w:sz w:val="28"/>
        <w:szCs w:val="28"/>
      </w:rPr>
      <w:t>本文书一式</w:t>
    </w:r>
    <w:r>
      <w:rPr>
        <w:rFonts w:hint="eastAsia" w:ascii="仿宋" w:hAnsi="仿宋" w:eastAsia="仿宋" w:cs="仿宋"/>
        <w:spacing w:val="6"/>
        <w:sz w:val="28"/>
        <w:szCs w:val="28"/>
        <w:u w:val="none"/>
        <w:lang w:eastAsia="zh-CN"/>
      </w:rPr>
      <w:t>四</w:t>
    </w:r>
    <w:r>
      <w:rPr>
        <w:rFonts w:ascii="仿宋" w:hAnsi="仿宋" w:eastAsia="仿宋" w:cs="仿宋"/>
        <w:spacing w:val="-10"/>
        <w:sz w:val="28"/>
        <w:szCs w:val="28"/>
        <w:u w:val="none"/>
      </w:rPr>
      <w:t>份，</w:t>
    </w:r>
    <w:r>
      <w:rPr>
        <w:rFonts w:hint="eastAsia" w:ascii="仿宋" w:hAnsi="仿宋" w:eastAsia="仿宋" w:cs="仿宋"/>
        <w:spacing w:val="20"/>
        <w:sz w:val="28"/>
        <w:szCs w:val="28"/>
        <w:u w:val="none"/>
        <w:lang w:eastAsia="zh-CN"/>
      </w:rPr>
      <w:t>一</w:t>
    </w:r>
    <w:r>
      <w:rPr>
        <w:rFonts w:ascii="仿宋" w:hAnsi="仿宋" w:eastAsia="仿宋" w:cs="仿宋"/>
        <w:spacing w:val="-10"/>
        <w:sz w:val="28"/>
        <w:szCs w:val="28"/>
        <w:u w:val="none"/>
      </w:rPr>
      <w:t>份送达，</w:t>
    </w:r>
    <w:r>
      <w:rPr>
        <w:rFonts w:hint="eastAsia" w:ascii="仿宋" w:hAnsi="仿宋" w:eastAsia="仿宋" w:cs="仿宋"/>
        <w:spacing w:val="-10"/>
        <w:sz w:val="28"/>
        <w:szCs w:val="28"/>
        <w:u w:val="none"/>
        <w:lang w:eastAsia="zh-CN"/>
      </w:rPr>
      <w:t>两</w:t>
    </w:r>
    <w:r>
      <w:rPr>
        <w:rFonts w:ascii="仿宋" w:hAnsi="仿宋" w:eastAsia="仿宋" w:cs="仿宋"/>
        <w:spacing w:val="-10"/>
        <w:sz w:val="28"/>
        <w:szCs w:val="28"/>
        <w:u w:val="none"/>
      </w:rPr>
      <w:t>份归档，</w:t>
    </w:r>
    <w:r>
      <w:rPr>
        <w:rFonts w:hint="eastAsia" w:ascii="仿宋" w:hAnsi="仿宋" w:eastAsia="仿宋" w:cs="仿宋"/>
        <w:spacing w:val="-10"/>
        <w:sz w:val="28"/>
        <w:szCs w:val="28"/>
        <w:u w:val="none"/>
        <w:lang w:eastAsia="zh-CN"/>
      </w:rPr>
      <w:t>一</w:t>
    </w:r>
    <w:r>
      <w:rPr>
        <w:rFonts w:hint="eastAsia" w:ascii="仿宋" w:hAnsi="仿宋" w:eastAsia="仿宋" w:cs="仿宋"/>
        <w:spacing w:val="3"/>
        <w:sz w:val="28"/>
        <w:szCs w:val="28"/>
        <w:u w:val="none"/>
        <w:lang w:eastAsia="zh-CN"/>
      </w:rPr>
      <w:t>份承办部门留存</w:t>
    </w:r>
    <w:r>
      <w:rPr>
        <w:rFonts w:ascii="仿宋" w:hAnsi="仿宋" w:eastAsia="仿宋" w:cs="仿宋"/>
        <w:spacing w:val="-10"/>
        <w:sz w:val="28"/>
        <w:szCs w:val="28"/>
      </w:rPr>
      <w:t>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zkwNzBhMjkxZjY3M2Y0M2FlNWY0ZjU5M2FmMWQifQ=="/>
  </w:docVars>
  <w:rsids>
    <w:rsidRoot w:val="19B2158E"/>
    <w:rsid w:val="00222E54"/>
    <w:rsid w:val="00322139"/>
    <w:rsid w:val="00423C60"/>
    <w:rsid w:val="005C6BE1"/>
    <w:rsid w:val="00C73F9E"/>
    <w:rsid w:val="00E266DE"/>
    <w:rsid w:val="05FE0636"/>
    <w:rsid w:val="0A3114F8"/>
    <w:rsid w:val="0BCA0844"/>
    <w:rsid w:val="0C426F61"/>
    <w:rsid w:val="0C935BBC"/>
    <w:rsid w:val="17CB6EEE"/>
    <w:rsid w:val="183F2B14"/>
    <w:rsid w:val="19B2158E"/>
    <w:rsid w:val="19F72376"/>
    <w:rsid w:val="1A367211"/>
    <w:rsid w:val="1F5E099D"/>
    <w:rsid w:val="21CC3CDF"/>
    <w:rsid w:val="25CE456A"/>
    <w:rsid w:val="265D49D3"/>
    <w:rsid w:val="26942D94"/>
    <w:rsid w:val="26AA0645"/>
    <w:rsid w:val="29D97C27"/>
    <w:rsid w:val="2B48649D"/>
    <w:rsid w:val="2CE657FC"/>
    <w:rsid w:val="314704F3"/>
    <w:rsid w:val="32070986"/>
    <w:rsid w:val="34EA2B8C"/>
    <w:rsid w:val="380B6117"/>
    <w:rsid w:val="387463B2"/>
    <w:rsid w:val="418E1D6E"/>
    <w:rsid w:val="47941C85"/>
    <w:rsid w:val="50635CAF"/>
    <w:rsid w:val="562C577E"/>
    <w:rsid w:val="595342A9"/>
    <w:rsid w:val="5F61293D"/>
    <w:rsid w:val="5FA52A68"/>
    <w:rsid w:val="64354B69"/>
    <w:rsid w:val="6C2911A0"/>
    <w:rsid w:val="6CDE2112"/>
    <w:rsid w:val="6D5E41C2"/>
    <w:rsid w:val="6DB02CF5"/>
    <w:rsid w:val="6E92670F"/>
    <w:rsid w:val="6FE54EC4"/>
    <w:rsid w:val="715C2F64"/>
    <w:rsid w:val="724E74BA"/>
    <w:rsid w:val="74650381"/>
    <w:rsid w:val="74744448"/>
    <w:rsid w:val="749D7B1B"/>
    <w:rsid w:val="78AA0BE3"/>
    <w:rsid w:val="78EC1071"/>
    <w:rsid w:val="7BDE20A7"/>
    <w:rsid w:val="7C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customStyle="1" w:styleId="9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ascii="Arial Unicode MS" w:hAnsi="Times New Roman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1938</Words>
  <Characters>2081</Characters>
  <Lines>20</Lines>
  <Paragraphs>5</Paragraphs>
  <TotalTime>19</TotalTime>
  <ScaleCrop>false</ScaleCrop>
  <LinksUpToDate>false</LinksUpToDate>
  <CharactersWithSpaces>2094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2021-08-30T06:03:00Z</dcterms:created>
  <dc:creator>刘小➰粘</dc:creator>
  <cp:lastModifiedBy>杨洋</cp:lastModifiedBy>
  <cp:lastPrinted>2022-11-01T02:53:00Z</cp:lastPrinted>
  <dcterms:modified xsi:type="dcterms:W3CDTF">2023-12-15T07:40:50Z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1FB60E1B08AD4E1F957025A723E3D31B</vt:lpwstr>
  </property>
</Properties>
</file>