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A280A">
      <w:pPr>
        <w:pStyle w:val="2"/>
        <w:rPr>
          <w:rFonts w:hint="eastAsia" w:ascii="Times New Roman" w:hAnsi="Times New Roman" w:cs="Times New Roman"/>
          <w:color w:val="auto"/>
          <w:sz w:val="36"/>
          <w:szCs w:val="36"/>
          <w:lang w:val="en-US" w:eastAsia="zh-CN"/>
        </w:rPr>
      </w:pPr>
      <w:bookmarkStart w:id="0" w:name="_Toc108468126"/>
      <w:bookmarkStart w:id="1" w:name="处罚决定书"/>
      <w:bookmarkStart w:id="2" w:name="_Toc29744267"/>
      <w:r>
        <w:rPr>
          <w:rFonts w:hint="eastAsia" w:ascii="Times New Roman" w:hAnsi="Times New Roman" w:cs="Times New Roman"/>
          <w:color w:val="auto"/>
          <w:sz w:val="36"/>
          <w:szCs w:val="36"/>
          <w:lang w:val="en-US" w:eastAsia="zh-CN"/>
        </w:rPr>
        <w:t>沈阳市浑南区农业农村局</w:t>
      </w:r>
    </w:p>
    <w:p w14:paraId="7B55E93B">
      <w:pPr>
        <w:pStyle w:val="2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</w:rPr>
        <w:t>行政处罚决定书</w:t>
      </w:r>
      <w:bookmarkEnd w:id="0"/>
      <w:bookmarkEnd w:id="1"/>
      <w:bookmarkEnd w:id="2"/>
    </w:p>
    <w:p w14:paraId="0367DB12">
      <w:pPr>
        <w:spacing w:line="360" w:lineRule="auto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shd w:val="clear" w:color="auto" w:fill="FFFFFF"/>
          <w:lang w:bidi="ar"/>
        </w:rPr>
        <w:t>_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shd w:val="clear" w:color="auto" w:fill="FFFFFF"/>
          <w:lang w:val="en-US" w:eastAsia="zh-CN" w:bidi="ar"/>
        </w:rPr>
        <w:t>浑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shd w:val="clear" w:color="auto" w:fill="FFFFFF"/>
          <w:lang w:bidi="ar"/>
        </w:rPr>
        <w:t>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>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  <w:t>动监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 xml:space="preserve">罚〔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 xml:space="preserve"> 〕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shd w:val="clear" w:color="auto" w:fill="FFFFFF"/>
          <w:lang w:bidi="ar"/>
        </w:rPr>
        <w:t>_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shd w:val="clear" w:color="auto" w:fill="FFFFFF"/>
          <w:lang w:bidi="ar"/>
        </w:rPr>
        <w:t>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>号</w:t>
      </w:r>
    </w:p>
    <w:p w14:paraId="1951A671">
      <w:pPr>
        <w:jc w:val="center"/>
        <w:textAlignment w:val="baseline"/>
        <w:rPr>
          <w:rFonts w:hint="default" w:ascii="Times New Roman" w:hAnsi="Times New Roman" w:cs="Times New Roman"/>
          <w:color w:val="auto"/>
        </w:rPr>
      </w:pPr>
    </w:p>
    <w:p w14:paraId="4500A6ED">
      <w:pPr>
        <w:spacing w:line="60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当事人：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沈阳望康动物医院有限公司浑南分院</w:t>
      </w:r>
    </w:p>
    <w:p w14:paraId="5B91F706"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主体资格证照名称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沈阳望康动物医院有限公司浑南分院</w:t>
      </w:r>
    </w:p>
    <w:p w14:paraId="5C75AAC6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当事人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未经执业兽医备案从事经营性动物诊疗活动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一案，经本机关依法调查，现查明：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2024年7月23日，浑南区农业农村局接李先生举报，反应“沈阳望康动物医院有限公司浑南分院在接诊治疗宠物犬时，质疑医师无资质”。本机关立即指派执法人员张旭光、代广岩、陈伟男对沈阳望康动物医院有限公司浑南分院进行调查。经查沈阳望康动物医院有限公司浑南分院于2024年7月9日在接诊李先生宠物犬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沈阳望康动物医院有限公司浑南分院负责人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李玉瑶接诊时未取得执业兽医资格证，未在所在地农业农村主管部门备案。</w:t>
      </w:r>
    </w:p>
    <w:p w14:paraId="0DEB3E5B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依照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中华人民共和国动物防疫法》第一百零六条第一款之规定：“未经执业兽医备案从事经营性动物诊疗活动的，由县级以上地方人民政府农业农村主管部门责令停止动物诊疗活动，没收违法所得，并处三千元以上三万元以下罚款；对其所在的动物诊疗机构处一万元以上五万元以下罚款”。参照《辽宁省动物卫生监督管理行政处罚自由裁量基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违法所得在一万元以下，且未引发动物诊疗事故等危害后果，并处三千元以上一万元以下罚款；对其所在的动物诊疗机构处一万元以上二万元以下罚款之规定，本机关对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沈阳望康动物医院有限公司浑南分院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作出如下处罚决定：</w:t>
      </w:r>
    </w:p>
    <w:p w14:paraId="0992071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罚款人民币11000元整。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</w:t>
      </w:r>
    </w:p>
    <w:p w14:paraId="523856BE">
      <w:pPr>
        <w:spacing w:before="156" w:beforeLines="50" w:line="600" w:lineRule="exact"/>
        <w:ind w:right="32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</w:p>
    <w:p w14:paraId="719D6C9C">
      <w:pPr>
        <w:spacing w:before="156" w:beforeLines="50" w:line="600" w:lineRule="exact"/>
        <w:ind w:right="32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1FCC95D">
      <w:pPr>
        <w:spacing w:before="156" w:beforeLines="50" w:line="600" w:lineRule="exact"/>
        <w:ind w:right="32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DF24E56">
      <w:pPr>
        <w:spacing w:before="156" w:beforeLines="50" w:line="600" w:lineRule="exact"/>
        <w:ind w:right="320"/>
        <w:jc w:val="righ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沈阳市浑南区农业农村局</w:t>
      </w:r>
    </w:p>
    <w:p w14:paraId="0CBC7E5B">
      <w:pPr>
        <w:spacing w:before="156" w:beforeLines="50"/>
        <w:ind w:right="318" w:firstLine="4800" w:firstLineChars="1500"/>
        <w:jc w:val="both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bookmarkStart w:id="3" w:name="_GoBack"/>
      <w:bookmarkEnd w:id="3"/>
    </w:p>
    <w:p w14:paraId="53B274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00000000"/>
    <w:rsid w:val="04F721B1"/>
    <w:rsid w:val="08781331"/>
    <w:rsid w:val="099A2243"/>
    <w:rsid w:val="1FD861CF"/>
    <w:rsid w:val="2D8E121A"/>
    <w:rsid w:val="2EC33D29"/>
    <w:rsid w:val="387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606</Characters>
  <Lines>0</Lines>
  <Paragraphs>0</Paragraphs>
  <TotalTime>15</TotalTime>
  <ScaleCrop>false</ScaleCrop>
  <LinksUpToDate>false</LinksUpToDate>
  <CharactersWithSpaces>685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2024-07-25T05:34:00Z</dcterms:created>
  <dc:creator>zxg</dc:creator>
  <cp:lastModifiedBy>杨洋</cp:lastModifiedBy>
  <dcterms:modified xsi:type="dcterms:W3CDTF">2024-08-22T02:18:24Z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2EDEF84881C34686A65C1046069CC059_12</vt:lpwstr>
  </property>
</Properties>
</file>