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A62C">
      <w:pPr>
        <w:tabs>
          <w:tab w:val="left" w:pos="2649"/>
          <w:tab w:val="center" w:pos="4422"/>
        </w:tabs>
        <w:spacing w:line="620" w:lineRule="exact"/>
        <w:jc w:val="center"/>
        <w:rPr>
          <w:sz w:val="44"/>
          <w:szCs w:val="44"/>
        </w:rPr>
      </w:pPr>
      <w:r>
        <w:rPr>
          <w:rFonts w:eastAsia="方正小标宋简体"/>
          <w:sz w:val="44"/>
          <w:szCs w:val="44"/>
        </w:rPr>
        <w:t>行政处罚决定书</w:t>
      </w:r>
    </w:p>
    <w:p w14:paraId="0FCD4B2F">
      <w:pPr>
        <w:wordWrap/>
        <w:ind w:right="-14" w:rightChars="0"/>
        <w:jc w:val="right"/>
        <w:rPr>
          <w:rFonts w:eastAsia="仿宋_GB2312"/>
          <w:szCs w:val="32"/>
        </w:rPr>
      </w:pPr>
      <w:r>
        <w:rPr>
          <w:rFonts w:hint="eastAsia" w:eastAsia="楷体"/>
          <w:szCs w:val="32"/>
          <w:lang w:val="en-US" w:eastAsia="zh-CN"/>
        </w:rPr>
        <w:t>沈浑建市罚决</w:t>
      </w:r>
      <w:r>
        <w:rPr>
          <w:rFonts w:eastAsia="楷体"/>
          <w:szCs w:val="32"/>
        </w:rPr>
        <w:t>字〔</w:t>
      </w:r>
      <w:r>
        <w:rPr>
          <w:rFonts w:hint="eastAsia" w:eastAsia="楷体"/>
          <w:szCs w:val="32"/>
          <w:lang w:val="en-US" w:eastAsia="zh-CN"/>
        </w:rPr>
        <w:t>2025</w:t>
      </w:r>
      <w:r>
        <w:rPr>
          <w:rFonts w:eastAsia="楷体"/>
          <w:szCs w:val="32"/>
        </w:rPr>
        <w:t>〕第（</w:t>
      </w:r>
      <w:r>
        <w:rPr>
          <w:rFonts w:hint="eastAsia" w:eastAsia="楷体"/>
          <w:szCs w:val="32"/>
          <w:lang w:val="en-US" w:eastAsia="zh-CN"/>
        </w:rPr>
        <w:t>003</w:t>
      </w:r>
      <w:r>
        <w:rPr>
          <w:rFonts w:eastAsia="楷体"/>
          <w:szCs w:val="32"/>
        </w:rPr>
        <w:t>）号</w:t>
      </w:r>
    </w:p>
    <w:p w14:paraId="73C8103D">
      <w:pPr>
        <w:keepNext w:val="0"/>
        <w:keepLines w:val="0"/>
        <w:pageBreakBefore w:val="0"/>
        <w:widowControl w:val="0"/>
        <w:kinsoku/>
        <w:wordWrap/>
        <w:overflowPunct/>
        <w:topLinePunct w:val="0"/>
        <w:autoSpaceDE/>
        <w:autoSpaceDN/>
        <w:bidi w:val="0"/>
        <w:adjustRightInd/>
        <w:spacing w:line="579" w:lineRule="exact"/>
        <w:textAlignment w:val="auto"/>
        <w:rPr>
          <w:rFonts w:hint="default" w:ascii="仿宋_GB2312" w:hAnsi="仿宋_GB2312" w:eastAsia="仿宋_GB2312" w:cs="仿宋_GB2312"/>
          <w:sz w:val="32"/>
          <w:szCs w:val="32"/>
          <w:u w:val="single"/>
          <w:lang w:val="en-US"/>
        </w:rPr>
      </w:pPr>
      <w:r>
        <w:rPr>
          <w:rFonts w:eastAsia="仿宋_GB2312"/>
          <w:szCs w:val="32"/>
        </w:rPr>
        <w:t>当</w:t>
      </w:r>
      <w:r>
        <w:rPr>
          <w:rFonts w:hint="eastAsia" w:ascii="仿宋_GB2312" w:hAnsi="仿宋_GB2312" w:eastAsia="仿宋_GB2312" w:cs="仿宋_GB2312"/>
          <w:szCs w:val="32"/>
        </w:rPr>
        <w:t>事人：</w:t>
      </w:r>
      <w:r>
        <w:rPr>
          <w:rFonts w:hint="eastAsia" w:ascii="仿宋_GB2312" w:hAnsi="仿宋_GB2312" w:eastAsia="仿宋_GB2312" w:cs="仿宋_GB231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肖 娜   </w:t>
      </w:r>
    </w:p>
    <w:p w14:paraId="3246C045">
      <w:pPr>
        <w:keepNext w:val="0"/>
        <w:keepLines w:val="0"/>
        <w:pageBreakBefore w:val="0"/>
        <w:widowControl w:val="0"/>
        <w:kinsoku/>
        <w:wordWrap/>
        <w:overflowPunct/>
        <w:topLinePunct w:val="0"/>
        <w:autoSpaceDE/>
        <w:autoSpaceDN/>
        <w:bidi w:val="0"/>
        <w:adjustRightInd/>
        <w:snapToGrid w:val="0"/>
        <w:spacing w:line="579" w:lineRule="exact"/>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沈阳浑南科技孵化器基础设施建设项目项目部</w:t>
      </w:r>
      <w:r>
        <w:rPr>
          <w:rFonts w:hint="eastAsia" w:ascii="仿宋_GB2312" w:hAnsi="仿宋_GB2312" w:eastAsia="仿宋_GB2312" w:cs="仿宋_GB2312"/>
          <w:strike w:val="0"/>
          <w:dstrike w:val="0"/>
          <w:sz w:val="32"/>
          <w:szCs w:val="32"/>
          <w:u w:val="single"/>
          <w:lang w:val="en-US" w:eastAsia="zh-CN"/>
        </w:rPr>
        <w:t xml:space="preserve">  </w:t>
      </w:r>
    </w:p>
    <w:p w14:paraId="734AA6EF">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sz w:val="32"/>
          <w:szCs w:val="32"/>
          <w:highlight w:val="none"/>
          <w:u w:val="single"/>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本机关于</w:t>
      </w:r>
      <w:r>
        <w:rPr>
          <w:rFonts w:hint="eastAsia" w:ascii="仿宋_GB2312" w:hAnsi="仿宋_GB2312" w:eastAsia="仿宋_GB2312" w:cs="仿宋_GB2312"/>
          <w:color w:val="auto"/>
          <w:sz w:val="32"/>
          <w:szCs w:val="32"/>
          <w:u w:val="single"/>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9</w:t>
      </w:r>
      <w:r>
        <w:rPr>
          <w:rFonts w:hint="eastAsia" w:ascii="仿宋_GB2312" w:hAnsi="仿宋_GB2312" w:eastAsia="仿宋_GB2312" w:cs="仿宋_GB2312"/>
          <w:color w:val="auto"/>
          <w:sz w:val="32"/>
          <w:szCs w:val="32"/>
        </w:rPr>
        <w:t>日对</w:t>
      </w:r>
      <w:r>
        <w:rPr>
          <w:rFonts w:hint="eastAsia" w:ascii="仿宋_GB2312" w:hAnsi="仿宋_GB2312" w:eastAsia="仿宋_GB2312" w:cs="仿宋_GB2312"/>
          <w:color w:val="auto"/>
          <w:sz w:val="32"/>
          <w:szCs w:val="32"/>
          <w:u w:val="none"/>
          <w:lang w:val="en-US" w:eastAsia="zh-CN"/>
        </w:rPr>
        <w:t>你在浑</w:t>
      </w:r>
      <w:r>
        <w:rPr>
          <w:rFonts w:hint="eastAsia" w:ascii="仿宋_GB2312" w:hAnsi="仿宋_GB2312" w:eastAsia="仿宋_GB2312" w:cs="仿宋_GB2312"/>
          <w:color w:val="auto"/>
          <w:szCs w:val="32"/>
          <w:u w:val="none"/>
          <w:lang w:val="en-US" w:eastAsia="zh-CN"/>
        </w:rPr>
        <w:t>南区智慧三街178号、浑南区智慧三街215号参建的</w:t>
      </w:r>
      <w:r>
        <w:rPr>
          <w:rFonts w:hint="eastAsia" w:ascii="仿宋_GB2312" w:hAnsi="仿宋_GB2312" w:eastAsia="仿宋_GB2312" w:cs="仿宋_GB2312"/>
          <w:color w:val="auto"/>
          <w:szCs w:val="32"/>
          <w:lang w:val="en-US" w:eastAsia="zh-CN"/>
        </w:rPr>
        <w:t>沈阳浑南科技城孵化器基础设施建设项目中存在不履行注册建造师义务的行为</w:t>
      </w:r>
      <w:r>
        <w:rPr>
          <w:rFonts w:hint="eastAsia" w:ascii="仿宋_GB2312" w:hAnsi="仿宋_GB2312" w:eastAsia="仿宋_GB2312" w:cs="仿宋_GB2312"/>
          <w:color w:val="auto"/>
          <w:szCs w:val="32"/>
        </w:rPr>
        <w:t>立案调查。经查，你（单位）</w:t>
      </w:r>
      <w:r>
        <w:rPr>
          <w:rFonts w:hint="eastAsia" w:ascii="仿宋_GB2312" w:hAnsi="仿宋_GB2312" w:eastAsia="仿宋_GB2312" w:cs="仿宋_GB2312"/>
          <w:color w:val="auto"/>
          <w:szCs w:val="32"/>
          <w:lang w:val="en-US" w:eastAsia="zh-CN"/>
        </w:rPr>
        <w:t>于2025年7月份在</w:t>
      </w:r>
      <w:r>
        <w:rPr>
          <w:rFonts w:hint="eastAsia" w:ascii="仿宋_GB2312" w:hAnsi="仿宋_GB2312" w:eastAsia="仿宋_GB2312" w:cs="仿宋_GB2312"/>
          <w:color w:val="auto"/>
          <w:szCs w:val="32"/>
          <w:u w:val="none"/>
          <w:lang w:val="en-US" w:eastAsia="zh-CN"/>
        </w:rPr>
        <w:t>浑南区智慧三街178号、浑南区智慧三街215号参建的</w:t>
      </w:r>
      <w:r>
        <w:rPr>
          <w:rFonts w:hint="eastAsia" w:ascii="仿宋_GB2312" w:hAnsi="仿宋_GB2312" w:eastAsia="仿宋_GB2312" w:cs="仿宋_GB2312"/>
          <w:color w:val="auto"/>
          <w:szCs w:val="32"/>
          <w:lang w:val="en-US" w:eastAsia="zh-CN"/>
        </w:rPr>
        <w:t>沈阳浑南科技城孵化器基础设施建设项目中存在不履行注册建造师义务的行为，该行为违反了《注册建造师管理规定》第二十六条第一款规定。</w:t>
      </w:r>
      <w:r>
        <w:rPr>
          <w:rFonts w:hint="eastAsia" w:ascii="仿宋_GB2312" w:hAnsi="仿宋_GB2312" w:eastAsia="仿宋_GB2312" w:cs="仿宋_GB2312"/>
          <w:color w:val="auto"/>
          <w:sz w:val="32"/>
          <w:szCs w:val="32"/>
          <w:highlight w:val="none"/>
          <w:u w:val="single"/>
          <w:lang w:eastAsia="zh-CN"/>
        </w:rPr>
        <w:t>决定</w:t>
      </w:r>
      <w:r>
        <w:rPr>
          <w:rFonts w:hint="eastAsia" w:ascii="仿宋_GB2312" w:hAnsi="仿宋_GB2312" w:eastAsia="仿宋_GB2312" w:cs="仿宋_GB2312"/>
          <w:color w:val="auto"/>
          <w:szCs w:val="32"/>
          <w:highlight w:val="none"/>
          <w:u w:val="single"/>
          <w:lang w:val="en-US" w:eastAsia="zh-CN"/>
        </w:rPr>
        <w:t>给与肖娜警告，责令整改并处</w:t>
      </w:r>
      <w:r>
        <w:rPr>
          <w:rFonts w:hint="eastAsia" w:ascii="仿宋_GB2312" w:hAnsi="仿宋_GB2312" w:eastAsia="仿宋_GB2312" w:cs="仿宋_GB2312"/>
          <w:color w:val="auto"/>
          <w:szCs w:val="32"/>
          <w:highlight w:val="none"/>
          <w:u w:val="single"/>
          <w:lang w:eastAsia="zh-CN"/>
        </w:rPr>
        <w:t>罚人民币</w:t>
      </w:r>
      <w:r>
        <w:rPr>
          <w:rFonts w:hint="eastAsia" w:ascii="仿宋_GB2312" w:hAnsi="仿宋_GB2312" w:eastAsia="仿宋_GB2312" w:cs="仿宋_GB2312"/>
          <w:color w:val="auto"/>
          <w:szCs w:val="32"/>
          <w:highlight w:val="none"/>
          <w:u w:val="single"/>
          <w:lang w:val="en-US" w:eastAsia="zh-CN"/>
        </w:rPr>
        <w:t>壹仟伍佰元（1500.00元）的</w:t>
      </w:r>
      <w:r>
        <w:rPr>
          <w:rFonts w:hint="eastAsia" w:ascii="仿宋_GB2312" w:hAnsi="仿宋_GB2312" w:eastAsia="仿宋_GB2312" w:cs="仿宋_GB2312"/>
          <w:sz w:val="32"/>
          <w:szCs w:val="32"/>
          <w:highlight w:val="none"/>
          <w:u w:val="single"/>
          <w:lang w:eastAsia="zh-CN"/>
        </w:rPr>
        <w:t>行政处罚。</w:t>
      </w:r>
    </w:p>
    <w:p w14:paraId="6CCAD405">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以上事实有</w:t>
      </w:r>
      <w:r>
        <w:rPr>
          <w:rFonts w:hint="eastAsia" w:ascii="仿宋_GB2312" w:hAnsi="仿宋_GB2312" w:eastAsia="仿宋_GB2312" w:cs="仿宋_GB2312"/>
          <w:color w:val="auto"/>
          <w:szCs w:val="32"/>
          <w:u w:val="single"/>
        </w:rPr>
        <w:t xml:space="preserve"> 《现场检查（勘验）笔录》、</w:t>
      </w:r>
      <w:r>
        <w:rPr>
          <w:rFonts w:hint="eastAsia" w:ascii="仿宋_GB2312" w:hAnsi="仿宋_GB2312" w:eastAsia="仿宋_GB2312" w:cs="仿宋_GB2312"/>
          <w:color w:val="auto"/>
          <w:szCs w:val="32"/>
          <w:u w:val="single"/>
          <w:lang w:val="en-US" w:eastAsia="zh-CN"/>
        </w:rPr>
        <w:t>任免职务授权书、实名制考勤记录</w:t>
      </w:r>
      <w:r>
        <w:rPr>
          <w:rFonts w:hint="eastAsia" w:ascii="仿宋_GB2312" w:hAnsi="仿宋_GB2312" w:eastAsia="仿宋_GB2312" w:cs="仿宋_GB2312"/>
          <w:color w:val="auto"/>
          <w:szCs w:val="32"/>
          <w:u w:val="single"/>
        </w:rPr>
        <w:t>等证据证实。</w:t>
      </w:r>
    </w:p>
    <w:p w14:paraId="16D151E2">
      <w:pPr>
        <w:keepNext w:val="0"/>
        <w:keepLines w:val="0"/>
        <w:pageBreakBefore w:val="0"/>
        <w:widowControl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 xml:space="preserve">    上述违法行为事实清楚，证据确凿。依据《</w:t>
      </w:r>
      <w:r>
        <w:rPr>
          <w:rFonts w:hint="eastAsia" w:ascii="仿宋_GB2312" w:hAnsi="仿宋_GB2312" w:eastAsia="仿宋_GB2312" w:cs="仿宋_GB2312"/>
          <w:color w:val="auto"/>
          <w:szCs w:val="32"/>
          <w:u w:val="single"/>
          <w:lang w:val="en-US" w:eastAsia="zh-CN"/>
        </w:rPr>
        <w:t>注册建造师管理规定</w:t>
      </w:r>
      <w:r>
        <w:rPr>
          <w:rFonts w:hint="eastAsia" w:ascii="仿宋_GB2312" w:hAnsi="仿宋_GB2312" w:eastAsia="仿宋_GB2312" w:cs="仿宋_GB2312"/>
          <w:color w:val="auto"/>
          <w:szCs w:val="32"/>
          <w:u w:val="single"/>
        </w:rPr>
        <w:t>》第</w:t>
      </w:r>
      <w:r>
        <w:rPr>
          <w:rFonts w:hint="eastAsia" w:ascii="仿宋_GB2312" w:hAnsi="仿宋_GB2312" w:eastAsia="仿宋_GB2312" w:cs="仿宋_GB2312"/>
          <w:color w:val="auto"/>
          <w:szCs w:val="32"/>
          <w:u w:val="single"/>
          <w:lang w:val="en-US" w:eastAsia="zh-CN"/>
        </w:rPr>
        <w:t>二十六</w:t>
      </w:r>
      <w:r>
        <w:rPr>
          <w:rFonts w:hint="eastAsia" w:ascii="仿宋_GB2312" w:hAnsi="仿宋_GB2312" w:eastAsia="仿宋_GB2312" w:cs="仿宋_GB2312"/>
          <w:color w:val="auto"/>
          <w:szCs w:val="32"/>
          <w:u w:val="single"/>
        </w:rPr>
        <w:t>条第</w:t>
      </w:r>
      <w:r>
        <w:rPr>
          <w:rFonts w:hint="eastAsia" w:ascii="仿宋_GB2312" w:hAnsi="仿宋_GB2312" w:eastAsia="仿宋_GB2312" w:cs="仿宋_GB2312"/>
          <w:color w:val="auto"/>
          <w:szCs w:val="32"/>
          <w:u w:val="single"/>
          <w:lang w:val="en-US" w:eastAsia="zh-CN"/>
        </w:rPr>
        <w:t>一</w:t>
      </w:r>
      <w:r>
        <w:rPr>
          <w:rFonts w:hint="eastAsia" w:ascii="仿宋_GB2312" w:hAnsi="仿宋_GB2312" w:eastAsia="仿宋_GB2312" w:cs="仿宋_GB2312"/>
          <w:color w:val="auto"/>
          <w:szCs w:val="32"/>
          <w:u w:val="single"/>
        </w:rPr>
        <w:t>款之规定，决定对你</w:t>
      </w:r>
      <w:r>
        <w:rPr>
          <w:rFonts w:hint="eastAsia" w:ascii="仿宋_GB2312" w:hAnsi="仿宋_GB2312" w:eastAsia="仿宋_GB2312" w:cs="仿宋_GB2312"/>
          <w:color w:val="auto"/>
          <w:szCs w:val="32"/>
          <w:u w:val="single"/>
          <w:lang w:eastAsia="zh-CN"/>
        </w:rPr>
        <w:t>作出</w:t>
      </w:r>
      <w:r>
        <w:rPr>
          <w:rFonts w:hint="eastAsia" w:ascii="仿宋_GB2312" w:hAnsi="仿宋_GB2312" w:eastAsia="仿宋_GB2312" w:cs="仿宋_GB2312"/>
          <w:color w:val="auto"/>
          <w:szCs w:val="32"/>
          <w:u w:val="single"/>
          <w:lang w:val="en-US" w:eastAsia="zh-CN"/>
        </w:rPr>
        <w:t>责令整改并处罚</w:t>
      </w:r>
      <w:r>
        <w:rPr>
          <w:rFonts w:hint="eastAsia" w:ascii="仿宋_GB2312" w:hAnsi="仿宋_GB2312" w:eastAsia="仿宋_GB2312" w:cs="仿宋_GB2312"/>
          <w:color w:val="auto"/>
          <w:szCs w:val="32"/>
          <w:u w:val="single"/>
          <w:lang w:eastAsia="zh-CN"/>
        </w:rPr>
        <w:t>人民币</w:t>
      </w:r>
      <w:r>
        <w:rPr>
          <w:rFonts w:hint="eastAsia" w:ascii="仿宋_GB2312" w:hAnsi="仿宋_GB2312" w:eastAsia="仿宋_GB2312" w:cs="仿宋_GB2312"/>
          <w:color w:val="auto"/>
          <w:szCs w:val="32"/>
          <w:u w:val="single"/>
          <w:lang w:val="en-US" w:eastAsia="zh-CN"/>
        </w:rPr>
        <w:t>壹仟伍佰元</w:t>
      </w:r>
      <w:r>
        <w:rPr>
          <w:rFonts w:hint="eastAsia" w:ascii="仿宋_GB2312" w:hAnsi="仿宋_GB2312" w:eastAsia="仿宋_GB2312" w:cs="仿宋_GB2312"/>
          <w:color w:val="auto"/>
          <w:szCs w:val="32"/>
          <w:u w:val="single"/>
          <w:lang w:eastAsia="zh-CN"/>
        </w:rPr>
        <w:t>（</w:t>
      </w:r>
      <w:r>
        <w:rPr>
          <w:rFonts w:hint="eastAsia" w:ascii="仿宋_GB2312" w:hAnsi="仿宋_GB2312" w:eastAsia="仿宋_GB2312" w:cs="仿宋_GB2312"/>
          <w:color w:val="auto"/>
          <w:szCs w:val="32"/>
          <w:u w:val="single"/>
          <w:lang w:val="en-US" w:eastAsia="zh-CN"/>
        </w:rPr>
        <w:t>1500.00元</w:t>
      </w:r>
      <w:r>
        <w:rPr>
          <w:rFonts w:hint="eastAsia" w:ascii="仿宋_GB2312" w:hAnsi="仿宋_GB2312" w:eastAsia="仿宋_GB2312" w:cs="仿宋_GB2312"/>
          <w:color w:val="auto"/>
          <w:szCs w:val="32"/>
          <w:u w:val="single"/>
          <w:lang w:eastAsia="zh-CN"/>
        </w:rPr>
        <w:t>）行政处罚。</w:t>
      </w:r>
    </w:p>
    <w:p w14:paraId="7B6E4C29">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决定内容：</w:t>
      </w:r>
    </w:p>
    <w:p w14:paraId="71C04033">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color w:val="auto"/>
          <w:szCs w:val="32"/>
          <w:lang w:eastAsia="zh-CN"/>
        </w:rPr>
        <w:t>罚款人民币</w:t>
      </w:r>
      <w:r>
        <w:rPr>
          <w:rFonts w:hint="eastAsia" w:ascii="仿宋_GB2312" w:hAnsi="仿宋_GB2312" w:eastAsia="仿宋_GB2312" w:cs="仿宋_GB2312"/>
          <w:color w:val="auto"/>
          <w:szCs w:val="32"/>
          <w:u w:val="single"/>
          <w:lang w:val="en-US" w:eastAsia="zh-CN"/>
        </w:rPr>
        <w:t>壹仟伍佰元</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1500.00元</w:t>
      </w:r>
      <w:r>
        <w:rPr>
          <w:rFonts w:hint="eastAsia" w:ascii="仿宋_GB2312" w:hAnsi="仿宋_GB2312" w:eastAsia="仿宋_GB2312" w:cs="仿宋_GB2312"/>
          <w:sz w:val="32"/>
          <w:szCs w:val="32"/>
          <w:u w:val="single"/>
          <w:lang w:eastAsia="zh-CN"/>
        </w:rPr>
        <w:t>）行政处罚</w:t>
      </w:r>
    </w:p>
    <w:p w14:paraId="397BD0CC">
      <w:pPr>
        <w:keepNext w:val="0"/>
        <w:keepLines w:val="0"/>
        <w:pageBreakBefore w:val="0"/>
        <w:widowControl w:val="0"/>
        <w:kinsoku/>
        <w:wordWrap/>
        <w:overflowPunct/>
        <w:topLinePunct w:val="0"/>
        <w:autoSpaceDE/>
        <w:autoSpaceDN/>
        <w:bidi w:val="0"/>
        <w:adjustRightInd/>
        <w:spacing w:line="579" w:lineRule="exact"/>
        <w:ind w:firstLine="63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行政处罚履行方式和期限</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本决定自送达当事人时发生法律效力。</w:t>
      </w:r>
    </w:p>
    <w:p w14:paraId="0B52144D">
      <w:pPr>
        <w:keepNext w:val="0"/>
        <w:keepLines w:val="0"/>
        <w:pageBreakBefore w:val="0"/>
        <w:widowControl w:val="0"/>
        <w:kinsoku/>
        <w:wordWrap/>
        <w:overflowPunct/>
        <w:topLinePunct w:val="0"/>
        <w:autoSpaceDE/>
        <w:autoSpaceDN/>
        <w:bidi w:val="0"/>
        <w:adjustRightInd/>
        <w:spacing w:line="579" w:lineRule="exact"/>
        <w:ind w:firstLine="63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上述罚款，你应当自收到本处罚决定书之日起 15 日内，持本决定书，到指定银行缴纳</w:t>
      </w:r>
      <w:r>
        <w:rPr>
          <w:rFonts w:hint="eastAsia" w:ascii="仿宋_GB2312" w:hAnsi="仿宋_GB2312" w:eastAsia="仿宋_GB2312" w:cs="仿宋_GB2312"/>
          <w:color w:val="auto"/>
          <w:szCs w:val="32"/>
          <w:lang w:val="en-US" w:eastAsia="zh-CN"/>
        </w:rPr>
        <w:t>罚款</w:t>
      </w:r>
      <w:r>
        <w:rPr>
          <w:rFonts w:hint="eastAsia" w:ascii="仿宋_GB2312" w:hAnsi="仿宋_GB2312" w:eastAsia="仿宋_GB2312" w:cs="仿宋_GB2312"/>
          <w:color w:val="auto"/>
          <w:szCs w:val="32"/>
        </w:rPr>
        <w:t>。逾期不缴纳罚款的，本机关将根据《中华人民共和国行政处罚法》第</w:t>
      </w:r>
      <w:r>
        <w:rPr>
          <w:rFonts w:hint="eastAsia" w:ascii="仿宋_GB2312" w:hAnsi="仿宋_GB2312" w:eastAsia="仿宋_GB2312" w:cs="仿宋_GB2312"/>
          <w:color w:val="auto"/>
          <w:szCs w:val="32"/>
          <w:lang w:val="en-US" w:eastAsia="zh-CN"/>
        </w:rPr>
        <w:t>七十二</w:t>
      </w:r>
      <w:r>
        <w:rPr>
          <w:rFonts w:hint="eastAsia" w:ascii="仿宋_GB2312" w:hAnsi="仿宋_GB2312" w:eastAsia="仿宋_GB2312" w:cs="仿宋_GB2312"/>
          <w:color w:val="auto"/>
          <w:szCs w:val="32"/>
        </w:rPr>
        <w:t>条的规定，每日按罚款数额的百分之三加处罚款。</w:t>
      </w:r>
    </w:p>
    <w:p w14:paraId="5EB8B647">
      <w:pPr>
        <w:spacing w:line="560" w:lineRule="exact"/>
        <w:ind w:firstLine="643" w:firstLineChars="200"/>
        <w:rPr>
          <w:rFonts w:eastAsia="仿宋_GB2312"/>
          <w:b/>
          <w:bCs/>
          <w:kern w:val="0"/>
          <w:szCs w:val="32"/>
        </w:rPr>
      </w:pPr>
      <w:r>
        <w:rPr>
          <w:rFonts w:eastAsia="仿宋_GB2312"/>
          <w:b/>
          <w:bCs/>
          <w:szCs w:val="32"/>
        </w:rPr>
        <w:t>你（单位）如不服本处罚决定，可在接到本处罚决定书之日起六十日内向</w:t>
      </w:r>
      <w:r>
        <w:rPr>
          <w:rFonts w:eastAsia="仿宋_GB2312"/>
          <w:b/>
          <w:bCs/>
          <w:szCs w:val="32"/>
          <w:u w:val="single"/>
        </w:rPr>
        <w:t xml:space="preserve"> </w:t>
      </w:r>
      <w:r>
        <w:rPr>
          <w:rFonts w:hint="eastAsia" w:eastAsia="仿宋_GB2312"/>
          <w:b/>
          <w:bCs/>
          <w:szCs w:val="32"/>
          <w:u w:val="single"/>
          <w:lang w:val="en-US" w:eastAsia="zh-CN"/>
        </w:rPr>
        <w:t>沈阳市</w:t>
      </w:r>
      <w:r>
        <w:rPr>
          <w:rFonts w:hint="eastAsia" w:eastAsia="仿宋_GB2312"/>
          <w:b/>
          <w:bCs/>
          <w:szCs w:val="32"/>
          <w:u w:val="single"/>
        </w:rPr>
        <w:t>浑南区人民政府</w:t>
      </w:r>
      <w:r>
        <w:rPr>
          <w:rFonts w:eastAsia="仿宋_GB2312"/>
          <w:b/>
          <w:bCs/>
          <w:szCs w:val="32"/>
        </w:rPr>
        <w:t>申请行政复议，或者六个月内向</w:t>
      </w:r>
      <w:r>
        <w:rPr>
          <w:rFonts w:hint="eastAsia" w:eastAsia="仿宋_GB2312"/>
          <w:b/>
          <w:bCs/>
          <w:szCs w:val="32"/>
          <w:u w:val="single"/>
        </w:rPr>
        <w:t>沈阳市高新技术产业开发区</w:t>
      </w:r>
      <w:r>
        <w:rPr>
          <w:rFonts w:eastAsia="仿宋_GB2312"/>
          <w:b/>
          <w:bCs/>
          <w:szCs w:val="32"/>
          <w:u w:val="single"/>
        </w:rPr>
        <w:t>人民法院</w:t>
      </w:r>
      <w:r>
        <w:rPr>
          <w:rFonts w:eastAsia="仿宋_GB2312"/>
          <w:b/>
          <w:bCs/>
          <w:szCs w:val="32"/>
        </w:rPr>
        <w:t>提起行政诉讼。</w:t>
      </w:r>
      <w:r>
        <w:rPr>
          <w:rFonts w:eastAsia="仿宋_GB2312"/>
          <w:b/>
          <w:bCs/>
          <w:kern w:val="0"/>
          <w:szCs w:val="32"/>
        </w:rPr>
        <w:t>逾期不申请行政复议，也不提起行政诉讼，又不履行本处罚决定的，</w:t>
      </w:r>
      <w:r>
        <w:rPr>
          <w:rFonts w:eastAsia="仿宋_GB2312"/>
          <w:b/>
          <w:bCs/>
          <w:szCs w:val="32"/>
        </w:rPr>
        <w:t>我局</w:t>
      </w:r>
      <w:r>
        <w:rPr>
          <w:rFonts w:eastAsia="仿宋_GB2312"/>
          <w:b/>
          <w:bCs/>
          <w:kern w:val="0"/>
          <w:szCs w:val="32"/>
        </w:rPr>
        <w:t>将依法</w:t>
      </w:r>
      <w:r>
        <w:rPr>
          <w:rFonts w:eastAsia="仿宋_GB2312"/>
          <w:b/>
          <w:bCs/>
          <w:kern w:val="0"/>
          <w:szCs w:val="32"/>
          <w:u w:val="single"/>
        </w:rPr>
        <w:t>申请人民法院强制执行</w:t>
      </w:r>
      <w:r>
        <w:rPr>
          <w:rFonts w:eastAsia="仿宋_GB2312"/>
          <w:b/>
          <w:bCs/>
          <w:kern w:val="0"/>
          <w:szCs w:val="32"/>
        </w:rPr>
        <w:t>。</w:t>
      </w:r>
    </w:p>
    <w:p w14:paraId="127C73FD">
      <w:pPr>
        <w:spacing w:line="560" w:lineRule="exact"/>
        <w:rPr>
          <w:rFonts w:eastAsia="仿宋_GB2312"/>
          <w:kern w:val="0"/>
          <w:szCs w:val="32"/>
        </w:rPr>
      </w:pPr>
    </w:p>
    <w:p w14:paraId="499820F4">
      <w:pPr>
        <w:spacing w:line="560" w:lineRule="exact"/>
        <w:ind w:firstLine="640" w:firstLineChars="200"/>
        <w:rPr>
          <w:rFonts w:eastAsia="仿宋_GB2312"/>
          <w:szCs w:val="32"/>
        </w:rPr>
      </w:pPr>
    </w:p>
    <w:p w14:paraId="73938915">
      <w:pPr>
        <w:spacing w:line="560" w:lineRule="exact"/>
        <w:ind w:firstLine="4640" w:firstLineChars="1450"/>
        <w:rPr>
          <w:rFonts w:eastAsia="仿宋_GB2312"/>
          <w:szCs w:val="32"/>
        </w:rPr>
      </w:pPr>
      <w:r>
        <w:rPr>
          <w:rFonts w:hint="eastAsia" w:eastAsia="仿宋_GB2312"/>
          <w:szCs w:val="32"/>
        </w:rPr>
        <w:t>沈阳市浑南区城市建设局</w:t>
      </w:r>
    </w:p>
    <w:p w14:paraId="24013624">
      <w:pPr>
        <w:spacing w:line="560" w:lineRule="exact"/>
        <w:jc w:val="center"/>
        <w:rPr>
          <w:sz w:val="44"/>
          <w:szCs w:val="44"/>
        </w:rPr>
      </w:pPr>
      <w:r>
        <w:rPr>
          <w:rFonts w:eastAsia="仿宋_GB2312"/>
          <w:szCs w:val="32"/>
        </w:rPr>
        <w:t xml:space="preserve">  </w:t>
      </w:r>
      <w:r>
        <w:rPr>
          <w:rFonts w:hint="eastAsia" w:eastAsia="仿宋_GB2312"/>
          <w:szCs w:val="32"/>
        </w:rPr>
        <w:t xml:space="preserve">                 </w:t>
      </w:r>
      <w:r>
        <w:rPr>
          <w:rFonts w:hint="eastAsia" w:eastAsia="仿宋_GB2312"/>
          <w:szCs w:val="32"/>
          <w:lang w:val="en-US" w:eastAsia="zh-CN"/>
        </w:rPr>
        <w:t xml:space="preserve">             2025</w:t>
      </w:r>
      <w:r>
        <w:rPr>
          <w:rFonts w:eastAsia="仿宋_GB2312"/>
          <w:szCs w:val="32"/>
        </w:rPr>
        <w:t>年</w:t>
      </w:r>
      <w:r>
        <w:rPr>
          <w:rFonts w:hint="eastAsia" w:eastAsia="仿宋_GB2312"/>
          <w:szCs w:val="32"/>
          <w:lang w:val="en-US" w:eastAsia="zh-CN"/>
        </w:rPr>
        <w:t>10</w:t>
      </w:r>
      <w:r>
        <w:rPr>
          <w:rFonts w:eastAsia="仿宋_GB2312"/>
          <w:szCs w:val="32"/>
        </w:rPr>
        <w:t>月</w:t>
      </w:r>
      <w:r>
        <w:rPr>
          <w:rFonts w:hint="eastAsia" w:eastAsia="仿宋_GB2312"/>
          <w:szCs w:val="32"/>
          <w:lang w:val="en-US" w:eastAsia="zh-CN"/>
        </w:rPr>
        <w:t>29</w:t>
      </w:r>
      <w:r>
        <w:rPr>
          <w:rFonts w:eastAsia="仿宋_GB2312"/>
          <w:szCs w:val="32"/>
        </w:rPr>
        <w:t>日</w:t>
      </w:r>
      <w:bookmarkStart w:id="0" w:name="_GoBack"/>
      <w:bookmarkEnd w:id="0"/>
    </w:p>
    <w:p w14:paraId="5E74DF47">
      <w:pPr>
        <w:spacing w:line="480" w:lineRule="exact"/>
        <w:jc w:val="center"/>
        <w:rPr>
          <w:sz w:val="44"/>
          <w:szCs w:val="44"/>
        </w:rPr>
      </w:pPr>
    </w:p>
    <w:p w14:paraId="0002B4C2">
      <w:pPr>
        <w:spacing w:line="480" w:lineRule="exact"/>
        <w:jc w:val="both"/>
        <w:rPr>
          <w:rFonts w:eastAsia="方正小标宋简体"/>
          <w:sz w:val="44"/>
          <w:szCs w:val="44"/>
        </w:rPr>
      </w:pPr>
    </w:p>
    <w:p w14:paraId="0C054D24">
      <w:pPr>
        <w:spacing w:line="480" w:lineRule="exact"/>
        <w:jc w:val="center"/>
        <w:rPr>
          <w:rFonts w:eastAsia="方正小标宋简体"/>
          <w:sz w:val="44"/>
          <w:szCs w:val="44"/>
        </w:rPr>
      </w:pPr>
    </w:p>
    <w:p w14:paraId="028E2FE6">
      <w:pPr>
        <w:spacing w:line="480" w:lineRule="exact"/>
        <w:jc w:val="center"/>
        <w:rPr>
          <w:rFonts w:eastAsia="方正小标宋简体"/>
          <w:sz w:val="44"/>
          <w:szCs w:val="44"/>
        </w:rPr>
      </w:pPr>
    </w:p>
    <w:p w14:paraId="01EEB5D6">
      <w:pPr>
        <w:spacing w:line="480" w:lineRule="exact"/>
        <w:jc w:val="center"/>
        <w:rPr>
          <w:rFonts w:eastAsia="方正小标宋简体"/>
          <w:sz w:val="44"/>
          <w:szCs w:val="44"/>
        </w:rPr>
      </w:pPr>
    </w:p>
    <w:p w14:paraId="12476114">
      <w:pPr>
        <w:spacing w:line="480" w:lineRule="exact"/>
        <w:jc w:val="center"/>
        <w:rPr>
          <w:rFonts w:eastAsia="方正小标宋简体"/>
          <w:sz w:val="44"/>
          <w:szCs w:val="44"/>
        </w:rPr>
      </w:pPr>
    </w:p>
    <w:p w14:paraId="07AE39FA">
      <w:pPr>
        <w:spacing w:line="480" w:lineRule="exact"/>
        <w:jc w:val="center"/>
        <w:rPr>
          <w:rFonts w:eastAsia="方正小标宋简体"/>
          <w:sz w:val="44"/>
          <w:szCs w:val="44"/>
        </w:rPr>
      </w:pPr>
    </w:p>
    <w:p w14:paraId="095A03C2">
      <w:pPr>
        <w:spacing w:line="480" w:lineRule="exact"/>
        <w:jc w:val="center"/>
        <w:rPr>
          <w:rFonts w:eastAsia="方正小标宋简体"/>
          <w:sz w:val="44"/>
          <w:szCs w:val="44"/>
        </w:rPr>
      </w:pPr>
    </w:p>
    <w:p w14:paraId="346B46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E8C9AFC-66B9-4096-996E-8A357F2315B2}"/>
  </w:font>
  <w:font w:name="方正小标宋简体">
    <w:panose1 w:val="02000000000000000000"/>
    <w:charset w:val="86"/>
    <w:family w:val="script"/>
    <w:pitch w:val="default"/>
    <w:sig w:usb0="00000001" w:usb1="08000000" w:usb2="00000000" w:usb3="00000000" w:csb0="00040000" w:csb1="00000000"/>
    <w:embedRegular r:id="rId2" w:fontKey="{F30ABC54-AF47-4EAB-9558-9D6233DDBEF5}"/>
  </w:font>
  <w:font w:name="仿宋_GB2312">
    <w:panose1 w:val="02010609030101010101"/>
    <w:charset w:val="86"/>
    <w:family w:val="modern"/>
    <w:pitch w:val="default"/>
    <w:sig w:usb0="00000001" w:usb1="080E0000" w:usb2="00000000" w:usb3="00000000" w:csb0="00040000" w:csb1="00000000"/>
    <w:embedRegular r:id="rId3" w:fontKey="{C0F9FEE6-8EAF-4D09-911C-2182E3E247A7}"/>
  </w:font>
  <w:font w:name="楷体">
    <w:panose1 w:val="02010609060101010101"/>
    <w:charset w:val="86"/>
    <w:family w:val="modern"/>
    <w:pitch w:val="default"/>
    <w:sig w:usb0="800002BF" w:usb1="38CF7CFA" w:usb2="00000016" w:usb3="00000000" w:csb0="00040001" w:csb1="00000000"/>
    <w:embedRegular r:id="rId4" w:fontKey="{8204D0C5-E36B-46FA-9A79-114F513D8D97}"/>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A0D72"/>
    <w:rsid w:val="0B7600D9"/>
    <w:rsid w:val="2CB525AF"/>
    <w:rsid w:val="472A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693</Characters>
  <Lines>0</Lines>
  <Paragraphs>0</Paragraphs>
  <TotalTime>17</TotalTime>
  <ScaleCrop>false</ScaleCrop>
  <LinksUpToDate>false</LinksUpToDate>
  <CharactersWithSpaces>792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2025-10-28T01:08:00Z</dcterms:created>
  <dc:creator>Hush</dc:creator>
  <cp:lastModifiedBy>孙宇</cp:lastModifiedBy>
  <dcterms:modified xsi:type="dcterms:W3CDTF">2025-10-29T01:17:06Z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4187B2E6925344A5A50017F564964BAC_11</vt:lpwstr>
  </property>
  <property fmtid="{D5CDD505-2E9C-101B-9397-08002B2CF9AE}" pid="4" name="KSOTemplateDocerSaveRecord">
    <vt:lpwstr>eyJoZGlkIjoiNmIwNGU2ZmQ3ODc3MjAyOGU4NzkyOTFhNTI2ZTdlMjciLCJ1c2VySWQiOiI0MDUxMDQ0NDMifQ==</vt:lpwstr>
  </property>
</Properties>
</file>