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A02F39">
      <w:pPr>
        <w:jc w:val="center"/>
        <w:outlineLvl w:val="9"/>
        <w:rPr>
          <w:rFonts w:hint="eastAsia" w:ascii="宋体" w:hAnsi="宋体" w:eastAsia="宋体" w:cs="宋体"/>
          <w:b/>
          <w:bCs/>
          <w:sz w:val="44"/>
          <w:szCs w:val="44"/>
          <w:lang w:val="en-US" w:eastAsia="zh-CN"/>
        </w:rPr>
      </w:pPr>
    </w:p>
    <w:p w14:paraId="55A07E99">
      <w:pPr>
        <w:jc w:val="center"/>
        <w:outlineLvl w:val="9"/>
        <w:rPr>
          <w:rFonts w:hint="eastAsia" w:ascii="宋体" w:hAnsi="宋体" w:eastAsia="宋体" w:cs="宋体"/>
          <w:b/>
          <w:bCs/>
          <w:sz w:val="44"/>
          <w:szCs w:val="44"/>
          <w:lang w:val="en-US" w:eastAsia="zh-CN"/>
        </w:rPr>
      </w:pPr>
    </w:p>
    <w:p w14:paraId="31A181F0">
      <w:pPr>
        <w:jc w:val="center"/>
        <w:outlineLvl w:val="9"/>
        <w:rPr>
          <w:rFonts w:hint="eastAsia" w:ascii="宋体" w:hAnsi="宋体" w:eastAsia="宋体" w:cs="宋体"/>
          <w:b/>
          <w:bCs/>
          <w:sz w:val="44"/>
          <w:szCs w:val="44"/>
          <w:lang w:val="en-US" w:eastAsia="zh-CN"/>
        </w:rPr>
      </w:pPr>
    </w:p>
    <w:p w14:paraId="4F08E40B">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eastAsia"/>
          <w:b/>
          <w:bCs/>
          <w:sz w:val="44"/>
          <w:szCs w:val="44"/>
          <w:lang w:val="en-US" w:eastAsia="zh-CN"/>
        </w:rPr>
      </w:pPr>
      <w:r>
        <w:rPr>
          <w:rFonts w:hint="eastAsia"/>
          <w:b/>
          <w:bCs/>
          <w:sz w:val="44"/>
          <w:szCs w:val="44"/>
          <w:lang w:val="en-US" w:eastAsia="zh-CN"/>
        </w:rPr>
        <w:t>辽宁明兴建设安装有限公司</w:t>
      </w:r>
    </w:p>
    <w:p w14:paraId="5C468B45">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eastAsia"/>
          <w:b/>
          <w:bCs/>
          <w:sz w:val="44"/>
          <w:szCs w:val="44"/>
          <w:lang w:val="en-US" w:eastAsia="zh-CN"/>
        </w:rPr>
      </w:pPr>
      <w:r>
        <w:rPr>
          <w:rFonts w:hint="eastAsia"/>
          <w:b/>
          <w:bCs/>
          <w:sz w:val="44"/>
          <w:szCs w:val="44"/>
          <w:lang w:val="en-US" w:eastAsia="zh-CN"/>
        </w:rPr>
        <w:t>“10.13”一般坍塌事故</w:t>
      </w:r>
    </w:p>
    <w:p w14:paraId="5952002B">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default" w:ascii="宋体" w:hAnsi="宋体" w:eastAsia="宋体" w:cs="宋体"/>
          <w:bCs/>
          <w:kern w:val="2"/>
          <w:sz w:val="21"/>
          <w:szCs w:val="44"/>
          <w:lang w:val="en-US" w:eastAsia="zh-CN" w:bidi="ar-SA"/>
        </w:rPr>
      </w:pPr>
      <w:r>
        <w:rPr>
          <w:rFonts w:hint="eastAsia"/>
          <w:b/>
          <w:bCs/>
          <w:sz w:val="44"/>
          <w:szCs w:val="44"/>
          <w:lang w:val="en-US" w:eastAsia="zh-CN"/>
        </w:rPr>
        <w:t>调查报告</w:t>
      </w:r>
    </w:p>
    <w:p w14:paraId="1F04CEA7">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63BB3C7">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52B9C2E1">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80F334C">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2AFDD875">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6FAC3D94">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4B975585">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011E75E">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5610CDB2">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3DC16A08">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65364B5C">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2CFB3F9">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1ED40888">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455EEB88">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379B7DC">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B889CD6">
      <w:pPr>
        <w:spacing w:before="0" w:beforeLines="0" w:after="0" w:afterLines="0" w:line="240" w:lineRule="auto"/>
        <w:ind w:left="0" w:leftChars="0" w:right="0" w:rightChars="0" w:firstLine="0" w:firstLineChars="0"/>
        <w:jc w:val="both"/>
        <w:rPr>
          <w:rFonts w:hint="eastAsia" w:ascii="宋体" w:hAnsi="宋体" w:eastAsia="宋体" w:cs="宋体"/>
          <w:bCs/>
          <w:kern w:val="2"/>
          <w:sz w:val="21"/>
          <w:szCs w:val="44"/>
          <w:lang w:val="en-US" w:eastAsia="zh-CN" w:bidi="ar-SA"/>
        </w:rPr>
      </w:pPr>
    </w:p>
    <w:p w14:paraId="7D52A8A9">
      <w:pPr>
        <w:spacing w:before="0" w:beforeLines="0" w:after="0" w:afterLines="0" w:line="240" w:lineRule="auto"/>
        <w:ind w:left="0" w:leftChars="0" w:right="0" w:rightChars="0" w:firstLine="0" w:firstLineChars="0"/>
        <w:jc w:val="center"/>
        <w:rPr>
          <w:rFonts w:hint="eastAsia" w:ascii="宋体" w:hAnsi="宋体" w:eastAsia="宋体" w:cs="宋体"/>
          <w:bCs/>
          <w:kern w:val="2"/>
          <w:sz w:val="28"/>
          <w:szCs w:val="28"/>
          <w:lang w:val="en-US" w:eastAsia="zh-CN" w:bidi="ar-SA"/>
        </w:rPr>
      </w:pPr>
    </w:p>
    <w:p w14:paraId="5BBD1A52">
      <w:pPr>
        <w:spacing w:before="0" w:beforeLines="0" w:after="0" w:afterLines="0" w:line="240" w:lineRule="auto"/>
        <w:ind w:left="0" w:leftChars="0" w:right="0" w:rightChars="0" w:firstLine="0" w:firstLineChars="0"/>
        <w:jc w:val="center"/>
        <w:rPr>
          <w:rFonts w:hint="eastAsia" w:ascii="楷体" w:hAnsi="楷体" w:eastAsia="楷体" w:cs="楷体"/>
          <w:bCs/>
          <w:kern w:val="2"/>
          <w:sz w:val="30"/>
          <w:szCs w:val="30"/>
          <w:lang w:val="en-US" w:eastAsia="zh-CN" w:bidi="ar-SA"/>
        </w:rPr>
      </w:pPr>
      <w:r>
        <w:rPr>
          <w:rFonts w:hint="eastAsia" w:ascii="楷体" w:hAnsi="楷体" w:eastAsia="楷体" w:cs="楷体"/>
          <w:bCs/>
          <w:kern w:val="2"/>
          <w:sz w:val="30"/>
          <w:szCs w:val="30"/>
          <w:lang w:val="en-US" w:eastAsia="zh-CN" w:bidi="ar-SA"/>
        </w:rPr>
        <w:t>浑南区事故调查组</w:t>
      </w:r>
    </w:p>
    <w:p w14:paraId="49B5602B">
      <w:pPr>
        <w:spacing w:before="0" w:beforeLines="0" w:after="0" w:afterLines="0" w:line="240" w:lineRule="auto"/>
        <w:ind w:left="0" w:leftChars="0" w:right="0" w:rightChars="0" w:firstLine="0" w:firstLineChars="0"/>
        <w:jc w:val="center"/>
        <w:rPr>
          <w:rFonts w:hint="eastAsia" w:ascii="楷体" w:hAnsi="楷体" w:eastAsia="楷体" w:cs="楷体"/>
          <w:bCs/>
          <w:kern w:val="2"/>
          <w:sz w:val="30"/>
          <w:szCs w:val="30"/>
          <w:lang w:val="en-US" w:eastAsia="zh-CN" w:bidi="ar-SA"/>
        </w:rPr>
      </w:pPr>
      <w:r>
        <w:rPr>
          <w:rFonts w:hint="eastAsia" w:ascii="楷体" w:hAnsi="楷体" w:eastAsia="楷体" w:cs="楷体"/>
          <w:bCs/>
          <w:kern w:val="2"/>
          <w:sz w:val="30"/>
          <w:szCs w:val="30"/>
          <w:lang w:val="en-US" w:eastAsia="zh-CN" w:bidi="ar-SA"/>
        </w:rPr>
        <w:t>2026年1月</w:t>
      </w:r>
    </w:p>
    <w:p w14:paraId="715C456A">
      <w:pPr>
        <w:spacing w:before="0" w:beforeLines="0" w:after="0" w:afterLines="0" w:line="240" w:lineRule="auto"/>
        <w:ind w:left="0" w:leftChars="0" w:right="0" w:rightChars="0" w:firstLine="0" w:firstLineChars="0"/>
        <w:jc w:val="both"/>
        <w:rPr>
          <w:rFonts w:hint="default" w:ascii="宋体" w:hAnsi="宋体" w:eastAsia="宋体" w:cs="宋体"/>
          <w:bCs/>
          <w:kern w:val="2"/>
          <w:sz w:val="28"/>
          <w:szCs w:val="28"/>
          <w:lang w:val="en-US" w:eastAsia="zh-CN" w:bidi="ar-SA"/>
        </w:rPr>
        <w:sectPr>
          <w:footerReference r:id="rId4" w:type="default"/>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147454941"/>
        <w15:color w:val="DBDBDB"/>
        <w:docPartObj>
          <w:docPartGallery w:val="Table of Contents"/>
          <w:docPartUnique/>
        </w:docPartObj>
      </w:sdtPr>
      <w:sdtEndPr>
        <w:rPr>
          <w:rFonts w:hint="eastAsia" w:ascii="宋体" w:hAnsi="宋体" w:eastAsia="宋体" w:cs="宋体"/>
          <w:bCs/>
          <w:kern w:val="2"/>
          <w:sz w:val="28"/>
          <w:szCs w:val="56"/>
          <w:lang w:val="en-US" w:eastAsia="zh-CN" w:bidi="ar-SA"/>
        </w:rPr>
      </w:sdtEndPr>
      <w:sdtContent>
        <w:p w14:paraId="282D5754">
          <w:pPr>
            <w:keepNext w:val="0"/>
            <w:keepLines w:val="0"/>
            <w:pageBreakBefore w:val="0"/>
            <w:widowControl w:val="0"/>
            <w:kinsoku/>
            <w:wordWrap/>
            <w:overflowPunct/>
            <w:topLinePunct w:val="0"/>
            <w:autoSpaceDE/>
            <w:autoSpaceDN/>
            <w:bidi w:val="0"/>
            <w:adjustRightInd/>
            <w:snapToGrid/>
            <w:spacing w:before="0" w:after="0" w:line="460" w:lineRule="exact"/>
            <w:ind w:left="0" w:leftChars="0" w:right="0" w:rightChars="0" w:firstLine="0" w:firstLineChars="0"/>
            <w:jc w:val="center"/>
            <w:textAlignment w:val="auto"/>
            <w:rPr>
              <w:sz w:val="28"/>
              <w:szCs w:val="28"/>
            </w:rPr>
          </w:pPr>
          <w:bookmarkStart w:id="0" w:name="_Toc6680"/>
          <w:bookmarkStart w:id="1" w:name="_Toc1556"/>
          <w:r>
            <w:rPr>
              <w:rFonts w:ascii="宋体" w:hAnsi="宋体" w:eastAsia="宋体"/>
              <w:sz w:val="28"/>
              <w:szCs w:val="28"/>
            </w:rPr>
            <w:t>目录</w:t>
          </w:r>
        </w:p>
        <w:p w14:paraId="5837E95F">
          <w:pPr>
            <w:pStyle w:val="6"/>
            <w:tabs>
              <w:tab w:val="right" w:leader="dot" w:pos="8306"/>
            </w:tabs>
          </w:pPr>
          <w:r>
            <w:rPr>
              <w:rFonts w:hint="eastAsia" w:ascii="宋体" w:hAnsi="宋体" w:eastAsia="宋体" w:cs="宋体"/>
              <w:b/>
              <w:bCs/>
              <w:sz w:val="28"/>
              <w:szCs w:val="28"/>
              <w:lang w:val="en-US" w:eastAsia="zh-CN"/>
            </w:rPr>
            <w:fldChar w:fldCharType="begin"/>
          </w:r>
          <w:r>
            <w:rPr>
              <w:rFonts w:hint="eastAsia" w:ascii="宋体" w:hAnsi="宋体" w:eastAsia="宋体" w:cs="宋体"/>
              <w:b/>
              <w:bCs/>
              <w:sz w:val="28"/>
              <w:szCs w:val="28"/>
              <w:lang w:val="en-US" w:eastAsia="zh-CN"/>
            </w:rPr>
            <w:instrText xml:space="preserve">TOC \o "1-3" \h \u </w:instrText>
          </w:r>
          <w:r>
            <w:rPr>
              <w:rFonts w:hint="eastAsia" w:ascii="宋体" w:hAnsi="宋体" w:eastAsia="宋体" w:cs="宋体"/>
              <w:b/>
              <w:bCs/>
              <w:sz w:val="28"/>
              <w:szCs w:val="28"/>
              <w:lang w:val="en-US" w:eastAsia="zh-CN"/>
            </w:rPr>
            <w:fldChar w:fldCharType="separate"/>
          </w: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_Toc1420 </w:instrText>
          </w:r>
          <w:r>
            <w:rPr>
              <w:rFonts w:hint="eastAsia" w:ascii="宋体" w:hAnsi="宋体" w:eastAsia="宋体" w:cs="宋体"/>
              <w:bCs/>
              <w:szCs w:val="28"/>
              <w:lang w:val="en-US" w:eastAsia="zh-CN"/>
            </w:rPr>
            <w:fldChar w:fldCharType="separate"/>
          </w:r>
          <w:r>
            <w:rPr>
              <w:rFonts w:hint="eastAsia" w:ascii="宋体" w:hAnsi="宋体" w:eastAsia="宋体" w:cs="宋体"/>
              <w:bCs/>
              <w:szCs w:val="32"/>
              <w:lang w:val="en-US" w:eastAsia="zh-CN"/>
            </w:rPr>
            <w:t xml:space="preserve">一、 </w:t>
          </w:r>
          <w:r>
            <w:rPr>
              <w:rFonts w:hint="eastAsia" w:ascii="黑体" w:hAnsi="黑体" w:eastAsia="黑体" w:cs="黑体"/>
              <w:bCs w:val="0"/>
              <w:szCs w:val="32"/>
              <w:lang w:val="en-US" w:eastAsia="zh-CN"/>
            </w:rPr>
            <w:t>事故基本情况</w:t>
          </w:r>
          <w:r>
            <w:tab/>
          </w:r>
          <w:r>
            <w:fldChar w:fldCharType="begin"/>
          </w:r>
          <w:r>
            <w:instrText xml:space="preserve"> PAGEREF _Toc1420 \h </w:instrText>
          </w:r>
          <w:r>
            <w:fldChar w:fldCharType="separate"/>
          </w:r>
          <w:r>
            <w:t>2</w:t>
          </w:r>
          <w:r>
            <w:fldChar w:fldCharType="end"/>
          </w:r>
          <w:r>
            <w:rPr>
              <w:rFonts w:hint="eastAsia" w:ascii="宋体" w:hAnsi="宋体" w:eastAsia="宋体" w:cs="宋体"/>
              <w:bCs/>
              <w:szCs w:val="28"/>
              <w:lang w:val="en-US" w:eastAsia="zh-CN"/>
            </w:rPr>
            <w:fldChar w:fldCharType="end"/>
          </w:r>
        </w:p>
        <w:p w14:paraId="14B62891">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_Toc8893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（一）相关单位基本情况</w:t>
          </w:r>
          <w:r>
            <w:tab/>
          </w:r>
          <w:r>
            <w:fldChar w:fldCharType="begin"/>
          </w:r>
          <w:r>
            <w:instrText xml:space="preserve"> PAGEREF _Toc8893 \h </w:instrText>
          </w:r>
          <w:r>
            <w:fldChar w:fldCharType="separate"/>
          </w:r>
          <w:r>
            <w:t>2</w:t>
          </w:r>
          <w:r>
            <w:fldChar w:fldCharType="end"/>
          </w:r>
          <w:r>
            <w:rPr>
              <w:rFonts w:hint="eastAsia" w:ascii="宋体" w:hAnsi="宋体" w:eastAsia="宋体" w:cs="宋体"/>
              <w:bCs/>
              <w:szCs w:val="28"/>
              <w:lang w:val="en-US" w:eastAsia="zh-CN"/>
            </w:rPr>
            <w:fldChar w:fldCharType="end"/>
          </w:r>
        </w:p>
        <w:p w14:paraId="043ED52B">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_Toc17979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（二）相关人员基本情况</w:t>
          </w:r>
          <w:r>
            <w:tab/>
          </w:r>
          <w:r>
            <w:fldChar w:fldCharType="begin"/>
          </w:r>
          <w:r>
            <w:instrText xml:space="preserve"> PAGEREF _Toc17979 \h </w:instrText>
          </w:r>
          <w:r>
            <w:fldChar w:fldCharType="separate"/>
          </w:r>
          <w:r>
            <w:t>5</w:t>
          </w:r>
          <w:r>
            <w:fldChar w:fldCharType="end"/>
          </w:r>
          <w:r>
            <w:rPr>
              <w:rFonts w:hint="eastAsia" w:ascii="宋体" w:hAnsi="宋体" w:eastAsia="宋体" w:cs="宋体"/>
              <w:bCs/>
              <w:szCs w:val="28"/>
              <w:lang w:val="en-US" w:eastAsia="zh-CN"/>
            </w:rPr>
            <w:fldChar w:fldCharType="end"/>
          </w:r>
        </w:p>
        <w:p w14:paraId="1565F152">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_Toc28288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（三）事故现场勘察情况</w:t>
          </w:r>
          <w:r>
            <w:tab/>
          </w:r>
          <w:r>
            <w:fldChar w:fldCharType="begin"/>
          </w:r>
          <w:r>
            <w:instrText xml:space="preserve"> PAGEREF _Toc28288 \h </w:instrText>
          </w:r>
          <w:r>
            <w:fldChar w:fldCharType="separate"/>
          </w:r>
          <w:r>
            <w:t>6</w:t>
          </w:r>
          <w:r>
            <w:fldChar w:fldCharType="end"/>
          </w:r>
          <w:r>
            <w:rPr>
              <w:rFonts w:hint="eastAsia" w:ascii="宋体" w:hAnsi="宋体" w:eastAsia="宋体" w:cs="宋体"/>
              <w:bCs/>
              <w:szCs w:val="28"/>
              <w:lang w:val="en-US" w:eastAsia="zh-CN"/>
            </w:rPr>
            <w:fldChar w:fldCharType="end"/>
          </w:r>
        </w:p>
        <w:p w14:paraId="02BFF7F9">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_Toc29092 </w:instrText>
          </w:r>
          <w:r>
            <w:rPr>
              <w:rFonts w:hint="eastAsia" w:ascii="宋体" w:hAnsi="宋体" w:eastAsia="宋体" w:cs="宋体"/>
              <w:bCs/>
              <w:szCs w:val="28"/>
              <w:lang w:val="en-US" w:eastAsia="zh-CN"/>
            </w:rPr>
            <w:fldChar w:fldCharType="separate"/>
          </w:r>
          <w:r>
            <w:rPr>
              <w:rFonts w:hint="eastAsia" w:ascii="宋体" w:hAnsi="宋体" w:eastAsia="宋体" w:cs="宋体"/>
              <w:bCs/>
              <w:szCs w:val="32"/>
              <w:lang w:val="en-US" w:eastAsia="zh-CN"/>
            </w:rPr>
            <w:t xml:space="preserve">二、 </w:t>
          </w:r>
          <w:r>
            <w:rPr>
              <w:rFonts w:hint="eastAsia" w:ascii="黑体" w:hAnsi="黑体" w:eastAsia="黑体" w:cs="黑体"/>
              <w:bCs w:val="0"/>
              <w:szCs w:val="32"/>
              <w:lang w:val="en-US" w:eastAsia="zh-CN"/>
            </w:rPr>
            <w:t>事故发生经过</w:t>
          </w:r>
          <w:r>
            <w:tab/>
          </w:r>
          <w:r>
            <w:fldChar w:fldCharType="begin"/>
          </w:r>
          <w:r>
            <w:instrText xml:space="preserve"> PAGEREF _Toc29092 \h </w:instrText>
          </w:r>
          <w:r>
            <w:fldChar w:fldCharType="separate"/>
          </w:r>
          <w:r>
            <w:t>10</w:t>
          </w:r>
          <w:r>
            <w:fldChar w:fldCharType="end"/>
          </w:r>
          <w:r>
            <w:rPr>
              <w:rFonts w:hint="eastAsia" w:ascii="宋体" w:hAnsi="宋体" w:eastAsia="宋体" w:cs="宋体"/>
              <w:bCs/>
              <w:szCs w:val="28"/>
              <w:lang w:val="en-US" w:eastAsia="zh-CN"/>
            </w:rPr>
            <w:fldChar w:fldCharType="end"/>
          </w:r>
        </w:p>
        <w:p w14:paraId="06A536AF">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_Toc6098 </w:instrText>
          </w:r>
          <w:r>
            <w:rPr>
              <w:rFonts w:hint="eastAsia" w:ascii="宋体" w:hAnsi="宋体" w:eastAsia="宋体" w:cs="宋体"/>
              <w:bCs/>
              <w:szCs w:val="28"/>
              <w:lang w:val="en-US" w:eastAsia="zh-CN"/>
            </w:rPr>
            <w:fldChar w:fldCharType="separate"/>
          </w:r>
          <w:r>
            <w:rPr>
              <w:rFonts w:hint="eastAsia" w:ascii="宋体" w:hAnsi="宋体" w:eastAsia="宋体" w:cs="宋体"/>
              <w:bCs/>
              <w:szCs w:val="32"/>
              <w:lang w:val="en-US" w:eastAsia="zh-CN"/>
            </w:rPr>
            <w:t xml:space="preserve">三、 </w:t>
          </w:r>
          <w:r>
            <w:rPr>
              <w:rFonts w:hint="eastAsia" w:ascii="黑体" w:hAnsi="黑体" w:eastAsia="黑体" w:cs="黑体"/>
              <w:bCs w:val="0"/>
              <w:szCs w:val="32"/>
              <w:lang w:val="en-US" w:eastAsia="zh-CN"/>
            </w:rPr>
            <w:t>事故应急处置及善后情况</w:t>
          </w:r>
          <w:r>
            <w:tab/>
          </w:r>
          <w:r>
            <w:fldChar w:fldCharType="begin"/>
          </w:r>
          <w:r>
            <w:instrText xml:space="preserve"> PAGEREF _Toc6098 \h </w:instrText>
          </w:r>
          <w:r>
            <w:fldChar w:fldCharType="separate"/>
          </w:r>
          <w:r>
            <w:t>12</w:t>
          </w:r>
          <w:r>
            <w:fldChar w:fldCharType="end"/>
          </w:r>
          <w:r>
            <w:rPr>
              <w:rFonts w:hint="eastAsia" w:ascii="宋体" w:hAnsi="宋体" w:eastAsia="宋体" w:cs="宋体"/>
              <w:bCs/>
              <w:szCs w:val="28"/>
              <w:lang w:val="en-US" w:eastAsia="zh-CN"/>
            </w:rPr>
            <w:fldChar w:fldCharType="end"/>
          </w:r>
        </w:p>
        <w:p w14:paraId="207E6809">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_Toc27691 </w:instrText>
          </w:r>
          <w:r>
            <w:rPr>
              <w:rFonts w:hint="eastAsia" w:ascii="宋体" w:hAnsi="宋体" w:eastAsia="宋体" w:cs="宋体"/>
              <w:bCs/>
              <w:szCs w:val="28"/>
              <w:lang w:val="en-US" w:eastAsia="zh-CN"/>
            </w:rPr>
            <w:fldChar w:fldCharType="separate"/>
          </w:r>
          <w:r>
            <w:rPr>
              <w:rFonts w:hint="eastAsia" w:ascii="宋体" w:hAnsi="宋体" w:eastAsia="宋体" w:cs="宋体"/>
              <w:bCs/>
              <w:szCs w:val="32"/>
              <w:lang w:val="en-US" w:eastAsia="zh-CN"/>
            </w:rPr>
            <w:t xml:space="preserve">四、 </w:t>
          </w:r>
          <w:r>
            <w:rPr>
              <w:rFonts w:hint="default" w:ascii="黑体" w:hAnsi="黑体" w:eastAsia="黑体" w:cs="黑体"/>
              <w:bCs w:val="0"/>
              <w:szCs w:val="32"/>
              <w:lang w:val="en-US" w:eastAsia="zh-CN"/>
            </w:rPr>
            <w:t>事故发生的原因</w:t>
          </w:r>
          <w:r>
            <w:tab/>
          </w:r>
          <w:r>
            <w:fldChar w:fldCharType="begin"/>
          </w:r>
          <w:r>
            <w:instrText xml:space="preserve"> PAGEREF _Toc27691 \h </w:instrText>
          </w:r>
          <w:r>
            <w:fldChar w:fldCharType="separate"/>
          </w:r>
          <w:r>
            <w:t>12</w:t>
          </w:r>
          <w:r>
            <w:fldChar w:fldCharType="end"/>
          </w:r>
          <w:r>
            <w:rPr>
              <w:rFonts w:hint="eastAsia" w:ascii="宋体" w:hAnsi="宋体" w:eastAsia="宋体" w:cs="宋体"/>
              <w:bCs/>
              <w:szCs w:val="28"/>
              <w:lang w:val="en-US" w:eastAsia="zh-CN"/>
            </w:rPr>
            <w:fldChar w:fldCharType="end"/>
          </w:r>
        </w:p>
        <w:p w14:paraId="126388D8">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_Toc22887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（一）直接原因：</w:t>
          </w:r>
          <w:r>
            <w:tab/>
          </w:r>
          <w:r>
            <w:fldChar w:fldCharType="begin"/>
          </w:r>
          <w:r>
            <w:instrText xml:space="preserve"> PAGEREF _Toc22887 \h </w:instrText>
          </w:r>
          <w:r>
            <w:fldChar w:fldCharType="separate"/>
          </w:r>
          <w:r>
            <w:t>12</w:t>
          </w:r>
          <w:r>
            <w:fldChar w:fldCharType="end"/>
          </w:r>
          <w:r>
            <w:rPr>
              <w:rFonts w:hint="eastAsia" w:ascii="宋体" w:hAnsi="宋体" w:eastAsia="宋体" w:cs="宋体"/>
              <w:bCs/>
              <w:szCs w:val="28"/>
              <w:lang w:val="en-US" w:eastAsia="zh-CN"/>
            </w:rPr>
            <w:fldChar w:fldCharType="end"/>
          </w:r>
        </w:p>
        <w:p w14:paraId="7F8EB67C">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_Toc22029 </w:instrText>
          </w:r>
          <w:r>
            <w:rPr>
              <w:rFonts w:hint="eastAsia" w:ascii="宋体" w:hAnsi="宋体" w:eastAsia="宋体" w:cs="宋体"/>
              <w:bCs/>
              <w:szCs w:val="28"/>
              <w:lang w:val="en-US" w:eastAsia="zh-CN"/>
            </w:rPr>
            <w:fldChar w:fldCharType="separate"/>
          </w:r>
          <w:r>
            <w:rPr>
              <w:rFonts w:hint="eastAsia" w:ascii="楷体" w:hAnsi="楷体" w:eastAsia="楷体" w:cs="楷体"/>
              <w:bCs/>
              <w:szCs w:val="32"/>
              <w:lang w:val="en-US" w:eastAsia="zh-CN"/>
            </w:rPr>
            <w:t>（二）间接原因：</w:t>
          </w:r>
          <w:r>
            <w:tab/>
          </w:r>
          <w:r>
            <w:fldChar w:fldCharType="begin"/>
          </w:r>
          <w:r>
            <w:instrText xml:space="preserve"> PAGEREF _Toc22029 \h </w:instrText>
          </w:r>
          <w:r>
            <w:fldChar w:fldCharType="separate"/>
          </w:r>
          <w:r>
            <w:t>13</w:t>
          </w:r>
          <w:r>
            <w:fldChar w:fldCharType="end"/>
          </w:r>
          <w:r>
            <w:rPr>
              <w:rFonts w:hint="eastAsia" w:ascii="宋体" w:hAnsi="宋体" w:eastAsia="宋体" w:cs="宋体"/>
              <w:bCs/>
              <w:szCs w:val="28"/>
              <w:lang w:val="en-US" w:eastAsia="zh-CN"/>
            </w:rPr>
            <w:fldChar w:fldCharType="end"/>
          </w:r>
        </w:p>
        <w:p w14:paraId="132837FD">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_Toc1312 </w:instrText>
          </w:r>
          <w:r>
            <w:rPr>
              <w:rFonts w:hint="eastAsia" w:ascii="宋体" w:hAnsi="宋体" w:eastAsia="宋体" w:cs="宋体"/>
              <w:bCs/>
              <w:szCs w:val="28"/>
              <w:lang w:val="en-US" w:eastAsia="zh-CN"/>
            </w:rPr>
            <w:fldChar w:fldCharType="separate"/>
          </w:r>
          <w:r>
            <w:rPr>
              <w:rFonts w:hint="eastAsia" w:ascii="黑体" w:hAnsi="黑体" w:eastAsia="黑体" w:cs="黑体"/>
              <w:bCs w:val="0"/>
              <w:kern w:val="2"/>
              <w:szCs w:val="32"/>
              <w:lang w:val="en-US" w:eastAsia="zh-CN" w:bidi="ar-SA"/>
            </w:rPr>
            <w:t>六、</w:t>
          </w:r>
          <w:r>
            <w:rPr>
              <w:rFonts w:hint="default" w:ascii="黑体" w:hAnsi="黑体" w:eastAsia="黑体" w:cs="黑体"/>
              <w:bCs w:val="0"/>
              <w:kern w:val="2"/>
              <w:szCs w:val="32"/>
              <w:lang w:val="en-US" w:eastAsia="zh-CN" w:bidi="ar-SA"/>
            </w:rPr>
            <w:t>对有关责任人员和责任单位的处理建议</w:t>
          </w:r>
          <w:r>
            <w:tab/>
          </w:r>
          <w:r>
            <w:fldChar w:fldCharType="begin"/>
          </w:r>
          <w:r>
            <w:instrText xml:space="preserve"> PAGEREF _Toc1312 \h </w:instrText>
          </w:r>
          <w:r>
            <w:fldChar w:fldCharType="separate"/>
          </w:r>
          <w:r>
            <w:t>13</w:t>
          </w:r>
          <w:r>
            <w:fldChar w:fldCharType="end"/>
          </w:r>
          <w:r>
            <w:rPr>
              <w:rFonts w:hint="eastAsia" w:ascii="宋体" w:hAnsi="宋体" w:eastAsia="宋体" w:cs="宋体"/>
              <w:bCs/>
              <w:szCs w:val="28"/>
              <w:lang w:val="en-US" w:eastAsia="zh-CN"/>
            </w:rPr>
            <w:fldChar w:fldCharType="end"/>
          </w:r>
        </w:p>
        <w:p w14:paraId="7A0FE53F">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_Toc3725 </w:instrText>
          </w:r>
          <w:r>
            <w:rPr>
              <w:rFonts w:hint="eastAsia" w:ascii="宋体" w:hAnsi="宋体" w:eastAsia="宋体" w:cs="宋体"/>
              <w:bCs/>
              <w:szCs w:val="28"/>
              <w:lang w:val="en-US" w:eastAsia="zh-CN"/>
            </w:rPr>
            <w:fldChar w:fldCharType="separate"/>
          </w:r>
          <w:r>
            <w:rPr>
              <w:rFonts w:hint="eastAsia" w:ascii="楷体" w:hAnsi="楷体" w:eastAsia="楷体" w:cs="楷体"/>
              <w:bCs/>
              <w:kern w:val="2"/>
              <w:szCs w:val="32"/>
              <w:lang w:val="en-US" w:eastAsia="zh-CN" w:bidi="ar-SA"/>
            </w:rPr>
            <w:t>（一）对有关责任单位的处理建议</w:t>
          </w:r>
          <w:r>
            <w:tab/>
          </w:r>
          <w:r>
            <w:fldChar w:fldCharType="begin"/>
          </w:r>
          <w:r>
            <w:instrText xml:space="preserve"> PAGEREF _Toc3725 \h </w:instrText>
          </w:r>
          <w:r>
            <w:fldChar w:fldCharType="separate"/>
          </w:r>
          <w:r>
            <w:t>14</w:t>
          </w:r>
          <w:r>
            <w:fldChar w:fldCharType="end"/>
          </w:r>
          <w:r>
            <w:rPr>
              <w:rFonts w:hint="eastAsia" w:ascii="宋体" w:hAnsi="宋体" w:eastAsia="宋体" w:cs="宋体"/>
              <w:bCs/>
              <w:szCs w:val="28"/>
              <w:lang w:val="en-US" w:eastAsia="zh-CN"/>
            </w:rPr>
            <w:fldChar w:fldCharType="end"/>
          </w:r>
        </w:p>
        <w:p w14:paraId="61B47704">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_Toc12089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沈阳惠天热电股份有限公司</w:t>
          </w:r>
          <w:r>
            <w:tab/>
          </w:r>
          <w:r>
            <w:fldChar w:fldCharType="begin"/>
          </w:r>
          <w:r>
            <w:instrText xml:space="preserve"> PAGEREF _Toc12089 \h </w:instrText>
          </w:r>
          <w:r>
            <w:fldChar w:fldCharType="separate"/>
          </w:r>
          <w:r>
            <w:t>14</w:t>
          </w:r>
          <w:r>
            <w:fldChar w:fldCharType="end"/>
          </w:r>
          <w:r>
            <w:rPr>
              <w:rFonts w:hint="eastAsia" w:ascii="宋体" w:hAnsi="宋体" w:eastAsia="宋体" w:cs="宋体"/>
              <w:bCs/>
              <w:szCs w:val="28"/>
              <w:lang w:val="en-US" w:eastAsia="zh-CN"/>
            </w:rPr>
            <w:fldChar w:fldCharType="end"/>
          </w:r>
        </w:p>
        <w:p w14:paraId="5163E38C">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_Toc10769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沈阳惠天棋盘山供热有限责任公司</w:t>
          </w:r>
          <w:r>
            <w:tab/>
          </w:r>
          <w:r>
            <w:fldChar w:fldCharType="begin"/>
          </w:r>
          <w:r>
            <w:instrText xml:space="preserve"> PAGEREF _Toc10769 \h </w:instrText>
          </w:r>
          <w:r>
            <w:fldChar w:fldCharType="separate"/>
          </w:r>
          <w:r>
            <w:t>15</w:t>
          </w:r>
          <w:r>
            <w:fldChar w:fldCharType="end"/>
          </w:r>
          <w:r>
            <w:rPr>
              <w:rFonts w:hint="eastAsia" w:ascii="宋体" w:hAnsi="宋体" w:eastAsia="宋体" w:cs="宋体"/>
              <w:bCs/>
              <w:szCs w:val="28"/>
              <w:lang w:val="en-US" w:eastAsia="zh-CN"/>
            </w:rPr>
            <w:fldChar w:fldCharType="end"/>
          </w:r>
        </w:p>
        <w:p w14:paraId="679603AD">
          <w:pPr>
            <w:pStyle w:val="8"/>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_Toc10212 </w:instrText>
          </w:r>
          <w:r>
            <w:rPr>
              <w:rFonts w:hint="eastAsia" w:ascii="宋体" w:hAnsi="宋体" w:eastAsia="宋体" w:cs="宋体"/>
              <w:bCs/>
              <w:szCs w:val="28"/>
              <w:lang w:val="en-US" w:eastAsia="zh-CN"/>
            </w:rPr>
            <w:fldChar w:fldCharType="separate"/>
          </w:r>
          <w:r>
            <w:rPr>
              <w:rFonts w:hint="eastAsia" w:ascii="楷体" w:hAnsi="楷体" w:eastAsia="楷体" w:cs="楷体"/>
              <w:bCs/>
              <w:kern w:val="2"/>
              <w:szCs w:val="32"/>
              <w:lang w:val="en-US" w:eastAsia="zh-CN" w:bidi="ar-SA"/>
            </w:rPr>
            <w:t>（二）</w:t>
          </w:r>
          <w:r>
            <w:rPr>
              <w:rFonts w:hint="default" w:ascii="楷体" w:hAnsi="楷体" w:eastAsia="楷体" w:cs="楷体"/>
              <w:bCs/>
              <w:kern w:val="2"/>
              <w:szCs w:val="32"/>
              <w:lang w:val="en-US" w:eastAsia="zh-CN" w:bidi="ar-SA"/>
            </w:rPr>
            <w:t>对有关责任人员的处理建议</w:t>
          </w:r>
          <w:r>
            <w:tab/>
          </w:r>
          <w:r>
            <w:fldChar w:fldCharType="begin"/>
          </w:r>
          <w:r>
            <w:instrText xml:space="preserve"> PAGEREF _Toc10212 \h </w:instrText>
          </w:r>
          <w:r>
            <w:fldChar w:fldCharType="separate"/>
          </w:r>
          <w:r>
            <w:t>15</w:t>
          </w:r>
          <w:r>
            <w:fldChar w:fldCharType="end"/>
          </w:r>
          <w:r>
            <w:rPr>
              <w:rFonts w:hint="eastAsia" w:ascii="宋体" w:hAnsi="宋体" w:eastAsia="宋体" w:cs="宋体"/>
              <w:bCs/>
              <w:szCs w:val="28"/>
              <w:lang w:val="en-US" w:eastAsia="zh-CN"/>
            </w:rPr>
            <w:fldChar w:fldCharType="end"/>
          </w:r>
        </w:p>
        <w:p w14:paraId="66DB54C6">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_Toc5259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张XX</w:t>
          </w:r>
          <w:r>
            <w:tab/>
          </w:r>
          <w:r>
            <w:fldChar w:fldCharType="begin"/>
          </w:r>
          <w:r>
            <w:instrText xml:space="preserve"> PAGEREF _Toc5259 \h </w:instrText>
          </w:r>
          <w:r>
            <w:fldChar w:fldCharType="separate"/>
          </w:r>
          <w:r>
            <w:t>15</w:t>
          </w:r>
          <w:r>
            <w:fldChar w:fldCharType="end"/>
          </w:r>
          <w:r>
            <w:rPr>
              <w:rFonts w:hint="eastAsia" w:ascii="宋体" w:hAnsi="宋体" w:eastAsia="宋体" w:cs="宋体"/>
              <w:bCs/>
              <w:szCs w:val="28"/>
              <w:lang w:val="en-US" w:eastAsia="zh-CN"/>
            </w:rPr>
            <w:fldChar w:fldCharType="end"/>
          </w:r>
        </w:p>
        <w:p w14:paraId="6F6F38E3">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_Toc18596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唐XX</w:t>
          </w:r>
          <w:r>
            <w:tab/>
          </w:r>
          <w:r>
            <w:fldChar w:fldCharType="begin"/>
          </w:r>
          <w:r>
            <w:instrText xml:space="preserve"> PAGEREF _Toc18596 \h </w:instrText>
          </w:r>
          <w:r>
            <w:fldChar w:fldCharType="separate"/>
          </w:r>
          <w:r>
            <w:t>16</w:t>
          </w:r>
          <w:r>
            <w:fldChar w:fldCharType="end"/>
          </w:r>
          <w:r>
            <w:rPr>
              <w:rFonts w:hint="eastAsia" w:ascii="宋体" w:hAnsi="宋体" w:eastAsia="宋体" w:cs="宋体"/>
              <w:bCs/>
              <w:szCs w:val="28"/>
              <w:lang w:val="en-US" w:eastAsia="zh-CN"/>
            </w:rPr>
            <w:fldChar w:fldCharType="end"/>
          </w:r>
        </w:p>
        <w:p w14:paraId="46A1C146">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_Toc4758 </w:instrText>
          </w:r>
          <w:r>
            <w:rPr>
              <w:rFonts w:hint="eastAsia" w:ascii="宋体" w:hAnsi="宋体" w:eastAsia="宋体" w:cs="宋体"/>
              <w:bCs/>
              <w:szCs w:val="28"/>
              <w:lang w:val="en-US" w:eastAsia="zh-CN"/>
            </w:rPr>
            <w:fldChar w:fldCharType="separate"/>
          </w:r>
          <w:r>
            <w:rPr>
              <w:rFonts w:hint="eastAsia" w:ascii="黑体" w:hAnsi="黑体" w:eastAsia="黑体" w:cs="黑体"/>
              <w:bCs w:val="0"/>
              <w:kern w:val="2"/>
              <w:szCs w:val="32"/>
              <w:highlight w:val="none"/>
              <w:lang w:val="en-US" w:eastAsia="zh-CN" w:bidi="ar-SA"/>
            </w:rPr>
            <w:t>七、</w:t>
          </w:r>
          <w:r>
            <w:rPr>
              <w:rFonts w:hint="default" w:ascii="黑体" w:hAnsi="黑体" w:eastAsia="黑体" w:cs="黑体"/>
              <w:bCs w:val="0"/>
              <w:kern w:val="2"/>
              <w:szCs w:val="32"/>
              <w:highlight w:val="none"/>
              <w:lang w:val="en-US" w:eastAsia="zh-CN" w:bidi="ar-SA"/>
            </w:rPr>
            <w:t>事故防范及整改措施</w:t>
          </w:r>
          <w:r>
            <w:tab/>
          </w:r>
          <w:r>
            <w:fldChar w:fldCharType="begin"/>
          </w:r>
          <w:r>
            <w:instrText xml:space="preserve"> PAGEREF _Toc4758 \h </w:instrText>
          </w:r>
          <w:r>
            <w:fldChar w:fldCharType="separate"/>
          </w:r>
          <w:r>
            <w:t>16</w:t>
          </w:r>
          <w:r>
            <w:fldChar w:fldCharType="end"/>
          </w:r>
          <w:r>
            <w:rPr>
              <w:rFonts w:hint="eastAsia" w:ascii="宋体" w:hAnsi="宋体" w:eastAsia="宋体" w:cs="宋体"/>
              <w:bCs/>
              <w:szCs w:val="28"/>
              <w:lang w:val="en-US" w:eastAsia="zh-CN"/>
            </w:rPr>
            <w:fldChar w:fldCharType="end"/>
          </w:r>
        </w:p>
        <w:p w14:paraId="41A623F7">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_Toc22122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沈阳惠天热电股份有限公司</w:t>
          </w:r>
          <w:r>
            <w:tab/>
          </w:r>
          <w:r>
            <w:fldChar w:fldCharType="begin"/>
          </w:r>
          <w:r>
            <w:instrText xml:space="preserve"> PAGEREF _Toc22122 \h </w:instrText>
          </w:r>
          <w:r>
            <w:fldChar w:fldCharType="separate"/>
          </w:r>
          <w:r>
            <w:t>16</w:t>
          </w:r>
          <w:r>
            <w:fldChar w:fldCharType="end"/>
          </w:r>
          <w:r>
            <w:rPr>
              <w:rFonts w:hint="eastAsia" w:ascii="宋体" w:hAnsi="宋体" w:eastAsia="宋体" w:cs="宋体"/>
              <w:bCs/>
              <w:szCs w:val="28"/>
              <w:lang w:val="en-US" w:eastAsia="zh-CN"/>
            </w:rPr>
            <w:fldChar w:fldCharType="end"/>
          </w:r>
        </w:p>
        <w:p w14:paraId="7D53A884">
          <w:pPr>
            <w:pStyle w:val="6"/>
            <w:tabs>
              <w:tab w:val="right" w:leader="dot" w:pos="8306"/>
            </w:tabs>
          </w:pPr>
          <w:r>
            <w:rPr>
              <w:rFonts w:hint="eastAsia" w:ascii="宋体" w:hAnsi="宋体" w:eastAsia="宋体" w:cs="宋体"/>
              <w:bCs/>
              <w:szCs w:val="28"/>
              <w:lang w:val="en-US" w:eastAsia="zh-CN"/>
            </w:rPr>
            <w:fldChar w:fldCharType="begin"/>
          </w:r>
          <w:r>
            <w:rPr>
              <w:rFonts w:hint="eastAsia" w:ascii="宋体" w:hAnsi="宋体" w:eastAsia="宋体" w:cs="宋体"/>
              <w:bCs/>
              <w:szCs w:val="28"/>
              <w:lang w:val="en-US" w:eastAsia="zh-CN"/>
            </w:rPr>
            <w:instrText xml:space="preserve"> HYPERLINK \l _Toc26472 </w:instrText>
          </w:r>
          <w:r>
            <w:rPr>
              <w:rFonts w:hint="eastAsia" w:ascii="宋体" w:hAnsi="宋体" w:eastAsia="宋体" w:cs="宋体"/>
              <w:bCs/>
              <w:szCs w:val="28"/>
              <w:lang w:val="en-US" w:eastAsia="zh-CN"/>
            </w:rPr>
            <w:fldChar w:fldCharType="separate"/>
          </w:r>
          <w:r>
            <w:rPr>
              <w:rFonts w:hint="eastAsia" w:ascii="仿宋" w:hAnsi="仿宋" w:eastAsia="仿宋" w:cs="仿宋"/>
              <w:bCs/>
              <w:szCs w:val="32"/>
              <w:lang w:val="en-US" w:eastAsia="zh-CN"/>
            </w:rPr>
            <w:t>沈阳惠天棋盘山供热有限责任公司</w:t>
          </w:r>
          <w:r>
            <w:tab/>
          </w:r>
          <w:r>
            <w:fldChar w:fldCharType="begin"/>
          </w:r>
          <w:r>
            <w:instrText xml:space="preserve"> PAGEREF _Toc26472 \h </w:instrText>
          </w:r>
          <w:r>
            <w:fldChar w:fldCharType="separate"/>
          </w:r>
          <w:r>
            <w:t>16</w:t>
          </w:r>
          <w:r>
            <w:fldChar w:fldCharType="end"/>
          </w:r>
          <w:r>
            <w:rPr>
              <w:rFonts w:hint="eastAsia" w:ascii="宋体" w:hAnsi="宋体" w:eastAsia="宋体" w:cs="宋体"/>
              <w:bCs/>
              <w:szCs w:val="28"/>
              <w:lang w:val="en-US" w:eastAsia="zh-CN"/>
            </w:rPr>
            <w:fldChar w:fldCharType="end"/>
          </w:r>
        </w:p>
        <w:p w14:paraId="31C49F52">
          <w:pPr>
            <w:keepNext w:val="0"/>
            <w:keepLines w:val="0"/>
            <w:pageBreakBefore w:val="0"/>
            <w:widowControl w:val="0"/>
            <w:kinsoku/>
            <w:wordWrap/>
            <w:overflowPunct/>
            <w:topLinePunct w:val="0"/>
            <w:autoSpaceDE/>
            <w:autoSpaceDN/>
            <w:bidi w:val="0"/>
            <w:adjustRightInd/>
            <w:snapToGrid/>
            <w:spacing w:line="460" w:lineRule="exact"/>
            <w:jc w:val="center"/>
            <w:textAlignment w:val="auto"/>
            <w:outlineLvl w:val="9"/>
            <w:rPr>
              <w:rFonts w:hint="eastAsia" w:ascii="宋体" w:hAnsi="宋体" w:eastAsia="宋体" w:cs="宋体"/>
              <w:bCs/>
              <w:kern w:val="2"/>
              <w:sz w:val="28"/>
              <w:szCs w:val="56"/>
              <w:lang w:val="en-US" w:eastAsia="zh-CN" w:bidi="ar-SA"/>
            </w:rPr>
          </w:pPr>
          <w:r>
            <w:rPr>
              <w:rFonts w:hint="eastAsia" w:ascii="宋体" w:hAnsi="宋体" w:eastAsia="宋体" w:cs="宋体"/>
              <w:bCs/>
              <w:szCs w:val="28"/>
              <w:lang w:val="en-US" w:eastAsia="zh-CN"/>
            </w:rPr>
            <w:fldChar w:fldCharType="end"/>
          </w:r>
        </w:p>
      </w:sdtContent>
    </w:sdt>
    <w:p w14:paraId="27B3C321">
      <w:pPr>
        <w:jc w:val="center"/>
        <w:outlineLvl w:val="9"/>
        <w:rPr>
          <w:rFonts w:hint="eastAsia" w:ascii="宋体" w:hAnsi="宋体" w:eastAsia="宋体" w:cs="宋体"/>
          <w:bCs/>
          <w:kern w:val="2"/>
          <w:sz w:val="28"/>
          <w:szCs w:val="56"/>
          <w:lang w:val="en-US" w:eastAsia="zh-CN" w:bidi="ar-SA"/>
        </w:rPr>
        <w:sectPr>
          <w:footerReference r:id="rId5" w:type="default"/>
          <w:pgSz w:w="11906" w:h="16838"/>
          <w:pgMar w:top="1440" w:right="1800" w:bottom="1440" w:left="1800" w:header="851" w:footer="992" w:gutter="0"/>
          <w:pgNumType w:start="1"/>
          <w:cols w:space="425" w:num="1"/>
          <w:docGrid w:type="lines" w:linePitch="312" w:charSpace="0"/>
        </w:sectPr>
      </w:pPr>
    </w:p>
    <w:bookmarkEnd w:id="0"/>
    <w:bookmarkEnd w:id="1"/>
    <w:p w14:paraId="48E32F49">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eastAsia"/>
          <w:b/>
          <w:bCs/>
          <w:sz w:val="44"/>
          <w:szCs w:val="44"/>
          <w:lang w:val="en-US" w:eastAsia="zh-CN"/>
        </w:rPr>
      </w:pPr>
      <w:r>
        <w:rPr>
          <w:rFonts w:hint="eastAsia"/>
          <w:b/>
          <w:bCs/>
          <w:sz w:val="44"/>
          <w:szCs w:val="44"/>
          <w:lang w:val="en-US" w:eastAsia="zh-CN"/>
        </w:rPr>
        <w:t>辽宁明兴建设安装有限公司“10.13”一般</w:t>
      </w:r>
    </w:p>
    <w:p w14:paraId="668AAA5E">
      <w:pPr>
        <w:keepNext w:val="0"/>
        <w:keepLines w:val="0"/>
        <w:pageBreakBefore w:val="0"/>
        <w:widowControl w:val="0"/>
        <w:kinsoku/>
        <w:wordWrap/>
        <w:overflowPunct/>
        <w:topLinePunct w:val="0"/>
        <w:autoSpaceDE/>
        <w:autoSpaceDN/>
        <w:bidi w:val="0"/>
        <w:adjustRightInd/>
        <w:snapToGrid/>
        <w:spacing w:line="560" w:lineRule="exact"/>
        <w:ind w:left="442" w:hanging="442" w:hangingChars="100"/>
        <w:jc w:val="center"/>
        <w:textAlignment w:val="auto"/>
        <w:rPr>
          <w:rFonts w:hint="default" w:ascii="宋体" w:hAnsi="宋体" w:eastAsia="宋体" w:cs="宋体"/>
          <w:bCs/>
          <w:kern w:val="2"/>
          <w:sz w:val="21"/>
          <w:szCs w:val="44"/>
          <w:lang w:val="en-US" w:eastAsia="zh-CN" w:bidi="ar-SA"/>
        </w:rPr>
      </w:pPr>
      <w:r>
        <w:rPr>
          <w:rFonts w:hint="eastAsia"/>
          <w:b/>
          <w:bCs/>
          <w:sz w:val="44"/>
          <w:szCs w:val="44"/>
          <w:lang w:val="en-US" w:eastAsia="zh-CN"/>
        </w:rPr>
        <w:t>坍塌事故调查报告</w:t>
      </w:r>
    </w:p>
    <w:p w14:paraId="2031F527">
      <w:pPr>
        <w:jc w:val="center"/>
        <w:rPr>
          <w:rFonts w:hint="eastAsia" w:ascii="宋体" w:hAnsi="宋体" w:eastAsia="宋体" w:cs="宋体"/>
          <w:b/>
          <w:bCs/>
          <w:sz w:val="44"/>
          <w:szCs w:val="44"/>
          <w:lang w:val="en-US" w:eastAsia="zh-CN"/>
        </w:rPr>
      </w:pPr>
    </w:p>
    <w:p w14:paraId="7C27AC01">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w:t>
      </w:r>
      <w:r>
        <w:rPr>
          <w:rFonts w:hint="eastAsia" w:ascii="仿宋" w:hAnsi="仿宋" w:eastAsia="仿宋" w:cs="仿宋"/>
          <w:sz w:val="32"/>
          <w:szCs w:val="32"/>
          <w:lang w:val="en-US" w:eastAsia="zh-CN"/>
        </w:rPr>
        <w:t>10</w:t>
      </w:r>
      <w:r>
        <w:rPr>
          <w:rFonts w:hint="eastAsia" w:ascii="仿宋" w:hAnsi="仿宋" w:eastAsia="仿宋" w:cs="仿宋"/>
          <w:sz w:val="32"/>
          <w:szCs w:val="32"/>
        </w:rPr>
        <w:t>月</w:t>
      </w:r>
      <w:r>
        <w:rPr>
          <w:rFonts w:hint="eastAsia" w:ascii="仿宋" w:hAnsi="仿宋" w:eastAsia="仿宋" w:cs="仿宋"/>
          <w:sz w:val="32"/>
          <w:szCs w:val="32"/>
          <w:lang w:val="en-US" w:eastAsia="zh-CN"/>
        </w:rPr>
        <w:t>13</w:t>
      </w:r>
      <w:r>
        <w:rPr>
          <w:rFonts w:hint="eastAsia" w:ascii="仿宋" w:hAnsi="仿宋" w:eastAsia="仿宋" w:cs="仿宋"/>
          <w:sz w:val="32"/>
          <w:szCs w:val="32"/>
        </w:rPr>
        <w:t>日</w:t>
      </w:r>
      <w:r>
        <w:rPr>
          <w:rFonts w:hint="eastAsia" w:ascii="仿宋" w:hAnsi="仿宋" w:eastAsia="仿宋" w:cs="仿宋"/>
          <w:sz w:val="32"/>
          <w:szCs w:val="32"/>
          <w:lang w:val="en-US" w:eastAsia="zh-CN"/>
        </w:rPr>
        <w:t>9</w:t>
      </w:r>
      <w:r>
        <w:rPr>
          <w:rFonts w:hint="eastAsia" w:ascii="仿宋" w:hAnsi="仿宋" w:eastAsia="仿宋" w:cs="仿宋"/>
          <w:sz w:val="32"/>
          <w:szCs w:val="32"/>
        </w:rPr>
        <w:t>时</w:t>
      </w:r>
      <w:r>
        <w:rPr>
          <w:rFonts w:hint="eastAsia" w:ascii="仿宋" w:hAnsi="仿宋" w:eastAsia="仿宋" w:cs="仿宋"/>
          <w:sz w:val="32"/>
          <w:szCs w:val="32"/>
          <w:lang w:val="en-US" w:eastAsia="zh-CN"/>
        </w:rPr>
        <w:t>30分许</w:t>
      </w:r>
      <w:r>
        <w:rPr>
          <w:rFonts w:hint="eastAsia" w:ascii="仿宋" w:hAnsi="仿宋" w:eastAsia="仿宋" w:cs="仿宋"/>
          <w:sz w:val="32"/>
          <w:szCs w:val="32"/>
        </w:rPr>
        <w:t>，</w:t>
      </w:r>
      <w:r>
        <w:rPr>
          <w:rFonts w:hint="eastAsia" w:ascii="仿宋" w:hAnsi="仿宋" w:eastAsia="仿宋" w:cs="仿宋"/>
          <w:sz w:val="32"/>
          <w:szCs w:val="32"/>
          <w:lang w:val="en-US" w:eastAsia="zh-CN"/>
        </w:rPr>
        <w:t>在浑南区高坎街道汇置山湖二期北侧围挡五号配电室西侧一米处一基坑发生一起一般坍塌事故。事故</w:t>
      </w:r>
      <w:r>
        <w:rPr>
          <w:rFonts w:hint="eastAsia" w:ascii="仿宋" w:hAnsi="仿宋" w:eastAsia="仿宋" w:cs="仿宋"/>
          <w:sz w:val="32"/>
          <w:szCs w:val="32"/>
        </w:rPr>
        <w:t>造成1人死亡</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直接经济损失100万元。依据《生产安全事故报告和调查处理条例》（国务院第493号令），浑南区政府于10月17日成立了由区应急管理局为组长单位，</w:t>
      </w:r>
      <w:r>
        <w:rPr>
          <w:rFonts w:hint="eastAsia" w:ascii="仿宋" w:hAnsi="仿宋" w:eastAsia="仿宋" w:cs="仿宋"/>
          <w:color w:val="000000"/>
          <w:kern w:val="0"/>
          <w:sz w:val="31"/>
          <w:szCs w:val="31"/>
          <w:lang w:val="en-US" w:eastAsia="zh-CN" w:bidi="ar"/>
        </w:rPr>
        <w:t>区总工会、区人社局、市公安局浑南分局、</w:t>
      </w:r>
      <w:r>
        <w:rPr>
          <w:rFonts w:hint="eastAsia" w:ascii="仿宋" w:hAnsi="仿宋" w:eastAsia="仿宋" w:cs="仿宋"/>
          <w:sz w:val="32"/>
          <w:szCs w:val="32"/>
          <w:lang w:val="en-US" w:eastAsia="zh-CN"/>
        </w:rPr>
        <w:t>区房产局、区城建局为成员单位的辽宁明兴建设安装有限公司“10.13”一般坍塌事故调查组（以下简称调查组），同时邀请区检察院派员参加，依法对该起事故进行全面调查。调查组按照“科学严谨、依法依规、实事求是、注重实效”和“四不放过”的原则，通过现场勘察、调阅资料、询问谈话、技术分析、调取相关人员急诊病历等方式，查明事故发生的原因、经过，认定了事故性质，提出了对责任单位及责任人员的处理建议和事故防范的工作建议。</w:t>
      </w:r>
    </w:p>
    <w:p w14:paraId="30D9A9FF">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经调查组认定：辽宁明兴建设安装有限公司“10.13”一般坍塌事故是一起由于施工单位安全管理缺失导致的生产安全责任事故。</w:t>
      </w:r>
    </w:p>
    <w:p w14:paraId="582A6534">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现将事故调查情况报告如下：</w:t>
      </w:r>
    </w:p>
    <w:p w14:paraId="1AC4BA83">
      <w:pPr>
        <w:keepNext w:val="0"/>
        <w:keepLines w:val="0"/>
        <w:pageBreakBefore w:val="0"/>
        <w:widowControl w:val="0"/>
        <w:numPr>
          <w:ilvl w:val="0"/>
          <w:numId w:val="1"/>
        </w:numPr>
        <w:kinsoku/>
        <w:wordWrap/>
        <w:overflowPunct/>
        <w:topLinePunct w:val="0"/>
        <w:autoSpaceDE/>
        <w:autoSpaceDN/>
        <w:bidi w:val="0"/>
        <w:adjustRightInd/>
        <w:snapToGrid/>
        <w:spacing w:line="579" w:lineRule="exact"/>
        <w:ind w:firstLine="640" w:firstLineChars="200"/>
        <w:jc w:val="left"/>
        <w:textAlignment w:val="auto"/>
        <w:outlineLvl w:val="0"/>
        <w:rPr>
          <w:rFonts w:hint="eastAsia" w:ascii="黑体" w:hAnsi="黑体" w:eastAsia="黑体" w:cs="黑体"/>
          <w:b w:val="0"/>
          <w:bCs w:val="0"/>
          <w:sz w:val="32"/>
          <w:szCs w:val="32"/>
          <w:lang w:val="en-US" w:eastAsia="zh-CN"/>
        </w:rPr>
      </w:pPr>
      <w:bookmarkStart w:id="2" w:name="_Toc12184"/>
      <w:bookmarkStart w:id="3" w:name="_Toc1420"/>
      <w:r>
        <w:rPr>
          <w:rFonts w:hint="eastAsia" w:ascii="黑体" w:hAnsi="黑体" w:eastAsia="黑体" w:cs="黑体"/>
          <w:b w:val="0"/>
          <w:bCs w:val="0"/>
          <w:sz w:val="32"/>
          <w:szCs w:val="32"/>
          <w:lang w:val="en-US" w:eastAsia="zh-CN"/>
        </w:rPr>
        <w:t>事故基本情况</w:t>
      </w:r>
      <w:bookmarkEnd w:id="2"/>
      <w:bookmarkEnd w:id="3"/>
    </w:p>
    <w:p w14:paraId="2E14A7A1">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outlineLvl w:val="1"/>
        <w:rPr>
          <w:rFonts w:hint="eastAsia" w:ascii="楷体" w:hAnsi="楷体" w:eastAsia="楷体" w:cs="楷体"/>
          <w:b/>
          <w:bCs/>
          <w:sz w:val="32"/>
          <w:szCs w:val="32"/>
          <w:lang w:val="en-US" w:eastAsia="zh-CN"/>
        </w:rPr>
      </w:pPr>
      <w:bookmarkStart w:id="4" w:name="_Toc8893"/>
      <w:bookmarkStart w:id="5" w:name="_Toc25746"/>
      <w:r>
        <w:rPr>
          <w:rFonts w:hint="eastAsia" w:ascii="楷体" w:hAnsi="楷体" w:eastAsia="楷体" w:cs="楷体"/>
          <w:b/>
          <w:bCs/>
          <w:sz w:val="32"/>
          <w:szCs w:val="32"/>
          <w:lang w:val="en-US" w:eastAsia="zh-CN"/>
        </w:rPr>
        <w:t>（一）相关单位基本情况</w:t>
      </w:r>
      <w:bookmarkEnd w:id="4"/>
      <w:bookmarkEnd w:id="5"/>
    </w:p>
    <w:p w14:paraId="18544873">
      <w:pPr>
        <w:keepNext w:val="0"/>
        <w:keepLines w:val="0"/>
        <w:pageBreakBefore w:val="0"/>
        <w:widowControl w:val="0"/>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1.总公司：</w:t>
      </w:r>
      <w:r>
        <w:rPr>
          <w:rFonts w:hint="eastAsia" w:ascii="仿宋" w:hAnsi="仿宋" w:eastAsia="仿宋" w:cs="仿宋"/>
          <w:sz w:val="32"/>
          <w:szCs w:val="32"/>
          <w:lang w:val="en-US" w:eastAsia="zh-CN"/>
        </w:rPr>
        <w:t>沈阳惠天热电股份有限公司</w:t>
      </w:r>
      <w:r>
        <w:rPr>
          <w:rFonts w:hint="eastAsia" w:ascii="仿宋" w:hAnsi="仿宋" w:eastAsia="仿宋" w:cs="仿宋"/>
          <w:b w:val="0"/>
          <w:bCs w:val="0"/>
          <w:sz w:val="32"/>
          <w:szCs w:val="40"/>
          <w:lang w:val="en-US" w:eastAsia="zh-CN"/>
        </w:rPr>
        <w:t>（以下简称</w:t>
      </w:r>
      <w:r>
        <w:rPr>
          <w:rFonts w:hint="eastAsia" w:ascii="仿宋" w:hAnsi="仿宋" w:eastAsia="仿宋" w:cs="仿宋"/>
          <w:sz w:val="32"/>
          <w:szCs w:val="32"/>
          <w:lang w:val="en-US" w:eastAsia="zh-CN"/>
        </w:rPr>
        <w:t>惠天总部</w:t>
      </w:r>
      <w:r>
        <w:rPr>
          <w:rFonts w:hint="eastAsia" w:ascii="仿宋" w:hAnsi="仿宋" w:eastAsia="仿宋" w:cs="仿宋"/>
          <w:b w:val="0"/>
          <w:bCs w:val="0"/>
          <w:sz w:val="32"/>
          <w:szCs w:val="40"/>
          <w:lang w:val="en-US" w:eastAsia="zh-CN"/>
        </w:rPr>
        <w:t>）</w:t>
      </w:r>
    </w:p>
    <w:p w14:paraId="3C7FEAB8">
      <w:pPr>
        <w:keepNext w:val="0"/>
        <w:keepLines w:val="0"/>
        <w:pageBreakBefore w:val="0"/>
        <w:widowControl w:val="0"/>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企业类型：股份有限公司(上市、国有控股）</w:t>
      </w:r>
    </w:p>
    <w:p w14:paraId="064E215E">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法定代表人：郝X</w:t>
      </w:r>
    </w:p>
    <w:p w14:paraId="7EF00247">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统一社会信用代码：912XXXX02434901556</w:t>
      </w:r>
    </w:p>
    <w:p w14:paraId="5EADB53A">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成立日期：1993年12月28日</w:t>
      </w:r>
    </w:p>
    <w:p w14:paraId="32C44029">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注册资本：53,283.2976万(元)</w:t>
      </w:r>
    </w:p>
    <w:p w14:paraId="6CE3D24E">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注册地址：沈阳市沈河区热闹路XX号</w:t>
      </w:r>
    </w:p>
    <w:p w14:paraId="609EA75E">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许可项目：供暖服务；建设工程施工；发电业务、输电业务、供（配）电业务；供电业务；输电、供电、受电电力设施的安装、维修和试验；电气安装服务。（依法须经批准的项目，经相关部门批准后方可开展经营活动，具体经营项目以相关部门批准文件或许可证件为准）一般项目：热力生产和供应；普通机械设备安装服务；金属结构制造；输配电及控制设备制造；储能技术服务；人工智能基础软件开发；租赁服务（不含许可类租赁服务）；住房租赁；非金属矿及制品销售；化肥销售；建筑材料销售；太阳能发电技术服务；新兴能源技术研发；供冷服务；电动汽车充电基础设施运营；集中式快速充电站；风力发电技术服务；信息系统集成服务；信息系统运行维护服务；合同能源管理；技术服务、技术开发、技术咨询、技术交流、技术转让、技术推广。（除依法须经批准的项目外，凭营业执照依法自主开展经营活动）。</w:t>
      </w:r>
    </w:p>
    <w:p w14:paraId="4A6C554A">
      <w:pPr>
        <w:keepNext w:val="0"/>
        <w:keepLines w:val="0"/>
        <w:pageBreakBefore w:val="0"/>
        <w:widowControl w:val="0"/>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2.子公司：</w:t>
      </w:r>
      <w:r>
        <w:rPr>
          <w:rFonts w:hint="eastAsia" w:ascii="仿宋" w:hAnsi="仿宋" w:eastAsia="仿宋" w:cs="仿宋"/>
          <w:sz w:val="32"/>
          <w:szCs w:val="32"/>
          <w:lang w:val="en-US" w:eastAsia="zh-CN"/>
        </w:rPr>
        <w:t>沈阳惠天棋盘山供热有限责任公司</w:t>
      </w:r>
      <w:r>
        <w:rPr>
          <w:rFonts w:hint="eastAsia" w:ascii="仿宋" w:hAnsi="仿宋" w:eastAsia="仿宋" w:cs="仿宋"/>
          <w:b w:val="0"/>
          <w:bCs w:val="0"/>
          <w:sz w:val="32"/>
          <w:szCs w:val="40"/>
          <w:lang w:val="en-US" w:eastAsia="zh-CN"/>
        </w:rPr>
        <w:t>（以下简称</w:t>
      </w:r>
      <w:r>
        <w:rPr>
          <w:rFonts w:hint="eastAsia" w:ascii="仿宋" w:hAnsi="仿宋" w:eastAsia="仿宋" w:cs="仿宋"/>
          <w:sz w:val="32"/>
          <w:szCs w:val="32"/>
          <w:lang w:val="en-US" w:eastAsia="zh-CN"/>
        </w:rPr>
        <w:t>棋盘山惠天</w:t>
      </w:r>
      <w:r>
        <w:rPr>
          <w:rFonts w:hint="eastAsia" w:ascii="仿宋" w:hAnsi="仿宋" w:eastAsia="仿宋" w:cs="仿宋"/>
          <w:b w:val="0"/>
          <w:bCs w:val="0"/>
          <w:sz w:val="32"/>
          <w:szCs w:val="40"/>
          <w:lang w:val="en-US" w:eastAsia="zh-CN"/>
        </w:rPr>
        <w:t>）</w:t>
      </w:r>
    </w:p>
    <w:p w14:paraId="69FED5C3">
      <w:pPr>
        <w:keepNext w:val="0"/>
        <w:keepLines w:val="0"/>
        <w:pageBreakBefore w:val="0"/>
        <w:widowControl w:val="0"/>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企业类型：其他有限责任公司</w:t>
      </w:r>
    </w:p>
    <w:p w14:paraId="79520181">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法定代表人：杨X</w:t>
      </w:r>
    </w:p>
    <w:p w14:paraId="748E3B9D">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统一社会信用代码：912XXXX2780075774C</w:t>
      </w:r>
    </w:p>
    <w:p w14:paraId="34E6A4D7">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成立日期：2005年11月9日</w:t>
      </w:r>
    </w:p>
    <w:p w14:paraId="614A675F">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注册资本：3000万(元)</w:t>
      </w:r>
    </w:p>
    <w:p w14:paraId="2863A7A1">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注册地址：沈阳市东陵区高坎镇XX村</w:t>
      </w:r>
    </w:p>
    <w:p w14:paraId="3C6E496E">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许可项目：无 一般经营项目：供热，安装工程，供热技术咨询,水暖材料销售。（依法须经批准的项目，经相关部门批准后方可开展经营活动。）</w:t>
      </w:r>
    </w:p>
    <w:p w14:paraId="7ED26D42">
      <w:pPr>
        <w:keepNext w:val="0"/>
        <w:keepLines w:val="0"/>
        <w:pageBreakBefore w:val="0"/>
        <w:widowControl w:val="0"/>
        <w:kinsoku/>
        <w:wordWrap w:val="0"/>
        <w:overflowPunct/>
        <w:topLinePunct w:val="0"/>
        <w:autoSpaceDE/>
        <w:autoSpaceDN/>
        <w:bidi w:val="0"/>
        <w:adjustRightInd/>
        <w:snapToGrid/>
        <w:spacing w:line="579" w:lineRule="exact"/>
        <w:ind w:firstLine="640" w:firstLineChars="200"/>
        <w:jc w:val="left"/>
        <w:textAlignment w:val="auto"/>
        <w:rPr>
          <w:rFonts w:hint="default" w:ascii="仿宋" w:hAnsi="仿宋" w:eastAsia="仿宋" w:cs="仿宋"/>
          <w:sz w:val="32"/>
          <w:szCs w:val="32"/>
          <w:lang w:val="en-US" w:eastAsia="zh-CN"/>
        </w:rPr>
      </w:pPr>
      <w:r>
        <w:rPr>
          <w:rFonts w:hint="eastAsia" w:ascii="仿宋" w:hAnsi="仿宋" w:eastAsia="仿宋" w:cs="仿宋"/>
          <w:b w:val="0"/>
          <w:bCs w:val="0"/>
          <w:sz w:val="32"/>
          <w:szCs w:val="40"/>
          <w:lang w:val="en-US" w:eastAsia="zh-CN"/>
        </w:rPr>
        <w:t>3.中标公司：</w:t>
      </w:r>
      <w:r>
        <w:rPr>
          <w:rFonts w:hint="eastAsia" w:ascii="仿宋" w:hAnsi="仿宋" w:eastAsia="仿宋" w:cs="仿宋"/>
          <w:sz w:val="32"/>
          <w:szCs w:val="32"/>
          <w:lang w:val="en-US" w:eastAsia="zh-CN"/>
        </w:rPr>
        <w:t>辽宁明兴建设安装有限公司（以下简称明兴公司）</w:t>
      </w:r>
    </w:p>
    <w:p w14:paraId="4B0C5DEC">
      <w:pPr>
        <w:keepNext w:val="0"/>
        <w:keepLines w:val="0"/>
        <w:pageBreakBefore w:val="0"/>
        <w:widowControl w:val="0"/>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企业类型：有限责任公司（自然人投资或控股）</w:t>
      </w:r>
    </w:p>
    <w:p w14:paraId="6AB61966">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法定代表人：薛XX</w:t>
      </w:r>
    </w:p>
    <w:p w14:paraId="2B27B407">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统一社会信用代码：912XXXX10571678488</w:t>
      </w:r>
    </w:p>
    <w:p w14:paraId="1834B6E7">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成立日期：2013年1月10日</w:t>
      </w:r>
    </w:p>
    <w:p w14:paraId="4FFB23AA">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注册资本：10000万(元)</w:t>
      </w:r>
    </w:p>
    <w:p w14:paraId="626830EC">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注册地址：新民市金五台子乡XX村</w:t>
      </w:r>
    </w:p>
    <w:p w14:paraId="5BE49E81">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仿宋" w:hAnsi="仿宋" w:eastAsia="仿宋" w:cs="仿宋"/>
          <w:b w:val="0"/>
          <w:bCs w:val="0"/>
          <w:sz w:val="32"/>
          <w:szCs w:val="40"/>
          <w:lang w:val="en-US" w:eastAsia="zh-CN"/>
        </w:rPr>
      </w:pPr>
      <w:r>
        <w:rPr>
          <w:rFonts w:hint="eastAsia" w:ascii="仿宋" w:hAnsi="仿宋" w:eastAsia="仿宋" w:cs="仿宋"/>
          <w:b w:val="0"/>
          <w:bCs w:val="0"/>
          <w:sz w:val="32"/>
          <w:szCs w:val="40"/>
          <w:lang w:val="en-US" w:eastAsia="zh-CN"/>
        </w:rPr>
        <w:t>许可项目：建设工程施工；建设工程设计；施工专业作业；输电、供电、受电电力设施的安装、维修和试验；电气安装服务；文物保护工程施工；公路管理与养护；文物保护工程设计；建筑劳务分包；建筑物拆除作业（爆破作业除外）；医用口罩生产；医护人员防护用品生产（Ⅱ类医疗器械）；特种设备安装改造修理；建筑智能化系统设计。（依法须经批准的项目，经相关部门批准后方可开展经营活动，具体经营项目以相关部门批准文件或许可证件为准）一般项目：生产性废旧金属回收；再生资源回收（除生产性废旧金属）；特种劳动防护用品生产；建筑工程机械与设备租赁；承接总公司工程建设业务；建筑防水卷材产品销售；园林绿化工程施工；土石方工程施工；防腐材料销售；保温材料销售；医护人员防护用品批发；日用口罩（非医用）销售；日用口罩（非医用）生产；电气设备销售；机械设备租赁；普通机械设备安装服务；仪器仪表销售；配电开关控制设备销售；智能输配电及控制设备销售；机械电气设备销售；电气设备修理；五金产品零售；特种劳动防护用品销售；电力设施器材销售；工程技术服务（规划管理、勘察、设计、监理除外）；建筑材料销售；医护人员防护用品生产（Ⅰ类医疗器械）；电线、电缆经营；特种设备销售；污水处理及其再生利用；市政设施管理；环境保护专用设备销售；工业工程设计服务；电工仪器仪表制造；工程管理服务；城市绿化管理；医护人员防护用品零售。（除依法须经批准的项目外，凭营业执照依法自主开展经营活动）</w:t>
      </w:r>
    </w:p>
    <w:p w14:paraId="33E05FC1">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仿宋" w:hAnsi="仿宋" w:eastAsia="仿宋" w:cs="仿宋"/>
          <w:b w:val="0"/>
          <w:bCs w:val="0"/>
          <w:sz w:val="32"/>
          <w:szCs w:val="40"/>
          <w:lang w:val="en-US" w:eastAsia="zh-CN"/>
        </w:rPr>
      </w:pPr>
    </w:p>
    <w:p w14:paraId="4FA67638">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outlineLvl w:val="1"/>
        <w:rPr>
          <w:rFonts w:hint="eastAsia" w:ascii="楷体" w:hAnsi="楷体" w:eastAsia="楷体" w:cs="楷体"/>
          <w:b/>
          <w:bCs/>
          <w:sz w:val="32"/>
          <w:szCs w:val="32"/>
          <w:lang w:val="en-US" w:eastAsia="zh-CN"/>
        </w:rPr>
      </w:pPr>
      <w:bookmarkStart w:id="6" w:name="_Toc22438"/>
      <w:bookmarkStart w:id="7" w:name="_Toc17979"/>
      <w:r>
        <w:rPr>
          <w:rFonts w:hint="eastAsia" w:ascii="楷体" w:hAnsi="楷体" w:eastAsia="楷体" w:cs="楷体"/>
          <w:b/>
          <w:bCs/>
          <w:sz w:val="32"/>
          <w:szCs w:val="32"/>
          <w:lang w:val="en-US" w:eastAsia="zh-CN"/>
        </w:rPr>
        <w:t>（二）相关人员</w:t>
      </w:r>
      <w:bookmarkEnd w:id="6"/>
      <w:r>
        <w:rPr>
          <w:rFonts w:hint="eastAsia" w:ascii="楷体" w:hAnsi="楷体" w:eastAsia="楷体" w:cs="楷体"/>
          <w:b/>
          <w:bCs/>
          <w:sz w:val="32"/>
          <w:szCs w:val="32"/>
          <w:lang w:val="en-US" w:eastAsia="zh-CN"/>
        </w:rPr>
        <w:t>基本情况</w:t>
      </w:r>
      <w:bookmarkEnd w:id="7"/>
    </w:p>
    <w:p w14:paraId="2F625DC5">
      <w:pPr>
        <w:pStyle w:val="2"/>
        <w:keepNext w:val="0"/>
        <w:keepLines w:val="0"/>
        <w:pageBreakBefore w:val="0"/>
        <w:widowControl w:val="0"/>
        <w:numPr>
          <w:ilvl w:val="0"/>
          <w:numId w:val="0"/>
        </w:numPr>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1、李X，男</w:t>
      </w:r>
      <w:r>
        <w:rPr>
          <w:rFonts w:hint="eastAsia" w:ascii="仿宋" w:hAnsi="仿宋" w:eastAsia="仿宋" w:cs="仿宋"/>
          <w:sz w:val="32"/>
          <w:szCs w:val="32"/>
          <w:highlight w:val="none"/>
          <w:lang w:val="en-US" w:eastAsia="zh-CN"/>
        </w:rPr>
        <w:t>，事故发生时66岁，身份证号：21122219XXXX204818，</w:t>
      </w:r>
      <w:r>
        <w:rPr>
          <w:rFonts w:hint="eastAsia" w:ascii="仿宋" w:hAnsi="仿宋" w:eastAsia="仿宋" w:cs="仿宋"/>
          <w:sz w:val="32"/>
          <w:szCs w:val="32"/>
          <w:lang w:val="en-US" w:eastAsia="zh-CN"/>
        </w:rPr>
        <w:t>事发时为施工工人。（在事故中身亡）</w:t>
      </w:r>
    </w:p>
    <w:p w14:paraId="65C646DE">
      <w:pPr>
        <w:keepNext w:val="0"/>
        <w:keepLines w:val="0"/>
        <w:pageBreakBefore w:val="0"/>
        <w:widowControl w:val="0"/>
        <w:kinsoku/>
        <w:overflowPunct/>
        <w:topLinePunct w:val="0"/>
        <w:autoSpaceDE/>
        <w:autoSpaceDN/>
        <w:bidi w:val="0"/>
        <w:adjustRightInd/>
        <w:snapToGrid/>
        <w:spacing w:line="579"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kern w:val="2"/>
          <w:sz w:val="32"/>
          <w:szCs w:val="32"/>
          <w:highlight w:val="none"/>
          <w:lang w:val="en-US" w:eastAsia="zh-CN" w:bidi="ar-SA"/>
        </w:rPr>
        <w:t>2、</w:t>
      </w:r>
      <w:r>
        <w:rPr>
          <w:rFonts w:hint="eastAsia" w:ascii="仿宋" w:hAnsi="仿宋" w:eastAsia="仿宋" w:cs="仿宋"/>
          <w:b w:val="0"/>
          <w:bCs w:val="0"/>
          <w:sz w:val="32"/>
          <w:szCs w:val="40"/>
          <w:lang w:val="en-US" w:eastAsia="zh-CN"/>
        </w:rPr>
        <w:t>张XX</w:t>
      </w:r>
      <w:r>
        <w:rPr>
          <w:rFonts w:hint="eastAsia" w:ascii="仿宋" w:hAnsi="仿宋" w:eastAsia="仿宋" w:cs="仿宋"/>
          <w:sz w:val="32"/>
          <w:szCs w:val="32"/>
          <w:highlight w:val="none"/>
          <w:lang w:val="en-US" w:eastAsia="zh-CN"/>
        </w:rPr>
        <w:t>，男，事故发生时50岁，身份证号：21010519XXXX011910，身份证地址为沈阳市和平区三好街</w:t>
      </w:r>
      <w:r>
        <w:rPr>
          <w:rFonts w:hint="eastAsia" w:ascii="仿宋" w:hAnsi="仿宋" w:eastAsia="仿宋" w:cs="仿宋"/>
          <w:b w:val="0"/>
          <w:bCs w:val="0"/>
          <w:sz w:val="32"/>
          <w:szCs w:val="40"/>
          <w:lang w:val="en-US" w:eastAsia="zh-CN"/>
        </w:rPr>
        <w:t>XX</w:t>
      </w:r>
      <w:r>
        <w:rPr>
          <w:rFonts w:hint="eastAsia" w:ascii="仿宋" w:hAnsi="仿宋" w:eastAsia="仿宋" w:cs="仿宋"/>
          <w:sz w:val="32"/>
          <w:szCs w:val="32"/>
          <w:highlight w:val="none"/>
          <w:lang w:val="en-US" w:eastAsia="zh-CN"/>
        </w:rPr>
        <w:t>号，项目施工组织者，另有别名张</w:t>
      </w:r>
      <w:r>
        <w:rPr>
          <w:rFonts w:hint="eastAsia" w:ascii="仿宋" w:hAnsi="仿宋" w:eastAsia="仿宋" w:cs="仿宋"/>
          <w:b w:val="0"/>
          <w:bCs w:val="0"/>
          <w:sz w:val="32"/>
          <w:szCs w:val="40"/>
          <w:lang w:val="en-US" w:eastAsia="zh-CN"/>
        </w:rPr>
        <w:t>X</w:t>
      </w:r>
      <w:r>
        <w:rPr>
          <w:rFonts w:hint="eastAsia" w:ascii="仿宋" w:hAnsi="仿宋" w:eastAsia="仿宋" w:cs="仿宋"/>
          <w:sz w:val="32"/>
          <w:szCs w:val="32"/>
          <w:lang w:val="en-US" w:eastAsia="zh-CN"/>
        </w:rPr>
        <w:t>。</w:t>
      </w:r>
    </w:p>
    <w:p w14:paraId="5C5EF5B8">
      <w:pPr>
        <w:keepNext w:val="0"/>
        <w:keepLines w:val="0"/>
        <w:pageBreakBefore w:val="0"/>
        <w:widowControl w:val="0"/>
        <w:kinsoku/>
        <w:overflowPunct/>
        <w:topLinePunct w:val="0"/>
        <w:autoSpaceDE/>
        <w:autoSpaceDN/>
        <w:bidi w:val="0"/>
        <w:adjustRightInd/>
        <w:snapToGrid/>
        <w:spacing w:line="579" w:lineRule="exact"/>
        <w:ind w:firstLine="640" w:firstLineChars="200"/>
        <w:textAlignment w:val="auto"/>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3、唐XX，男，</w:t>
      </w:r>
      <w:r>
        <w:rPr>
          <w:rFonts w:hint="eastAsia" w:ascii="仿宋" w:hAnsi="仿宋" w:eastAsia="仿宋" w:cs="仿宋"/>
          <w:sz w:val="32"/>
          <w:szCs w:val="32"/>
          <w:highlight w:val="none"/>
          <w:lang w:val="en-US" w:eastAsia="zh-CN"/>
        </w:rPr>
        <w:t>事故发生时</w:t>
      </w:r>
      <w:r>
        <w:rPr>
          <w:rFonts w:hint="eastAsia" w:ascii="仿宋" w:hAnsi="仿宋" w:eastAsia="仿宋" w:cs="仿宋"/>
          <w:sz w:val="32"/>
          <w:szCs w:val="32"/>
          <w:lang w:val="en-US" w:eastAsia="zh-CN"/>
        </w:rPr>
        <w:t>36岁，身份证号：23230119XXXX096913，</w:t>
      </w:r>
      <w:r>
        <w:rPr>
          <w:rFonts w:hint="eastAsia" w:ascii="仿宋" w:hAnsi="仿宋" w:eastAsia="仿宋" w:cs="仿宋"/>
          <w:sz w:val="32"/>
          <w:szCs w:val="32"/>
          <w:highlight w:val="none"/>
          <w:lang w:val="en-US" w:eastAsia="zh-CN"/>
        </w:rPr>
        <w:t>身份证地址</w:t>
      </w:r>
      <w:r>
        <w:rPr>
          <w:rFonts w:hint="eastAsia" w:ascii="仿宋" w:hAnsi="仿宋" w:eastAsia="仿宋" w:cs="仿宋"/>
          <w:sz w:val="32"/>
          <w:szCs w:val="32"/>
          <w:lang w:val="en-US" w:eastAsia="zh-CN"/>
        </w:rPr>
        <w:t>为：黑龙江省绥化市北林区四方台镇XX号，惠天总部工程设备部暖通岗员工。</w:t>
      </w:r>
    </w:p>
    <w:p w14:paraId="0152062D">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3" w:firstLineChars="200"/>
        <w:textAlignment w:val="auto"/>
        <w:outlineLvl w:val="1"/>
        <w:rPr>
          <w:rFonts w:hint="default" w:ascii="楷体" w:hAnsi="楷体" w:eastAsia="楷体" w:cs="楷体"/>
          <w:b/>
          <w:bCs/>
          <w:sz w:val="32"/>
          <w:szCs w:val="32"/>
          <w:lang w:val="en-US" w:eastAsia="zh-CN"/>
        </w:rPr>
      </w:pPr>
      <w:bookmarkStart w:id="8" w:name="_Toc12561"/>
      <w:bookmarkStart w:id="9" w:name="_Toc28288"/>
      <w:r>
        <w:rPr>
          <w:rFonts w:hint="eastAsia" w:ascii="楷体" w:hAnsi="楷体" w:eastAsia="楷体" w:cs="楷体"/>
          <w:b/>
          <w:bCs/>
          <w:sz w:val="32"/>
          <w:szCs w:val="32"/>
          <w:lang w:val="en-US" w:eastAsia="zh-CN"/>
        </w:rPr>
        <w:t>（三）事故现场勘察情况</w:t>
      </w:r>
      <w:bookmarkEnd w:id="8"/>
      <w:bookmarkEnd w:id="9"/>
    </w:p>
    <w:p w14:paraId="675E5652">
      <w:pPr>
        <w:widowControl w:val="0"/>
        <w:numPr>
          <w:ilvl w:val="0"/>
          <w:numId w:val="0"/>
        </w:numPr>
        <w:ind w:firstLine="640" w:firstLineChars="200"/>
        <w:jc w:val="both"/>
        <w:rPr>
          <w:rFonts w:hint="eastAsia" w:ascii="仿宋" w:hAnsi="仿宋" w:eastAsia="仿宋" w:cs="仿宋"/>
          <w:sz w:val="32"/>
          <w:szCs w:val="32"/>
          <w:lang w:val="en-US" w:eastAsia="zh-CN"/>
        </w:rPr>
      </w:pPr>
      <w:bookmarkStart w:id="10" w:name="_Toc4807"/>
      <w:r>
        <w:rPr>
          <w:rFonts w:hint="eastAsia" w:ascii="仿宋" w:hAnsi="仿宋" w:eastAsia="仿宋" w:cs="仿宋"/>
          <w:sz w:val="32"/>
          <w:szCs w:val="32"/>
          <w:lang w:val="en-US" w:eastAsia="zh-CN"/>
        </w:rPr>
        <w:t>事发位置位于沈阳市浑南区高</w:t>
      </w:r>
      <w:bookmarkStart w:id="39" w:name="_GoBack"/>
      <w:bookmarkEnd w:id="39"/>
      <w:r>
        <w:rPr>
          <w:rFonts w:hint="eastAsia" w:ascii="仿宋" w:hAnsi="仿宋" w:eastAsia="仿宋" w:cs="仿宋"/>
          <w:sz w:val="32"/>
          <w:szCs w:val="32"/>
          <w:lang w:val="en-US" w:eastAsia="zh-CN"/>
        </w:rPr>
        <w:t>坎街道汇置山湖二期北侧围挡内五号配电室西侧一米处一处基坑，该基坑为供暖一次网施工项目，该基坑南北长度约为7米，东西最宽处约为3米，最窄处约为2.7米，最深处约为1.8米，坑西侧地面上堆积残土及木板高度约为1米，残土堆距坑边缘距离为0米，事发位置为北侧围挡向南2米，此处基坑宽度为2.7米，深度为1.4米，坑内有积水，积水退去后显露出大块泥土及混凝土石块，据现场人员描述发现死者时死者被泥土块石挤压在事发位置坑东侧，脚朝南头朝北。</w:t>
      </w:r>
    </w:p>
    <w:p w14:paraId="152EF552">
      <w:pPr>
        <w:widowControl w:val="0"/>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rPr>
        <w:drawing>
          <wp:inline distT="0" distB="0" distL="114300" distR="114300">
            <wp:extent cx="5264785" cy="3947160"/>
            <wp:effectExtent l="0" t="0" r="12065" b="15240"/>
            <wp:docPr id="3" name="图片 3" descr="微信图片_20251119155740_61_9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1119155740_61_9 副本"/>
                    <pic:cNvPicPr>
                      <a:picLocks noChangeAspect="1"/>
                    </pic:cNvPicPr>
                  </pic:nvPicPr>
                  <pic:blipFill>
                    <a:blip r:embed="rId8"/>
                    <a:stretch>
                      <a:fillRect/>
                    </a:stretch>
                  </pic:blipFill>
                  <pic:spPr>
                    <a:xfrm>
                      <a:off x="0" y="0"/>
                      <a:ext cx="5264785" cy="3947160"/>
                    </a:xfrm>
                    <a:prstGeom prst="rect">
                      <a:avLst/>
                    </a:prstGeom>
                  </pic:spPr>
                </pic:pic>
              </a:graphicData>
            </a:graphic>
          </wp:inline>
        </w:drawing>
      </w:r>
      <w:r>
        <w:rPr>
          <w:rFonts w:hint="eastAsia" w:ascii="仿宋" w:hAnsi="仿宋" w:eastAsia="仿宋" w:cs="仿宋"/>
          <w:sz w:val="32"/>
          <w:szCs w:val="32"/>
        </w:rPr>
        <mc:AlternateContent>
          <mc:Choice Requires="wps">
            <w:drawing>
              <wp:anchor distT="0" distB="0" distL="114300" distR="114300" simplePos="0" relativeHeight="251659264" behindDoc="0" locked="0" layoutInCell="1" allowOverlap="1">
                <wp:simplePos x="0" y="0"/>
                <wp:positionH relativeFrom="column">
                  <wp:posOffset>8006080</wp:posOffset>
                </wp:positionH>
                <wp:positionV relativeFrom="paragraph">
                  <wp:posOffset>-1905635</wp:posOffset>
                </wp:positionV>
                <wp:extent cx="685800" cy="396240"/>
                <wp:effectExtent l="252730" t="4445" r="13970" b="189865"/>
                <wp:wrapNone/>
                <wp:docPr id="4" name="矩形标注 4"/>
                <wp:cNvGraphicFramePr/>
                <a:graphic xmlns:a="http://schemas.openxmlformats.org/drawingml/2006/main">
                  <a:graphicData uri="http://schemas.microsoft.com/office/word/2010/wordprocessingShape">
                    <wps:wsp>
                      <wps:cNvSpPr/>
                      <wps:spPr>
                        <a:xfrm>
                          <a:off x="0" y="0"/>
                          <a:ext cx="685800" cy="396240"/>
                        </a:xfrm>
                        <a:prstGeom prst="wedgeRectCallout">
                          <a:avLst>
                            <a:gd name="adj1" fmla="val -81574"/>
                            <a:gd name="adj2" fmla="val 89264"/>
                          </a:avLst>
                        </a:prstGeom>
                        <a:solidFill>
                          <a:srgbClr val="FFFFFF"/>
                        </a:solidFill>
                        <a:ln w="9525" cap="flat" cmpd="sng">
                          <a:solidFill>
                            <a:srgbClr val="000000"/>
                          </a:solidFill>
                          <a:prstDash val="solid"/>
                          <a:miter/>
                          <a:headEnd type="none" w="med" len="med"/>
                          <a:tailEnd type="none" w="med" len="med"/>
                        </a:ln>
                      </wps:spPr>
                      <wps:txbx>
                        <w:txbxContent>
                          <w:p w14:paraId="36E4157C">
                            <w:pPr>
                              <w:rPr>
                                <w:rFonts w:hint="eastAsia"/>
                              </w:rPr>
                            </w:pPr>
                            <w:r>
                              <w:rPr>
                                <w:rFonts w:hint="eastAsia"/>
                              </w:rPr>
                              <w:t>防火堤</w:t>
                            </w:r>
                          </w:p>
                        </w:txbxContent>
                      </wps:txbx>
                      <wps:bodyPr upright="1"/>
                    </wps:wsp>
                  </a:graphicData>
                </a:graphic>
              </wp:anchor>
            </w:drawing>
          </mc:Choice>
          <mc:Fallback>
            <w:pict>
              <v:shape id="_x0000_s1026" o:spid="_x0000_s1026" o:spt="61" type="#_x0000_t61" style="position:absolute;left:0pt;margin-left:630.4pt;margin-top:-150.05pt;height:31.2pt;width:54pt;z-index:251659264;mso-width-relative:page;mso-height-relative:page;" fillcolor="#FFFFFF" filled="t" stroked="t" coordsize="21600,21600" o:gfxdata="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hAIe90AAAAPAQAADwAAAAAAAAABACAAAAAiAAAA&#10;ZHJzL2Rvd25yZXYueG1sUEsBAhQAFAAAAAgAh07iQEphjjA7AgAAjAQAAA4AAAAAAAAAAQAgAAAA&#10;LAEAAGRycy9lMm9Eb2MueG1sUEsFBgAAAAAGAAYAWQEAANkFAAAAAA==&#10;" adj="-6820,30081">
                <v:fill on="t" focussize="0,0"/>
                <v:stroke color="#000000" joinstyle="miter"/>
                <v:imagedata o:title=""/>
                <o:lock v:ext="edit" aspectratio="f"/>
                <v:textbox>
                  <w:txbxContent>
                    <w:p w14:paraId="36E4157C">
                      <w:pPr>
                        <w:rPr>
                          <w:rFonts w:hint="eastAsia"/>
                        </w:rPr>
                      </w:pPr>
                      <w:r>
                        <w:rPr>
                          <w:rFonts w:hint="eastAsia"/>
                        </w:rPr>
                        <w:t>防火堤</w:t>
                      </w:r>
                    </w:p>
                  </w:txbxContent>
                </v:textbox>
              </v:shape>
            </w:pict>
          </mc:Fallback>
        </mc:AlternateContent>
      </w:r>
    </w:p>
    <w:p w14:paraId="107A4E99">
      <w:pPr>
        <w:widowControl w:val="0"/>
        <w:numPr>
          <w:ilvl w:val="0"/>
          <w:numId w:val="0"/>
        </w:num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图1现场照片一</w:t>
      </w:r>
    </w:p>
    <w:p w14:paraId="2E9A2D72">
      <w:pPr>
        <w:widowControl w:val="0"/>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47160"/>
            <wp:effectExtent l="0" t="0" r="12065" b="15240"/>
            <wp:docPr id="5" name="图片 5" descr="微信图片_20251119155741_62_9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51119155741_62_9 副本"/>
                    <pic:cNvPicPr>
                      <a:picLocks noChangeAspect="1"/>
                    </pic:cNvPicPr>
                  </pic:nvPicPr>
                  <pic:blipFill>
                    <a:blip r:embed="rId9"/>
                    <a:stretch>
                      <a:fillRect/>
                    </a:stretch>
                  </pic:blipFill>
                  <pic:spPr>
                    <a:xfrm>
                      <a:off x="0" y="0"/>
                      <a:ext cx="5264785" cy="3947160"/>
                    </a:xfrm>
                    <a:prstGeom prst="rect">
                      <a:avLst/>
                    </a:prstGeom>
                  </pic:spPr>
                </pic:pic>
              </a:graphicData>
            </a:graphic>
          </wp:inline>
        </w:drawing>
      </w:r>
    </w:p>
    <w:p w14:paraId="2A210BD4">
      <w:pPr>
        <w:widowControl w:val="0"/>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图2 现场照片二</w:t>
      </w:r>
    </w:p>
    <w:p w14:paraId="2AC4CCBE">
      <w:pPr>
        <w:widowControl w:val="0"/>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4759960" cy="6350000"/>
            <wp:effectExtent l="0" t="0" r="2540" b="12700"/>
            <wp:docPr id="7" name="图片 7" descr="微信图片_20251106100640_55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1106100640_55_9"/>
                    <pic:cNvPicPr>
                      <a:picLocks noChangeAspect="1"/>
                    </pic:cNvPicPr>
                  </pic:nvPicPr>
                  <pic:blipFill>
                    <a:blip r:embed="rId10"/>
                    <a:stretch>
                      <a:fillRect/>
                    </a:stretch>
                  </pic:blipFill>
                  <pic:spPr>
                    <a:xfrm>
                      <a:off x="0" y="0"/>
                      <a:ext cx="4759960" cy="6350000"/>
                    </a:xfrm>
                    <a:prstGeom prst="rect">
                      <a:avLst/>
                    </a:prstGeom>
                  </pic:spPr>
                </pic:pic>
              </a:graphicData>
            </a:graphic>
          </wp:inline>
        </w:drawing>
      </w:r>
    </w:p>
    <w:p w14:paraId="40C2298D">
      <w:pPr>
        <w:widowControl w:val="0"/>
        <w:numPr>
          <w:ilvl w:val="0"/>
          <w:numId w:val="0"/>
        </w:num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图3现场照片3显示土堆紧邻坑边</w:t>
      </w:r>
    </w:p>
    <w:p w14:paraId="3E86619A">
      <w:pPr>
        <w:widowControl w:val="0"/>
        <w:numPr>
          <w:ilvl w:val="0"/>
          <w:numId w:val="0"/>
        </w:numPr>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64785" cy="3947160"/>
            <wp:effectExtent l="0" t="0" r="12065" b="15240"/>
            <wp:docPr id="6" name="图片 6" descr="微信图片_20251106100636_52_9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106100636_52_9 副本"/>
                    <pic:cNvPicPr>
                      <a:picLocks noChangeAspect="1"/>
                    </pic:cNvPicPr>
                  </pic:nvPicPr>
                  <pic:blipFill>
                    <a:blip r:embed="rId11"/>
                    <a:stretch>
                      <a:fillRect/>
                    </a:stretch>
                  </pic:blipFill>
                  <pic:spPr>
                    <a:xfrm>
                      <a:off x="0" y="0"/>
                      <a:ext cx="5264785" cy="3947160"/>
                    </a:xfrm>
                    <a:prstGeom prst="rect">
                      <a:avLst/>
                    </a:prstGeom>
                  </pic:spPr>
                </pic:pic>
              </a:graphicData>
            </a:graphic>
          </wp:inline>
        </w:drawing>
      </w:r>
    </w:p>
    <w:p w14:paraId="70E2A505">
      <w:pPr>
        <w:widowControl w:val="0"/>
        <w:numPr>
          <w:ilvl w:val="0"/>
          <w:numId w:val="0"/>
        </w:num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图4现场照片4</w:t>
      </w:r>
    </w:p>
    <w:p w14:paraId="07DA3029">
      <w:pPr>
        <w:widowControl w:val="0"/>
        <w:numPr>
          <w:ilvl w:val="0"/>
          <w:numId w:val="0"/>
        </w:numPr>
        <w:jc w:val="center"/>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64785" cy="3947160"/>
            <wp:effectExtent l="0" t="0" r="12065" b="15240"/>
            <wp:docPr id="8" name="图片 8" descr="微信图片_20251106100634_50_9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51106100634_50_9 副本"/>
                    <pic:cNvPicPr>
                      <a:picLocks noChangeAspect="1"/>
                    </pic:cNvPicPr>
                  </pic:nvPicPr>
                  <pic:blipFill>
                    <a:blip r:embed="rId12"/>
                    <a:stretch>
                      <a:fillRect/>
                    </a:stretch>
                  </pic:blipFill>
                  <pic:spPr>
                    <a:xfrm>
                      <a:off x="0" y="0"/>
                      <a:ext cx="5264785" cy="3947160"/>
                    </a:xfrm>
                    <a:prstGeom prst="rect">
                      <a:avLst/>
                    </a:prstGeom>
                  </pic:spPr>
                </pic:pic>
              </a:graphicData>
            </a:graphic>
          </wp:inline>
        </w:drawing>
      </w:r>
    </w:p>
    <w:p w14:paraId="28F709B4">
      <w:pPr>
        <w:widowControl w:val="0"/>
        <w:numPr>
          <w:ilvl w:val="0"/>
          <w:numId w:val="0"/>
        </w:numPr>
        <w:jc w:val="center"/>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图5现场照片5</w:t>
      </w:r>
    </w:p>
    <w:p w14:paraId="49D40058">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both"/>
        <w:textAlignment w:val="auto"/>
        <w:outlineLvl w:val="0"/>
        <w:rPr>
          <w:rFonts w:hint="eastAsia" w:ascii="黑体" w:hAnsi="黑体" w:eastAsia="黑体" w:cs="黑体"/>
          <w:b w:val="0"/>
          <w:bCs w:val="0"/>
          <w:sz w:val="32"/>
          <w:szCs w:val="32"/>
          <w:lang w:val="en-US" w:eastAsia="zh-CN"/>
        </w:rPr>
      </w:pPr>
      <w:bookmarkStart w:id="11" w:name="_Toc29092"/>
      <w:r>
        <w:rPr>
          <w:rFonts w:hint="eastAsia" w:ascii="黑体" w:hAnsi="黑体" w:eastAsia="黑体" w:cs="黑体"/>
          <w:b w:val="0"/>
          <w:bCs w:val="0"/>
          <w:sz w:val="32"/>
          <w:szCs w:val="32"/>
          <w:lang w:val="en-US" w:eastAsia="zh-CN"/>
        </w:rPr>
        <w:t>事故发生经过</w:t>
      </w:r>
      <w:bookmarkEnd w:id="10"/>
      <w:bookmarkEnd w:id="11"/>
    </w:p>
    <w:p w14:paraId="31C80257">
      <w:pPr>
        <w:keepNext w:val="0"/>
        <w:keepLines w:val="0"/>
        <w:pageBreakBefore w:val="0"/>
        <w:widowControl w:val="0"/>
        <w:numPr>
          <w:ilvl w:val="0"/>
          <w:numId w:val="0"/>
        </w:numPr>
        <w:kinsoku/>
        <w:wordWrap w:val="0"/>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b w:val="0"/>
          <w:bCs w:val="0"/>
          <w:sz w:val="32"/>
          <w:szCs w:val="32"/>
          <w:lang w:val="en-US" w:eastAsia="zh-CN"/>
        </w:rPr>
      </w:pPr>
      <w:r>
        <w:rPr>
          <w:rFonts w:hint="eastAsia" w:ascii="仿宋" w:hAnsi="仿宋" w:eastAsia="仿宋" w:cs="仿宋"/>
          <w:b w:val="0"/>
          <w:bCs w:val="0"/>
          <w:sz w:val="32"/>
          <w:szCs w:val="32"/>
          <w:lang w:val="en-US" w:eastAsia="zh-CN"/>
        </w:rPr>
        <w:t>事故发生后，调查组人员根据在场人员描述、现场勘验笔录、</w:t>
      </w:r>
      <w:r>
        <w:rPr>
          <w:rFonts w:hint="eastAsia" w:ascii="仿宋" w:hAnsi="仿宋" w:eastAsia="仿宋" w:cs="仿宋"/>
          <w:sz w:val="32"/>
          <w:szCs w:val="32"/>
          <w:lang w:val="en-US" w:eastAsia="zh-CN"/>
        </w:rPr>
        <w:t>技术分析、调取相关人员急诊病历</w:t>
      </w:r>
      <w:r>
        <w:rPr>
          <w:rFonts w:hint="eastAsia" w:ascii="仿宋" w:hAnsi="仿宋" w:eastAsia="仿宋" w:cs="仿宋"/>
          <w:b w:val="0"/>
          <w:bCs w:val="0"/>
          <w:sz w:val="32"/>
          <w:szCs w:val="32"/>
          <w:lang w:val="en-US" w:eastAsia="zh-CN"/>
        </w:rPr>
        <w:t>等方式综合分析</w:t>
      </w:r>
      <w:r>
        <w:rPr>
          <w:rFonts w:hint="eastAsia" w:ascii="仿宋" w:hAnsi="仿宋" w:eastAsia="仿宋" w:cs="仿宋"/>
          <w:sz w:val="32"/>
          <w:szCs w:val="32"/>
          <w:lang w:val="en-US" w:eastAsia="zh-CN"/>
        </w:rPr>
        <w:t>，</w:t>
      </w:r>
      <w:r>
        <w:rPr>
          <w:rFonts w:hint="eastAsia" w:ascii="仿宋" w:hAnsi="仿宋" w:eastAsia="仿宋" w:cs="仿宋"/>
          <w:b w:val="0"/>
          <w:bCs w:val="0"/>
          <w:sz w:val="32"/>
          <w:szCs w:val="32"/>
          <w:lang w:val="en-US" w:eastAsia="zh-CN"/>
        </w:rPr>
        <w:t>回溯事发经过如下：</w:t>
      </w:r>
    </w:p>
    <w:p w14:paraId="53742FA5">
      <w:pPr>
        <w:widowControl w:val="0"/>
        <w:numPr>
          <w:ilvl w:val="0"/>
          <w:numId w:val="0"/>
        </w:numPr>
        <w:ind w:firstLine="643" w:firstLineChars="200"/>
        <w:jc w:val="both"/>
        <w:rPr>
          <w:rFonts w:hint="eastAsia" w:ascii="楷体" w:hAnsi="楷体" w:eastAsia="楷体" w:cs="楷体"/>
          <w:b/>
          <w:bCs/>
          <w:sz w:val="32"/>
          <w:szCs w:val="32"/>
          <w:lang w:val="en-US" w:eastAsia="zh-CN"/>
        </w:rPr>
      </w:pPr>
      <w:bookmarkStart w:id="12" w:name="_Toc20979"/>
      <w:r>
        <w:rPr>
          <w:rFonts w:hint="eastAsia" w:ascii="楷体" w:hAnsi="楷体" w:eastAsia="楷体" w:cs="楷体"/>
          <w:b/>
          <w:bCs/>
          <w:sz w:val="32"/>
          <w:szCs w:val="32"/>
          <w:lang w:val="en-US" w:eastAsia="zh-CN"/>
        </w:rPr>
        <w:t>（一）合同签订情况</w:t>
      </w:r>
    </w:p>
    <w:p w14:paraId="79D36DD1">
      <w:pPr>
        <w:widowControl w:val="0"/>
        <w:numPr>
          <w:ilvl w:val="0"/>
          <w:numId w:val="0"/>
        </w:numPr>
        <w:ind w:firstLine="640" w:firstLineChars="200"/>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经查该项目未与施工公司明兴公司签订合同，明兴公司未进行施工，据当事人笔录描述及微信截图还原事实如下：2025年7月沈阳惠天棋盘山有限责任公司棋盘山工区2025年汇置山湖二期一级网接网项目登上华润守正平台。2025年9月明兴公司参与投标，2025年9月30日惠天总部向明兴公司下发预成交通知书和成交通知书，同日惠天总部工程设备部员工唐XX催促张XX组织工人进场施工，张XX未与明兴公司联系。2025年10月9日明兴公司招标负责人高XX在网上看到中标信息，中标价为29.6万，并向明兴公司实际控制人朱文明汇报此事，同时告知朱XX需要履约保函或保证金才能签合同，履约保函需要面签。朱XX笔录中明确表示没有进行面签，没有签订合同，未进行施工。2025年10月20日明兴公司以工程量发生较大变化为由，提交同意惠天总部对此项目重新招标的说明。</w:t>
      </w:r>
    </w:p>
    <w:p w14:paraId="2C149CE3">
      <w:pPr>
        <w:widowControl w:val="0"/>
        <w:numPr>
          <w:ilvl w:val="0"/>
          <w:numId w:val="0"/>
        </w:numPr>
        <w:ind w:firstLine="643" w:firstLineChars="200"/>
        <w:jc w:val="both"/>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（二）工程进度及事故发生情况</w:t>
      </w:r>
    </w:p>
    <w:p w14:paraId="0C8BC970">
      <w:pPr>
        <w:widowControl w:val="0"/>
        <w:numPr>
          <w:ilvl w:val="0"/>
          <w:numId w:val="0"/>
        </w:numPr>
        <w:ind w:firstLine="640" w:firstLineChars="200"/>
        <w:jc w:val="both"/>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 xml:space="preserve">据当事人笔录描述及微信截图证明：2025年9月30日因唐XX催促张XX赶快进场干活，张XX单独联系之前的合作伙伴陈XX让其组织工人进场施工，陈XX觉得这个工程太小利润低，遂联系工头李XX承揽这个工程（李XX包工包料形式承揽），同时陈XX催促张XX要求李XX和中标单位（明兴公司）签订分包合同，张XX表示十一国庆放假没有人签不了合同。2025年10月3日因为唐XX的催促，张XX将工人摆拍的干活照片通过微信发送给唐XX。同一时间李XX通过电话联系焊工胡XX让他带着李X再找个钩机去棋盘山干活。2025年10月4日正式开始施工，上午8、9时左右胡XX、李X到达现场与陈XX、张XX碰面，张XX交代胡XX管线在什么位置需要干什么活，交代完后陈XX和张XX离开施工现场并告诉胡XX现场有事联系张XX解决。2025年10月5日至10日惠天总部工作人员唐XX、棋盘山惠天工作人员赵XX分别到过现场，唐XX进行寻找主管线工作，赵XX进行测量管道材料厚度工作，在此期间项目正在施工。10月11日当天晚上主管放水同时抽水，造成施工坑内积水。10月12日正常施工。10月13日钩机在围挡外侧主管道清坑，清坑后因为水泵泵头被淤泥压在坑底李X下到坑底找水泵泵头，找到后在坑底清理淤泥，将水泵系上绳，胡XX准备在围挡里侧五号配电房边将水泵拉到地面，李X没有上到地面来而是顺着坑钻过围挡往小区里边走，进围挡后大约走一米左右胡XX看到沟西侧地面上残土向下滑落，胡XX喊了一声“土下来了”，残土砸向李X，李X听到后回头用手挡了一下头没挡到，残土将李X挤压到沟东侧，李X面朝围挡膝盖以下被土掩埋。   </w:t>
      </w:r>
    </w:p>
    <w:p w14:paraId="41F21A89">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outlineLvl w:val="0"/>
        <w:rPr>
          <w:rFonts w:hint="default" w:ascii="黑体" w:hAnsi="黑体" w:eastAsia="黑体" w:cs="黑体"/>
          <w:b w:val="0"/>
          <w:bCs w:val="0"/>
          <w:sz w:val="32"/>
          <w:szCs w:val="32"/>
          <w:lang w:val="en-US" w:eastAsia="zh-CN"/>
        </w:rPr>
      </w:pPr>
      <w:bookmarkStart w:id="13" w:name="_Toc6098"/>
      <w:r>
        <w:rPr>
          <w:rFonts w:hint="eastAsia" w:ascii="黑体" w:hAnsi="黑体" w:eastAsia="黑体" w:cs="黑体"/>
          <w:b w:val="0"/>
          <w:bCs w:val="0"/>
          <w:sz w:val="32"/>
          <w:szCs w:val="32"/>
          <w:lang w:val="en-US" w:eastAsia="zh-CN"/>
        </w:rPr>
        <w:t>事故应急处置及善后情况</w:t>
      </w:r>
      <w:bookmarkEnd w:id="12"/>
      <w:bookmarkEnd w:id="13"/>
    </w:p>
    <w:p w14:paraId="1CFC4C6E">
      <w:pPr>
        <w:widowControl w:val="0"/>
        <w:numPr>
          <w:ilvl w:val="0"/>
          <w:numId w:val="0"/>
        </w:numPr>
        <w:ind w:firstLine="640" w:firstLineChars="200"/>
        <w:jc w:val="both"/>
        <w:rPr>
          <w:rFonts w:hint="eastAsia" w:ascii="仿宋" w:hAnsi="仿宋" w:eastAsia="仿宋" w:cs="仿宋"/>
          <w:b w:val="0"/>
          <w:bCs w:val="0"/>
          <w:sz w:val="32"/>
          <w:szCs w:val="32"/>
          <w:lang w:val="en-US" w:eastAsia="zh-CN"/>
        </w:rPr>
      </w:pPr>
      <w:r>
        <w:rPr>
          <w:rFonts w:hint="eastAsia" w:ascii="仿宋" w:hAnsi="仿宋" w:eastAsia="仿宋" w:cs="仿宋"/>
          <w:sz w:val="32"/>
          <w:szCs w:val="32"/>
          <w:lang w:val="en-US" w:eastAsia="zh-CN"/>
        </w:rPr>
        <w:t>发现李X被掩埋，胡XX连忙跳下去将李X拽起，发现李X头部左后方有受伤痕迹并且开始吐血，胡XX马上拨打120，此时时间约为9点30分。9点50分左右120到达现场开始抢救此时李X已经昏迷，120将李X拉往方大医院，同时胡XX给李X儿子李XX打电话告知他父亲出事了让他去医院，胡XX也开车跟着救护车前往医院。2025年10月13日当天11时23分医院宣布李X死亡，李X儿子在医院报警。</w:t>
      </w:r>
      <w:r>
        <w:rPr>
          <w:rFonts w:hint="eastAsia" w:ascii="仿宋" w:hAnsi="仿宋" w:eastAsia="仿宋" w:cs="仿宋"/>
          <w:b w:val="0"/>
          <w:bCs w:val="0"/>
          <w:sz w:val="32"/>
          <w:szCs w:val="32"/>
          <w:lang w:val="en-US" w:eastAsia="zh-CN"/>
        </w:rPr>
        <w:t>2026年1月31日张XX与死者家属达成协议总计赔偿100万元。</w:t>
      </w:r>
    </w:p>
    <w:p w14:paraId="132EC26C">
      <w:pPr>
        <w:widowControl w:val="0"/>
        <w:numPr>
          <w:ilvl w:val="0"/>
          <w:numId w:val="0"/>
        </w:numPr>
        <w:ind w:firstLine="640" w:firstLineChars="200"/>
        <w:jc w:val="both"/>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lang w:val="en-US" w:eastAsia="zh-CN"/>
        </w:rPr>
        <w:t>事故发生后，浑南区应急管理局第一时间组织工作人员抵达现场，对事故现场进行勘察、拍照取证，告知事故发生单位及时进行善后处理并对死者家属开展赔偿工作。同时，将现场情况上报</w:t>
      </w:r>
      <w:r>
        <w:rPr>
          <w:rFonts w:hint="eastAsia" w:ascii="仿宋" w:hAnsi="仿宋" w:eastAsia="仿宋" w:cs="仿宋"/>
          <w:b w:val="0"/>
          <w:bCs w:val="0"/>
          <w:sz w:val="32"/>
          <w:szCs w:val="32"/>
          <w:highlight w:val="none"/>
          <w:lang w:val="en-US" w:eastAsia="zh-CN"/>
        </w:rPr>
        <w:t>市级相关部门和浑南区人民政府。</w:t>
      </w:r>
    </w:p>
    <w:p w14:paraId="61686648">
      <w:pPr>
        <w:keepNext w:val="0"/>
        <w:keepLines w:val="0"/>
        <w:pageBreakBefore w:val="0"/>
        <w:widowControl w:val="0"/>
        <w:numPr>
          <w:ilvl w:val="0"/>
          <w:numId w:val="1"/>
        </w:numPr>
        <w:kinsoku/>
        <w:wordWrap w:val="0"/>
        <w:overflowPunct/>
        <w:topLinePunct w:val="0"/>
        <w:autoSpaceDE/>
        <w:autoSpaceDN/>
        <w:bidi w:val="0"/>
        <w:adjustRightInd/>
        <w:snapToGrid/>
        <w:spacing w:line="579" w:lineRule="exact"/>
        <w:ind w:left="0" w:leftChars="0" w:firstLine="640" w:firstLineChars="200"/>
        <w:jc w:val="left"/>
        <w:textAlignment w:val="auto"/>
        <w:outlineLvl w:val="0"/>
        <w:rPr>
          <w:rFonts w:hint="eastAsia" w:ascii="黑体" w:hAnsi="黑体" w:eastAsia="黑体" w:cs="黑体"/>
          <w:b w:val="0"/>
          <w:bCs w:val="0"/>
          <w:sz w:val="32"/>
          <w:szCs w:val="32"/>
          <w:lang w:val="en-US" w:eastAsia="zh-CN"/>
        </w:rPr>
      </w:pPr>
      <w:bookmarkStart w:id="14" w:name="_Toc14263"/>
      <w:bookmarkStart w:id="15" w:name="_Toc27691"/>
      <w:r>
        <w:rPr>
          <w:rFonts w:hint="default" w:ascii="黑体" w:hAnsi="黑体" w:eastAsia="黑体" w:cs="黑体"/>
          <w:b w:val="0"/>
          <w:bCs w:val="0"/>
          <w:sz w:val="32"/>
          <w:szCs w:val="32"/>
          <w:lang w:val="en-US" w:eastAsia="zh-CN"/>
        </w:rPr>
        <w:t>事故发生的原因</w:t>
      </w:r>
      <w:bookmarkEnd w:id="14"/>
      <w:bookmarkEnd w:id="15"/>
    </w:p>
    <w:p w14:paraId="151D9372">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outlineLvl w:val="1"/>
        <w:rPr>
          <w:rFonts w:hint="eastAsia" w:ascii="仿宋" w:hAnsi="仿宋" w:eastAsia="仿宋" w:cs="仿宋"/>
          <w:b w:val="0"/>
          <w:bCs w:val="0"/>
          <w:sz w:val="32"/>
          <w:szCs w:val="32"/>
          <w:lang w:val="en-US" w:eastAsia="zh-CN"/>
        </w:rPr>
      </w:pPr>
      <w:bookmarkStart w:id="16" w:name="_Toc23937"/>
      <w:bookmarkStart w:id="17" w:name="_Toc22887"/>
      <w:r>
        <w:rPr>
          <w:rFonts w:hint="eastAsia" w:ascii="楷体" w:hAnsi="楷体" w:eastAsia="楷体" w:cs="楷体"/>
          <w:b/>
          <w:bCs/>
          <w:sz w:val="32"/>
          <w:szCs w:val="32"/>
          <w:lang w:val="en-US" w:eastAsia="zh-CN"/>
        </w:rPr>
        <w:t>（一）直接原因：</w:t>
      </w:r>
      <w:bookmarkEnd w:id="16"/>
      <w:bookmarkEnd w:id="17"/>
    </w:p>
    <w:p w14:paraId="3CF1AEC5">
      <w:pPr>
        <w:widowControl w:val="0"/>
        <w:numPr>
          <w:ilvl w:val="0"/>
          <w:numId w:val="0"/>
        </w:numPr>
        <w:ind w:firstLine="640" w:firstLineChars="200"/>
        <w:jc w:val="both"/>
        <w:rPr>
          <w:rFonts w:hint="eastAsia" w:ascii="仿宋" w:hAnsi="仿宋" w:eastAsia="仿宋" w:cs="仿宋"/>
          <w:b w:val="0"/>
          <w:bCs w:val="0"/>
          <w:sz w:val="32"/>
          <w:szCs w:val="32"/>
          <w:lang w:val="en-US" w:eastAsia="zh-CN"/>
        </w:rPr>
      </w:pPr>
      <w:bookmarkStart w:id="18" w:name="_Toc4172"/>
      <w:r>
        <w:rPr>
          <w:rFonts w:hint="eastAsia" w:ascii="仿宋" w:hAnsi="仿宋" w:eastAsia="仿宋" w:cs="仿宋"/>
          <w:b w:val="0"/>
          <w:bCs w:val="0"/>
          <w:sz w:val="32"/>
          <w:szCs w:val="32"/>
          <w:lang w:val="en-US" w:eastAsia="zh-CN"/>
        </w:rPr>
        <w:t>本次事故发生的直接原因为槽壁失稳坍塌，异物落下致使受害者被砸。具体原因为：一.未按设计要求施工（设计施工说明及设计图纸为惠天招标材料中所有，由明兴公司提供）：1.开挖施工与设计图纸中直埋管道横断面图不符。2.沟槽内有积水不满足设计施工说明（一）中管道安装要求（3）排水：安装管道前，应排除地下水或积水。二.沟槽开挖弃土直接堆放在坡顶。</w:t>
      </w:r>
    </w:p>
    <w:p w14:paraId="6F8BBB5C">
      <w:pPr>
        <w:keepNext w:val="0"/>
        <w:keepLines w:val="0"/>
        <w:pageBreakBefore w:val="0"/>
        <w:widowControl w:val="0"/>
        <w:kinsoku/>
        <w:wordWrap/>
        <w:overflowPunct/>
        <w:topLinePunct w:val="0"/>
        <w:autoSpaceDE/>
        <w:autoSpaceDN/>
        <w:bidi w:val="0"/>
        <w:adjustRightInd/>
        <w:snapToGrid/>
        <w:spacing w:line="579" w:lineRule="exact"/>
        <w:ind w:firstLine="643" w:firstLineChars="200"/>
        <w:textAlignment w:val="auto"/>
        <w:outlineLvl w:val="1"/>
        <w:rPr>
          <w:rFonts w:hint="eastAsia" w:ascii="仿宋" w:hAnsi="仿宋" w:eastAsia="仿宋" w:cs="仿宋"/>
          <w:b w:val="0"/>
          <w:bCs w:val="0"/>
          <w:sz w:val="32"/>
          <w:szCs w:val="32"/>
          <w:lang w:val="en-US" w:eastAsia="zh-CN"/>
        </w:rPr>
      </w:pPr>
      <w:bookmarkStart w:id="19" w:name="_Toc22029"/>
      <w:r>
        <w:rPr>
          <w:rFonts w:hint="eastAsia" w:ascii="楷体" w:hAnsi="楷体" w:eastAsia="楷体" w:cs="楷体"/>
          <w:b/>
          <w:bCs/>
          <w:sz w:val="32"/>
          <w:szCs w:val="32"/>
          <w:lang w:val="en-US" w:eastAsia="zh-CN"/>
        </w:rPr>
        <w:t>（二）间接原因：</w:t>
      </w:r>
      <w:bookmarkEnd w:id="18"/>
      <w:bookmarkEnd w:id="19"/>
    </w:p>
    <w:p w14:paraId="526A6AB6">
      <w:pPr>
        <w:ind w:firstLine="643" w:firstLineChars="200"/>
        <w:outlineLvl w:val="0"/>
        <w:rPr>
          <w:rFonts w:hint="eastAsia" w:ascii="仿宋" w:hAnsi="仿宋" w:eastAsia="仿宋" w:cs="仿宋"/>
          <w:b/>
          <w:bCs/>
          <w:sz w:val="32"/>
          <w:szCs w:val="32"/>
          <w:lang w:val="en-US" w:eastAsia="zh-CN"/>
        </w:rPr>
      </w:pPr>
      <w:bookmarkStart w:id="20" w:name="_Toc18810"/>
      <w:r>
        <w:rPr>
          <w:rFonts w:hint="eastAsia" w:ascii="仿宋" w:hAnsi="仿宋" w:eastAsia="仿宋" w:cs="仿宋"/>
          <w:b/>
          <w:bCs/>
          <w:sz w:val="32"/>
          <w:szCs w:val="32"/>
          <w:lang w:val="en-US" w:eastAsia="zh-CN"/>
        </w:rPr>
        <w:t>沈阳惠天热电股份有限公司</w:t>
      </w:r>
      <w:bookmarkEnd w:id="20"/>
    </w:p>
    <w:p w14:paraId="59A0B2D9">
      <w:pPr>
        <w:ind w:firstLine="640" w:firstLineChars="200"/>
        <w:outlineLvl w:val="0"/>
        <w:rPr>
          <w:rFonts w:hint="eastAsia" w:ascii="仿宋" w:hAnsi="仿宋" w:eastAsia="仿宋" w:cs="仿宋"/>
          <w:i w:val="0"/>
          <w:iCs w:val="0"/>
          <w:caps w:val="0"/>
          <w:color w:val="000000"/>
          <w:spacing w:val="0"/>
          <w:sz w:val="32"/>
          <w:szCs w:val="32"/>
          <w:lang w:val="en-US" w:eastAsia="zh-CN"/>
        </w:rPr>
      </w:pPr>
      <w:bookmarkStart w:id="21" w:name="_Toc20421"/>
      <w:r>
        <w:rPr>
          <w:rFonts w:hint="eastAsia" w:ascii="仿宋" w:hAnsi="仿宋" w:eastAsia="仿宋" w:cs="仿宋"/>
          <w:i w:val="0"/>
          <w:iCs w:val="0"/>
          <w:caps w:val="0"/>
          <w:color w:val="000000"/>
          <w:spacing w:val="0"/>
          <w:sz w:val="32"/>
          <w:szCs w:val="32"/>
          <w:lang w:val="en-US" w:eastAsia="zh-CN"/>
        </w:rPr>
        <w:t>公司制定了相关的安全管理、材料审核等机制，此次施工并没有遵守规定。违反了公司制定的沈阳惠天热电股份有限公司工程项目管理办法（试行）2024版其中第八条、第十一条、第十二条、第十三条。在该管理办法第八条中规定应由公司招标采购部与施工方签订《工程施工合同》。本次施工在没有签订合同、没有核实施工组织者是否能代表中标单位、是否具有相关资质的情况下，将施工项目交由不具备资质的个人组织进场施工，不落实安全生产制度。没有对施工组织者进行监督管理，致使施工项目缺乏安全管理导致事故发生。</w:t>
      </w:r>
    </w:p>
    <w:p w14:paraId="779B6C31">
      <w:pPr>
        <w:ind w:firstLine="643" w:firstLineChars="200"/>
        <w:outlineLvl w:val="0"/>
        <w:rPr>
          <w:rFonts w:hint="default" w:ascii="仿宋" w:hAnsi="仿宋" w:eastAsia="仿宋" w:cs="仿宋"/>
          <w:b/>
          <w:bCs/>
          <w:sz w:val="32"/>
          <w:szCs w:val="32"/>
          <w:lang w:val="en-US" w:eastAsia="zh-CN"/>
        </w:rPr>
      </w:pPr>
      <w:r>
        <w:rPr>
          <w:rFonts w:hint="eastAsia" w:ascii="仿宋" w:hAnsi="仿宋" w:eastAsia="仿宋" w:cs="仿宋"/>
          <w:b/>
          <w:bCs/>
          <w:sz w:val="32"/>
          <w:szCs w:val="32"/>
          <w:lang w:val="en-US" w:eastAsia="zh-CN"/>
        </w:rPr>
        <w:t>沈阳惠天棋盘山供热有限责任公司</w:t>
      </w:r>
      <w:bookmarkEnd w:id="21"/>
    </w:p>
    <w:p w14:paraId="40F907A2">
      <w:pPr>
        <w:ind w:firstLine="645"/>
        <w:rPr>
          <w:rFonts w:hint="eastAsia" w:ascii="仿宋" w:hAnsi="仿宋" w:eastAsia="仿宋" w:cs="仿宋"/>
          <w:i w:val="0"/>
          <w:iCs w:val="0"/>
          <w:caps w:val="0"/>
          <w:color w:val="000000"/>
          <w:spacing w:val="0"/>
          <w:sz w:val="32"/>
          <w:szCs w:val="32"/>
          <w:lang w:val="en-US" w:eastAsia="zh-CN"/>
        </w:rPr>
      </w:pPr>
      <w:bookmarkStart w:id="22" w:name="_Toc5792"/>
      <w:bookmarkStart w:id="23" w:name="_Toc1312"/>
      <w:r>
        <w:rPr>
          <w:rFonts w:hint="eastAsia" w:ascii="仿宋" w:hAnsi="仿宋" w:eastAsia="仿宋" w:cs="仿宋"/>
          <w:i w:val="0"/>
          <w:iCs w:val="0"/>
          <w:caps w:val="0"/>
          <w:color w:val="000000"/>
          <w:spacing w:val="0"/>
          <w:sz w:val="32"/>
          <w:szCs w:val="32"/>
          <w:lang w:val="en-US" w:eastAsia="zh-CN"/>
        </w:rPr>
        <w:t>作为子公司违反了总公司制定的沈阳惠天热电股份有限公司工程项目管理办法（试行）2024版其中第八条、第十一条、第十二条、第十三条。没有核实是否签订合同，没有核实施工组织者是否能代表中标单位、是否具有相关资质，没有对施工组织者进行监督管理，致使施工项目缺乏安全管理导致事故发生。</w:t>
      </w:r>
    </w:p>
    <w:p w14:paraId="041E44FA">
      <w:pPr>
        <w:ind w:firstLine="645"/>
        <w:rPr>
          <w:rFonts w:hint="default" w:ascii="仿宋" w:hAnsi="仿宋" w:eastAsia="仿宋" w:cs="仿宋"/>
          <w:b/>
          <w:bCs/>
          <w:sz w:val="32"/>
          <w:szCs w:val="32"/>
          <w:lang w:val="en-US" w:eastAsia="zh-CN"/>
        </w:rPr>
      </w:pPr>
      <w:r>
        <w:rPr>
          <w:rFonts w:hint="eastAsia" w:ascii="黑体" w:hAnsi="黑体" w:eastAsia="黑体" w:cs="黑体"/>
          <w:b w:val="0"/>
          <w:bCs w:val="0"/>
          <w:kern w:val="2"/>
          <w:sz w:val="32"/>
          <w:szCs w:val="32"/>
          <w:lang w:val="en-US" w:eastAsia="zh-CN" w:bidi="ar-SA"/>
        </w:rPr>
        <w:t>六、</w:t>
      </w:r>
      <w:r>
        <w:rPr>
          <w:rFonts w:hint="default" w:ascii="黑体" w:hAnsi="黑体" w:eastAsia="黑体" w:cs="黑体"/>
          <w:b w:val="0"/>
          <w:bCs w:val="0"/>
          <w:kern w:val="2"/>
          <w:sz w:val="32"/>
          <w:szCs w:val="32"/>
          <w:lang w:val="en-US" w:eastAsia="zh-CN" w:bidi="ar-SA"/>
        </w:rPr>
        <w:t>对有关责任人员和责任单位的处理建议</w:t>
      </w:r>
      <w:bookmarkEnd w:id="22"/>
      <w:bookmarkEnd w:id="23"/>
    </w:p>
    <w:p w14:paraId="4D86C7B2">
      <w:pPr>
        <w:pStyle w:val="2"/>
        <w:keepNext w:val="0"/>
        <w:keepLines w:val="0"/>
        <w:pageBreakBefore w:val="0"/>
        <w:widowControl w:val="0"/>
        <w:kinsoku/>
        <w:overflowPunct/>
        <w:topLinePunct w:val="0"/>
        <w:autoSpaceDE/>
        <w:autoSpaceDN/>
        <w:bidi w:val="0"/>
        <w:adjustRightInd/>
        <w:snapToGrid/>
        <w:spacing w:line="579" w:lineRule="exact"/>
        <w:ind w:left="0" w:leftChars="0" w:firstLine="643" w:firstLineChars="200"/>
        <w:textAlignment w:val="auto"/>
        <w:outlineLvl w:val="1"/>
        <w:rPr>
          <w:rFonts w:hint="default" w:ascii="楷体" w:hAnsi="楷体" w:eastAsia="楷体" w:cs="楷体"/>
          <w:b/>
          <w:bCs/>
          <w:kern w:val="2"/>
          <w:sz w:val="32"/>
          <w:szCs w:val="32"/>
          <w:lang w:val="en-US" w:eastAsia="zh-CN" w:bidi="ar-SA"/>
        </w:rPr>
      </w:pPr>
      <w:bookmarkStart w:id="24" w:name="_Toc3725"/>
      <w:bookmarkStart w:id="25" w:name="_Toc17911"/>
      <w:r>
        <w:rPr>
          <w:rFonts w:hint="eastAsia" w:ascii="楷体" w:hAnsi="楷体" w:eastAsia="楷体" w:cs="楷体"/>
          <w:b/>
          <w:bCs/>
          <w:kern w:val="2"/>
          <w:sz w:val="32"/>
          <w:szCs w:val="32"/>
          <w:lang w:val="en-US" w:eastAsia="zh-CN" w:bidi="ar-SA"/>
        </w:rPr>
        <w:t>（一）对有关责任单位的处理建议</w:t>
      </w:r>
      <w:bookmarkEnd w:id="24"/>
      <w:bookmarkEnd w:id="25"/>
    </w:p>
    <w:p w14:paraId="53C65BA6">
      <w:pPr>
        <w:ind w:firstLine="643" w:firstLineChars="200"/>
        <w:outlineLvl w:val="0"/>
        <w:rPr>
          <w:rFonts w:hint="eastAsia" w:ascii="仿宋" w:hAnsi="仿宋" w:eastAsia="仿宋" w:cs="仿宋"/>
          <w:b/>
          <w:bCs/>
          <w:sz w:val="32"/>
          <w:szCs w:val="32"/>
          <w:lang w:val="en-US" w:eastAsia="zh-CN"/>
        </w:rPr>
      </w:pPr>
      <w:bookmarkStart w:id="26" w:name="_Toc12089"/>
      <w:r>
        <w:rPr>
          <w:rFonts w:hint="eastAsia" w:ascii="仿宋" w:hAnsi="仿宋" w:eastAsia="仿宋" w:cs="仿宋"/>
          <w:b/>
          <w:bCs/>
          <w:sz w:val="32"/>
          <w:szCs w:val="32"/>
          <w:lang w:val="en-US" w:eastAsia="zh-CN"/>
        </w:rPr>
        <w:t>沈阳惠天热电股份有限公司</w:t>
      </w:r>
      <w:bookmarkEnd w:id="26"/>
    </w:p>
    <w:p w14:paraId="3F89A267">
      <w:pPr>
        <w:ind w:firstLine="645"/>
        <w:rPr>
          <w:rFonts w:hint="default" w:ascii="仿宋" w:hAnsi="仿宋" w:eastAsia="仿宋" w:cs="仿宋"/>
          <w:i w:val="0"/>
          <w:iCs w:val="0"/>
          <w:caps w:val="0"/>
          <w:color w:val="000000"/>
          <w:spacing w:val="0"/>
          <w:sz w:val="32"/>
          <w:szCs w:val="32"/>
          <w:lang w:val="en-US" w:eastAsia="zh-CN"/>
        </w:rPr>
      </w:pPr>
      <w:bookmarkStart w:id="27" w:name="_Toc21935"/>
      <w:r>
        <w:rPr>
          <w:rFonts w:hint="eastAsia" w:ascii="仿宋" w:hAnsi="仿宋" w:eastAsia="仿宋" w:cs="仿宋"/>
          <w:i w:val="0"/>
          <w:iCs w:val="0"/>
          <w:caps w:val="0"/>
          <w:color w:val="000000"/>
          <w:spacing w:val="0"/>
          <w:sz w:val="32"/>
          <w:szCs w:val="32"/>
          <w:lang w:val="en-US" w:eastAsia="zh-CN"/>
        </w:rPr>
        <w:t>公司制定了相关的安全管理、材料审核等机制，此次施工并没有遵守规定。违反了公司制定的沈阳惠天热电股份有限公司工程项目管理办法（试行）2024版其中第八条、第十一条、第十二条、第十三条。在该管理办法第八条中规定应由公司招标采购部与施工方签订《工程施工合同》。本次施工在没有签订合同、没有核实施工组织者是否能代表中标单位、是否具有相关资质的情况下，将施工项目交由不具备资质的个人组织进场施工，不落实安全生产制度</w:t>
      </w:r>
      <w:r>
        <w:rPr>
          <w:rStyle w:val="15"/>
          <w:rFonts w:hint="eastAsia" w:ascii="仿宋" w:hAnsi="仿宋" w:eastAsia="仿宋" w:cs="仿宋"/>
          <w:i w:val="0"/>
          <w:iCs w:val="0"/>
          <w:caps w:val="0"/>
          <w:color w:val="000000"/>
          <w:spacing w:val="0"/>
          <w:sz w:val="32"/>
          <w:szCs w:val="32"/>
          <w:lang w:val="en-US" w:eastAsia="zh-CN"/>
        </w:rPr>
        <w:footnoteReference w:id="0"/>
      </w:r>
      <w:r>
        <w:rPr>
          <w:rFonts w:hint="eastAsia" w:ascii="仿宋" w:hAnsi="仿宋" w:eastAsia="仿宋" w:cs="仿宋"/>
          <w:i w:val="0"/>
          <w:iCs w:val="0"/>
          <w:caps w:val="0"/>
          <w:color w:val="000000"/>
          <w:spacing w:val="0"/>
          <w:sz w:val="32"/>
          <w:szCs w:val="32"/>
          <w:lang w:val="en-US" w:eastAsia="zh-CN"/>
        </w:rPr>
        <w:t>，致使施工项目缺乏安全管理导致事故发生。对事故发生负有责任，建议由城市建设部门和应急管理部门依法依规处理</w:t>
      </w:r>
      <w:r>
        <w:rPr>
          <w:rStyle w:val="15"/>
          <w:rFonts w:hint="eastAsia" w:ascii="仿宋" w:hAnsi="仿宋" w:eastAsia="仿宋" w:cs="仿宋"/>
          <w:i w:val="0"/>
          <w:iCs w:val="0"/>
          <w:caps w:val="0"/>
          <w:color w:val="000000"/>
          <w:spacing w:val="0"/>
          <w:sz w:val="32"/>
          <w:szCs w:val="32"/>
          <w:lang w:val="en-US" w:eastAsia="zh-CN"/>
        </w:rPr>
        <w:footnoteReference w:id="1"/>
      </w:r>
      <w:r>
        <w:rPr>
          <w:rFonts w:hint="eastAsia" w:ascii="仿宋" w:hAnsi="仿宋" w:eastAsia="仿宋" w:cs="仿宋"/>
          <w:i w:val="0"/>
          <w:iCs w:val="0"/>
          <w:caps w:val="0"/>
          <w:color w:val="000000"/>
          <w:spacing w:val="0"/>
          <w:sz w:val="32"/>
          <w:szCs w:val="32"/>
          <w:lang w:val="en-US" w:eastAsia="zh-CN"/>
        </w:rPr>
        <w:t>。</w:t>
      </w:r>
    </w:p>
    <w:p w14:paraId="1B4141BC">
      <w:pPr>
        <w:ind w:firstLine="643" w:firstLineChars="200"/>
        <w:outlineLvl w:val="0"/>
        <w:rPr>
          <w:rFonts w:hint="default" w:ascii="仿宋" w:hAnsi="仿宋" w:eastAsia="仿宋" w:cs="仿宋"/>
          <w:b/>
          <w:bCs/>
          <w:sz w:val="32"/>
          <w:szCs w:val="32"/>
          <w:lang w:val="en-US" w:eastAsia="zh-CN"/>
        </w:rPr>
      </w:pPr>
      <w:bookmarkStart w:id="28" w:name="_Toc10769"/>
      <w:r>
        <w:rPr>
          <w:rFonts w:hint="eastAsia" w:ascii="仿宋" w:hAnsi="仿宋" w:eastAsia="仿宋" w:cs="仿宋"/>
          <w:b/>
          <w:bCs/>
          <w:sz w:val="32"/>
          <w:szCs w:val="32"/>
          <w:lang w:val="en-US" w:eastAsia="zh-CN"/>
        </w:rPr>
        <w:t>沈阳惠天棋盘山供热有限责任公司</w:t>
      </w:r>
      <w:bookmarkEnd w:id="28"/>
    </w:p>
    <w:p w14:paraId="40F22DBD">
      <w:pPr>
        <w:pStyle w:val="2"/>
        <w:keepNext w:val="0"/>
        <w:keepLines w:val="0"/>
        <w:pageBreakBefore w:val="0"/>
        <w:widowControl w:val="0"/>
        <w:kinsoku/>
        <w:overflowPunct/>
        <w:topLinePunct w:val="0"/>
        <w:autoSpaceDE/>
        <w:autoSpaceDN/>
        <w:bidi w:val="0"/>
        <w:adjustRightInd/>
        <w:snapToGrid/>
        <w:spacing w:line="579" w:lineRule="exact"/>
        <w:ind w:left="0" w:leftChars="0" w:firstLine="640" w:firstLineChars="200"/>
        <w:textAlignment w:val="auto"/>
        <w:outlineLvl w:val="1"/>
        <w:rPr>
          <w:rFonts w:hint="eastAsia" w:ascii="仿宋" w:hAnsi="仿宋" w:eastAsia="仿宋" w:cs="仿宋"/>
          <w:i w:val="0"/>
          <w:iCs w:val="0"/>
          <w:caps w:val="0"/>
          <w:color w:val="000000"/>
          <w:spacing w:val="0"/>
          <w:sz w:val="32"/>
          <w:szCs w:val="32"/>
          <w:lang w:val="en-US" w:eastAsia="zh-CN"/>
        </w:rPr>
      </w:pPr>
      <w:bookmarkStart w:id="29" w:name="_Toc10212"/>
      <w:r>
        <w:rPr>
          <w:rFonts w:hint="eastAsia" w:ascii="仿宋" w:hAnsi="仿宋" w:eastAsia="仿宋" w:cs="仿宋"/>
          <w:i w:val="0"/>
          <w:iCs w:val="0"/>
          <w:caps w:val="0"/>
          <w:color w:val="000000"/>
          <w:spacing w:val="0"/>
          <w:sz w:val="32"/>
          <w:szCs w:val="32"/>
          <w:lang w:val="en-US" w:eastAsia="zh-CN"/>
        </w:rPr>
        <w:t>作为子公司违反了总公司制定的沈阳惠天热电股份有限公司工程项目管理办法（试行）2024版其中第八条、第十一条、第十二条、第十三条。没有核实是否签订合同，没有核实施工组织者是否能代表中标单位、是否具有相关资质的情况下安排施工组织者进场施工，没有将工程发包给依法中标的承包单位，将工程项目实际发包给不具备资质的个人</w:t>
      </w:r>
      <w:r>
        <w:rPr>
          <w:rStyle w:val="15"/>
          <w:rFonts w:hint="eastAsia" w:ascii="仿宋" w:hAnsi="仿宋" w:eastAsia="仿宋" w:cs="仿宋"/>
          <w:i w:val="0"/>
          <w:iCs w:val="0"/>
          <w:caps w:val="0"/>
          <w:color w:val="000000"/>
          <w:spacing w:val="0"/>
          <w:sz w:val="32"/>
          <w:szCs w:val="32"/>
          <w:lang w:val="en-US" w:eastAsia="zh-CN"/>
        </w:rPr>
        <w:footnoteReference w:id="2"/>
      </w:r>
      <w:r>
        <w:rPr>
          <w:rFonts w:hint="eastAsia" w:ascii="仿宋" w:hAnsi="仿宋" w:eastAsia="仿宋" w:cs="仿宋"/>
          <w:i w:val="0"/>
          <w:iCs w:val="0"/>
          <w:caps w:val="0"/>
          <w:color w:val="000000"/>
          <w:spacing w:val="0"/>
          <w:sz w:val="32"/>
          <w:szCs w:val="32"/>
          <w:lang w:val="en-US" w:eastAsia="zh-CN"/>
        </w:rPr>
        <w:t>，没有对施工组织者进行监督管理，不落实安全生产制度，对事故发生负有责任。建议由城市建设部门和应急管理部门依法依规处理</w:t>
      </w:r>
      <w:r>
        <w:rPr>
          <w:rStyle w:val="15"/>
          <w:rFonts w:hint="eastAsia" w:ascii="仿宋" w:hAnsi="仿宋" w:eastAsia="仿宋" w:cs="仿宋"/>
          <w:i w:val="0"/>
          <w:iCs w:val="0"/>
          <w:caps w:val="0"/>
          <w:color w:val="000000"/>
          <w:spacing w:val="0"/>
          <w:sz w:val="32"/>
          <w:szCs w:val="32"/>
          <w:lang w:val="en-US" w:eastAsia="zh-CN"/>
        </w:rPr>
        <w:footnoteReference w:id="3"/>
      </w:r>
      <w:r>
        <w:rPr>
          <w:rFonts w:hint="eastAsia" w:ascii="仿宋" w:hAnsi="仿宋" w:eastAsia="仿宋" w:cs="仿宋"/>
          <w:i w:val="0"/>
          <w:iCs w:val="0"/>
          <w:caps w:val="0"/>
          <w:color w:val="000000"/>
          <w:spacing w:val="0"/>
          <w:sz w:val="32"/>
          <w:szCs w:val="32"/>
          <w:lang w:val="en-US" w:eastAsia="zh-CN"/>
        </w:rPr>
        <w:t>。</w:t>
      </w:r>
    </w:p>
    <w:p w14:paraId="17E594C5">
      <w:pPr>
        <w:pStyle w:val="2"/>
        <w:keepNext w:val="0"/>
        <w:keepLines w:val="0"/>
        <w:pageBreakBefore w:val="0"/>
        <w:widowControl w:val="0"/>
        <w:kinsoku/>
        <w:overflowPunct/>
        <w:topLinePunct w:val="0"/>
        <w:autoSpaceDE/>
        <w:autoSpaceDN/>
        <w:bidi w:val="0"/>
        <w:adjustRightInd/>
        <w:snapToGrid/>
        <w:spacing w:line="579" w:lineRule="exact"/>
        <w:textAlignment w:val="auto"/>
        <w:outlineLvl w:val="1"/>
        <w:rPr>
          <w:rFonts w:hint="default"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（二）</w:t>
      </w:r>
      <w:bookmarkEnd w:id="27"/>
      <w:r>
        <w:rPr>
          <w:rFonts w:hint="default" w:ascii="楷体" w:hAnsi="楷体" w:eastAsia="楷体" w:cs="楷体"/>
          <w:b/>
          <w:bCs/>
          <w:kern w:val="2"/>
          <w:sz w:val="32"/>
          <w:szCs w:val="32"/>
          <w:lang w:val="en-US" w:eastAsia="zh-CN" w:bidi="ar-SA"/>
        </w:rPr>
        <w:t>对有关责任人员的处理建议</w:t>
      </w:r>
      <w:bookmarkEnd w:id="29"/>
    </w:p>
    <w:p w14:paraId="5FC4B5F7">
      <w:pPr>
        <w:ind w:firstLine="643" w:firstLineChars="200"/>
        <w:outlineLvl w:val="0"/>
        <w:rPr>
          <w:rFonts w:hint="eastAsia" w:ascii="仿宋" w:hAnsi="仿宋" w:eastAsia="仿宋" w:cs="仿宋"/>
          <w:b/>
          <w:bCs/>
          <w:sz w:val="32"/>
          <w:szCs w:val="32"/>
          <w:lang w:val="en-US" w:eastAsia="zh-CN"/>
        </w:rPr>
      </w:pPr>
      <w:bookmarkStart w:id="30" w:name="_Toc5259"/>
      <w:r>
        <w:rPr>
          <w:rFonts w:hint="eastAsia" w:ascii="仿宋" w:hAnsi="仿宋" w:eastAsia="仿宋" w:cs="仿宋"/>
          <w:b/>
          <w:bCs/>
          <w:sz w:val="32"/>
          <w:szCs w:val="32"/>
          <w:lang w:val="en-US" w:eastAsia="zh-CN"/>
        </w:rPr>
        <w:t>张</w:t>
      </w:r>
      <w:bookmarkEnd w:id="30"/>
      <w:r>
        <w:rPr>
          <w:rFonts w:hint="eastAsia" w:ascii="仿宋" w:hAnsi="仿宋" w:eastAsia="仿宋" w:cs="仿宋"/>
          <w:b/>
          <w:bCs/>
          <w:sz w:val="32"/>
          <w:szCs w:val="32"/>
          <w:lang w:val="en-US" w:eastAsia="zh-CN"/>
        </w:rPr>
        <w:t>XX</w:t>
      </w:r>
    </w:p>
    <w:p w14:paraId="27B2E695">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在明知惠天方面未与明兴公司签订合同，自身也未与明兴公司签订合同。在未取得明兴公司相关授权，无相关许可证、营业执照，不具备安全生产条件的情况下组织进行施工</w:t>
      </w:r>
      <w:r>
        <w:rPr>
          <w:rStyle w:val="15"/>
          <w:rFonts w:hint="eastAsia" w:ascii="仿宋" w:hAnsi="仿宋" w:eastAsia="仿宋" w:cs="仿宋"/>
          <w:i w:val="0"/>
          <w:iCs w:val="0"/>
          <w:caps w:val="0"/>
          <w:color w:val="000000"/>
          <w:spacing w:val="0"/>
          <w:sz w:val="32"/>
          <w:szCs w:val="32"/>
          <w:lang w:val="en-US" w:eastAsia="zh-CN"/>
        </w:rPr>
        <w:footnoteReference w:id="4"/>
      </w:r>
      <w:r>
        <w:rPr>
          <w:rFonts w:hint="eastAsia" w:ascii="仿宋_GB2312" w:eastAsia="仿宋_GB2312"/>
          <w:sz w:val="32"/>
          <w:szCs w:val="32"/>
          <w:lang w:val="en-US" w:eastAsia="zh-CN"/>
        </w:rPr>
        <w:t>，</w:t>
      </w:r>
      <w:r>
        <w:rPr>
          <w:rFonts w:hint="eastAsia" w:ascii="仿宋" w:hAnsi="仿宋" w:eastAsia="仿宋" w:cs="仿宋"/>
          <w:sz w:val="32"/>
          <w:szCs w:val="32"/>
          <w:lang w:val="en-US" w:eastAsia="zh-CN"/>
        </w:rPr>
        <w:t>导致发生生产安全事故</w:t>
      </w:r>
      <w:r>
        <w:rPr>
          <w:rFonts w:hint="eastAsia" w:ascii="仿宋_GB2312" w:eastAsia="仿宋_GB2312"/>
          <w:sz w:val="32"/>
          <w:szCs w:val="32"/>
          <w:lang w:val="en-US" w:eastAsia="zh-CN"/>
        </w:rPr>
        <w:t>。建议由</w:t>
      </w:r>
      <w:r>
        <w:rPr>
          <w:rFonts w:hint="eastAsia" w:ascii="仿宋" w:hAnsi="仿宋" w:eastAsia="仿宋" w:cs="仿宋"/>
          <w:i w:val="0"/>
          <w:iCs w:val="0"/>
          <w:caps w:val="0"/>
          <w:color w:val="000000"/>
          <w:spacing w:val="0"/>
          <w:sz w:val="32"/>
          <w:szCs w:val="32"/>
          <w:lang w:val="en-US" w:eastAsia="zh-CN"/>
        </w:rPr>
        <w:t>城市建设部门</w:t>
      </w:r>
      <w:r>
        <w:rPr>
          <w:rFonts w:hint="eastAsia" w:ascii="仿宋_GB2312" w:eastAsia="仿宋_GB2312"/>
          <w:sz w:val="32"/>
          <w:szCs w:val="32"/>
          <w:lang w:val="en-US" w:eastAsia="zh-CN"/>
        </w:rPr>
        <w:t>和市场监管部门依法依规处理。</w:t>
      </w:r>
    </w:p>
    <w:p w14:paraId="675EC884">
      <w:pPr>
        <w:ind w:firstLine="643" w:firstLineChars="200"/>
        <w:outlineLvl w:val="0"/>
        <w:rPr>
          <w:rFonts w:hint="eastAsia" w:ascii="仿宋" w:hAnsi="仿宋" w:eastAsia="仿宋" w:cs="仿宋"/>
          <w:b/>
          <w:bCs/>
          <w:sz w:val="32"/>
          <w:szCs w:val="32"/>
          <w:lang w:val="en-US" w:eastAsia="zh-CN"/>
        </w:rPr>
      </w:pPr>
      <w:bookmarkStart w:id="31" w:name="_Toc18596"/>
      <w:r>
        <w:rPr>
          <w:rFonts w:hint="eastAsia" w:ascii="仿宋" w:hAnsi="仿宋" w:eastAsia="仿宋" w:cs="仿宋"/>
          <w:b/>
          <w:bCs/>
          <w:sz w:val="32"/>
          <w:szCs w:val="32"/>
          <w:lang w:val="en-US" w:eastAsia="zh-CN"/>
        </w:rPr>
        <w:t>唐</w:t>
      </w:r>
      <w:bookmarkEnd w:id="31"/>
      <w:r>
        <w:rPr>
          <w:rFonts w:hint="eastAsia" w:ascii="仿宋" w:hAnsi="仿宋" w:eastAsia="仿宋" w:cs="仿宋"/>
          <w:b/>
          <w:bCs/>
          <w:sz w:val="32"/>
          <w:szCs w:val="32"/>
          <w:lang w:val="en-US" w:eastAsia="zh-CN"/>
        </w:rPr>
        <w:t>XX</w:t>
      </w:r>
    </w:p>
    <w:p w14:paraId="00A3A663">
      <w:pPr>
        <w:ind w:firstLine="640" w:firstLineChars="200"/>
        <w:outlineLvl w:val="0"/>
        <w:rPr>
          <w:rFonts w:hint="default" w:ascii="仿宋_GB2312" w:eastAsia="仿宋_GB2312"/>
          <w:sz w:val="32"/>
          <w:szCs w:val="32"/>
          <w:lang w:val="en-US" w:eastAsia="zh-CN"/>
        </w:rPr>
      </w:pPr>
      <w:bookmarkStart w:id="32" w:name="_Toc30942"/>
      <w:r>
        <w:rPr>
          <w:rFonts w:hint="eastAsia" w:ascii="仿宋_GB2312" w:eastAsia="仿宋_GB2312"/>
          <w:sz w:val="32"/>
          <w:szCs w:val="32"/>
          <w:lang w:val="en-US" w:eastAsia="zh-CN"/>
        </w:rPr>
        <w:t>在明知惠天方面未与明兴公司签订合同，施工组织者张XX未取得明兴公司相关授权，未落实安全生产相关制度，缺少技术交底、安全教育的情况下安排没有相关资质的自然人张XX进行施工，违反公司相关规定，</w:t>
      </w:r>
      <w:r>
        <w:rPr>
          <w:rFonts w:hint="eastAsia" w:ascii="仿宋" w:hAnsi="仿宋" w:eastAsia="仿宋" w:cs="仿宋"/>
          <w:sz w:val="32"/>
          <w:szCs w:val="32"/>
          <w:lang w:val="en-US" w:eastAsia="zh-CN"/>
        </w:rPr>
        <w:t>导致发生生产安全事故</w:t>
      </w:r>
      <w:r>
        <w:rPr>
          <w:rFonts w:hint="eastAsia" w:ascii="仿宋_GB2312" w:eastAsia="仿宋_GB2312"/>
          <w:sz w:val="32"/>
          <w:szCs w:val="32"/>
          <w:lang w:val="en-US" w:eastAsia="zh-CN"/>
        </w:rPr>
        <w:t>。建议由沈阳惠天热电股份有限公司依据企业管理规定</w:t>
      </w:r>
      <w:r>
        <w:rPr>
          <w:rFonts w:hint="eastAsia" w:ascii="仿宋" w:hAnsi="仿宋" w:eastAsia="仿宋" w:cs="仿宋"/>
          <w:i w:val="0"/>
          <w:iCs w:val="0"/>
          <w:caps w:val="0"/>
          <w:color w:val="000000"/>
          <w:spacing w:val="0"/>
          <w:sz w:val="32"/>
          <w:szCs w:val="32"/>
          <w:lang w:val="en-US" w:eastAsia="zh-CN"/>
        </w:rPr>
        <w:t>予以处理</w:t>
      </w:r>
      <w:r>
        <w:rPr>
          <w:rFonts w:hint="eastAsia" w:ascii="仿宋_GB2312" w:eastAsia="仿宋_GB2312"/>
          <w:sz w:val="32"/>
          <w:szCs w:val="32"/>
          <w:lang w:val="en-US" w:eastAsia="zh-CN"/>
        </w:rPr>
        <w:t>。</w:t>
      </w:r>
      <w:bookmarkEnd w:id="32"/>
    </w:p>
    <w:p w14:paraId="65FE1938">
      <w:pPr>
        <w:keepNext w:val="0"/>
        <w:keepLines w:val="0"/>
        <w:pageBreakBefore w:val="0"/>
        <w:widowControl w:val="0"/>
        <w:kinsoku/>
        <w:overflowPunct/>
        <w:topLinePunct w:val="0"/>
        <w:autoSpaceDE/>
        <w:autoSpaceDN/>
        <w:bidi w:val="0"/>
        <w:adjustRightInd/>
        <w:snapToGrid/>
        <w:spacing w:line="579" w:lineRule="exact"/>
        <w:ind w:firstLine="640" w:firstLineChars="200"/>
        <w:jc w:val="left"/>
        <w:textAlignment w:val="auto"/>
        <w:outlineLvl w:val="0"/>
        <w:rPr>
          <w:rFonts w:hint="eastAsia" w:ascii="仿宋" w:hAnsi="仿宋" w:eastAsia="仿宋" w:cs="仿宋"/>
          <w:b w:val="0"/>
          <w:bCs w:val="0"/>
          <w:sz w:val="32"/>
          <w:szCs w:val="32"/>
          <w:highlight w:val="none"/>
          <w:lang w:val="en-US" w:eastAsia="zh-CN"/>
        </w:rPr>
      </w:pPr>
      <w:bookmarkStart w:id="33" w:name="_Toc24386"/>
      <w:bookmarkStart w:id="34" w:name="_Toc4758"/>
      <w:r>
        <w:rPr>
          <w:rFonts w:hint="eastAsia" w:ascii="黑体" w:hAnsi="黑体" w:eastAsia="黑体" w:cs="黑体"/>
          <w:b w:val="0"/>
          <w:bCs w:val="0"/>
          <w:kern w:val="2"/>
          <w:sz w:val="32"/>
          <w:szCs w:val="32"/>
          <w:highlight w:val="none"/>
          <w:lang w:val="en-US" w:eastAsia="zh-CN" w:bidi="ar-SA"/>
        </w:rPr>
        <w:t>七、</w:t>
      </w:r>
      <w:r>
        <w:rPr>
          <w:rFonts w:hint="default" w:ascii="黑体" w:hAnsi="黑体" w:eastAsia="黑体" w:cs="黑体"/>
          <w:b w:val="0"/>
          <w:bCs w:val="0"/>
          <w:kern w:val="2"/>
          <w:sz w:val="32"/>
          <w:szCs w:val="32"/>
          <w:highlight w:val="none"/>
          <w:lang w:val="en-US" w:eastAsia="zh-CN" w:bidi="ar-SA"/>
        </w:rPr>
        <w:t>事故防范及整改措施</w:t>
      </w:r>
      <w:bookmarkEnd w:id="33"/>
      <w:bookmarkEnd w:id="34"/>
    </w:p>
    <w:p w14:paraId="3A8EA509">
      <w:pPr>
        <w:ind w:firstLine="645"/>
        <w:rPr>
          <w:rFonts w:hint="eastAsia" w:ascii="仿宋" w:hAnsi="仿宋" w:eastAsia="仿宋" w:cs="仿宋"/>
          <w:i w:val="0"/>
          <w:iCs w:val="0"/>
          <w:caps w:val="0"/>
          <w:color w:val="000000"/>
          <w:spacing w:val="0"/>
          <w:sz w:val="32"/>
          <w:szCs w:val="32"/>
          <w:lang w:val="en-US" w:eastAsia="zh-CN"/>
        </w:rPr>
      </w:pPr>
      <w:bookmarkStart w:id="35" w:name="_Toc19565"/>
      <w:bookmarkStart w:id="36" w:name="_Toc10391"/>
      <w:r>
        <w:rPr>
          <w:rFonts w:hint="eastAsia" w:ascii="仿宋" w:hAnsi="仿宋" w:eastAsia="仿宋" w:cs="仿宋"/>
          <w:i w:val="0"/>
          <w:iCs w:val="0"/>
          <w:caps w:val="0"/>
          <w:color w:val="000000"/>
          <w:spacing w:val="0"/>
          <w:sz w:val="32"/>
          <w:szCs w:val="32"/>
          <w:lang w:val="en-US" w:eastAsia="zh-CN"/>
        </w:rPr>
        <w:t>为防范和杜绝类似生产安全事故的发生，确保生产安全，建议相关单位落实如下整改措施：</w:t>
      </w:r>
      <w:bookmarkEnd w:id="35"/>
      <w:bookmarkEnd w:id="36"/>
    </w:p>
    <w:p w14:paraId="64BFEFBC">
      <w:pPr>
        <w:ind w:firstLine="643" w:firstLineChars="200"/>
        <w:outlineLvl w:val="0"/>
        <w:rPr>
          <w:rFonts w:hint="default" w:ascii="仿宋" w:hAnsi="仿宋" w:eastAsia="仿宋" w:cs="仿宋"/>
          <w:b/>
          <w:bCs/>
          <w:sz w:val="32"/>
          <w:szCs w:val="32"/>
          <w:lang w:val="en-US" w:eastAsia="zh-CN"/>
        </w:rPr>
      </w:pPr>
      <w:bookmarkStart w:id="37" w:name="_Toc22122"/>
      <w:r>
        <w:rPr>
          <w:rFonts w:hint="eastAsia" w:ascii="仿宋" w:hAnsi="仿宋" w:eastAsia="仿宋" w:cs="仿宋"/>
          <w:b/>
          <w:bCs/>
          <w:sz w:val="32"/>
          <w:szCs w:val="32"/>
          <w:lang w:val="en-US" w:eastAsia="zh-CN"/>
        </w:rPr>
        <w:t>沈阳惠天热电股份有限公司</w:t>
      </w:r>
      <w:bookmarkEnd w:id="37"/>
      <w:r>
        <w:rPr>
          <w:rFonts w:hint="eastAsia" w:ascii="仿宋" w:hAnsi="仿宋" w:eastAsia="仿宋" w:cs="仿宋"/>
          <w:b/>
          <w:bCs/>
          <w:sz w:val="32"/>
          <w:szCs w:val="32"/>
          <w:lang w:val="en-US" w:eastAsia="zh-CN"/>
        </w:rPr>
        <w:t xml:space="preserve">  </w:t>
      </w:r>
    </w:p>
    <w:p w14:paraId="23CC0CF4">
      <w:pPr>
        <w:pStyle w:val="2"/>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eastAsia"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要认真吸取事故教训，全面落实企业安全生产主体责任，要认真严格落实本单位全员安全生产责任制，严格审核施工相关手续，工程项目要依法发包招标。依法组织开展从业人员安全生产教育和培训及技能考核工作，如实记录安全生产教育和培训及考核情况。</w:t>
      </w:r>
    </w:p>
    <w:p w14:paraId="3506478E">
      <w:pPr>
        <w:ind w:firstLine="643" w:firstLineChars="200"/>
        <w:outlineLvl w:val="0"/>
        <w:rPr>
          <w:rFonts w:hint="eastAsia" w:ascii="仿宋" w:hAnsi="仿宋" w:eastAsia="仿宋" w:cs="仿宋"/>
          <w:b/>
          <w:bCs/>
          <w:sz w:val="32"/>
          <w:szCs w:val="32"/>
          <w:lang w:val="en-US" w:eastAsia="zh-CN"/>
        </w:rPr>
      </w:pPr>
      <w:bookmarkStart w:id="38" w:name="_Toc26472"/>
      <w:r>
        <w:rPr>
          <w:rFonts w:hint="eastAsia" w:ascii="仿宋" w:hAnsi="仿宋" w:eastAsia="仿宋" w:cs="仿宋"/>
          <w:b/>
          <w:bCs/>
          <w:sz w:val="32"/>
          <w:szCs w:val="32"/>
          <w:lang w:val="en-US" w:eastAsia="zh-CN"/>
        </w:rPr>
        <w:t>沈阳惠天棋盘山供热有限责任公司</w:t>
      </w:r>
      <w:bookmarkEnd w:id="38"/>
    </w:p>
    <w:p w14:paraId="291E6505">
      <w:pPr>
        <w:pStyle w:val="2"/>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rPr>
          <w:rFonts w:hint="default" w:ascii="仿宋" w:hAnsi="仿宋" w:eastAsia="仿宋" w:cs="仿宋"/>
          <w:b w:val="0"/>
          <w:bCs w:val="0"/>
          <w:sz w:val="32"/>
          <w:szCs w:val="32"/>
          <w:highlight w:val="none"/>
          <w:lang w:val="en-US" w:eastAsia="zh-CN"/>
        </w:rPr>
      </w:pPr>
      <w:r>
        <w:rPr>
          <w:rFonts w:hint="eastAsia" w:ascii="仿宋" w:hAnsi="仿宋" w:eastAsia="仿宋" w:cs="仿宋"/>
          <w:b w:val="0"/>
          <w:bCs w:val="0"/>
          <w:sz w:val="32"/>
          <w:szCs w:val="32"/>
          <w:highlight w:val="none"/>
          <w:lang w:val="en-US" w:eastAsia="zh-CN"/>
        </w:rPr>
        <w:t>要认真吸取事故教训，全面落实企业安全生产主体责任，要认真严格落实本单位全员安全生产责任制，严格审核施工相关手续，工程项目要依法发包招标。依法组织开展从业人员安全生产教育和培训及技能考核工作，如实记录安全生产教育和培训及考核情况。</w:t>
      </w:r>
    </w:p>
    <w:sectPr>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6764A">
    <w:pPr>
      <w:pStyle w:val="4"/>
    </w:pPr>
  </w:p>
  <w:p w14:paraId="4F612A20">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77D1B">
    <w:pPr>
      <w:pStyle w:val="4"/>
    </w:pPr>
  </w:p>
  <w:p w14:paraId="67849B91">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F31B4">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E83840">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4E83840">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B4C099">
                          <w:pPr>
                            <w:pStyle w:val="4"/>
                            <w:rPr>
                              <w:rFonts w:hint="default"/>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0B4C099">
                    <w:pPr>
                      <w:pStyle w:val="4"/>
                      <w:rPr>
                        <w:rFonts w:hint="default"/>
                        <w:lang w:val="en-US" w:eastAsia="zh-CN"/>
                      </w:rPr>
                    </w:pPr>
                  </w:p>
                </w:txbxContent>
              </v:textbox>
            </v:shape>
          </w:pict>
        </mc:Fallback>
      </mc:AlternateContent>
    </w:r>
  </w:p>
  <w:p w14:paraId="5B787F04">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0">
    <w:p>
      <w:r>
        <w:separator/>
      </w:r>
    </w:p>
  </w:footnote>
  <w:footnote w:type="continuationSeparator" w:id="11">
    <w:p>
      <w:r>
        <w:continuationSeparator/>
      </w:r>
    </w:p>
  </w:footnote>
  <w:footnote w:id="0">
    <w:p w14:paraId="684D3F09">
      <w:pPr>
        <w:pStyle w:val="7"/>
        <w:snapToGrid w:val="0"/>
        <w:rPr>
          <w:rFonts w:hint="default"/>
          <w:lang w:val="en-US" w:eastAsia="zh-CN"/>
        </w:rPr>
      </w:pPr>
      <w:r>
        <w:rPr>
          <w:rStyle w:val="15"/>
        </w:rPr>
        <w:footnoteRef/>
      </w:r>
      <w:r>
        <w:t xml:space="preserve"> </w:t>
      </w:r>
      <w:r>
        <w:rPr>
          <w:rFonts w:hint="eastAsia"/>
          <w:lang w:eastAsia="zh-CN"/>
        </w:rPr>
        <w:t>《</w:t>
      </w:r>
      <w:r>
        <w:rPr>
          <w:rFonts w:hint="eastAsia"/>
          <w:lang w:val="en-US" w:eastAsia="zh-CN"/>
        </w:rPr>
        <w:t>中华人民共和国建筑法</w:t>
      </w:r>
      <w:r>
        <w:rPr>
          <w:rFonts w:hint="eastAsia"/>
          <w:lang w:eastAsia="zh-CN"/>
        </w:rPr>
        <w:t>》</w:t>
      </w:r>
      <w:r>
        <w:rPr>
          <w:rFonts w:hint="eastAsia"/>
          <w:lang w:val="en-US" w:eastAsia="zh-CN"/>
        </w:rPr>
        <w:t>第二十二条：建筑工程实行招标发包的，发包单位应当将建筑工程发包给依法中标的承包单位。建筑工程实行直接发包的，发包单位应当将建筑工程发包给具有相应资质条件的承包单位。</w:t>
      </w:r>
    </w:p>
  </w:footnote>
  <w:footnote w:id="1">
    <w:p w14:paraId="65F55018">
      <w:pPr>
        <w:pStyle w:val="7"/>
        <w:snapToGrid w:val="0"/>
        <w:rPr>
          <w:rFonts w:hint="eastAsia"/>
          <w:lang w:val="en-US" w:eastAsia="zh-CN"/>
        </w:rPr>
      </w:pPr>
      <w:r>
        <w:rPr>
          <w:rStyle w:val="15"/>
          <w:rFonts w:hint="eastAsia" w:ascii="Times New Roman" w:hAnsi="Times New Roman" w:eastAsia="宋体" w:cs="Times New Roman"/>
          <w:lang w:val="en-US" w:eastAsia="zh-CN"/>
        </w:rPr>
        <w:footnoteRef/>
      </w:r>
      <w:r>
        <w:rPr>
          <w:rFonts w:hint="eastAsia"/>
          <w:lang w:val="en-US" w:eastAsia="zh-CN"/>
        </w:rPr>
        <w:t xml:space="preserve"> 《中华人民共和国安全生产法》第一百一十四条 发生生产安全事故，对负有责任的生产经营单位除要求其依法承担相应的赔偿等责任外，由应急管理部门依照下列规定处以罚款：（一）发生一般事故的，处三十万元以上一百万元以下的罚款；</w:t>
      </w:r>
    </w:p>
  </w:footnote>
  <w:footnote w:id="2">
    <w:p w14:paraId="2EEA6A2E">
      <w:pPr>
        <w:pStyle w:val="7"/>
        <w:snapToGrid w:val="0"/>
        <w:rPr>
          <w:rFonts w:hint="default"/>
          <w:lang w:val="en-US" w:eastAsia="zh-CN"/>
        </w:rPr>
      </w:pPr>
      <w:r>
        <w:rPr>
          <w:rStyle w:val="15"/>
          <w:rFonts w:hint="eastAsia" w:ascii="Times New Roman" w:hAnsi="Times New Roman" w:eastAsia="宋体" w:cs="Times New Roman"/>
          <w:lang w:val="en-US" w:eastAsia="zh-CN"/>
        </w:rPr>
        <w:footnoteRef/>
      </w:r>
      <w:r>
        <w:rPr>
          <w:rFonts w:hint="eastAsia"/>
          <w:lang w:val="en-US" w:eastAsia="zh-CN"/>
        </w:rPr>
        <w:t xml:space="preserve"> 《中华人民共和国建筑法》第二十二条：建筑工程实行招标发包的，发包单位应当将建筑工程发包给依法中标的承包单位。建筑工程实行直接发包的，发包单位应当将建筑工程发包给具有相应资质条件的承包单位。</w:t>
      </w:r>
    </w:p>
  </w:footnote>
  <w:footnote w:id="3">
    <w:p w14:paraId="041A11F7">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pPr>
      <w:r>
        <w:rPr>
          <w:rStyle w:val="15"/>
          <w:rFonts w:hint="eastAsia" w:ascii="Times New Roman" w:hAnsi="Times New Roman" w:eastAsia="宋体" w:cs="Times New Roman"/>
          <w:kern w:val="2"/>
          <w:sz w:val="18"/>
          <w:szCs w:val="24"/>
          <w:lang w:val="en-US" w:eastAsia="zh-CN" w:bidi="ar-SA"/>
        </w:rPr>
        <w:footnoteRef/>
      </w:r>
      <w:r>
        <w:t xml:space="preserve"> </w:t>
      </w:r>
      <w:r>
        <w:rPr>
          <w:rFonts w:hint="eastAsia"/>
          <w:lang w:eastAsia="zh-CN"/>
        </w:rPr>
        <w:t>《</w:t>
      </w:r>
      <w:r>
        <w:rPr>
          <w:rFonts w:hint="eastAsia" w:asciiTheme="minorHAnsi" w:hAnsiTheme="minorHAnsi" w:eastAsiaTheme="minorEastAsia" w:cstheme="minorBidi"/>
          <w:kern w:val="2"/>
          <w:sz w:val="18"/>
          <w:szCs w:val="24"/>
          <w:lang w:val="en-US" w:eastAsia="zh-CN" w:bidi="ar-SA"/>
        </w:rPr>
        <w:t>中华人民共和国安全生产法</w:t>
      </w:r>
      <w:r>
        <w:rPr>
          <w:rFonts w:hint="eastAsia" w:cstheme="minorBidi"/>
          <w:kern w:val="2"/>
          <w:sz w:val="18"/>
          <w:szCs w:val="24"/>
          <w:lang w:val="en-US" w:eastAsia="zh-CN" w:bidi="ar-SA"/>
        </w:rPr>
        <w:t>》</w:t>
      </w:r>
      <w:r>
        <w:rPr>
          <w:rFonts w:hint="eastAsia" w:asciiTheme="minorHAnsi" w:hAnsiTheme="minorHAnsi" w:eastAsiaTheme="minorEastAsia" w:cstheme="minorBidi"/>
          <w:kern w:val="2"/>
          <w:sz w:val="18"/>
          <w:szCs w:val="24"/>
          <w:lang w:val="en-US" w:eastAsia="zh-CN" w:bidi="ar-SA"/>
        </w:rPr>
        <w:t>第一百一十四条 发生生产安全事故，对负有责任的生产经营单位除要求其依法承担相应的赔偿等责任外，由应急管理部门依照下列规定处以罚款：（一）发生一般事故的，处三十万元以上一百万元以下的罚款；</w:t>
      </w:r>
    </w:p>
  </w:footnote>
  <w:footnote w:id="4">
    <w:p w14:paraId="788B6515">
      <w:pPr>
        <w:pStyle w:val="7"/>
        <w:snapToGrid w:val="0"/>
        <w:rPr>
          <w:rFonts w:hint="eastAsia" w:asciiTheme="minorHAnsi" w:hAnsiTheme="minorHAnsi" w:eastAsiaTheme="minorEastAsia" w:cstheme="minorBidi"/>
          <w:kern w:val="2"/>
          <w:sz w:val="18"/>
          <w:szCs w:val="24"/>
          <w:lang w:val="en-US" w:eastAsia="zh-CN" w:bidi="ar-SA"/>
        </w:rPr>
      </w:pPr>
      <w:r>
        <w:rPr>
          <w:rStyle w:val="15"/>
          <w:rFonts w:hint="eastAsia" w:ascii="Times New Roman" w:hAnsi="Times New Roman" w:eastAsia="宋体" w:cs="Times New Roman"/>
          <w:kern w:val="2"/>
          <w:sz w:val="18"/>
          <w:szCs w:val="24"/>
          <w:lang w:val="en-US" w:eastAsia="zh-CN" w:bidi="ar-SA"/>
        </w:rPr>
        <w:footnoteRef/>
      </w:r>
      <w:r>
        <w:rPr>
          <w:rFonts w:hint="eastAsia"/>
          <w:lang w:val="en-US" w:eastAsia="zh-CN"/>
        </w:rPr>
        <w:t xml:space="preserve"> 《无证无照经营查处办法》</w:t>
      </w:r>
      <w:r>
        <w:rPr>
          <w:rFonts w:hint="eastAsia" w:asciiTheme="minorHAnsi" w:hAnsiTheme="minorHAnsi" w:eastAsiaTheme="minorEastAsia" w:cstheme="minorBidi"/>
          <w:kern w:val="2"/>
          <w:sz w:val="18"/>
          <w:szCs w:val="24"/>
          <w:lang w:val="en-US" w:eastAsia="zh-CN" w:bidi="ar-SA"/>
        </w:rPr>
        <w:t>第十二条</w:t>
      </w:r>
      <w:r>
        <w:rPr>
          <w:rFonts w:hint="eastAsia" w:cstheme="minorBidi"/>
          <w:kern w:val="2"/>
          <w:sz w:val="18"/>
          <w:szCs w:val="24"/>
          <w:lang w:val="en-US" w:eastAsia="zh-CN" w:bidi="ar-SA"/>
        </w:rPr>
        <w:t>：</w:t>
      </w:r>
      <w:r>
        <w:rPr>
          <w:rFonts w:hint="eastAsia" w:asciiTheme="minorHAnsi" w:hAnsiTheme="minorHAnsi" w:eastAsiaTheme="minorEastAsia" w:cstheme="minorBidi"/>
          <w:kern w:val="2"/>
          <w:sz w:val="18"/>
          <w:szCs w:val="24"/>
          <w:lang w:val="en-US" w:eastAsia="zh-CN" w:bidi="ar-SA"/>
        </w:rPr>
        <w:t>从事无证经营的，由查处部门依照相关法律、法规的规定予以处罚。第十三条</w:t>
      </w:r>
      <w:r>
        <w:rPr>
          <w:rFonts w:hint="eastAsia" w:cstheme="minorBidi"/>
          <w:kern w:val="2"/>
          <w:sz w:val="18"/>
          <w:szCs w:val="24"/>
          <w:lang w:val="en-US" w:eastAsia="zh-CN" w:bidi="ar-SA"/>
        </w:rPr>
        <w:t>：</w:t>
      </w:r>
      <w:r>
        <w:rPr>
          <w:rFonts w:hint="eastAsia" w:asciiTheme="minorHAnsi" w:hAnsiTheme="minorHAnsi" w:eastAsiaTheme="minorEastAsia" w:cstheme="minorBidi"/>
          <w:kern w:val="2"/>
          <w:sz w:val="18"/>
          <w:szCs w:val="24"/>
          <w:lang w:val="en-US" w:eastAsia="zh-CN" w:bidi="ar-SA"/>
        </w:rPr>
        <w:t>从事无照经营的，由工商行政管理部门依照相关法律、行政法规的规定予以处罚。法律、行政法规对无照经营的处罚没有明确规定的，由工商行政管理部门责令停止违法行为，没收违法所得，并处1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DD0404"/>
    <w:multiLevelType w:val="singleLevel"/>
    <w:tmpl w:val="40DD0404"/>
    <w:lvl w:ilvl="0" w:tentative="0">
      <w:start w:val="1"/>
      <w:numFmt w:val="chineseCounting"/>
      <w:suff w:val="nothing"/>
      <w:lvlText w:val="%1、"/>
      <w:lvlJc w:val="left"/>
      <w:rPr>
        <w:rFonts w:hint="eastAsia" w:ascii="宋体" w:hAnsi="宋体" w:eastAsia="宋体" w:cs="宋体"/>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10"/>
    <w:footnote w:id="1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mMDQ4MTVmNDI5ODFkMWRmNmVjNDgyNWNkYTYyZjUifQ=="/>
  </w:docVars>
  <w:rsids>
    <w:rsidRoot w:val="00172A27"/>
    <w:rsid w:val="00A10993"/>
    <w:rsid w:val="00BE578A"/>
    <w:rsid w:val="010D6A6A"/>
    <w:rsid w:val="013531F3"/>
    <w:rsid w:val="03773C2D"/>
    <w:rsid w:val="03F912A6"/>
    <w:rsid w:val="04D917B8"/>
    <w:rsid w:val="05496999"/>
    <w:rsid w:val="06A0713C"/>
    <w:rsid w:val="06A26EE9"/>
    <w:rsid w:val="07862691"/>
    <w:rsid w:val="083956B8"/>
    <w:rsid w:val="08F828D7"/>
    <w:rsid w:val="0D077DD0"/>
    <w:rsid w:val="0E975954"/>
    <w:rsid w:val="0ECF17CB"/>
    <w:rsid w:val="0EEF4FBF"/>
    <w:rsid w:val="101637E3"/>
    <w:rsid w:val="103828F4"/>
    <w:rsid w:val="10D15D3E"/>
    <w:rsid w:val="11212363"/>
    <w:rsid w:val="11256311"/>
    <w:rsid w:val="112F6066"/>
    <w:rsid w:val="11844B5F"/>
    <w:rsid w:val="11C20769"/>
    <w:rsid w:val="12B207DE"/>
    <w:rsid w:val="12D26099"/>
    <w:rsid w:val="133C258F"/>
    <w:rsid w:val="13877EBC"/>
    <w:rsid w:val="14143437"/>
    <w:rsid w:val="16DE5596"/>
    <w:rsid w:val="18800766"/>
    <w:rsid w:val="19C54E88"/>
    <w:rsid w:val="1B1C4D4A"/>
    <w:rsid w:val="1BF32D91"/>
    <w:rsid w:val="1F4C537C"/>
    <w:rsid w:val="20007C97"/>
    <w:rsid w:val="21DF2C72"/>
    <w:rsid w:val="21F04F23"/>
    <w:rsid w:val="25121AF5"/>
    <w:rsid w:val="25C12DBA"/>
    <w:rsid w:val="27BD5803"/>
    <w:rsid w:val="27C8074F"/>
    <w:rsid w:val="29717390"/>
    <w:rsid w:val="2A58171C"/>
    <w:rsid w:val="2BE5530D"/>
    <w:rsid w:val="2D1B54A6"/>
    <w:rsid w:val="2D32459D"/>
    <w:rsid w:val="2DD81595"/>
    <w:rsid w:val="2DF67FA2"/>
    <w:rsid w:val="2E0F2733"/>
    <w:rsid w:val="2E513149"/>
    <w:rsid w:val="2E76495E"/>
    <w:rsid w:val="2EE91630"/>
    <w:rsid w:val="2F800AC2"/>
    <w:rsid w:val="30127571"/>
    <w:rsid w:val="30AF751E"/>
    <w:rsid w:val="31315CD7"/>
    <w:rsid w:val="32B96A15"/>
    <w:rsid w:val="33DD25DA"/>
    <w:rsid w:val="348334BA"/>
    <w:rsid w:val="349B13AB"/>
    <w:rsid w:val="34BE468A"/>
    <w:rsid w:val="351A6043"/>
    <w:rsid w:val="357C0AAC"/>
    <w:rsid w:val="36CD49F8"/>
    <w:rsid w:val="38223824"/>
    <w:rsid w:val="384653A1"/>
    <w:rsid w:val="39096AFA"/>
    <w:rsid w:val="3AAD1707"/>
    <w:rsid w:val="3B7B09F0"/>
    <w:rsid w:val="3BAE3989"/>
    <w:rsid w:val="3C220B04"/>
    <w:rsid w:val="3CD420CF"/>
    <w:rsid w:val="3D7E0892"/>
    <w:rsid w:val="3DA9164D"/>
    <w:rsid w:val="3DF8713D"/>
    <w:rsid w:val="3F102BCF"/>
    <w:rsid w:val="3F9D4D99"/>
    <w:rsid w:val="40460B80"/>
    <w:rsid w:val="40577F2C"/>
    <w:rsid w:val="411C6EDE"/>
    <w:rsid w:val="41F14160"/>
    <w:rsid w:val="44C1243E"/>
    <w:rsid w:val="45DA7714"/>
    <w:rsid w:val="45F169B6"/>
    <w:rsid w:val="464C1CE9"/>
    <w:rsid w:val="466B1141"/>
    <w:rsid w:val="476747D0"/>
    <w:rsid w:val="4896186D"/>
    <w:rsid w:val="498626AE"/>
    <w:rsid w:val="49DD4CC6"/>
    <w:rsid w:val="4A3A67A3"/>
    <w:rsid w:val="4B5C267A"/>
    <w:rsid w:val="4C1A5C28"/>
    <w:rsid w:val="4DDF34CD"/>
    <w:rsid w:val="4F1B712F"/>
    <w:rsid w:val="4FA7690A"/>
    <w:rsid w:val="50A85BF5"/>
    <w:rsid w:val="51265FAA"/>
    <w:rsid w:val="516C1A4B"/>
    <w:rsid w:val="519E00DA"/>
    <w:rsid w:val="525C7843"/>
    <w:rsid w:val="52A21FA6"/>
    <w:rsid w:val="52BB7BB8"/>
    <w:rsid w:val="53A35923"/>
    <w:rsid w:val="5463070C"/>
    <w:rsid w:val="54A90C07"/>
    <w:rsid w:val="54A92AE8"/>
    <w:rsid w:val="54D71141"/>
    <w:rsid w:val="551D4268"/>
    <w:rsid w:val="55541392"/>
    <w:rsid w:val="574F5D6B"/>
    <w:rsid w:val="577613A7"/>
    <w:rsid w:val="58D948E2"/>
    <w:rsid w:val="5A48151F"/>
    <w:rsid w:val="5AB84569"/>
    <w:rsid w:val="5DD7237A"/>
    <w:rsid w:val="5F0D1529"/>
    <w:rsid w:val="5F3111A5"/>
    <w:rsid w:val="5FFF6400"/>
    <w:rsid w:val="60303D2C"/>
    <w:rsid w:val="6142054C"/>
    <w:rsid w:val="614B7400"/>
    <w:rsid w:val="61555B7C"/>
    <w:rsid w:val="63C33BC6"/>
    <w:rsid w:val="66503A49"/>
    <w:rsid w:val="66D02C8D"/>
    <w:rsid w:val="67311E3E"/>
    <w:rsid w:val="674B2164"/>
    <w:rsid w:val="67B81E4D"/>
    <w:rsid w:val="69201173"/>
    <w:rsid w:val="699C32E1"/>
    <w:rsid w:val="6AD00976"/>
    <w:rsid w:val="6B1B6095"/>
    <w:rsid w:val="6B2A1B1C"/>
    <w:rsid w:val="6B4F6E9C"/>
    <w:rsid w:val="6BB46294"/>
    <w:rsid w:val="6C4F4D0C"/>
    <w:rsid w:val="6C5A6ECD"/>
    <w:rsid w:val="6C9854C4"/>
    <w:rsid w:val="6CE348FB"/>
    <w:rsid w:val="6D8D7493"/>
    <w:rsid w:val="6DEF4103"/>
    <w:rsid w:val="6DFD6A45"/>
    <w:rsid w:val="6F7203A6"/>
    <w:rsid w:val="6F8D445C"/>
    <w:rsid w:val="701D64FB"/>
    <w:rsid w:val="708C7D76"/>
    <w:rsid w:val="70ED57D0"/>
    <w:rsid w:val="71096990"/>
    <w:rsid w:val="717C2845"/>
    <w:rsid w:val="71E21AFF"/>
    <w:rsid w:val="721E282A"/>
    <w:rsid w:val="72D50AD1"/>
    <w:rsid w:val="74987115"/>
    <w:rsid w:val="74D80B53"/>
    <w:rsid w:val="74EB6AD9"/>
    <w:rsid w:val="74F51705"/>
    <w:rsid w:val="75023E22"/>
    <w:rsid w:val="75FF1478"/>
    <w:rsid w:val="766A30C6"/>
    <w:rsid w:val="76E52D88"/>
    <w:rsid w:val="782C7E18"/>
    <w:rsid w:val="786066B8"/>
    <w:rsid w:val="78F817C4"/>
    <w:rsid w:val="79D403F5"/>
    <w:rsid w:val="79E95AE8"/>
    <w:rsid w:val="7BD43BBE"/>
    <w:rsid w:val="7BE34AC6"/>
    <w:rsid w:val="7C9E08D4"/>
    <w:rsid w:val="7CA75EF6"/>
    <w:rsid w:val="7CCE3D0C"/>
    <w:rsid w:val="7CF24D85"/>
    <w:rsid w:val="7D0D0D66"/>
    <w:rsid w:val="7D8A0E59"/>
    <w:rsid w:val="7D8E528A"/>
    <w:rsid w:val="7E717535"/>
    <w:rsid w:val="7F7973D7"/>
    <w:rsid w:val="7F967F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pPr>
  </w:style>
  <w:style w:type="paragraph" w:styleId="3">
    <w:name w:val="toc 3"/>
    <w:basedOn w:val="1"/>
    <w:next w:val="1"/>
    <w:qFormat/>
    <w:uiPriority w:val="0"/>
    <w:pPr>
      <w:ind w:left="840" w:leftChars="4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footnote text"/>
    <w:basedOn w:val="1"/>
    <w:qFormat/>
    <w:uiPriority w:val="0"/>
    <w:pPr>
      <w:snapToGrid w:val="0"/>
      <w:jc w:val="left"/>
    </w:pPr>
    <w:rPr>
      <w:sz w:val="18"/>
    </w:rPr>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character" w:styleId="15">
    <w:name w:val="footnote reference"/>
    <w:basedOn w:val="12"/>
    <w:qFormat/>
    <w:uiPriority w:val="0"/>
    <w:rPr>
      <w:vertAlign w:val="superscript"/>
    </w:rPr>
  </w:style>
  <w:style w:type="paragraph" w:customStyle="1" w:styleId="16">
    <w:name w:val="列出段落1"/>
    <w:basedOn w:val="1"/>
    <w:qFormat/>
    <w:uiPriority w:val="34"/>
    <w:pPr>
      <w:ind w:firstLine="420" w:firstLineChars="200"/>
    </w:pPr>
  </w:style>
  <w:style w:type="paragraph" w:styleId="17">
    <w:name w:val="List Paragraph"/>
    <w:basedOn w:val="1"/>
    <w:unhideWhenUsed/>
    <w:qFormat/>
    <w:uiPriority w:val="99"/>
    <w:pPr>
      <w:ind w:firstLine="420" w:firstLine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5534</Words>
  <Characters>5869</Characters>
  <Lines>0</Lines>
  <Paragraphs>0</Paragraphs>
  <TotalTime>4</TotalTime>
  <ScaleCrop>false</ScaleCrop>
  <LinksUpToDate>false</LinksUpToDate>
  <CharactersWithSpaces>5937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2023-08-30T01:32:00Z</dcterms:created>
  <dc:creator>WPS_1660046945</dc:creator>
  <cp:lastModifiedBy>杨洋</cp:lastModifiedBy>
  <cp:lastPrinted>2026-02-04T01:19:00Z</cp:lastPrinted>
  <dcterms:modified xsi:type="dcterms:W3CDTF">2026-02-24T07:36:15Z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E59021D6B7B1429F8102715339075864_11</vt:lpwstr>
  </property>
  <property fmtid="{D5CDD505-2E9C-101B-9397-08002B2CF9AE}" pid="4" name="KSOTemplateDocerSaveRecord">
    <vt:lpwstr>eyJoZGlkIjoiNzZiZTQ3ZmI1OTFmODUzNzgwMGRlNDBmMWZiZDQzMjEiLCJ1c2VySWQiOiIyMzQ0MjI2NjQifQ==</vt:lpwstr>
  </property>
</Properties>
</file>