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02F39">
      <w:pPr>
        <w:jc w:val="center"/>
        <w:outlineLvl w:val="9"/>
        <w:rPr>
          <w:rFonts w:hint="eastAsia" w:ascii="宋体" w:hAnsi="宋体" w:eastAsia="宋体" w:cs="宋体"/>
          <w:b/>
          <w:bCs/>
          <w:sz w:val="44"/>
          <w:szCs w:val="44"/>
          <w:lang w:val="en-US" w:eastAsia="zh-CN"/>
        </w:rPr>
      </w:pPr>
    </w:p>
    <w:p w14:paraId="55A07E99">
      <w:pPr>
        <w:jc w:val="center"/>
        <w:outlineLvl w:val="9"/>
        <w:rPr>
          <w:rFonts w:hint="eastAsia" w:ascii="宋体" w:hAnsi="宋体" w:eastAsia="宋体" w:cs="宋体"/>
          <w:b/>
          <w:bCs/>
          <w:sz w:val="44"/>
          <w:szCs w:val="44"/>
          <w:lang w:val="en-US" w:eastAsia="zh-CN"/>
        </w:rPr>
      </w:pPr>
    </w:p>
    <w:p w14:paraId="31A181F0">
      <w:pPr>
        <w:jc w:val="center"/>
        <w:outlineLvl w:val="9"/>
        <w:rPr>
          <w:rFonts w:hint="eastAsia" w:ascii="宋体" w:hAnsi="宋体" w:eastAsia="宋体" w:cs="宋体"/>
          <w:b/>
          <w:bCs/>
          <w:sz w:val="44"/>
          <w:szCs w:val="44"/>
          <w:lang w:val="en-US" w:eastAsia="zh-CN"/>
        </w:rPr>
      </w:pPr>
    </w:p>
    <w:p w14:paraId="0E5245E1">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东阳奉天建筑劳务有限公司浑南西路南新</w:t>
      </w:r>
    </w:p>
    <w:p w14:paraId="5C468B45">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科街东-3地块“1.17”一般高处坠落事故</w:t>
      </w:r>
    </w:p>
    <w:p w14:paraId="5952002B">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default" w:ascii="宋体" w:hAnsi="宋体" w:eastAsia="宋体" w:cs="宋体"/>
          <w:bCs/>
          <w:kern w:val="2"/>
          <w:sz w:val="21"/>
          <w:szCs w:val="44"/>
          <w:lang w:val="en-US" w:eastAsia="zh-CN" w:bidi="ar-SA"/>
        </w:rPr>
      </w:pPr>
      <w:r>
        <w:rPr>
          <w:rFonts w:hint="eastAsia"/>
          <w:b/>
          <w:bCs/>
          <w:sz w:val="44"/>
          <w:szCs w:val="44"/>
          <w:lang w:val="en-US" w:eastAsia="zh-CN"/>
        </w:rPr>
        <w:t>调查报告</w:t>
      </w:r>
    </w:p>
    <w:p w14:paraId="1F04CEA7">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63BB3C7">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52B9C2E1">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80F334C">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2AFDD875">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6FAC3D94">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4B975585">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011E75E">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5610CDB2">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3DC16A08">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65364B5C">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2CFB3F9">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ED40888">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455EEB88">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379B7DC">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B889CD6">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D52A8A9">
      <w:pPr>
        <w:spacing w:before="0" w:beforeLines="0" w:after="0" w:afterLines="0" w:line="240" w:lineRule="auto"/>
        <w:ind w:left="0" w:leftChars="0" w:right="0" w:rightChars="0" w:firstLine="0" w:firstLineChars="0"/>
        <w:jc w:val="center"/>
        <w:rPr>
          <w:rFonts w:hint="eastAsia" w:ascii="宋体" w:hAnsi="宋体" w:eastAsia="宋体" w:cs="宋体"/>
          <w:bCs/>
          <w:kern w:val="2"/>
          <w:sz w:val="28"/>
          <w:szCs w:val="28"/>
          <w:lang w:val="en-US" w:eastAsia="zh-CN" w:bidi="ar-SA"/>
        </w:rPr>
      </w:pPr>
    </w:p>
    <w:p w14:paraId="5BBD1A52">
      <w:pPr>
        <w:spacing w:before="0" w:beforeLines="0" w:after="0" w:afterLines="0" w:line="240" w:lineRule="auto"/>
        <w:ind w:left="0" w:leftChars="0" w:right="0" w:rightChars="0" w:firstLine="0" w:firstLineChars="0"/>
        <w:jc w:val="center"/>
        <w:rPr>
          <w:rFonts w:hint="eastAsia" w:ascii="楷体" w:hAnsi="楷体" w:eastAsia="楷体" w:cs="楷体"/>
          <w:bCs/>
          <w:kern w:val="2"/>
          <w:sz w:val="30"/>
          <w:szCs w:val="30"/>
          <w:lang w:val="en-US" w:eastAsia="zh-CN" w:bidi="ar-SA"/>
        </w:rPr>
      </w:pPr>
      <w:r>
        <w:rPr>
          <w:rFonts w:hint="eastAsia" w:ascii="楷体" w:hAnsi="楷体" w:eastAsia="楷体" w:cs="楷体"/>
          <w:bCs/>
          <w:kern w:val="2"/>
          <w:sz w:val="30"/>
          <w:szCs w:val="30"/>
          <w:lang w:val="en-US" w:eastAsia="zh-CN" w:bidi="ar-SA"/>
        </w:rPr>
        <w:t>浑南区事故调查组</w:t>
      </w:r>
    </w:p>
    <w:p w14:paraId="49B5602B">
      <w:pPr>
        <w:spacing w:before="0" w:beforeLines="0" w:after="0" w:afterLines="0" w:line="240" w:lineRule="auto"/>
        <w:ind w:left="0" w:leftChars="0" w:right="0" w:rightChars="0" w:firstLine="0" w:firstLineChars="0"/>
        <w:jc w:val="center"/>
        <w:rPr>
          <w:rFonts w:hint="eastAsia" w:ascii="楷体" w:hAnsi="楷体" w:eastAsia="楷体" w:cs="楷体"/>
          <w:bCs/>
          <w:kern w:val="2"/>
          <w:sz w:val="30"/>
          <w:szCs w:val="30"/>
          <w:lang w:val="en-US" w:eastAsia="zh-CN" w:bidi="ar-SA"/>
        </w:rPr>
      </w:pPr>
      <w:r>
        <w:rPr>
          <w:rFonts w:hint="eastAsia" w:ascii="楷体" w:hAnsi="楷体" w:eastAsia="楷体" w:cs="楷体"/>
          <w:bCs/>
          <w:kern w:val="2"/>
          <w:sz w:val="30"/>
          <w:szCs w:val="30"/>
          <w:lang w:val="en-US" w:eastAsia="zh-CN" w:bidi="ar-SA"/>
        </w:rPr>
        <w:t>2026年3月</w:t>
      </w:r>
    </w:p>
    <w:p w14:paraId="715C456A">
      <w:pPr>
        <w:spacing w:before="0" w:beforeLines="0" w:after="0" w:afterLines="0" w:line="240" w:lineRule="auto"/>
        <w:ind w:left="0" w:leftChars="0" w:right="0" w:rightChars="0" w:firstLine="0" w:firstLineChars="0"/>
        <w:jc w:val="both"/>
        <w:rPr>
          <w:rFonts w:hint="eastAsia"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 xml:space="preserve"> </w:t>
      </w:r>
    </w:p>
    <w:p w14:paraId="52E4D9E5">
      <w:pPr>
        <w:spacing w:before="0" w:beforeLines="0" w:after="0" w:afterLines="0" w:line="240" w:lineRule="auto"/>
        <w:ind w:left="0" w:leftChars="0" w:right="0" w:rightChars="0" w:firstLine="0" w:firstLineChars="0"/>
        <w:jc w:val="both"/>
        <w:rPr>
          <w:rFonts w:hint="default" w:ascii="宋体" w:hAnsi="宋体" w:eastAsia="宋体" w:cs="宋体"/>
          <w:bCs/>
          <w:kern w:val="2"/>
          <w:sz w:val="28"/>
          <w:szCs w:val="28"/>
          <w:lang w:val="en-US" w:eastAsia="zh-CN" w:bidi="ar-SA"/>
        </w:rPr>
        <w:sectPr>
          <w:footerReference r:id="rId4" w:type="default"/>
          <w:pgSz w:w="11906" w:h="16838"/>
          <w:pgMar w:top="1440" w:right="1800" w:bottom="1440" w:left="1800" w:header="851" w:footer="992" w:gutter="0"/>
          <w:cols w:space="425" w:num="1"/>
          <w:docGrid w:type="lines" w:linePitch="312" w:charSpace="0"/>
        </w:sectPr>
      </w:pPr>
    </w:p>
    <w:p w14:paraId="38F82157">
      <w:pPr>
        <w:keepNext w:val="0"/>
        <w:keepLines w:val="0"/>
        <w:pageBreakBefore w:val="0"/>
        <w:widowControl w:val="0"/>
        <w:kinsoku/>
        <w:wordWrap/>
        <w:overflowPunct/>
        <w:topLinePunct w:val="0"/>
        <w:autoSpaceDE/>
        <w:autoSpaceDN/>
        <w:bidi w:val="0"/>
        <w:adjustRightInd/>
        <w:snapToGrid/>
        <w:spacing w:before="0" w:after="0" w:line="460" w:lineRule="exact"/>
        <w:ind w:left="0" w:leftChars="0" w:right="0" w:rightChars="0"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 xml:space="preserve"> </w:t>
      </w:r>
    </w:p>
    <w:sdt>
      <w:sdtPr>
        <w:rPr>
          <w:rFonts w:ascii="宋体" w:hAnsi="宋体" w:eastAsia="宋体" w:cstheme="minorBidi"/>
          <w:kern w:val="2"/>
          <w:sz w:val="21"/>
          <w:szCs w:val="24"/>
          <w:lang w:val="en-US" w:eastAsia="zh-CN" w:bidi="ar-SA"/>
        </w:rPr>
        <w:id w:val="147454941"/>
        <w15:color w:val="DBDBDB"/>
        <w:docPartObj>
          <w:docPartGallery w:val="Table of Contents"/>
          <w:docPartUnique/>
        </w:docPartObj>
      </w:sdtPr>
      <w:sdtEndPr>
        <w:rPr>
          <w:rFonts w:hint="eastAsia" w:ascii="宋体" w:hAnsi="宋体" w:eastAsia="宋体" w:cs="宋体"/>
          <w:bCs/>
          <w:kern w:val="2"/>
          <w:sz w:val="28"/>
          <w:szCs w:val="56"/>
          <w:lang w:val="en-US" w:eastAsia="zh-CN" w:bidi="ar-SA"/>
        </w:rPr>
      </w:sdtEndPr>
      <w:sdtContent>
        <w:p w14:paraId="282D5754">
          <w:pPr>
            <w:keepNext w:val="0"/>
            <w:keepLines w:val="0"/>
            <w:pageBreakBefore w:val="0"/>
            <w:widowControl w:val="0"/>
            <w:kinsoku/>
            <w:wordWrap/>
            <w:overflowPunct/>
            <w:topLinePunct w:val="0"/>
            <w:autoSpaceDE/>
            <w:autoSpaceDN/>
            <w:bidi w:val="0"/>
            <w:adjustRightInd/>
            <w:snapToGrid/>
            <w:spacing w:before="0" w:after="0" w:line="460" w:lineRule="exact"/>
            <w:ind w:left="0" w:leftChars="0" w:right="0" w:rightChars="0" w:firstLine="0" w:firstLineChars="0"/>
            <w:jc w:val="center"/>
            <w:textAlignment w:val="auto"/>
            <w:rPr>
              <w:sz w:val="28"/>
              <w:szCs w:val="28"/>
            </w:rPr>
          </w:pPr>
          <w:bookmarkStart w:id="0" w:name="_Toc6680"/>
          <w:bookmarkStart w:id="1" w:name="_Toc1556"/>
          <w:r>
            <w:rPr>
              <w:rFonts w:ascii="宋体" w:hAnsi="宋体" w:eastAsia="宋体"/>
              <w:sz w:val="28"/>
              <w:szCs w:val="28"/>
            </w:rPr>
            <w:t>目录</w:t>
          </w:r>
        </w:p>
        <w:p w14:paraId="5837E95F">
          <w:pPr>
            <w:pStyle w:val="6"/>
            <w:tabs>
              <w:tab w:val="right" w:leader="dot" w:pos="8306"/>
            </w:tabs>
          </w:pPr>
          <w:r>
            <w:rPr>
              <w:rFonts w:hint="eastAsia" w:ascii="宋体" w:hAnsi="宋体" w:eastAsia="宋体" w:cs="宋体"/>
              <w:b/>
              <w:bCs/>
              <w:sz w:val="28"/>
              <w:szCs w:val="28"/>
              <w:lang w:val="en-US" w:eastAsia="zh-CN"/>
            </w:rPr>
            <w:fldChar w:fldCharType="begin"/>
          </w:r>
          <w:r>
            <w:rPr>
              <w:rFonts w:hint="eastAsia" w:ascii="宋体" w:hAnsi="宋体" w:eastAsia="宋体" w:cs="宋体"/>
              <w:b/>
              <w:bCs/>
              <w:sz w:val="28"/>
              <w:szCs w:val="28"/>
              <w:lang w:val="en-US" w:eastAsia="zh-CN"/>
            </w:rPr>
            <w:instrText xml:space="preserve">TOC \o "1-3" \h \u </w:instrText>
          </w:r>
          <w:r>
            <w:rPr>
              <w:rFonts w:hint="eastAsia" w:ascii="宋体" w:hAnsi="宋体" w:eastAsia="宋体" w:cs="宋体"/>
              <w:b/>
              <w:bCs/>
              <w:sz w:val="28"/>
              <w:szCs w:val="28"/>
              <w:lang w:val="en-US" w:eastAsia="zh-CN"/>
            </w:rPr>
            <w:fldChar w:fldCharType="separate"/>
          </w: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_Toc1420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一、 </w:t>
          </w:r>
          <w:r>
            <w:rPr>
              <w:rFonts w:hint="eastAsia" w:ascii="黑体" w:hAnsi="黑体" w:eastAsia="黑体" w:cs="黑体"/>
              <w:bCs w:val="0"/>
              <w:szCs w:val="32"/>
              <w:lang w:val="en-US" w:eastAsia="zh-CN"/>
            </w:rPr>
            <w:t>事故基本情况</w:t>
          </w:r>
          <w:r>
            <w:tab/>
          </w:r>
          <w:r>
            <w:fldChar w:fldCharType="begin"/>
          </w:r>
          <w:r>
            <w:instrText xml:space="preserve"> PAGEREF _Toc1420 \h </w:instrText>
          </w:r>
          <w:r>
            <w:fldChar w:fldCharType="separate"/>
          </w:r>
          <w:r>
            <w:t>2</w:t>
          </w:r>
          <w:r>
            <w:fldChar w:fldCharType="end"/>
          </w:r>
          <w:r>
            <w:rPr>
              <w:rFonts w:hint="eastAsia" w:ascii="宋体" w:hAnsi="宋体" w:eastAsia="宋体" w:cs="宋体"/>
              <w:bCs/>
              <w:szCs w:val="28"/>
              <w:lang w:val="en-US" w:eastAsia="zh-CN"/>
            </w:rPr>
            <w:fldChar w:fldCharType="end"/>
          </w:r>
        </w:p>
        <w:p w14:paraId="14B62891">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_Toc8893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（一）工程概况</w:t>
          </w:r>
          <w:r>
            <w:tab/>
          </w:r>
          <w:r>
            <w:rPr>
              <w:rFonts w:hint="eastAsia"/>
              <w:lang w:val="en-US" w:eastAsia="zh-CN"/>
            </w:rPr>
            <w:t>3</w:t>
          </w:r>
          <w:r>
            <w:rPr>
              <w:rFonts w:hint="eastAsia" w:ascii="宋体" w:hAnsi="宋体" w:eastAsia="宋体" w:cs="宋体"/>
              <w:bCs/>
              <w:szCs w:val="28"/>
              <w:lang w:val="en-US" w:eastAsia="zh-CN"/>
            </w:rPr>
            <w:fldChar w:fldCharType="end"/>
          </w:r>
        </w:p>
        <w:p w14:paraId="043ED52B">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_Toc17979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（二）工程参建单位情况</w:t>
          </w:r>
          <w:r>
            <w:tab/>
          </w:r>
          <w:r>
            <w:rPr>
              <w:rFonts w:hint="eastAsia"/>
              <w:lang w:val="en-US" w:eastAsia="zh-CN"/>
            </w:rPr>
            <w:t>3</w:t>
          </w:r>
          <w:r>
            <w:rPr>
              <w:rFonts w:hint="eastAsia" w:ascii="宋体" w:hAnsi="宋体" w:eastAsia="宋体" w:cs="宋体"/>
              <w:bCs/>
              <w:szCs w:val="28"/>
              <w:lang w:val="en-US" w:eastAsia="zh-CN"/>
            </w:rPr>
            <w:fldChar w:fldCharType="end"/>
          </w:r>
        </w:p>
        <w:p w14:paraId="7E0EB8C0">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_Toc17979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（三）相关人员基本情况</w:t>
          </w:r>
          <w:r>
            <w:tab/>
          </w:r>
          <w:r>
            <w:rPr>
              <w:rFonts w:hint="eastAsia"/>
              <w:lang w:val="en-US" w:eastAsia="zh-CN"/>
            </w:rPr>
            <w:t>6</w:t>
          </w:r>
          <w:r>
            <w:rPr>
              <w:rFonts w:hint="eastAsia" w:ascii="宋体" w:hAnsi="宋体" w:eastAsia="宋体" w:cs="宋体"/>
              <w:bCs/>
              <w:szCs w:val="28"/>
              <w:lang w:val="en-US" w:eastAsia="zh-CN"/>
            </w:rPr>
            <w:fldChar w:fldCharType="end"/>
          </w:r>
        </w:p>
        <w:p w14:paraId="241FBA03">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_Toc17979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（四）事故现场勘察情况</w:t>
          </w:r>
          <w:r>
            <w:tab/>
          </w:r>
          <w:r>
            <w:rPr>
              <w:rFonts w:hint="eastAsia"/>
              <w:lang w:val="en-US" w:eastAsia="zh-CN"/>
            </w:rPr>
            <w:t>6</w:t>
          </w:r>
          <w:r>
            <w:rPr>
              <w:rFonts w:hint="eastAsia" w:ascii="宋体" w:hAnsi="宋体" w:eastAsia="宋体" w:cs="宋体"/>
              <w:bCs/>
              <w:szCs w:val="28"/>
              <w:lang w:val="en-US" w:eastAsia="zh-CN"/>
            </w:rPr>
            <w:fldChar w:fldCharType="end"/>
          </w:r>
        </w:p>
        <w:p w14:paraId="02BFF7F9">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_Toc29092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二、 </w:t>
          </w:r>
          <w:r>
            <w:rPr>
              <w:rFonts w:hint="eastAsia" w:ascii="黑体" w:hAnsi="黑体" w:eastAsia="黑体" w:cs="黑体"/>
              <w:bCs w:val="0"/>
              <w:szCs w:val="32"/>
              <w:lang w:val="en-US" w:eastAsia="zh-CN"/>
            </w:rPr>
            <w:t>事故发生经过</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0</w:t>
          </w:r>
        </w:p>
        <w:p w14:paraId="207E6809">
          <w:pPr>
            <w:pStyle w:val="6"/>
            <w:tabs>
              <w:tab w:val="right" w:leader="dot" w:pos="8306"/>
            </w:tabs>
            <w:rPr>
              <w:rFonts w:hint="default" w:eastAsia="宋体"/>
              <w:lang w:val="en-US" w:eastAsia="zh-CN"/>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_Toc6098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三、 </w:t>
          </w:r>
          <w:r>
            <w:rPr>
              <w:rFonts w:hint="eastAsia" w:ascii="黑体" w:hAnsi="黑体" w:eastAsia="黑体" w:cs="黑体"/>
              <w:bCs w:val="0"/>
              <w:szCs w:val="32"/>
              <w:lang w:val="en-US" w:eastAsia="zh-CN"/>
            </w:rPr>
            <w:t>事故应急处置及善后情况</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0</w:t>
          </w:r>
        </w:p>
        <w:p w14:paraId="033381F3">
          <w:pPr>
            <w:pStyle w:val="6"/>
            <w:tabs>
              <w:tab w:val="right" w:leader="dot" w:pos="8306"/>
            </w:tabs>
            <w:rPr>
              <w:rFonts w:hint="eastAsia" w:ascii="宋体" w:hAnsi="宋体" w:eastAsia="宋体" w:cs="宋体"/>
              <w:bCs/>
              <w:szCs w:val="28"/>
              <w:lang w:val="en-US" w:eastAsia="zh-CN"/>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_Toc6098 </w:instrText>
          </w:r>
          <w:r>
            <w:rPr>
              <w:rFonts w:hint="eastAsia" w:ascii="宋体" w:hAnsi="宋体" w:eastAsia="宋体" w:cs="宋体"/>
              <w:bCs/>
              <w:szCs w:val="28"/>
              <w:lang w:val="en-US" w:eastAsia="zh-CN"/>
            </w:rPr>
            <w:fldChar w:fldCharType="separate"/>
          </w:r>
          <w:r>
            <w:rPr>
              <w:rFonts w:hint="eastAsia" w:ascii="宋体" w:hAnsi="宋体" w:eastAsia="宋体" w:cs="宋体"/>
              <w:bCs/>
              <w:szCs w:val="28"/>
              <w:lang w:val="en-US" w:eastAsia="zh-CN"/>
            </w:rPr>
            <w:t>四</w:t>
          </w:r>
          <w:r>
            <w:rPr>
              <w:rFonts w:hint="eastAsia" w:ascii="宋体" w:hAnsi="宋体" w:eastAsia="宋体" w:cs="宋体"/>
              <w:bCs/>
              <w:szCs w:val="32"/>
              <w:lang w:val="en-US" w:eastAsia="zh-CN"/>
            </w:rPr>
            <w:t xml:space="preserve">、 </w:t>
          </w:r>
          <w:r>
            <w:rPr>
              <w:rFonts w:hint="eastAsia" w:ascii="黑体" w:hAnsi="黑体" w:eastAsia="黑体" w:cs="黑体"/>
              <w:bCs w:val="0"/>
              <w:szCs w:val="32"/>
              <w:lang w:val="en-US" w:eastAsia="zh-CN"/>
            </w:rPr>
            <w:t>事故发生的原因</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1</w:t>
          </w:r>
        </w:p>
        <w:p w14:paraId="126388D8">
          <w:pPr>
            <w:pStyle w:val="8"/>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_Toc22887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（一）直接原因：</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1</w:t>
          </w:r>
        </w:p>
        <w:p w14:paraId="7F8EB67C">
          <w:pPr>
            <w:pStyle w:val="8"/>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_Toc22029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（二）间接原因：</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1</w:t>
          </w:r>
        </w:p>
        <w:p w14:paraId="132837FD">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_Toc1312 </w:instrText>
          </w:r>
          <w:r>
            <w:rPr>
              <w:rFonts w:hint="eastAsia" w:ascii="宋体" w:hAnsi="宋体" w:eastAsia="宋体" w:cs="宋体"/>
              <w:bCs/>
              <w:szCs w:val="28"/>
              <w:lang w:val="en-US" w:eastAsia="zh-CN"/>
            </w:rPr>
            <w:fldChar w:fldCharType="separate"/>
          </w:r>
          <w:r>
            <w:rPr>
              <w:rFonts w:hint="eastAsia" w:ascii="黑体" w:hAnsi="黑体" w:eastAsia="黑体" w:cs="黑体"/>
              <w:bCs w:val="0"/>
              <w:kern w:val="2"/>
              <w:szCs w:val="32"/>
              <w:lang w:val="en-US" w:eastAsia="zh-CN" w:bidi="ar-SA"/>
            </w:rPr>
            <w:t>五、</w:t>
          </w:r>
          <w:r>
            <w:rPr>
              <w:rFonts w:hint="default" w:ascii="黑体" w:hAnsi="黑体" w:eastAsia="黑体" w:cs="黑体"/>
              <w:bCs w:val="0"/>
              <w:kern w:val="2"/>
              <w:szCs w:val="32"/>
              <w:lang w:val="en-US" w:eastAsia="zh-CN" w:bidi="ar-SA"/>
            </w:rPr>
            <w:t>对有关责任人员和责任单位的处理建议</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1</w:t>
          </w:r>
        </w:p>
        <w:p w14:paraId="7A0FE53F">
          <w:pPr>
            <w:pStyle w:val="8"/>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_Toc3725 </w:instrText>
          </w:r>
          <w:r>
            <w:rPr>
              <w:rFonts w:hint="eastAsia" w:ascii="宋体" w:hAnsi="宋体" w:eastAsia="宋体" w:cs="宋体"/>
              <w:bCs/>
              <w:szCs w:val="28"/>
              <w:lang w:val="en-US" w:eastAsia="zh-CN"/>
            </w:rPr>
            <w:fldChar w:fldCharType="separate"/>
          </w:r>
          <w:r>
            <w:rPr>
              <w:rFonts w:hint="eastAsia" w:ascii="楷体" w:hAnsi="楷体" w:eastAsia="楷体" w:cs="楷体"/>
              <w:bCs/>
              <w:kern w:val="2"/>
              <w:szCs w:val="32"/>
              <w:lang w:val="en-US" w:eastAsia="zh-CN" w:bidi="ar-SA"/>
            </w:rPr>
            <w:t>（一）对有关责任人员的处理建议</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2</w:t>
          </w:r>
        </w:p>
        <w:p w14:paraId="61B47704">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_Toc12089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于XX</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2</w:t>
          </w:r>
        </w:p>
        <w:p w14:paraId="5163E38C">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_Toc10769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东阳奉天建筑劳务有限公司法定代表人张XX</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2</w:t>
          </w:r>
        </w:p>
        <w:p w14:paraId="679603AD">
          <w:pPr>
            <w:pStyle w:val="8"/>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_Toc10212 </w:instrText>
          </w:r>
          <w:r>
            <w:rPr>
              <w:rFonts w:hint="eastAsia" w:ascii="宋体" w:hAnsi="宋体" w:eastAsia="宋体" w:cs="宋体"/>
              <w:bCs/>
              <w:szCs w:val="28"/>
              <w:lang w:val="en-US" w:eastAsia="zh-CN"/>
            </w:rPr>
            <w:fldChar w:fldCharType="separate"/>
          </w:r>
          <w:r>
            <w:rPr>
              <w:rFonts w:hint="eastAsia" w:ascii="楷体" w:hAnsi="楷体" w:eastAsia="楷体" w:cs="楷体"/>
              <w:bCs/>
              <w:kern w:val="2"/>
              <w:szCs w:val="32"/>
              <w:lang w:val="en-US" w:eastAsia="zh-CN" w:bidi="ar-SA"/>
            </w:rPr>
            <w:t>（二）</w:t>
          </w:r>
          <w:r>
            <w:rPr>
              <w:rFonts w:hint="default" w:ascii="楷体" w:hAnsi="楷体" w:eastAsia="楷体" w:cs="楷体"/>
              <w:bCs/>
              <w:kern w:val="2"/>
              <w:szCs w:val="32"/>
              <w:lang w:val="en-US" w:eastAsia="zh-CN" w:bidi="ar-SA"/>
            </w:rPr>
            <w:t>对有关责任</w:t>
          </w:r>
          <w:r>
            <w:rPr>
              <w:rFonts w:hint="eastAsia" w:ascii="楷体" w:hAnsi="楷体" w:eastAsia="楷体" w:cs="楷体"/>
              <w:bCs/>
              <w:kern w:val="2"/>
              <w:szCs w:val="32"/>
              <w:lang w:val="en-US" w:eastAsia="zh-CN" w:bidi="ar-SA"/>
            </w:rPr>
            <w:t>单位</w:t>
          </w:r>
          <w:r>
            <w:rPr>
              <w:rFonts w:hint="default" w:ascii="楷体" w:hAnsi="楷体" w:eastAsia="楷体" w:cs="楷体"/>
              <w:bCs/>
              <w:kern w:val="2"/>
              <w:szCs w:val="32"/>
              <w:lang w:val="en-US" w:eastAsia="zh-CN" w:bidi="ar-SA"/>
            </w:rPr>
            <w:t>的处理建议</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2</w:t>
          </w:r>
        </w:p>
        <w:p w14:paraId="66DB54C6">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_Toc5259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东阳奉天建筑劳务有限公司</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2</w:t>
          </w:r>
        </w:p>
        <w:p w14:paraId="46A1C146">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_Toc4758 </w:instrText>
          </w:r>
          <w:r>
            <w:rPr>
              <w:rFonts w:hint="eastAsia" w:ascii="宋体" w:hAnsi="宋体" w:eastAsia="宋体" w:cs="宋体"/>
              <w:bCs/>
              <w:szCs w:val="28"/>
              <w:lang w:val="en-US" w:eastAsia="zh-CN"/>
            </w:rPr>
            <w:fldChar w:fldCharType="separate"/>
          </w:r>
          <w:r>
            <w:rPr>
              <w:rFonts w:hint="eastAsia" w:ascii="黑体" w:hAnsi="黑体" w:eastAsia="黑体" w:cs="黑体"/>
              <w:bCs w:val="0"/>
              <w:kern w:val="2"/>
              <w:szCs w:val="32"/>
              <w:highlight w:val="none"/>
              <w:lang w:val="en-US" w:eastAsia="zh-CN" w:bidi="ar-SA"/>
            </w:rPr>
            <w:t>六、</w:t>
          </w:r>
          <w:r>
            <w:rPr>
              <w:rFonts w:hint="default" w:ascii="黑体" w:hAnsi="黑体" w:eastAsia="黑体" w:cs="黑体"/>
              <w:bCs w:val="0"/>
              <w:kern w:val="2"/>
              <w:szCs w:val="32"/>
              <w:highlight w:val="none"/>
              <w:lang w:val="en-US" w:eastAsia="zh-CN" w:bidi="ar-SA"/>
            </w:rPr>
            <w:t>事故防范及整改措施</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3</w:t>
          </w:r>
        </w:p>
        <w:p w14:paraId="72835B46">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_Toc22122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东阳奉天建筑劳务有限公司</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3</w:t>
          </w:r>
        </w:p>
        <w:p w14:paraId="41A623F7">
          <w:pPr>
            <w:pStyle w:val="6"/>
            <w:tabs>
              <w:tab w:val="right" w:leader="dot" w:pos="8306"/>
            </w:tabs>
            <w:rPr>
              <w:rFonts w:hint="default"/>
              <w:lang w:val="en-US"/>
            </w:rPr>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_Toc22122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中XX设集团有限公司</w:t>
          </w:r>
          <w:r>
            <w:tab/>
          </w:r>
          <w:r>
            <w:rPr>
              <w:rFonts w:hint="eastAsia"/>
              <w:lang w:val="en-US" w:eastAsia="zh-CN"/>
            </w:rPr>
            <w:t>1</w:t>
          </w:r>
          <w:r>
            <w:rPr>
              <w:rFonts w:hint="eastAsia" w:ascii="宋体" w:hAnsi="宋体" w:eastAsia="宋体" w:cs="宋体"/>
              <w:bCs/>
              <w:szCs w:val="28"/>
              <w:lang w:val="en-US" w:eastAsia="zh-CN"/>
            </w:rPr>
            <w:fldChar w:fldCharType="end"/>
          </w:r>
          <w:r>
            <w:rPr>
              <w:rFonts w:hint="eastAsia" w:ascii="宋体" w:hAnsi="宋体" w:eastAsia="宋体" w:cs="宋体"/>
              <w:bCs/>
              <w:szCs w:val="28"/>
              <w:lang w:val="en-US" w:eastAsia="zh-CN"/>
            </w:rPr>
            <w:t>3</w:t>
          </w:r>
        </w:p>
        <w:p w14:paraId="31C49F52">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bCs/>
              <w:kern w:val="2"/>
              <w:sz w:val="28"/>
              <w:szCs w:val="56"/>
              <w:lang w:val="en-US" w:eastAsia="zh-CN" w:bidi="ar-SA"/>
            </w:rPr>
          </w:pPr>
          <w:r>
            <w:rPr>
              <w:rFonts w:hint="eastAsia" w:ascii="宋体" w:hAnsi="宋体" w:eastAsia="宋体" w:cs="宋体"/>
              <w:bCs/>
              <w:szCs w:val="28"/>
              <w:lang w:val="en-US" w:eastAsia="zh-CN"/>
            </w:rPr>
            <w:fldChar w:fldCharType="end"/>
          </w:r>
        </w:p>
      </w:sdtContent>
    </w:sdt>
    <w:p w14:paraId="27B3C321">
      <w:pPr>
        <w:jc w:val="center"/>
        <w:outlineLvl w:val="9"/>
        <w:rPr>
          <w:rFonts w:hint="eastAsia" w:ascii="宋体" w:hAnsi="宋体" w:eastAsia="宋体" w:cs="宋体"/>
          <w:bCs/>
          <w:kern w:val="2"/>
          <w:sz w:val="28"/>
          <w:szCs w:val="56"/>
          <w:lang w:val="en-US" w:eastAsia="zh-CN" w:bidi="ar-SA"/>
        </w:rPr>
        <w:sectPr>
          <w:footerReference r:id="rId5" w:type="default"/>
          <w:pgSz w:w="11906" w:h="16838"/>
          <w:pgMar w:top="1440" w:right="1800" w:bottom="1440" w:left="1800" w:header="851" w:footer="992" w:gutter="0"/>
          <w:pgNumType w:start="1"/>
          <w:cols w:space="425" w:num="1"/>
          <w:docGrid w:type="lines" w:linePitch="312" w:charSpace="0"/>
        </w:sectPr>
      </w:pPr>
    </w:p>
    <w:bookmarkEnd w:id="0"/>
    <w:bookmarkEnd w:id="1"/>
    <w:p w14:paraId="2EEC590B">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东阳奉天建筑劳务有限公司浑南西路南新</w:t>
      </w:r>
    </w:p>
    <w:p w14:paraId="095E2951">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科街东-3地块“1.17”一般高处坠落事故</w:t>
      </w:r>
    </w:p>
    <w:p w14:paraId="5F882626">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default" w:ascii="宋体" w:hAnsi="宋体" w:eastAsia="宋体" w:cs="宋体"/>
          <w:bCs/>
          <w:kern w:val="2"/>
          <w:sz w:val="21"/>
          <w:szCs w:val="44"/>
          <w:lang w:val="en-US" w:eastAsia="zh-CN" w:bidi="ar-SA"/>
        </w:rPr>
      </w:pPr>
      <w:r>
        <w:rPr>
          <w:rFonts w:hint="eastAsia"/>
          <w:b/>
          <w:bCs/>
          <w:sz w:val="44"/>
          <w:szCs w:val="44"/>
          <w:lang w:val="en-US" w:eastAsia="zh-CN"/>
        </w:rPr>
        <w:t>调查报告</w:t>
      </w:r>
    </w:p>
    <w:p w14:paraId="6FE0FC03">
      <w:pPr>
        <w:jc w:val="center"/>
        <w:rPr>
          <w:rFonts w:hint="eastAsia" w:ascii="宋体" w:hAnsi="宋体" w:eastAsia="宋体" w:cs="宋体"/>
          <w:b/>
          <w:bCs/>
          <w:sz w:val="44"/>
          <w:szCs w:val="44"/>
          <w:lang w:val="en-US" w:eastAsia="zh-CN"/>
        </w:rPr>
      </w:pPr>
    </w:p>
    <w:p w14:paraId="7C27AC01">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6</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17</w:t>
      </w:r>
      <w:r>
        <w:rPr>
          <w:rFonts w:hint="eastAsia" w:ascii="仿宋" w:hAnsi="仿宋" w:eastAsia="仿宋" w:cs="仿宋"/>
          <w:sz w:val="32"/>
          <w:szCs w:val="32"/>
        </w:rPr>
        <w:t>日</w:t>
      </w:r>
      <w:r>
        <w:rPr>
          <w:rFonts w:hint="eastAsia" w:ascii="仿宋" w:hAnsi="仿宋" w:eastAsia="仿宋" w:cs="仿宋"/>
          <w:sz w:val="32"/>
          <w:szCs w:val="32"/>
          <w:lang w:val="en-US" w:eastAsia="zh-CN"/>
        </w:rPr>
        <w:t>10</w:t>
      </w:r>
      <w:r>
        <w:rPr>
          <w:rFonts w:hint="eastAsia" w:ascii="仿宋" w:hAnsi="仿宋" w:eastAsia="仿宋" w:cs="仿宋"/>
          <w:sz w:val="32"/>
          <w:szCs w:val="32"/>
        </w:rPr>
        <w:t>时</w:t>
      </w:r>
      <w:r>
        <w:rPr>
          <w:rFonts w:hint="eastAsia" w:ascii="仿宋" w:hAnsi="仿宋" w:eastAsia="仿宋" w:cs="仿宋"/>
          <w:sz w:val="32"/>
          <w:szCs w:val="32"/>
          <w:lang w:val="en-US" w:eastAsia="zh-CN"/>
        </w:rPr>
        <w:t>30分许</w:t>
      </w:r>
      <w:r>
        <w:rPr>
          <w:rFonts w:hint="eastAsia" w:ascii="仿宋" w:hAnsi="仿宋" w:eastAsia="仿宋" w:cs="仿宋"/>
          <w:sz w:val="32"/>
          <w:szCs w:val="32"/>
        </w:rPr>
        <w:t>，</w:t>
      </w:r>
      <w:r>
        <w:rPr>
          <w:rFonts w:hint="eastAsia" w:ascii="仿宋" w:hAnsi="仿宋" w:eastAsia="仿宋" w:cs="仿宋"/>
          <w:sz w:val="32"/>
          <w:szCs w:val="32"/>
          <w:lang w:val="en-US" w:eastAsia="zh-CN"/>
        </w:rPr>
        <w:t>在浑南区浑河站东街道浑南西路南新科街东-3地块项目建筑工地3#号楼北侧发生一起一般高处坠落事故。事故</w:t>
      </w:r>
      <w:r>
        <w:rPr>
          <w:rFonts w:hint="eastAsia" w:ascii="仿宋" w:hAnsi="仿宋" w:eastAsia="仿宋" w:cs="仿宋"/>
          <w:sz w:val="32"/>
          <w:szCs w:val="32"/>
        </w:rPr>
        <w:t>造成1人死亡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直接经济损失130万元。依据《生产安全事故报告和调查处理条例》（国务院第493号令），浑南区政府于1月22日成立了由区应急管理局为组长单位，</w:t>
      </w:r>
      <w:r>
        <w:rPr>
          <w:rFonts w:hint="eastAsia" w:ascii="仿宋" w:hAnsi="仿宋" w:eastAsia="仿宋" w:cs="仿宋"/>
          <w:color w:val="000000"/>
          <w:kern w:val="0"/>
          <w:sz w:val="31"/>
          <w:szCs w:val="31"/>
          <w:lang w:val="en-US" w:eastAsia="zh-CN" w:bidi="ar"/>
        </w:rPr>
        <w:t>区总工会、区人社局、市公安局浑南分局、</w:t>
      </w:r>
      <w:r>
        <w:rPr>
          <w:rFonts w:hint="eastAsia" w:ascii="仿宋" w:hAnsi="仿宋" w:eastAsia="仿宋" w:cs="仿宋"/>
          <w:sz w:val="32"/>
          <w:szCs w:val="32"/>
          <w:lang w:val="en-US" w:eastAsia="zh-CN"/>
        </w:rPr>
        <w:t>区城建局为成员单位的东阳奉天建筑劳务有限公司浑南西路南新科街东-3地块“1.17”一般高处坠落事故调查组（以下简称调查组），同时邀请区检察院，并委托相关专家，依法对该起事故进行全面调查。调查组按照“科学严谨、依法依规、实事求是、注重实效”和“四不放过”的原则，通过现场勘察、调阅资料、询问谈话、技术分析、调取相关人员急诊病历等方式，查明事故发生的原因、经过，认定了事故性质，提出了对责任单位及责任人员的处理建议和事故防范的工作建议。</w:t>
      </w:r>
    </w:p>
    <w:p w14:paraId="30D9A9FF">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经调查组认定：东阳奉天建筑劳务有限公司浑南西路南新科街东-3地块“1.17”一般高处坠落事故是一起由于施工人员安全意识淡薄、违规操作导致的生产安全责任事故。</w:t>
      </w:r>
    </w:p>
    <w:p w14:paraId="582A6534">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现将事故调查情况报告如下：</w:t>
      </w:r>
    </w:p>
    <w:p w14:paraId="1AC4BA83">
      <w:pPr>
        <w:keepNext w:val="0"/>
        <w:keepLines w:val="0"/>
        <w:pageBreakBefore w:val="0"/>
        <w:widowControl w:val="0"/>
        <w:numPr>
          <w:ilvl w:val="0"/>
          <w:numId w:val="1"/>
        </w:numPr>
        <w:kinsoku/>
        <w:wordWrap/>
        <w:overflowPunct/>
        <w:topLinePunct w:val="0"/>
        <w:autoSpaceDE/>
        <w:autoSpaceDN/>
        <w:bidi w:val="0"/>
        <w:adjustRightInd/>
        <w:snapToGrid/>
        <w:spacing w:line="579" w:lineRule="exact"/>
        <w:ind w:firstLine="640" w:firstLineChars="200"/>
        <w:jc w:val="left"/>
        <w:textAlignment w:val="auto"/>
        <w:outlineLvl w:val="0"/>
        <w:rPr>
          <w:rFonts w:hint="eastAsia" w:ascii="黑体" w:hAnsi="黑体" w:eastAsia="黑体" w:cs="黑体"/>
          <w:b w:val="0"/>
          <w:bCs w:val="0"/>
          <w:sz w:val="32"/>
          <w:szCs w:val="32"/>
          <w:lang w:val="en-US" w:eastAsia="zh-CN"/>
        </w:rPr>
      </w:pPr>
      <w:bookmarkStart w:id="2" w:name="_Toc12184"/>
      <w:bookmarkStart w:id="3" w:name="_Toc1420"/>
      <w:r>
        <w:rPr>
          <w:rFonts w:hint="eastAsia" w:ascii="黑体" w:hAnsi="黑体" w:eastAsia="黑体" w:cs="黑体"/>
          <w:b w:val="0"/>
          <w:bCs w:val="0"/>
          <w:sz w:val="32"/>
          <w:szCs w:val="32"/>
          <w:lang w:val="en-US" w:eastAsia="zh-CN"/>
        </w:rPr>
        <w:t>事故基本情况</w:t>
      </w:r>
      <w:bookmarkEnd w:id="2"/>
      <w:bookmarkEnd w:id="3"/>
    </w:p>
    <w:p w14:paraId="2E14A7A1">
      <w:pPr>
        <w:keepNext w:val="0"/>
        <w:keepLines w:val="0"/>
        <w:pageBreakBefore w:val="0"/>
        <w:widowControl w:val="0"/>
        <w:numPr>
          <w:ilvl w:val="0"/>
          <w:numId w:val="2"/>
        </w:numPr>
        <w:kinsoku/>
        <w:wordWrap/>
        <w:overflowPunct/>
        <w:topLinePunct w:val="0"/>
        <w:autoSpaceDE/>
        <w:autoSpaceDN/>
        <w:bidi w:val="0"/>
        <w:adjustRightInd/>
        <w:snapToGrid/>
        <w:spacing w:line="579" w:lineRule="exact"/>
        <w:ind w:firstLine="643" w:firstLineChars="200"/>
        <w:textAlignment w:val="auto"/>
        <w:outlineLvl w:val="1"/>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工程概况</w:t>
      </w:r>
    </w:p>
    <w:p w14:paraId="351FB097">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XXXX项目位于沈阳市浑南区浑南西路，共包括23栋洋房、2栋小高层及地库，总建筑面积为15万㎡，其中地下车库为1层，主楼地下为2层，建筑面积为23764.81㎡，地下室层高为3.88m，地上为6-10层不等；基础形式为独立基础+CFG桩+筏板基础，上部结构形式为剪力墙结构。本项目为XX住宅项目，南侧东侧立面包含错层大悬挑阳台，悬挑长度1.8m、3.0m。发生事故的工程为项目1#-3#、5#-12#、S1#、DX2#、DX1#局部-一标段的拉杆式悬挑脚手架施工工程。</w:t>
      </w:r>
    </w:p>
    <w:p w14:paraId="0DDF0BA9">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outlineLvl w:val="1"/>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（二）工程参建单位情况</w:t>
      </w:r>
    </w:p>
    <w:p w14:paraId="25383BF2">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1.建设单位：沈阳中XX嘉房地产开发有限公司</w:t>
      </w:r>
    </w:p>
    <w:p w14:paraId="69FED5C3">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企业类型：有限责任公司(非自然人投资或控股的法人独资)</w:t>
      </w:r>
    </w:p>
    <w:p w14:paraId="7952018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法定代表人：付XX</w:t>
      </w:r>
    </w:p>
    <w:p w14:paraId="748E3B9D">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统一社会信用代码：912XXXX2MA0XL1H963</w:t>
      </w:r>
    </w:p>
    <w:p w14:paraId="34E6A4D7">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成立日期：2018年3月8日</w:t>
      </w:r>
    </w:p>
    <w:p w14:paraId="614A675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注册资本：47000万(元)</w:t>
      </w:r>
    </w:p>
    <w:p w14:paraId="0AAA2E57">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注册地址：辽宁省沈阳市浑南区沈中大街XXX号XXX室</w:t>
      </w:r>
    </w:p>
    <w:p w14:paraId="20246A1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bookmarkStart w:id="4" w:name="_Toc22438"/>
      <w:bookmarkStart w:id="5" w:name="_Toc17979"/>
      <w:r>
        <w:rPr>
          <w:rFonts w:hint="eastAsia" w:ascii="仿宋" w:hAnsi="仿宋" w:eastAsia="仿宋" w:cs="仿宋"/>
          <w:sz w:val="32"/>
          <w:szCs w:val="32"/>
          <w:lang w:val="en-US" w:eastAsia="zh-CN"/>
        </w:rPr>
        <w:t>许可项目：房地产开发经营；住宅室内装饰装修；建设工程施工；供电业务；供暖服务；代理记账。（依法须经批准的项目，经相关部门批准后方可开展经营活动，具体经营项目以相关部门批准文件或许可证件为准）一般项目：住房租赁；非居住房地产租赁；物业管理；停车场服务；日用百货销售；商务代理代办服务；会议及展览服务；广告设计、代理；广告制作；广告发布；健身休闲活动；体育竞赛组织；体育健康服务；体育赛事策划；组织文化艺术交流活动；数据处理服务；数据处理和存储支持服务；信息技术咨询服务；信息系统集成服务；智能控制系统集成；软件开发；财务咨询；人力资源服务（不含职业中介活动、劳务派遣服务）；劳务服务（不含劳务派遣）；企业管理咨询；业务培训（不含教育培训、职业技能培训等需取得许可的培训）；承接档案服务外包；税务服务。（除依法须经批准的项目外，凭营业执照依法自主开展经营活动）</w:t>
      </w:r>
    </w:p>
    <w:p w14:paraId="1FD7EC5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2.监理单位：沈阳XXXX建设发展有限公司</w:t>
      </w:r>
    </w:p>
    <w:p w14:paraId="5995AAA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企业类型：有限责任公司(非自然人投资或控股的法人独资)</w:t>
      </w:r>
    </w:p>
    <w:p w14:paraId="1FCD241C">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法定代表人：宋XX</w:t>
      </w:r>
    </w:p>
    <w:p w14:paraId="2B11566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统一社会信用代码：912XXXX2243377419W</w:t>
      </w:r>
    </w:p>
    <w:p w14:paraId="3390352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成立日期：1995年7月4日</w:t>
      </w:r>
    </w:p>
    <w:p w14:paraId="174BE1DB">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注册资本：600万(元)</w:t>
      </w:r>
    </w:p>
    <w:p w14:paraId="05776AB5">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注册地址：沈阳市和平区光荣街XX号</w:t>
      </w:r>
    </w:p>
    <w:p w14:paraId="789D72D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许可项目：建设工程监理，公路工程监理，单建式人防工程监理，房屋建筑和市政基础设施项目工程总承包（依法须经批准的项目，经相关部门批准后方可开展经营活动，具体经营项目以审批结果为准） 一般项目：工程管理服务，招投标代理服务，工程造价咨询业务，对外承包工程，规划设计管理，工业设计服务（除依法须经批准的项目外，凭营业执照依法自主开展经营活动）</w:t>
      </w:r>
    </w:p>
    <w:p w14:paraId="2B1FC3B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3.项目一标段施工总承包单位：中XX设集团有限公司</w:t>
      </w:r>
    </w:p>
    <w:p w14:paraId="3EF461C5">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企业类型：其他有限责任公司</w:t>
      </w:r>
    </w:p>
    <w:p w14:paraId="56D485F7">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法定代表人：吴XX</w:t>
      </w:r>
    </w:p>
    <w:p w14:paraId="52174E37">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统一社会信用代码：913XXXX3147520019P</w:t>
      </w:r>
    </w:p>
    <w:p w14:paraId="5585D6D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成立日期：1998年4月3日</w:t>
      </w:r>
    </w:p>
    <w:p w14:paraId="0E267BD5">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注册资本：325300万(元)</w:t>
      </w:r>
    </w:p>
    <w:p w14:paraId="7D216E3A">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注册地址：浙江省东阳市吴宁XXXX号</w:t>
      </w:r>
    </w:p>
    <w:p w14:paraId="374CBC6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许可项目：建设工程施工；施工专业作业；住宅室内装饰装修；建筑物拆除作业（爆破作业除外）；建设工程设计；电气安装服务(依法须经批准的项目，经相关部门批准后方可开展经营活动，具体经营项目以审批结果为准)。一般项目：工程管理服务；体育场地设施工程施工；土石方工程施工；市政设施管理；金属门窗工程施工；园林绿化工程施工；建筑工程机械与设备租赁；对外承包工程；货物进出口；技术进出口；进出口代理；城市绿化管理；消防技术服务；信息技术咨询服务；建筑信息模型技术开发、技术咨询、技术服务；工程技术服务（规划管理、勘察、设计、监理除外）；以自有资金从事投资活动；自有资金投资的资产管理服务(除依法须经批准的项目外，凭营业执照依法自主开展经营活动)。</w:t>
      </w:r>
    </w:p>
    <w:p w14:paraId="7BEEE31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4.项目一标段拉杆式悬挑脚手架施工专业分包单位：东阳奉天建筑劳务有限公司</w:t>
      </w:r>
    </w:p>
    <w:p w14:paraId="469B7B14">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企业类型：有限责任公司(自然人投资或控股)</w:t>
      </w:r>
    </w:p>
    <w:p w14:paraId="22D8C30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法定代表人：张XX</w:t>
      </w:r>
    </w:p>
    <w:p w14:paraId="602E4D69">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统一社会信用代码：913XXXX3MADG4JEG99</w:t>
      </w:r>
    </w:p>
    <w:p w14:paraId="0C8694B4">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成立日期：2024年4月9日</w:t>
      </w:r>
    </w:p>
    <w:p w14:paraId="25496CC3">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注册资本：200万(元)</w:t>
      </w:r>
    </w:p>
    <w:p w14:paraId="21F5D83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注册地址：浙江省金华市东阳市城东街道XX村XXX办公室</w:t>
      </w:r>
    </w:p>
    <w:p w14:paraId="479E7C02">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许可项目：建筑劳务分包；建设工程施工；电气安装服务；人防工程防护设备安装(依法须经批准的项目，经相关部门批准后方可开展经营活动，具体经营项目以审批结果为准)。一般项目：园林绿化工</w:t>
      </w:r>
      <w:bookmarkStart w:id="29" w:name="_GoBack"/>
      <w:bookmarkEnd w:id="29"/>
      <w:r>
        <w:rPr>
          <w:rFonts w:hint="eastAsia" w:ascii="仿宋" w:hAnsi="仿宋" w:eastAsia="仿宋" w:cs="仿宋"/>
          <w:sz w:val="32"/>
          <w:szCs w:val="32"/>
          <w:lang w:val="en-US" w:eastAsia="zh-CN"/>
        </w:rPr>
        <w:t>程施工；土石方工程施工(除依法须经批准的项目外，凭营业执照依法自主开展经营活动)。</w:t>
      </w:r>
    </w:p>
    <w:p w14:paraId="4FA67638">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outlineLvl w:val="1"/>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（三）相关人员</w:t>
      </w:r>
      <w:bookmarkEnd w:id="4"/>
      <w:r>
        <w:rPr>
          <w:rFonts w:hint="eastAsia" w:ascii="楷体" w:hAnsi="楷体" w:eastAsia="楷体" w:cs="楷体"/>
          <w:b/>
          <w:bCs/>
          <w:sz w:val="32"/>
          <w:szCs w:val="32"/>
          <w:lang w:val="en-US" w:eastAsia="zh-CN"/>
        </w:rPr>
        <w:t>基本情况</w:t>
      </w:r>
      <w:bookmarkEnd w:id="5"/>
    </w:p>
    <w:p w14:paraId="2F625DC5">
      <w:pPr>
        <w:pStyle w:val="2"/>
        <w:keepNext w:val="0"/>
        <w:keepLines w:val="0"/>
        <w:pageBreakBefore w:val="0"/>
        <w:widowControl w:val="0"/>
        <w:numPr>
          <w:ilvl w:val="0"/>
          <w:numId w:val="0"/>
        </w:numPr>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1、于XX，男</w:t>
      </w:r>
      <w:r>
        <w:rPr>
          <w:rFonts w:hint="eastAsia" w:ascii="仿宋" w:hAnsi="仿宋" w:eastAsia="仿宋" w:cs="仿宋"/>
          <w:sz w:val="32"/>
          <w:szCs w:val="32"/>
          <w:highlight w:val="none"/>
          <w:lang w:val="en-US" w:eastAsia="zh-CN"/>
        </w:rPr>
        <w:t>，事故发生时44岁，身份证号：15210319XXXX213370，</w:t>
      </w:r>
      <w:r>
        <w:rPr>
          <w:rFonts w:hint="eastAsia" w:ascii="仿宋" w:hAnsi="仿宋" w:eastAsia="仿宋" w:cs="仿宋"/>
          <w:sz w:val="32"/>
          <w:szCs w:val="32"/>
          <w:lang w:val="en-US" w:eastAsia="zh-CN"/>
        </w:rPr>
        <w:t>事发时为东阳奉天建筑劳务有限公司架工班组力工。（在事故中身亡）</w:t>
      </w:r>
    </w:p>
    <w:p w14:paraId="65C646DE">
      <w:pPr>
        <w:keepNext w:val="0"/>
        <w:keepLines w:val="0"/>
        <w:pageBreakBefore w:val="0"/>
        <w:widowControl w:val="0"/>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highlight w:val="none"/>
          <w:lang w:val="en-US" w:eastAsia="zh-CN" w:bidi="ar-SA"/>
        </w:rPr>
        <w:t>2、</w:t>
      </w:r>
      <w:r>
        <w:rPr>
          <w:rFonts w:hint="eastAsia" w:ascii="仿宋" w:hAnsi="仿宋" w:eastAsia="仿宋" w:cs="仿宋"/>
          <w:b w:val="0"/>
          <w:bCs w:val="0"/>
          <w:sz w:val="32"/>
          <w:szCs w:val="40"/>
          <w:lang w:val="en-US" w:eastAsia="zh-CN"/>
        </w:rPr>
        <w:t>张XX</w:t>
      </w:r>
      <w:r>
        <w:rPr>
          <w:rFonts w:hint="eastAsia" w:ascii="仿宋" w:hAnsi="仿宋" w:eastAsia="仿宋" w:cs="仿宋"/>
          <w:sz w:val="32"/>
          <w:szCs w:val="32"/>
          <w:highlight w:val="none"/>
          <w:lang w:val="en-US" w:eastAsia="zh-CN"/>
        </w:rPr>
        <w:t>，男，事故发生时44岁，身份证号：33072419XXXX097111，身份证地址为浙江省东阳市XX镇XX村XXX号，东阳奉天建筑劳务有限公司法定代表人</w:t>
      </w:r>
      <w:r>
        <w:rPr>
          <w:rFonts w:hint="eastAsia" w:ascii="仿宋" w:hAnsi="仿宋" w:eastAsia="仿宋" w:cs="仿宋"/>
          <w:sz w:val="32"/>
          <w:szCs w:val="32"/>
          <w:lang w:val="en-US" w:eastAsia="zh-CN"/>
        </w:rPr>
        <w:t>。</w:t>
      </w:r>
    </w:p>
    <w:p w14:paraId="0152062D">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outlineLvl w:val="1"/>
        <w:rPr>
          <w:rFonts w:hint="default" w:ascii="楷体" w:hAnsi="楷体" w:eastAsia="楷体" w:cs="楷体"/>
          <w:b/>
          <w:bCs/>
          <w:sz w:val="32"/>
          <w:szCs w:val="32"/>
          <w:lang w:val="en-US" w:eastAsia="zh-CN"/>
        </w:rPr>
      </w:pPr>
      <w:bookmarkStart w:id="6" w:name="_Toc12561"/>
      <w:bookmarkStart w:id="7" w:name="_Toc28288"/>
      <w:r>
        <w:rPr>
          <w:rFonts w:hint="eastAsia" w:ascii="楷体" w:hAnsi="楷体" w:eastAsia="楷体" w:cs="楷体"/>
          <w:b/>
          <w:bCs/>
          <w:sz w:val="32"/>
          <w:szCs w:val="32"/>
          <w:lang w:val="en-US" w:eastAsia="zh-CN"/>
        </w:rPr>
        <w:t>（四）事故现场勘察情况</w:t>
      </w:r>
      <w:bookmarkEnd w:id="6"/>
      <w:bookmarkEnd w:id="7"/>
    </w:p>
    <w:p w14:paraId="675E5652">
      <w:pPr>
        <w:widowControl w:val="0"/>
        <w:numPr>
          <w:ilvl w:val="0"/>
          <w:numId w:val="0"/>
        </w:numPr>
        <w:ind w:firstLine="640" w:firstLineChars="200"/>
        <w:jc w:val="both"/>
        <w:rPr>
          <w:rFonts w:hint="eastAsia" w:ascii="仿宋" w:hAnsi="仿宋" w:eastAsia="仿宋" w:cs="仿宋"/>
          <w:b w:val="0"/>
          <w:bCs w:val="0"/>
          <w:sz w:val="32"/>
          <w:szCs w:val="40"/>
          <w:lang w:val="en-US" w:eastAsia="zh-CN"/>
        </w:rPr>
      </w:pPr>
      <w:bookmarkStart w:id="8" w:name="_Toc4807"/>
      <w:r>
        <w:rPr>
          <w:rFonts w:hint="eastAsia" w:ascii="仿宋" w:hAnsi="仿宋" w:eastAsia="仿宋" w:cs="仿宋"/>
          <w:b w:val="0"/>
          <w:bCs w:val="0"/>
          <w:sz w:val="32"/>
          <w:szCs w:val="40"/>
          <w:lang w:val="en-US" w:eastAsia="zh-CN"/>
        </w:rPr>
        <w:t>事发位置位于浑南区浑河站东街道浑南西路南新科街东-3地块建筑工地3号楼北侧。现场有一沾有密封胶的窗户框，窗户框上无明显勒痕及手抓痕迹，窗户框除密封胶外未显示与结构主体有其他加固措施的痕迹；事发的窗口位置距室内地面高度小于1.2m，无其他安全防护措施；因死者第一时间送医救治，无死者坠落后的照片，无法显示坠落者的状态及同窗户框的关系；周围无拍摄到事发位置的摄像设备。</w:t>
      </w:r>
    </w:p>
    <w:p w14:paraId="152EF552">
      <w:pPr>
        <w:widowControl w:val="0"/>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9230" cy="5523230"/>
            <wp:effectExtent l="0" t="0" r="7620" b="1270"/>
            <wp:docPr id="13" name="图片 13" descr="355255a220348c5024a3516d17f0a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5255a220348c5024a3516d17f0a501"/>
                    <pic:cNvPicPr>
                      <a:picLocks noChangeAspect="1"/>
                    </pic:cNvPicPr>
                  </pic:nvPicPr>
                  <pic:blipFill>
                    <a:blip r:embed="rId8"/>
                    <a:stretch>
                      <a:fillRect/>
                    </a:stretch>
                  </pic:blipFill>
                  <pic:spPr>
                    <a:xfrm>
                      <a:off x="0" y="0"/>
                      <a:ext cx="5269230" cy="5523230"/>
                    </a:xfrm>
                    <a:prstGeom prst="rect">
                      <a:avLst/>
                    </a:prstGeom>
                  </pic:spPr>
                </pic:pic>
              </a:graphicData>
            </a:graphic>
          </wp:inline>
        </w:drawing>
      </w:r>
      <w:r>
        <w:rPr>
          <w:rFonts w:hint="eastAsia" w:ascii="仿宋" w:hAnsi="仿宋" w:eastAsia="仿宋" w:cs="仿宋"/>
          <w:sz w:val="32"/>
          <w:szCs w:val="32"/>
        </w:rPr>
        <mc:AlternateContent>
          <mc:Choice Requires="wps">
            <w:drawing>
              <wp:anchor distT="0" distB="0" distL="114300" distR="114300" simplePos="0" relativeHeight="251659264" behindDoc="0" locked="0" layoutInCell="1" allowOverlap="1">
                <wp:simplePos x="0" y="0"/>
                <wp:positionH relativeFrom="column">
                  <wp:posOffset>8006080</wp:posOffset>
                </wp:positionH>
                <wp:positionV relativeFrom="paragraph">
                  <wp:posOffset>-1905635</wp:posOffset>
                </wp:positionV>
                <wp:extent cx="685800" cy="396240"/>
                <wp:effectExtent l="252730" t="4445" r="13970" b="189865"/>
                <wp:wrapNone/>
                <wp:docPr id="4" name="矩形标注 4"/>
                <wp:cNvGraphicFramePr/>
                <a:graphic xmlns:a="http://schemas.openxmlformats.org/drawingml/2006/main">
                  <a:graphicData uri="http://schemas.microsoft.com/office/word/2010/wordprocessingShape">
                    <wps:wsp>
                      <wps:cNvSpPr/>
                      <wps:spPr>
                        <a:xfrm>
                          <a:off x="0" y="0"/>
                          <a:ext cx="685800" cy="396240"/>
                        </a:xfrm>
                        <a:prstGeom prst="wedgeRectCallout">
                          <a:avLst>
                            <a:gd name="adj1" fmla="val -81574"/>
                            <a:gd name="adj2" fmla="val 89264"/>
                          </a:avLst>
                        </a:prstGeom>
                        <a:solidFill>
                          <a:srgbClr val="FFFFFF"/>
                        </a:solidFill>
                        <a:ln w="9525" cap="flat" cmpd="sng">
                          <a:solidFill>
                            <a:srgbClr val="000000"/>
                          </a:solidFill>
                          <a:prstDash val="solid"/>
                          <a:miter/>
                          <a:headEnd type="none" w="med" len="med"/>
                          <a:tailEnd type="none" w="med" len="med"/>
                        </a:ln>
                      </wps:spPr>
                      <wps:txbx>
                        <w:txbxContent>
                          <w:p w14:paraId="36E4157C">
                            <w:pPr>
                              <w:rPr>
                                <w:rFonts w:hint="eastAsia"/>
                              </w:rPr>
                            </w:pPr>
                            <w:r>
                              <w:rPr>
                                <w:rFonts w:hint="eastAsia"/>
                              </w:rPr>
                              <w:t>防火堤</w:t>
                            </w:r>
                          </w:p>
                        </w:txbxContent>
                      </wps:txbx>
                      <wps:bodyPr upright="1"/>
                    </wps:wsp>
                  </a:graphicData>
                </a:graphic>
              </wp:anchor>
            </w:drawing>
          </mc:Choice>
          <mc:Fallback>
            <w:pict>
              <v:shape id="_x0000_s1026" o:spid="_x0000_s1026" o:spt="61" type="#_x0000_t61" style="position:absolute;left:0pt;margin-left:630.4pt;margin-top:-150.05pt;height:31.2pt;width:54pt;z-index:251659264;mso-width-relative:page;mso-height-relative:page;" fillcolor="#FFFFFF" filled="t" stroked="t" coordsize="21600,21600" o:gfxdata="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hAIe90AAAAPAQAADwAAAAAAAAABACAAAAAiAAAA&#10;ZHJzL2Rvd25yZXYueG1sUEsBAhQAFAAAAAgAh07iQEphjjA7AgAAjAQAAA4AAAAAAAAAAQAgAAAA&#10;LAEAAGRycy9lMm9Eb2MueG1sUEsFBgAAAAAGAAYAWQEAANkFAAAAAA==&#10;" adj="-6820,30081">
                <v:fill on="t" focussize="0,0"/>
                <v:stroke color="#000000" joinstyle="miter"/>
                <v:imagedata o:title=""/>
                <o:lock v:ext="edit" aspectratio="f"/>
                <v:textbox>
                  <w:txbxContent>
                    <w:p w14:paraId="36E4157C">
                      <w:pPr>
                        <w:rPr>
                          <w:rFonts w:hint="eastAsia"/>
                        </w:rPr>
                      </w:pPr>
                      <w:r>
                        <w:rPr>
                          <w:rFonts w:hint="eastAsia"/>
                        </w:rPr>
                        <w:t>防火堤</w:t>
                      </w:r>
                    </w:p>
                  </w:txbxContent>
                </v:textbox>
              </v:shape>
            </w:pict>
          </mc:Fallback>
        </mc:AlternateContent>
      </w:r>
    </w:p>
    <w:p w14:paraId="107A4E99">
      <w:pPr>
        <w:widowControl w:val="0"/>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图1 现场照片一</w:t>
      </w:r>
    </w:p>
    <w:p w14:paraId="2E9A2D72">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8435" cy="7152640"/>
            <wp:effectExtent l="0" t="0" r="18415" b="10160"/>
            <wp:docPr id="3" name="图片 3" descr="ecc2b865ee17b6a12913cd2c69c1f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c2b865ee17b6a12913cd2c69c1fa86"/>
                    <pic:cNvPicPr>
                      <a:picLocks noChangeAspect="1"/>
                    </pic:cNvPicPr>
                  </pic:nvPicPr>
                  <pic:blipFill>
                    <a:blip r:embed="rId9"/>
                    <a:stretch>
                      <a:fillRect/>
                    </a:stretch>
                  </pic:blipFill>
                  <pic:spPr>
                    <a:xfrm>
                      <a:off x="0" y="0"/>
                      <a:ext cx="5258435" cy="7152640"/>
                    </a:xfrm>
                    <a:prstGeom prst="rect">
                      <a:avLst/>
                    </a:prstGeom>
                  </pic:spPr>
                </pic:pic>
              </a:graphicData>
            </a:graphic>
          </wp:inline>
        </w:drawing>
      </w:r>
    </w:p>
    <w:p w14:paraId="2A210BD4">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图2 现场照片二</w:t>
      </w:r>
    </w:p>
    <w:p w14:paraId="2AC4CCBE">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963795" cy="8282305"/>
            <wp:effectExtent l="0" t="0" r="8255" b="4445"/>
            <wp:docPr id="6" name="图片 6" descr="b741b709f539a39498120f59f3a8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741b709f539a39498120f59f3a8e583"/>
                    <pic:cNvPicPr>
                      <a:picLocks noChangeAspect="1"/>
                    </pic:cNvPicPr>
                  </pic:nvPicPr>
                  <pic:blipFill>
                    <a:blip r:embed="rId10"/>
                    <a:stretch>
                      <a:fillRect/>
                    </a:stretch>
                  </pic:blipFill>
                  <pic:spPr>
                    <a:xfrm>
                      <a:off x="0" y="0"/>
                      <a:ext cx="4963795" cy="8282305"/>
                    </a:xfrm>
                    <a:prstGeom prst="rect">
                      <a:avLst/>
                    </a:prstGeom>
                  </pic:spPr>
                </pic:pic>
              </a:graphicData>
            </a:graphic>
          </wp:inline>
        </w:drawing>
      </w:r>
    </w:p>
    <w:p w14:paraId="40C2298D">
      <w:pPr>
        <w:widowControl w:val="0"/>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图3 现场照片3显示窗口坠落地点与坠楼地点相对位置关系</w:t>
      </w:r>
    </w:p>
    <w:p w14:paraId="49D40058">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both"/>
        <w:textAlignment w:val="auto"/>
        <w:outlineLvl w:val="0"/>
        <w:rPr>
          <w:rFonts w:hint="eastAsia" w:ascii="黑体" w:hAnsi="黑体" w:eastAsia="黑体" w:cs="黑体"/>
          <w:b w:val="0"/>
          <w:bCs w:val="0"/>
          <w:sz w:val="32"/>
          <w:szCs w:val="32"/>
          <w:lang w:val="en-US" w:eastAsia="zh-CN"/>
        </w:rPr>
      </w:pPr>
      <w:bookmarkStart w:id="9" w:name="_Toc29092"/>
      <w:r>
        <w:rPr>
          <w:rFonts w:hint="eastAsia" w:ascii="黑体" w:hAnsi="黑体" w:eastAsia="黑体" w:cs="黑体"/>
          <w:b w:val="0"/>
          <w:bCs w:val="0"/>
          <w:sz w:val="32"/>
          <w:szCs w:val="32"/>
          <w:lang w:val="en-US" w:eastAsia="zh-CN"/>
        </w:rPr>
        <w:t>事故发生经过</w:t>
      </w:r>
      <w:bookmarkEnd w:id="8"/>
      <w:bookmarkEnd w:id="9"/>
    </w:p>
    <w:p w14:paraId="31C80257">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由于事发时现场无目击证人和相关视频监控资料，事故发生后，事故调查组人员根据在场人员描述、现场勘验笔录、专家</w:t>
      </w:r>
      <w:r>
        <w:rPr>
          <w:rFonts w:hint="eastAsia" w:ascii="仿宋" w:hAnsi="仿宋" w:eastAsia="仿宋" w:cs="仿宋"/>
          <w:sz w:val="32"/>
          <w:szCs w:val="32"/>
          <w:lang w:val="en-US" w:eastAsia="zh-CN"/>
        </w:rPr>
        <w:t>技术分析、调取相关人员急诊病历</w:t>
      </w:r>
      <w:r>
        <w:rPr>
          <w:rFonts w:hint="eastAsia" w:ascii="仿宋" w:hAnsi="仿宋" w:eastAsia="仿宋" w:cs="仿宋"/>
          <w:b w:val="0"/>
          <w:bCs w:val="0"/>
          <w:sz w:val="32"/>
          <w:szCs w:val="32"/>
          <w:lang w:val="en-US" w:eastAsia="zh-CN"/>
        </w:rPr>
        <w:t>等方式综合分析</w:t>
      </w:r>
      <w:r>
        <w:rPr>
          <w:rFonts w:hint="eastAsia" w:ascii="仿宋" w:hAnsi="仿宋" w:eastAsia="仿宋" w:cs="仿宋"/>
          <w:sz w:val="32"/>
          <w:szCs w:val="32"/>
          <w:lang w:val="en-US" w:eastAsia="zh-CN"/>
        </w:rPr>
        <w:t>，</w:t>
      </w:r>
      <w:r>
        <w:rPr>
          <w:rFonts w:hint="eastAsia" w:ascii="仿宋" w:hAnsi="仿宋" w:eastAsia="仿宋" w:cs="仿宋"/>
          <w:b w:val="0"/>
          <w:bCs w:val="0"/>
          <w:sz w:val="32"/>
          <w:szCs w:val="32"/>
          <w:lang w:val="en-US" w:eastAsia="zh-CN"/>
        </w:rPr>
        <w:t>回溯事发经过如下：</w:t>
      </w:r>
    </w:p>
    <w:p w14:paraId="70CCE0AC">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32"/>
          <w:lang w:val="en-US" w:eastAsia="zh-CN"/>
        </w:rPr>
      </w:pPr>
      <w:bookmarkStart w:id="10" w:name="_Toc20979"/>
      <w:r>
        <w:rPr>
          <w:rFonts w:hint="eastAsia" w:ascii="仿宋" w:hAnsi="仿宋" w:eastAsia="仿宋" w:cs="仿宋"/>
          <w:b w:val="0"/>
          <w:bCs w:val="0"/>
          <w:sz w:val="32"/>
          <w:szCs w:val="32"/>
          <w:lang w:val="en-US" w:eastAsia="zh-CN"/>
        </w:rPr>
        <w:t>2026年1月17日10时左右，架工班组组长范XX派于XX在</w:t>
      </w:r>
      <w:r>
        <w:rPr>
          <w:rFonts w:hint="eastAsia" w:ascii="仿宋" w:hAnsi="仿宋" w:eastAsia="仿宋" w:cs="仿宋"/>
          <w:sz w:val="32"/>
          <w:szCs w:val="32"/>
          <w:lang w:val="en-US" w:eastAsia="zh-CN"/>
        </w:rPr>
        <w:t>3#号楼</w:t>
      </w:r>
      <w:r>
        <w:rPr>
          <w:rFonts w:hint="eastAsia" w:ascii="仿宋" w:hAnsi="仿宋" w:eastAsia="仿宋" w:cs="仿宋"/>
          <w:b w:val="0"/>
          <w:bCs w:val="0"/>
          <w:sz w:val="32"/>
          <w:szCs w:val="32"/>
          <w:lang w:val="en-US" w:eastAsia="zh-CN"/>
        </w:rPr>
        <w:t>内进行场地清理工作。根据范XX描述，事发当天上午3#号楼内只有于XX一人进行场地清理工作，范XX告知于XX要按照要求将废料通过3#号楼南侧升降机运送至楼下。根据事发当天上午在1#号楼进行场地清理工作的工人陈X描述称，其看见3#号楼北侧三楼或四楼内有一头戴红色安全帽工人直接从3#号楼窗口向楼下扔废料。根据事故相关人员证言、现场勘验笔录和专家技术分析报告研判，于XX在将3#号楼内废料从</w:t>
      </w:r>
      <w:r>
        <w:rPr>
          <w:rFonts w:hint="eastAsia" w:ascii="仿宋" w:hAnsi="仿宋" w:eastAsia="仿宋" w:cs="仿宋"/>
          <w:sz w:val="32"/>
          <w:szCs w:val="32"/>
          <w:lang w:val="en-US" w:eastAsia="zh-CN"/>
        </w:rPr>
        <w:t>3#号楼北侧三楼由西向东第二窗口向楼下扔时,不慎失去平衡，从窗口处失足跌落至地面</w:t>
      </w:r>
      <w:r>
        <w:rPr>
          <w:rFonts w:hint="eastAsia" w:ascii="仿宋" w:hAnsi="仿宋" w:eastAsia="仿宋" w:cs="仿宋"/>
          <w:b w:val="0"/>
          <w:bCs w:val="0"/>
          <w:sz w:val="32"/>
          <w:szCs w:val="32"/>
          <w:lang w:val="en-US" w:eastAsia="zh-CN"/>
        </w:rPr>
        <w:t>，坠落高度</w:t>
      </w:r>
      <w:r>
        <w:rPr>
          <w:rFonts w:hint="eastAsia" w:ascii="仿宋" w:hAnsi="仿宋" w:eastAsia="仿宋" w:cs="仿宋"/>
          <w:b w:val="0"/>
          <w:bCs w:val="0"/>
          <w:sz w:val="32"/>
          <w:szCs w:val="32"/>
          <w:lang w:val="en-US" w:eastAsia="zh-Hans"/>
        </w:rPr>
        <w:t>约</w:t>
      </w:r>
      <w:r>
        <w:rPr>
          <w:rFonts w:hint="eastAsia" w:ascii="仿宋" w:hAnsi="仿宋" w:eastAsia="仿宋" w:cs="仿宋"/>
          <w:b w:val="0"/>
          <w:bCs w:val="0"/>
          <w:sz w:val="32"/>
          <w:szCs w:val="32"/>
          <w:lang w:val="en-US" w:eastAsia="zh-CN"/>
        </w:rPr>
        <w:t>为6.7m。10时30分左右，在3#号楼西侧进行场地清理工作的架子班组力工张XX听到声响，跑到了3#楼北侧，看到死者于XX头戴安全帽跪在3#号楼北侧木板上，呈蜷缩姿态。张XX立即将此情况向范XX报告，范XX立即报告给生产经理陈X。陈X与范XX将于XX抬至范XX私家车内，随后开车将于XX送至北部战区总医院。</w:t>
      </w:r>
    </w:p>
    <w:p w14:paraId="41F21A89">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outlineLvl w:val="0"/>
        <w:rPr>
          <w:rFonts w:hint="default" w:ascii="黑体" w:hAnsi="黑体" w:eastAsia="黑体" w:cs="黑体"/>
          <w:b w:val="0"/>
          <w:bCs w:val="0"/>
          <w:sz w:val="32"/>
          <w:szCs w:val="32"/>
          <w:lang w:val="en-US" w:eastAsia="zh-CN"/>
        </w:rPr>
      </w:pPr>
      <w:bookmarkStart w:id="11" w:name="_Toc6098"/>
      <w:r>
        <w:rPr>
          <w:rFonts w:hint="eastAsia" w:ascii="黑体" w:hAnsi="黑体" w:eastAsia="黑体" w:cs="黑体"/>
          <w:b w:val="0"/>
          <w:bCs w:val="0"/>
          <w:sz w:val="32"/>
          <w:szCs w:val="32"/>
          <w:lang w:val="en-US" w:eastAsia="zh-CN"/>
        </w:rPr>
        <w:t>事故应急处置及善后情况</w:t>
      </w:r>
      <w:bookmarkEnd w:id="10"/>
      <w:bookmarkEnd w:id="11"/>
    </w:p>
    <w:p w14:paraId="1CFC4C6E">
      <w:pPr>
        <w:widowControl w:val="0"/>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发现于XX坠落后，张XX第一时间将情况报告给范XX，范XX立即和陈X将</w:t>
      </w:r>
      <w:r>
        <w:rPr>
          <w:rFonts w:hint="eastAsia" w:ascii="仿宋" w:hAnsi="仿宋" w:eastAsia="仿宋" w:cs="仿宋"/>
          <w:b w:val="0"/>
          <w:bCs w:val="0"/>
          <w:sz w:val="32"/>
          <w:szCs w:val="32"/>
          <w:lang w:val="en-US" w:eastAsia="zh-CN"/>
        </w:rPr>
        <w:t>于XX送至北部战区总医院</w:t>
      </w:r>
      <w:r>
        <w:rPr>
          <w:rFonts w:hint="eastAsia" w:ascii="仿宋" w:hAnsi="仿宋" w:eastAsia="仿宋" w:cs="仿宋"/>
          <w:sz w:val="32"/>
          <w:szCs w:val="32"/>
          <w:lang w:val="en-US" w:eastAsia="zh-CN"/>
        </w:rPr>
        <w:t>，10点40分左右，安全主管王X接到陈X电话，并于11点30分左右赶到医院，王X于12点左右在医院报警。当天12时30分，医院宣布于XX死亡。</w:t>
      </w:r>
      <w:r>
        <w:rPr>
          <w:rFonts w:hint="eastAsia" w:ascii="仿宋" w:hAnsi="仿宋" w:eastAsia="仿宋" w:cs="仿宋"/>
          <w:b w:val="0"/>
          <w:bCs w:val="0"/>
          <w:sz w:val="32"/>
          <w:szCs w:val="32"/>
          <w:lang w:val="en-US" w:eastAsia="zh-CN"/>
        </w:rPr>
        <w:t>2026年1月20日东阳奉天建筑劳务有限公司与死者家属达成协议总计赔偿130万元。</w:t>
      </w:r>
    </w:p>
    <w:p w14:paraId="132EC26C">
      <w:pPr>
        <w:widowControl w:val="0"/>
        <w:numPr>
          <w:ilvl w:val="0"/>
          <w:numId w:val="0"/>
        </w:numPr>
        <w:ind w:firstLine="640" w:firstLineChars="200"/>
        <w:jc w:val="both"/>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lang w:val="en-US" w:eastAsia="zh-CN"/>
        </w:rPr>
        <w:t>事故发生后，浑南区应急管理局、市公安局浑南分局第一时间组织工作人员抵达现场，对事故现场进行勘察、拍照取证，告知事故发生单位及时进行善后处理并对死者家属开展赔偿工作。同时，将现场情况上报</w:t>
      </w:r>
      <w:r>
        <w:rPr>
          <w:rFonts w:hint="eastAsia" w:ascii="仿宋" w:hAnsi="仿宋" w:eastAsia="仿宋" w:cs="仿宋"/>
          <w:b w:val="0"/>
          <w:bCs w:val="0"/>
          <w:sz w:val="32"/>
          <w:szCs w:val="32"/>
          <w:highlight w:val="none"/>
          <w:lang w:val="en-US" w:eastAsia="zh-CN"/>
        </w:rPr>
        <w:t>市级相关部门和浑南区人民政府。</w:t>
      </w:r>
    </w:p>
    <w:p w14:paraId="61686648">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outlineLvl w:val="0"/>
        <w:rPr>
          <w:rFonts w:hint="eastAsia" w:ascii="黑体" w:hAnsi="黑体" w:eastAsia="黑体" w:cs="黑体"/>
          <w:b w:val="0"/>
          <w:bCs w:val="0"/>
          <w:sz w:val="32"/>
          <w:szCs w:val="32"/>
          <w:lang w:val="en-US" w:eastAsia="zh-CN"/>
        </w:rPr>
      </w:pPr>
      <w:bookmarkStart w:id="12" w:name="_Toc14263"/>
      <w:bookmarkStart w:id="13" w:name="_Toc27691"/>
      <w:r>
        <w:rPr>
          <w:rFonts w:hint="default" w:ascii="黑体" w:hAnsi="黑体" w:eastAsia="黑体" w:cs="黑体"/>
          <w:b w:val="0"/>
          <w:bCs w:val="0"/>
          <w:sz w:val="32"/>
          <w:szCs w:val="32"/>
          <w:lang w:val="en-US" w:eastAsia="zh-CN"/>
        </w:rPr>
        <w:t>事故发生的原因</w:t>
      </w:r>
      <w:bookmarkEnd w:id="12"/>
      <w:bookmarkEnd w:id="13"/>
    </w:p>
    <w:p w14:paraId="2CBAD6FD">
      <w:pPr>
        <w:keepNext w:val="0"/>
        <w:keepLines w:val="0"/>
        <w:pageBreakBefore w:val="0"/>
        <w:widowControl w:val="0"/>
        <w:numPr>
          <w:ilvl w:val="0"/>
          <w:numId w:val="3"/>
        </w:numPr>
        <w:kinsoku/>
        <w:wordWrap/>
        <w:overflowPunct/>
        <w:topLinePunct w:val="0"/>
        <w:autoSpaceDE/>
        <w:autoSpaceDN/>
        <w:bidi w:val="0"/>
        <w:adjustRightInd/>
        <w:snapToGrid/>
        <w:spacing w:line="579" w:lineRule="exact"/>
        <w:ind w:firstLine="643" w:firstLineChars="200"/>
        <w:textAlignment w:val="auto"/>
        <w:outlineLvl w:val="1"/>
        <w:rPr>
          <w:rFonts w:hint="eastAsia" w:ascii="楷体" w:hAnsi="楷体" w:eastAsia="楷体" w:cs="楷体"/>
          <w:b/>
          <w:bCs/>
          <w:sz w:val="32"/>
          <w:szCs w:val="32"/>
          <w:lang w:val="en-US" w:eastAsia="zh-CN"/>
        </w:rPr>
      </w:pPr>
      <w:bookmarkStart w:id="14" w:name="_Toc23937"/>
      <w:bookmarkStart w:id="15" w:name="_Toc22887"/>
      <w:r>
        <w:rPr>
          <w:rFonts w:hint="eastAsia" w:ascii="楷体" w:hAnsi="楷体" w:eastAsia="楷体" w:cs="楷体"/>
          <w:b/>
          <w:bCs/>
          <w:sz w:val="32"/>
          <w:szCs w:val="32"/>
          <w:lang w:val="en-US" w:eastAsia="zh-CN"/>
        </w:rPr>
        <w:t>直接原因：</w:t>
      </w:r>
      <w:bookmarkEnd w:id="14"/>
      <w:bookmarkEnd w:id="15"/>
    </w:p>
    <w:p w14:paraId="5708A582">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outlineLvl w:val="1"/>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于</w:t>
      </w:r>
      <w:bookmarkStart w:id="16" w:name="_Toc4172"/>
      <w:r>
        <w:rPr>
          <w:rFonts w:hint="eastAsia" w:ascii="仿宋" w:hAnsi="仿宋" w:eastAsia="仿宋" w:cs="仿宋"/>
          <w:b/>
          <w:bCs/>
          <w:sz w:val="32"/>
          <w:szCs w:val="32"/>
          <w:lang w:val="en-US" w:eastAsia="zh-CN"/>
        </w:rPr>
        <w:t>XX</w:t>
      </w:r>
    </w:p>
    <w:p w14:paraId="3CF1AEC5">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于XX安全意识淡薄，未按规定使用升降机运送楼内杂物，违规将杂物从</w:t>
      </w:r>
      <w:r>
        <w:rPr>
          <w:rFonts w:hint="eastAsia" w:ascii="仿宋" w:hAnsi="仿宋" w:eastAsia="仿宋" w:cs="仿宋"/>
          <w:sz w:val="32"/>
          <w:szCs w:val="32"/>
          <w:lang w:val="en-US" w:eastAsia="zh-CN"/>
        </w:rPr>
        <w:t>3#号楼北侧三楼由西向东第二窗口向</w:t>
      </w:r>
      <w:r>
        <w:rPr>
          <w:rFonts w:hint="eastAsia" w:ascii="仿宋" w:hAnsi="仿宋" w:eastAsia="仿宋" w:cs="仿宋"/>
          <w:b w:val="0"/>
          <w:bCs w:val="0"/>
          <w:sz w:val="32"/>
          <w:szCs w:val="32"/>
          <w:lang w:val="en-US" w:eastAsia="zh-CN"/>
        </w:rPr>
        <w:t>下扔，致使本人失去平衡，从窗口坠落。</w:t>
      </w:r>
    </w:p>
    <w:p w14:paraId="6F8BBB5C">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outlineLvl w:val="1"/>
        <w:rPr>
          <w:rFonts w:hint="eastAsia" w:ascii="仿宋" w:hAnsi="仿宋" w:eastAsia="仿宋" w:cs="仿宋"/>
          <w:b w:val="0"/>
          <w:bCs w:val="0"/>
          <w:sz w:val="32"/>
          <w:szCs w:val="32"/>
          <w:lang w:val="en-US" w:eastAsia="zh-CN"/>
        </w:rPr>
      </w:pPr>
      <w:bookmarkStart w:id="17" w:name="_Toc22029"/>
      <w:r>
        <w:rPr>
          <w:rFonts w:hint="eastAsia" w:ascii="楷体" w:hAnsi="楷体" w:eastAsia="楷体" w:cs="楷体"/>
          <w:b/>
          <w:bCs/>
          <w:sz w:val="32"/>
          <w:szCs w:val="32"/>
          <w:lang w:val="en-US" w:eastAsia="zh-CN"/>
        </w:rPr>
        <w:t>（二）间接原因：</w:t>
      </w:r>
      <w:bookmarkEnd w:id="16"/>
      <w:bookmarkEnd w:id="17"/>
    </w:p>
    <w:p w14:paraId="526A6AB6">
      <w:pPr>
        <w:ind w:firstLine="643" w:firstLineChars="200"/>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东阳奉天建筑劳务有限公司</w:t>
      </w:r>
    </w:p>
    <w:p w14:paraId="5A5A28EC">
      <w:pPr>
        <w:widowControl w:val="0"/>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东阳奉天建筑劳务有限公司未按规定对从业人员进行安全生产教育和培训</w:t>
      </w:r>
      <w:r>
        <w:rPr>
          <w:rFonts w:hint="eastAsia" w:ascii="仿宋" w:hAnsi="仿宋" w:eastAsia="仿宋" w:cs="仿宋"/>
          <w:sz w:val="32"/>
          <w:szCs w:val="32"/>
          <w:lang w:val="en-US" w:eastAsia="zh-CN"/>
        </w:rPr>
        <w:t>；未能落实生产安全事故隐患排查治理制度，未及时发现并消除从业人员作业过程中存在的事故隐患。</w:t>
      </w:r>
    </w:p>
    <w:p w14:paraId="041E44FA">
      <w:pPr>
        <w:ind w:firstLine="645"/>
        <w:rPr>
          <w:rFonts w:hint="default" w:ascii="仿宋" w:hAnsi="仿宋" w:eastAsia="仿宋" w:cs="仿宋"/>
          <w:b/>
          <w:bCs/>
          <w:sz w:val="32"/>
          <w:szCs w:val="32"/>
          <w:lang w:val="en-US" w:eastAsia="zh-CN"/>
        </w:rPr>
      </w:pPr>
      <w:bookmarkStart w:id="18" w:name="_Toc1312"/>
      <w:bookmarkStart w:id="19" w:name="_Toc5792"/>
      <w:r>
        <w:rPr>
          <w:rFonts w:hint="eastAsia" w:ascii="黑体" w:hAnsi="黑体" w:eastAsia="黑体" w:cs="黑体"/>
          <w:b w:val="0"/>
          <w:bCs w:val="0"/>
          <w:kern w:val="2"/>
          <w:sz w:val="32"/>
          <w:szCs w:val="32"/>
          <w:lang w:val="en-US" w:eastAsia="zh-CN" w:bidi="ar-SA"/>
        </w:rPr>
        <w:t>五、</w:t>
      </w:r>
      <w:r>
        <w:rPr>
          <w:rFonts w:hint="default" w:ascii="黑体" w:hAnsi="黑体" w:eastAsia="黑体" w:cs="黑体"/>
          <w:b w:val="0"/>
          <w:bCs w:val="0"/>
          <w:kern w:val="2"/>
          <w:sz w:val="32"/>
          <w:szCs w:val="32"/>
          <w:lang w:val="en-US" w:eastAsia="zh-CN" w:bidi="ar-SA"/>
        </w:rPr>
        <w:t>对有关责任人员和责任单位的处理建议</w:t>
      </w:r>
      <w:bookmarkEnd w:id="18"/>
      <w:bookmarkEnd w:id="19"/>
    </w:p>
    <w:p w14:paraId="3E9CBFE7">
      <w:pPr>
        <w:pStyle w:val="2"/>
        <w:keepNext w:val="0"/>
        <w:keepLines w:val="0"/>
        <w:pageBreakBefore w:val="0"/>
        <w:widowControl w:val="0"/>
        <w:kinsoku/>
        <w:overflowPunct/>
        <w:topLinePunct w:val="0"/>
        <w:autoSpaceDE/>
        <w:autoSpaceDN/>
        <w:bidi w:val="0"/>
        <w:adjustRightInd/>
        <w:snapToGrid/>
        <w:spacing w:line="579" w:lineRule="exact"/>
        <w:ind w:left="0" w:leftChars="0" w:firstLine="643" w:firstLineChars="200"/>
        <w:textAlignment w:val="auto"/>
        <w:outlineLvl w:val="1"/>
        <w:rPr>
          <w:rFonts w:hint="default" w:ascii="楷体" w:hAnsi="楷体" w:eastAsia="楷体" w:cs="楷体"/>
          <w:b/>
          <w:bCs/>
          <w:kern w:val="2"/>
          <w:sz w:val="32"/>
          <w:szCs w:val="32"/>
          <w:lang w:val="en-US" w:eastAsia="zh-CN" w:bidi="ar-SA"/>
        </w:rPr>
      </w:pPr>
      <w:bookmarkStart w:id="20" w:name="_Toc24598"/>
      <w:bookmarkStart w:id="21" w:name="_Toc17911"/>
      <w:bookmarkStart w:id="22" w:name="_Toc12089"/>
      <w:r>
        <w:rPr>
          <w:rFonts w:hint="eastAsia" w:ascii="楷体" w:hAnsi="楷体" w:eastAsia="楷体" w:cs="楷体"/>
          <w:b/>
          <w:bCs/>
          <w:kern w:val="2"/>
          <w:sz w:val="32"/>
          <w:szCs w:val="32"/>
          <w:lang w:val="en-US" w:eastAsia="zh-CN" w:bidi="ar-SA"/>
        </w:rPr>
        <w:t>（一）</w:t>
      </w:r>
      <w:r>
        <w:rPr>
          <w:rFonts w:hint="default" w:ascii="楷体" w:hAnsi="楷体" w:eastAsia="楷体" w:cs="楷体"/>
          <w:b/>
          <w:bCs/>
          <w:kern w:val="2"/>
          <w:sz w:val="32"/>
          <w:szCs w:val="32"/>
          <w:lang w:val="en-US" w:eastAsia="zh-CN" w:bidi="ar-SA"/>
        </w:rPr>
        <w:t>对有关责任人员的处理建议</w:t>
      </w:r>
      <w:bookmarkEnd w:id="20"/>
      <w:bookmarkEnd w:id="21"/>
    </w:p>
    <w:p w14:paraId="6E76410E">
      <w:pPr>
        <w:rPr>
          <w:rFonts w:hint="default"/>
          <w:lang w:val="en-US" w:eastAsia="zh-CN"/>
        </w:rPr>
      </w:pPr>
      <w:r>
        <w:rPr>
          <w:rFonts w:hint="eastAsia" w:ascii="楷体" w:hAnsi="楷体" w:eastAsia="楷体" w:cs="楷体"/>
          <w:b/>
          <w:bCs/>
          <w:kern w:val="2"/>
          <w:sz w:val="32"/>
          <w:szCs w:val="32"/>
          <w:lang w:val="en-US" w:eastAsia="zh-CN" w:bidi="ar-SA"/>
        </w:rPr>
        <w:t xml:space="preserve">    </w:t>
      </w:r>
      <w:r>
        <w:rPr>
          <w:rFonts w:hint="eastAsia" w:ascii="仿宋" w:hAnsi="仿宋" w:eastAsia="仿宋" w:cs="仿宋"/>
          <w:b/>
          <w:bCs/>
          <w:kern w:val="2"/>
          <w:sz w:val="32"/>
          <w:szCs w:val="32"/>
          <w:lang w:val="en-US" w:eastAsia="zh-CN" w:bidi="ar-SA"/>
        </w:rPr>
        <w:t>于XX</w:t>
      </w:r>
    </w:p>
    <w:bookmarkEnd w:id="22"/>
    <w:p w14:paraId="66C2B933">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outlineLvl w:val="1"/>
        <w:rPr>
          <w:rFonts w:hint="eastAsia" w:ascii="仿宋" w:hAnsi="仿宋" w:eastAsia="仿宋" w:cs="仿宋"/>
          <w:b w:val="0"/>
          <w:bCs w:val="0"/>
          <w:sz w:val="32"/>
          <w:szCs w:val="32"/>
          <w:lang w:val="en-US" w:eastAsia="zh-CN"/>
        </w:rPr>
      </w:pPr>
      <w:bookmarkStart w:id="23" w:name="_Toc21935"/>
      <w:r>
        <w:rPr>
          <w:rFonts w:hint="eastAsia" w:ascii="仿宋" w:hAnsi="仿宋" w:eastAsia="仿宋" w:cs="仿宋"/>
          <w:sz w:val="32"/>
          <w:szCs w:val="32"/>
          <w:lang w:val="en-US" w:eastAsia="zh-CN"/>
        </w:rPr>
        <w:t>于XX安全意识淡薄，作业过程中未</w:t>
      </w:r>
      <w:r>
        <w:rPr>
          <w:rFonts w:hint="eastAsia" w:ascii="仿宋" w:hAnsi="仿宋" w:eastAsia="仿宋" w:cs="仿宋"/>
          <w:b w:val="0"/>
          <w:bCs w:val="0"/>
          <w:sz w:val="32"/>
          <w:szCs w:val="32"/>
          <w:lang w:val="en-US" w:eastAsia="zh-CN"/>
        </w:rPr>
        <w:t>按规定使用升降机运送楼内杂物，违规将杂物从</w:t>
      </w:r>
      <w:r>
        <w:rPr>
          <w:rFonts w:hint="eastAsia" w:ascii="仿宋" w:hAnsi="仿宋" w:eastAsia="仿宋" w:cs="仿宋"/>
          <w:sz w:val="32"/>
          <w:szCs w:val="32"/>
          <w:lang w:val="en-US" w:eastAsia="zh-CN"/>
        </w:rPr>
        <w:t>3#号楼北侧三楼由西向东第二窗口向</w:t>
      </w:r>
      <w:r>
        <w:rPr>
          <w:rFonts w:hint="eastAsia" w:ascii="仿宋" w:hAnsi="仿宋" w:eastAsia="仿宋" w:cs="仿宋"/>
          <w:b w:val="0"/>
          <w:bCs w:val="0"/>
          <w:sz w:val="32"/>
          <w:szCs w:val="32"/>
          <w:lang w:val="en-US" w:eastAsia="zh-CN"/>
        </w:rPr>
        <w:t>下扔，致使本人失去平衡，从窗口坠落，</w:t>
      </w:r>
      <w:r>
        <w:rPr>
          <w:rFonts w:hint="eastAsia" w:ascii="仿宋" w:hAnsi="仿宋" w:eastAsia="仿宋" w:cs="仿宋"/>
          <w:sz w:val="32"/>
          <w:szCs w:val="32"/>
          <w:lang w:val="en-US" w:eastAsia="zh-CN"/>
        </w:rPr>
        <w:t>导致发生生产安全事故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鉴于于XX在事故中身亡，故不再给予行政处罚。</w:t>
      </w:r>
    </w:p>
    <w:p w14:paraId="50C51FD9">
      <w:pPr>
        <w:ind w:firstLine="643" w:firstLineChars="200"/>
        <w:outlineLvl w:val="0"/>
        <w:rPr>
          <w:rFonts w:hint="eastAsia" w:ascii="仿宋" w:hAnsi="仿宋" w:eastAsia="仿宋" w:cs="仿宋"/>
          <w:b/>
          <w:bCs/>
          <w:sz w:val="32"/>
          <w:szCs w:val="32"/>
          <w:lang w:val="en-US" w:eastAsia="zh-CN"/>
        </w:rPr>
      </w:pPr>
      <w:bookmarkStart w:id="24" w:name="_Toc10212"/>
      <w:r>
        <w:rPr>
          <w:rFonts w:hint="eastAsia" w:ascii="仿宋" w:hAnsi="仿宋" w:eastAsia="仿宋" w:cs="仿宋"/>
          <w:b/>
          <w:bCs/>
          <w:sz w:val="32"/>
          <w:szCs w:val="32"/>
          <w:lang w:val="en-US" w:eastAsia="zh-CN"/>
        </w:rPr>
        <w:t>东阳奉天建筑劳务有限公司法定代表人张XX</w:t>
      </w:r>
    </w:p>
    <w:p w14:paraId="3B680248">
      <w:pPr>
        <w:ind w:firstLine="640" w:firstLineChars="200"/>
        <w:outlineLvl w:val="0"/>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未依法履行企业主要负责人安全管理职责，落实安全风险分级管控和隐患排查治理双重预防工作机制不力，未及时消除生产安全事故隐患，导致发生生产安全事故。</w:t>
      </w:r>
    </w:p>
    <w:p w14:paraId="387C4A6F">
      <w:pPr>
        <w:keepNext w:val="0"/>
        <w:keepLines w:val="0"/>
        <w:pageBreakBefore w:val="0"/>
        <w:widowControl w:val="0"/>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以上行为违反了《中华人民共和国安全生产法》第二十一条第（五）项之规定</w:t>
      </w:r>
      <w:r>
        <w:rPr>
          <w:rStyle w:val="15"/>
          <w:rFonts w:hint="eastAsia" w:ascii="仿宋_GB2312" w:hAnsi="仿宋_GB2312" w:eastAsia="仿宋_GB2312" w:cs="仿宋_GB2312"/>
          <w:sz w:val="32"/>
          <w:szCs w:val="32"/>
          <w:lang w:val="en-US" w:eastAsia="zh-CN"/>
        </w:rPr>
        <w:t>[</w:t>
      </w:r>
      <w:r>
        <w:rPr>
          <w:rStyle w:val="15"/>
          <w:rFonts w:hint="eastAsia" w:ascii="仿宋_GB2312" w:hAnsi="仿宋_GB2312" w:eastAsia="仿宋_GB2312" w:cs="仿宋_GB2312"/>
          <w:sz w:val="32"/>
          <w:szCs w:val="32"/>
          <w:lang w:val="en-US" w:eastAsia="zh-CN"/>
        </w:rPr>
        <w:footnoteReference w:id="0"/>
      </w:r>
      <w:r>
        <w:rPr>
          <w:rStyle w:val="15"/>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，导致发生生产安全事故。建议由区应急管理局依据《中华人民共和国安全生产法》第九十五条第（一）项之规定</w:t>
      </w:r>
      <w:r>
        <w:rPr>
          <w:rStyle w:val="15"/>
          <w:rFonts w:hint="eastAsia" w:ascii="仿宋_GB2312" w:hAnsi="仿宋_GB2312" w:eastAsia="仿宋_GB2312" w:cs="仿宋_GB2312"/>
          <w:sz w:val="32"/>
          <w:szCs w:val="32"/>
          <w:lang w:val="en-US" w:eastAsia="zh-CN"/>
        </w:rPr>
        <w:t>[</w:t>
      </w:r>
      <w:r>
        <w:rPr>
          <w:rStyle w:val="15"/>
          <w:rFonts w:hint="eastAsia" w:ascii="仿宋_GB2312" w:hAnsi="仿宋_GB2312" w:eastAsia="仿宋_GB2312" w:cs="仿宋_GB2312"/>
          <w:sz w:val="32"/>
          <w:szCs w:val="32"/>
          <w:lang w:val="en-US" w:eastAsia="zh-CN"/>
        </w:rPr>
        <w:footnoteReference w:id="1"/>
      </w:r>
      <w:r>
        <w:rPr>
          <w:rStyle w:val="15"/>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给予其行政处罚。</w:t>
      </w:r>
    </w:p>
    <w:p w14:paraId="17E594C5">
      <w:pPr>
        <w:pStyle w:val="2"/>
        <w:keepNext w:val="0"/>
        <w:keepLines w:val="0"/>
        <w:pageBreakBefore w:val="0"/>
        <w:widowControl w:val="0"/>
        <w:kinsoku/>
        <w:overflowPunct/>
        <w:topLinePunct w:val="0"/>
        <w:autoSpaceDE/>
        <w:autoSpaceDN/>
        <w:bidi w:val="0"/>
        <w:adjustRightInd/>
        <w:snapToGrid/>
        <w:spacing w:line="579" w:lineRule="exact"/>
        <w:textAlignment w:val="auto"/>
        <w:outlineLvl w:val="1"/>
        <w:rPr>
          <w:rFonts w:hint="default"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（二）</w:t>
      </w:r>
      <w:bookmarkEnd w:id="23"/>
      <w:r>
        <w:rPr>
          <w:rFonts w:hint="default" w:ascii="楷体" w:hAnsi="楷体" w:eastAsia="楷体" w:cs="楷体"/>
          <w:b/>
          <w:bCs/>
          <w:kern w:val="2"/>
          <w:sz w:val="32"/>
          <w:szCs w:val="32"/>
          <w:lang w:val="en-US" w:eastAsia="zh-CN" w:bidi="ar-SA"/>
        </w:rPr>
        <w:t>对有关</w:t>
      </w:r>
      <w:r>
        <w:rPr>
          <w:rFonts w:hint="eastAsia" w:ascii="楷体" w:hAnsi="楷体" w:eastAsia="楷体" w:cs="楷体"/>
          <w:b/>
          <w:bCs/>
          <w:kern w:val="2"/>
          <w:sz w:val="32"/>
          <w:szCs w:val="32"/>
          <w:lang w:val="en-US" w:eastAsia="zh-CN" w:bidi="ar-SA"/>
        </w:rPr>
        <w:t>责任单位</w:t>
      </w:r>
      <w:r>
        <w:rPr>
          <w:rFonts w:hint="default" w:ascii="楷体" w:hAnsi="楷体" w:eastAsia="楷体" w:cs="楷体"/>
          <w:b/>
          <w:bCs/>
          <w:kern w:val="2"/>
          <w:sz w:val="32"/>
          <w:szCs w:val="32"/>
          <w:lang w:val="en-US" w:eastAsia="zh-CN" w:bidi="ar-SA"/>
        </w:rPr>
        <w:t>的处理建议</w:t>
      </w:r>
      <w:bookmarkEnd w:id="24"/>
    </w:p>
    <w:p w14:paraId="20B15C5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东阳奉天建筑劳务有限公司</w:t>
      </w:r>
    </w:p>
    <w:p w14:paraId="27B2E69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未按照规定对从业人员进行安全生产教育和培训；</w:t>
      </w:r>
      <w:r>
        <w:rPr>
          <w:rFonts w:hint="eastAsia" w:ascii="仿宋" w:hAnsi="仿宋" w:eastAsia="仿宋" w:cs="仿宋"/>
          <w:sz w:val="32"/>
          <w:szCs w:val="32"/>
          <w:lang w:val="en-US" w:eastAsia="zh-CN"/>
        </w:rPr>
        <w:t>未严格教育和督促从业人员严格执行本单位安全生产规章制度和安全操作规程；落实生产安全事故隐患排查治理制度不彻底，未及时发现并消除从业人员作业过程中存在的事故隐患。</w:t>
      </w:r>
    </w:p>
    <w:p w14:paraId="508AC09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以上行为违反了《中华人民共和国安全生产法》第二十八条第一款、第四十一条第二款、第四十四条第一款之规定</w:t>
      </w:r>
      <w:r>
        <w:rPr>
          <w:rStyle w:val="15"/>
          <w:rFonts w:hint="eastAsia" w:ascii="仿宋_GB2312" w:hAnsi="仿宋_GB2312" w:eastAsia="仿宋_GB2312" w:cs="仿宋_GB2312"/>
          <w:sz w:val="32"/>
          <w:szCs w:val="32"/>
          <w:lang w:val="en-US" w:eastAsia="zh-CN"/>
        </w:rPr>
        <w:t>[</w:t>
      </w:r>
      <w:r>
        <w:rPr>
          <w:rStyle w:val="15"/>
          <w:rFonts w:hint="eastAsia" w:ascii="仿宋_GB2312" w:hAnsi="仿宋_GB2312" w:eastAsia="仿宋_GB2312" w:cs="仿宋_GB2312"/>
          <w:sz w:val="32"/>
          <w:szCs w:val="32"/>
          <w:lang w:val="en-US" w:eastAsia="zh-CN"/>
        </w:rPr>
        <w:footnoteReference w:id="2"/>
      </w:r>
      <w:r>
        <w:rPr>
          <w:rStyle w:val="15"/>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，对事故发生负有责任。建议由区应急管理局依据《中华人民共和国安全生产法》第一百一十四条第（一）项之规定</w:t>
      </w:r>
      <w:r>
        <w:rPr>
          <w:rStyle w:val="15"/>
          <w:rFonts w:hint="eastAsia" w:ascii="仿宋_GB2312" w:hAnsi="仿宋_GB2312" w:eastAsia="仿宋_GB2312" w:cs="仿宋_GB2312"/>
          <w:sz w:val="32"/>
          <w:szCs w:val="32"/>
          <w:lang w:val="en-US" w:eastAsia="zh-CN"/>
        </w:rPr>
        <w:t>[</w:t>
      </w:r>
      <w:r>
        <w:rPr>
          <w:rStyle w:val="15"/>
          <w:rFonts w:hint="eastAsia" w:ascii="仿宋_GB2312" w:hAnsi="仿宋_GB2312" w:eastAsia="仿宋_GB2312" w:cs="仿宋_GB2312"/>
          <w:sz w:val="32"/>
          <w:szCs w:val="32"/>
          <w:lang w:val="en-US" w:eastAsia="zh-CN"/>
        </w:rPr>
        <w:footnoteReference w:id="3"/>
      </w:r>
      <w:r>
        <w:rPr>
          <w:rStyle w:val="15"/>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对其进行行政处罚。</w:t>
      </w:r>
    </w:p>
    <w:p w14:paraId="65FE1938">
      <w:pPr>
        <w:keepNext w:val="0"/>
        <w:keepLines w:val="0"/>
        <w:pageBreakBefore w:val="0"/>
        <w:widowControl w:val="0"/>
        <w:kinsoku/>
        <w:overflowPunct/>
        <w:topLinePunct w:val="0"/>
        <w:autoSpaceDE/>
        <w:autoSpaceDN/>
        <w:bidi w:val="0"/>
        <w:adjustRightInd/>
        <w:snapToGrid/>
        <w:spacing w:line="579" w:lineRule="exact"/>
        <w:ind w:firstLine="640" w:firstLineChars="200"/>
        <w:jc w:val="left"/>
        <w:textAlignment w:val="auto"/>
        <w:outlineLvl w:val="0"/>
        <w:rPr>
          <w:rFonts w:hint="eastAsia" w:ascii="仿宋" w:hAnsi="仿宋" w:eastAsia="仿宋" w:cs="仿宋"/>
          <w:b w:val="0"/>
          <w:bCs w:val="0"/>
          <w:sz w:val="32"/>
          <w:szCs w:val="32"/>
          <w:highlight w:val="none"/>
          <w:lang w:val="en-US" w:eastAsia="zh-CN"/>
        </w:rPr>
      </w:pPr>
      <w:bookmarkStart w:id="25" w:name="_Toc24386"/>
      <w:bookmarkStart w:id="26" w:name="_Toc4758"/>
      <w:r>
        <w:rPr>
          <w:rFonts w:hint="eastAsia" w:ascii="黑体" w:hAnsi="黑体" w:eastAsia="黑体" w:cs="黑体"/>
          <w:b w:val="0"/>
          <w:bCs w:val="0"/>
          <w:kern w:val="2"/>
          <w:sz w:val="32"/>
          <w:szCs w:val="32"/>
          <w:highlight w:val="none"/>
          <w:lang w:val="en-US" w:eastAsia="zh-CN" w:bidi="ar-SA"/>
        </w:rPr>
        <w:t>六、</w:t>
      </w:r>
      <w:r>
        <w:rPr>
          <w:rFonts w:hint="default" w:ascii="黑体" w:hAnsi="黑体" w:eastAsia="黑体" w:cs="黑体"/>
          <w:b w:val="0"/>
          <w:bCs w:val="0"/>
          <w:kern w:val="2"/>
          <w:sz w:val="32"/>
          <w:szCs w:val="32"/>
          <w:highlight w:val="none"/>
          <w:lang w:val="en-US" w:eastAsia="zh-CN" w:bidi="ar-SA"/>
        </w:rPr>
        <w:t>事故防范及整改措施</w:t>
      </w:r>
      <w:bookmarkEnd w:id="25"/>
      <w:bookmarkEnd w:id="26"/>
    </w:p>
    <w:p w14:paraId="3A8EA509">
      <w:pPr>
        <w:ind w:firstLine="645"/>
        <w:rPr>
          <w:rFonts w:hint="eastAsia" w:ascii="仿宋" w:hAnsi="仿宋" w:eastAsia="仿宋" w:cs="仿宋"/>
          <w:i w:val="0"/>
          <w:iCs w:val="0"/>
          <w:caps w:val="0"/>
          <w:color w:val="000000"/>
          <w:spacing w:val="0"/>
          <w:sz w:val="32"/>
          <w:szCs w:val="32"/>
          <w:lang w:val="en-US" w:eastAsia="zh-CN"/>
        </w:rPr>
      </w:pPr>
      <w:bookmarkStart w:id="27" w:name="_Toc19565"/>
      <w:bookmarkStart w:id="28" w:name="_Toc10391"/>
      <w:r>
        <w:rPr>
          <w:rFonts w:hint="eastAsia" w:ascii="仿宋" w:hAnsi="仿宋" w:eastAsia="仿宋" w:cs="仿宋"/>
          <w:i w:val="0"/>
          <w:iCs w:val="0"/>
          <w:caps w:val="0"/>
          <w:color w:val="000000"/>
          <w:spacing w:val="0"/>
          <w:sz w:val="32"/>
          <w:szCs w:val="32"/>
          <w:lang w:val="en-US" w:eastAsia="zh-CN"/>
        </w:rPr>
        <w:t>为防范和杜绝类似生产安全事故的发生，确保生产安全，建议相关单位落实如下整改措施：</w:t>
      </w:r>
      <w:bookmarkEnd w:id="27"/>
      <w:bookmarkEnd w:id="28"/>
    </w:p>
    <w:p w14:paraId="5A3039ED">
      <w:pPr>
        <w:ind w:firstLine="645"/>
        <w:rPr>
          <w:rFonts w:hint="eastAsia" w:ascii="仿宋" w:hAnsi="仿宋" w:eastAsia="仿宋" w:cs="仿宋"/>
          <w:b/>
          <w:bCs/>
          <w:i w:val="0"/>
          <w:iCs w:val="0"/>
          <w:caps w:val="0"/>
          <w:color w:val="000000"/>
          <w:spacing w:val="0"/>
          <w:sz w:val="32"/>
          <w:szCs w:val="32"/>
          <w:lang w:val="en-US" w:eastAsia="zh-CN"/>
        </w:rPr>
      </w:pPr>
      <w:r>
        <w:rPr>
          <w:rFonts w:hint="eastAsia" w:ascii="仿宋" w:hAnsi="仿宋" w:eastAsia="仿宋" w:cs="仿宋"/>
          <w:b/>
          <w:bCs/>
          <w:i w:val="0"/>
          <w:iCs w:val="0"/>
          <w:caps w:val="0"/>
          <w:color w:val="000000"/>
          <w:spacing w:val="0"/>
          <w:sz w:val="32"/>
          <w:szCs w:val="32"/>
          <w:lang w:val="en-US" w:eastAsia="zh-CN"/>
        </w:rPr>
        <w:t>东阳奉天建筑劳务有限公司</w:t>
      </w:r>
    </w:p>
    <w:p w14:paraId="62DA8D75">
      <w:pPr>
        <w:pStyle w:val="2"/>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要认真吸取事故教训，全面落实企业安全生产主体责任，推进企业安全风险分级管控和隐患排查治理双重预防机制落实。要认真开展风险辨识管控和隐患排查治理工作，及时消除各类事故隐患。要依法组织开展从业人员安全生产教育和培训工作，如实记录安全生产教育和培训情况。</w:t>
      </w:r>
    </w:p>
    <w:p w14:paraId="4DB55CA9">
      <w:pPr>
        <w:ind w:firstLine="645"/>
        <w:rPr>
          <w:rFonts w:hint="eastAsia" w:ascii="仿宋" w:hAnsi="仿宋" w:eastAsia="仿宋" w:cs="仿宋"/>
          <w:b/>
          <w:bCs/>
          <w:i w:val="0"/>
          <w:iCs w:val="0"/>
          <w:caps w:val="0"/>
          <w:color w:val="000000"/>
          <w:spacing w:val="0"/>
          <w:sz w:val="32"/>
          <w:szCs w:val="32"/>
          <w:lang w:val="en-US" w:eastAsia="zh-CN"/>
        </w:rPr>
      </w:pPr>
      <w:r>
        <w:rPr>
          <w:rFonts w:hint="eastAsia" w:ascii="仿宋" w:hAnsi="仿宋" w:eastAsia="仿宋" w:cs="仿宋"/>
          <w:b/>
          <w:bCs/>
          <w:i w:val="0"/>
          <w:iCs w:val="0"/>
          <w:caps w:val="0"/>
          <w:color w:val="000000"/>
          <w:spacing w:val="0"/>
          <w:sz w:val="32"/>
          <w:szCs w:val="32"/>
          <w:lang w:val="en-US" w:eastAsia="zh-CN"/>
        </w:rPr>
        <w:t>中XXX集团有限公司</w:t>
      </w:r>
    </w:p>
    <w:p w14:paraId="544A81A0">
      <w:pPr>
        <w:spacing w:line="560" w:lineRule="exact"/>
        <w:ind w:firstLine="640" w:firstLineChars="200"/>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要认真吸取分包单位的事故教训，全面排查项目分包单位各项安全生产规章制度及安全管理措施的落实情况。要严格按照相关法律法规要求，加强对项目分包单位安全生产工作的统一协调和管理，全面审核现有项目分包单位的安全生产状况。</w:t>
      </w:r>
    </w:p>
    <w:p w14:paraId="291E6505">
      <w:pPr>
        <w:pStyle w:val="2"/>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textAlignment w:val="auto"/>
        <w:rPr>
          <w:rFonts w:hint="default" w:ascii="仿宋" w:hAnsi="仿宋" w:eastAsia="仿宋" w:cs="仿宋"/>
          <w:b w:val="0"/>
          <w:bCs w:val="0"/>
          <w:sz w:val="32"/>
          <w:szCs w:val="32"/>
          <w:highlight w:val="none"/>
          <w:lang w:val="en-US" w:eastAsia="zh-CN"/>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6764A">
    <w:pPr>
      <w:pStyle w:val="4"/>
    </w:pPr>
  </w:p>
  <w:p w14:paraId="4F612A2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77D1B">
    <w:pPr>
      <w:pStyle w:val="4"/>
    </w:pPr>
  </w:p>
  <w:p w14:paraId="67849B91">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31B4">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8384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4E83840">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4C099">
                          <w:pPr>
                            <w:pStyle w:val="4"/>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B4C099">
                    <w:pPr>
                      <w:pStyle w:val="4"/>
                      <w:rPr>
                        <w:rFonts w:hint="default"/>
                        <w:lang w:val="en-US" w:eastAsia="zh-CN"/>
                      </w:rPr>
                    </w:pPr>
                  </w:p>
                </w:txbxContent>
              </v:textbox>
            </v:shape>
          </w:pict>
        </mc:Fallback>
      </mc:AlternateContent>
    </w:r>
  </w:p>
  <w:p w14:paraId="5B787F04">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562ADADA">
      <w:pPr>
        <w:pStyle w:val="7"/>
        <w:numPr>
          <w:ilvl w:val="0"/>
          <w:numId w:val="0"/>
        </w:numPr>
        <w:snapToGrid w:val="0"/>
        <w:rPr>
          <w:rFonts w:hint="eastAsia" w:ascii="宋体" w:hAnsi="宋体" w:eastAsia="宋体" w:cs="宋体"/>
          <w:sz w:val="16"/>
          <w:szCs w:val="16"/>
          <w:lang w:val="en-US" w:eastAsia="zh-CN"/>
        </w:rPr>
      </w:pPr>
      <w:r>
        <w:rPr>
          <w:rFonts w:hint="eastAsia" w:ascii="宋体" w:hAnsi="宋体" w:eastAsia="宋体" w:cs="宋体"/>
          <w:kern w:val="2"/>
          <w:sz w:val="16"/>
          <w:szCs w:val="16"/>
          <w:lang w:val="en-US" w:eastAsia="zh-CN" w:bidi="ar-SA"/>
        </w:rPr>
        <w:t>[1]</w:t>
      </w:r>
      <w:r>
        <w:rPr>
          <w:rFonts w:hint="eastAsia" w:ascii="宋体" w:hAnsi="宋体" w:eastAsia="宋体" w:cs="宋体"/>
          <w:sz w:val="16"/>
          <w:szCs w:val="16"/>
          <w:lang w:val="en-US" w:eastAsia="zh-CN"/>
        </w:rPr>
        <w:t>《中华人民共和国安全生产法》第二十一条第（五）项：生产经营单位的主要负责人对本单位安全生产工作负有下列职责：（五）组织建立并落实安全风险分级管控和隐患排查治理双重预防工作机制，督促、检查本单位的安全生产工作，及时消除生产安全事故隐患。</w:t>
      </w:r>
    </w:p>
    <w:p w14:paraId="28756474">
      <w:pPr>
        <w:pStyle w:val="7"/>
        <w:numPr>
          <w:ilvl w:val="0"/>
          <w:numId w:val="0"/>
        </w:numPr>
        <w:snapToGrid w:val="0"/>
        <w:rPr>
          <w:rFonts w:hint="eastAsia" w:ascii="宋体" w:hAnsi="宋体" w:eastAsia="宋体" w:cs="宋体"/>
          <w:sz w:val="16"/>
          <w:szCs w:val="16"/>
          <w:lang w:val="en-US" w:eastAsia="zh-CN"/>
        </w:rPr>
      </w:pPr>
      <w:r>
        <w:rPr>
          <w:rFonts w:hint="eastAsia" w:ascii="宋体" w:hAnsi="宋体" w:eastAsia="宋体" w:cs="宋体"/>
          <w:kern w:val="2"/>
          <w:sz w:val="16"/>
          <w:szCs w:val="16"/>
          <w:lang w:val="en-US" w:eastAsia="zh-CN" w:bidi="ar-SA"/>
        </w:rPr>
        <w:t>[2]</w:t>
      </w:r>
      <w:r>
        <w:rPr>
          <w:rFonts w:hint="eastAsia" w:ascii="宋体" w:hAnsi="宋体" w:eastAsia="宋体" w:cs="宋体"/>
          <w:sz w:val="16"/>
          <w:szCs w:val="16"/>
          <w:lang w:val="en-US" w:eastAsia="zh-CN"/>
        </w:rPr>
        <w:t>《中华人民共和国安全生产法》第九十五条第一项：生产经营单位的主要负责人未履行本法规定的安全生产管理职责， 导致发生生产安全事故的，由应急管理部门依照下列规定处以罚款：（一）发生一般事故的，处上一年年收入百分之四十的罚款。</w:t>
      </w:r>
    </w:p>
    <w:p w14:paraId="584D88EF">
      <w:pPr>
        <w:pStyle w:val="7"/>
        <w:numPr>
          <w:ilvl w:val="0"/>
          <w:numId w:val="0"/>
        </w:numPr>
        <w:snapToGrid w:val="0"/>
        <w:rPr>
          <w:rFonts w:hint="eastAsia" w:ascii="宋体" w:hAnsi="宋体" w:eastAsia="宋体" w:cs="宋体"/>
          <w:sz w:val="16"/>
          <w:szCs w:val="16"/>
          <w:lang w:val="en-US" w:eastAsia="zh-CN"/>
        </w:rPr>
      </w:pPr>
    </w:p>
    <w:p w14:paraId="5B8DF72F">
      <w:pPr>
        <w:pStyle w:val="7"/>
        <w:numPr>
          <w:ilvl w:val="0"/>
          <w:numId w:val="0"/>
        </w:numPr>
        <w:snapToGrid w:val="0"/>
        <w:rPr>
          <w:rFonts w:hint="eastAsia" w:ascii="宋体" w:hAnsi="宋体" w:eastAsia="宋体" w:cs="宋体"/>
          <w:sz w:val="16"/>
          <w:szCs w:val="16"/>
          <w:lang w:val="en-US" w:eastAsia="zh-CN"/>
        </w:rPr>
      </w:pPr>
    </w:p>
    <w:p w14:paraId="1F7DE327">
      <w:pPr>
        <w:pStyle w:val="7"/>
        <w:numPr>
          <w:ilvl w:val="0"/>
          <w:numId w:val="0"/>
        </w:numPr>
        <w:snapToGrid w:val="0"/>
        <w:rPr>
          <w:rFonts w:hint="eastAsia" w:ascii="宋体" w:hAnsi="宋体" w:eastAsia="宋体" w:cs="宋体"/>
          <w:sz w:val="16"/>
          <w:szCs w:val="16"/>
          <w:lang w:val="en-US" w:eastAsia="zh-CN"/>
        </w:rPr>
      </w:pPr>
    </w:p>
  </w:footnote>
  <w:footnote w:id="1">
    <w:p w14:paraId="27096C39">
      <w:pPr>
        <w:pStyle w:val="7"/>
        <w:snapToGrid w:val="0"/>
        <w:rPr>
          <w:rFonts w:hint="eastAsia" w:ascii="宋体" w:hAnsi="宋体" w:eastAsia="宋体" w:cs="宋体"/>
          <w:sz w:val="16"/>
          <w:szCs w:val="16"/>
          <w:lang w:val="en-US" w:eastAsia="zh-CN"/>
        </w:rPr>
      </w:pPr>
    </w:p>
  </w:footnote>
  <w:footnote w:id="2">
    <w:p w14:paraId="09ED222B">
      <w:pPr>
        <w:pStyle w:val="7"/>
        <w:snapToGrid w:val="0"/>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w:t>
      </w:r>
      <w:r>
        <w:rPr>
          <w:rFonts w:hint="eastAsia" w:ascii="宋体" w:hAnsi="宋体" w:cs="宋体"/>
          <w:sz w:val="16"/>
          <w:szCs w:val="16"/>
          <w:lang w:val="en-US" w:eastAsia="zh-CN"/>
        </w:rPr>
        <w:t>未经安全生产教育和培训合格的从业人员，不得上岗作业。</w:t>
      </w:r>
      <w:r>
        <w:rPr>
          <w:rFonts w:hint="eastAsia" w:ascii="宋体" w:hAnsi="宋体" w:eastAsia="宋体" w:cs="宋体"/>
          <w:sz w:val="16"/>
          <w:szCs w:val="16"/>
          <w:lang w:val="en-US" w:eastAsia="zh-CN"/>
        </w:rPr>
        <w:t>第四十一条第二款：生产经营单位应当建立健全并落实生产安全事故隐患排查治理制度，采取技术、管理措施，及时发现并消除事故隐患。第四十四条第一款：生产经营单位应当教育和督促从业人员严格执行本单位的安全生产规章制度和安全操作规程。</w:t>
      </w:r>
    </w:p>
  </w:footnote>
  <w:footnote w:id="3">
    <w:p w14:paraId="704A8015">
      <w:pPr>
        <w:pStyle w:val="7"/>
        <w:snapToGrid w:val="0"/>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w:t>
      </w:r>
      <w:r>
        <w:rPr>
          <w:rFonts w:hint="eastAsia" w:ascii="宋体" w:hAnsi="宋体" w:eastAsia="宋体" w:cs="宋体"/>
          <w:sz w:val="16"/>
          <w:szCs w:val="16"/>
          <w:lang w:val="en-US" w:eastAsia="zh-CN"/>
        </w:rPr>
        <w:footnoteRef/>
      </w:r>
      <w:r>
        <w:rPr>
          <w:rFonts w:hint="eastAsia" w:ascii="宋体" w:hAnsi="宋体" w:eastAsia="宋体" w:cs="宋体"/>
          <w:sz w:val="16"/>
          <w:szCs w:val="16"/>
          <w:lang w:val="en-US" w:eastAsia="zh-CN"/>
        </w:rPr>
        <w:t>]《中华人民共和国安全生产法》第一百一十四条第一项：发生生产安全事故，对负有责任的生产经营单位除要求其依法承担相应的赔偿等责任外，由应急管理部门依照下列规定处以罚款：（一）发生一般事故的，处三十万元以上一百万元以下的罚款。</w:t>
      </w:r>
    </w:p>
    <w:p w14:paraId="05621AEF">
      <w:pPr>
        <w:pStyle w:val="7"/>
        <w:snapToGrid w:val="0"/>
        <w:rPr>
          <w:rFonts w:hint="eastAsia" w:ascii="宋体" w:hAnsi="宋体" w:eastAsia="宋体" w:cs="宋体"/>
          <w:sz w:val="16"/>
          <w:szCs w:val="16"/>
          <w:lang w:val="en-US" w:eastAsia="zh-C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6A57C"/>
    <w:multiLevelType w:val="singleLevel"/>
    <w:tmpl w:val="C666A57C"/>
    <w:lvl w:ilvl="0" w:tentative="0">
      <w:start w:val="1"/>
      <w:numFmt w:val="chineseCounting"/>
      <w:suff w:val="nothing"/>
      <w:lvlText w:val="（%1）"/>
      <w:lvlJc w:val="left"/>
      <w:rPr>
        <w:rFonts w:hint="eastAsia"/>
      </w:rPr>
    </w:lvl>
  </w:abstractNum>
  <w:abstractNum w:abstractNumId="1">
    <w:nsid w:val="1D0C655D"/>
    <w:multiLevelType w:val="singleLevel"/>
    <w:tmpl w:val="1D0C655D"/>
    <w:lvl w:ilvl="0" w:tentative="0">
      <w:start w:val="1"/>
      <w:numFmt w:val="chineseCounting"/>
      <w:suff w:val="nothing"/>
      <w:lvlText w:val="（%1）"/>
      <w:lvlJc w:val="left"/>
      <w:rPr>
        <w:rFonts w:hint="eastAsia"/>
      </w:rPr>
    </w:lvl>
  </w:abstractNum>
  <w:abstractNum w:abstractNumId="2">
    <w:nsid w:val="40DD0404"/>
    <w:multiLevelType w:val="singleLevel"/>
    <w:tmpl w:val="40DD0404"/>
    <w:lvl w:ilvl="0" w:tentative="0">
      <w:start w:val="1"/>
      <w:numFmt w:val="chineseCounting"/>
      <w:suff w:val="nothing"/>
      <w:lvlText w:val="%1、"/>
      <w:lvlJc w:val="left"/>
      <w:rPr>
        <w:rFonts w:hint="eastAsia" w:ascii="宋体" w:hAnsi="宋体" w:eastAsia="宋体" w:cs="宋体"/>
        <w:b/>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8"/>
    <w:footnote w:id="9"/>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MDQ4MTVmNDI5ODFkMWRmNmVjNDgyNWNkYTYyZjUifQ=="/>
  </w:docVars>
  <w:rsids>
    <w:rsidRoot w:val="00172A27"/>
    <w:rsid w:val="00A10993"/>
    <w:rsid w:val="00BE578A"/>
    <w:rsid w:val="010D6A6A"/>
    <w:rsid w:val="013531F3"/>
    <w:rsid w:val="03773C2D"/>
    <w:rsid w:val="03F912A6"/>
    <w:rsid w:val="04D917B8"/>
    <w:rsid w:val="05496999"/>
    <w:rsid w:val="06A0713C"/>
    <w:rsid w:val="06A26EE9"/>
    <w:rsid w:val="07862691"/>
    <w:rsid w:val="083956B8"/>
    <w:rsid w:val="08AD11C8"/>
    <w:rsid w:val="08C80798"/>
    <w:rsid w:val="08F828D7"/>
    <w:rsid w:val="0A1F0939"/>
    <w:rsid w:val="0D077DD0"/>
    <w:rsid w:val="0E716245"/>
    <w:rsid w:val="0E975954"/>
    <w:rsid w:val="0ECF17CB"/>
    <w:rsid w:val="0EEF4FBF"/>
    <w:rsid w:val="101637E3"/>
    <w:rsid w:val="103828F4"/>
    <w:rsid w:val="10D15D3E"/>
    <w:rsid w:val="11212363"/>
    <w:rsid w:val="11256311"/>
    <w:rsid w:val="112F6066"/>
    <w:rsid w:val="11844B5F"/>
    <w:rsid w:val="11C20769"/>
    <w:rsid w:val="12B207DE"/>
    <w:rsid w:val="12D26099"/>
    <w:rsid w:val="133C258F"/>
    <w:rsid w:val="13877EBC"/>
    <w:rsid w:val="13914897"/>
    <w:rsid w:val="13E10DE3"/>
    <w:rsid w:val="14143437"/>
    <w:rsid w:val="16DE5596"/>
    <w:rsid w:val="17C63699"/>
    <w:rsid w:val="183049D6"/>
    <w:rsid w:val="18800766"/>
    <w:rsid w:val="18B3123D"/>
    <w:rsid w:val="19C54E88"/>
    <w:rsid w:val="1A555AB0"/>
    <w:rsid w:val="1B1C4D4A"/>
    <w:rsid w:val="1B301116"/>
    <w:rsid w:val="1BD24C1C"/>
    <w:rsid w:val="1BF32D91"/>
    <w:rsid w:val="1BFC7ABD"/>
    <w:rsid w:val="1EBB2E66"/>
    <w:rsid w:val="1F4C537C"/>
    <w:rsid w:val="20006994"/>
    <w:rsid w:val="20007C97"/>
    <w:rsid w:val="20C73087"/>
    <w:rsid w:val="21880514"/>
    <w:rsid w:val="21DF2C72"/>
    <w:rsid w:val="21F04F23"/>
    <w:rsid w:val="22C171BA"/>
    <w:rsid w:val="23552EB6"/>
    <w:rsid w:val="25121AF5"/>
    <w:rsid w:val="25717980"/>
    <w:rsid w:val="25C12DBA"/>
    <w:rsid w:val="27BD5803"/>
    <w:rsid w:val="27C8074F"/>
    <w:rsid w:val="29717390"/>
    <w:rsid w:val="2A58171C"/>
    <w:rsid w:val="2BE5530D"/>
    <w:rsid w:val="2C1837DA"/>
    <w:rsid w:val="2D1B54A6"/>
    <w:rsid w:val="2D32459D"/>
    <w:rsid w:val="2DD81595"/>
    <w:rsid w:val="2DF67FA2"/>
    <w:rsid w:val="2E0F2733"/>
    <w:rsid w:val="2E513149"/>
    <w:rsid w:val="2E76495E"/>
    <w:rsid w:val="2EE91630"/>
    <w:rsid w:val="2F6B5144"/>
    <w:rsid w:val="2F800AC2"/>
    <w:rsid w:val="30127571"/>
    <w:rsid w:val="30283D17"/>
    <w:rsid w:val="30AF751E"/>
    <w:rsid w:val="31315CD7"/>
    <w:rsid w:val="31C87D2D"/>
    <w:rsid w:val="32B96A15"/>
    <w:rsid w:val="33DD25DA"/>
    <w:rsid w:val="348334BA"/>
    <w:rsid w:val="349B13AB"/>
    <w:rsid w:val="34BE468A"/>
    <w:rsid w:val="351A6043"/>
    <w:rsid w:val="357C0AAC"/>
    <w:rsid w:val="36CD49F8"/>
    <w:rsid w:val="372C6501"/>
    <w:rsid w:val="38223824"/>
    <w:rsid w:val="384653A1"/>
    <w:rsid w:val="38E1198B"/>
    <w:rsid w:val="39096AFA"/>
    <w:rsid w:val="39962F1F"/>
    <w:rsid w:val="3A6B5DFA"/>
    <w:rsid w:val="3A7373E6"/>
    <w:rsid w:val="3AAD1707"/>
    <w:rsid w:val="3B7B09F0"/>
    <w:rsid w:val="3BAE3989"/>
    <w:rsid w:val="3C220B04"/>
    <w:rsid w:val="3CC03FCC"/>
    <w:rsid w:val="3CD420CF"/>
    <w:rsid w:val="3D5C673A"/>
    <w:rsid w:val="3D7E0892"/>
    <w:rsid w:val="3DA9164D"/>
    <w:rsid w:val="3DF8713D"/>
    <w:rsid w:val="3E4A2B2F"/>
    <w:rsid w:val="3F102BCF"/>
    <w:rsid w:val="3F9D4D99"/>
    <w:rsid w:val="40460B80"/>
    <w:rsid w:val="40577F2C"/>
    <w:rsid w:val="411C6EDE"/>
    <w:rsid w:val="41F14160"/>
    <w:rsid w:val="44C1243E"/>
    <w:rsid w:val="45DA7714"/>
    <w:rsid w:val="45F169B6"/>
    <w:rsid w:val="464C1CE9"/>
    <w:rsid w:val="476747D0"/>
    <w:rsid w:val="4896186D"/>
    <w:rsid w:val="498626AE"/>
    <w:rsid w:val="49A16503"/>
    <w:rsid w:val="49DD4CC6"/>
    <w:rsid w:val="4A3A67A3"/>
    <w:rsid w:val="4B5C267A"/>
    <w:rsid w:val="4C1A5C28"/>
    <w:rsid w:val="4DDF34CD"/>
    <w:rsid w:val="4F1B712F"/>
    <w:rsid w:val="4FA7690A"/>
    <w:rsid w:val="50A85BF5"/>
    <w:rsid w:val="51265FAA"/>
    <w:rsid w:val="516C1A4B"/>
    <w:rsid w:val="519E00DA"/>
    <w:rsid w:val="52503CF2"/>
    <w:rsid w:val="525C7843"/>
    <w:rsid w:val="52A21FA6"/>
    <w:rsid w:val="52BB7BB8"/>
    <w:rsid w:val="53A35923"/>
    <w:rsid w:val="5463070C"/>
    <w:rsid w:val="54A90C07"/>
    <w:rsid w:val="54A92AE8"/>
    <w:rsid w:val="54D71141"/>
    <w:rsid w:val="551D4268"/>
    <w:rsid w:val="5528421A"/>
    <w:rsid w:val="55541392"/>
    <w:rsid w:val="55985036"/>
    <w:rsid w:val="574F5D6B"/>
    <w:rsid w:val="577613A7"/>
    <w:rsid w:val="578A782F"/>
    <w:rsid w:val="58D948E2"/>
    <w:rsid w:val="5A48151F"/>
    <w:rsid w:val="5AB84569"/>
    <w:rsid w:val="5BBD1D8D"/>
    <w:rsid w:val="5D1B5B04"/>
    <w:rsid w:val="5DD7237A"/>
    <w:rsid w:val="5E721DE0"/>
    <w:rsid w:val="5F0D1529"/>
    <w:rsid w:val="5F3111A5"/>
    <w:rsid w:val="5FFF6400"/>
    <w:rsid w:val="60303D2C"/>
    <w:rsid w:val="6142054C"/>
    <w:rsid w:val="614B7400"/>
    <w:rsid w:val="61555B7C"/>
    <w:rsid w:val="61AF611B"/>
    <w:rsid w:val="638B172D"/>
    <w:rsid w:val="63C33BC6"/>
    <w:rsid w:val="64317555"/>
    <w:rsid w:val="65C71020"/>
    <w:rsid w:val="66503A49"/>
    <w:rsid w:val="66D02C8D"/>
    <w:rsid w:val="67311E3E"/>
    <w:rsid w:val="674B2164"/>
    <w:rsid w:val="67B81E4D"/>
    <w:rsid w:val="69201173"/>
    <w:rsid w:val="699C32E1"/>
    <w:rsid w:val="6AD00976"/>
    <w:rsid w:val="6B1B6095"/>
    <w:rsid w:val="6B2A1B1C"/>
    <w:rsid w:val="6B39654C"/>
    <w:rsid w:val="6B4F6E9C"/>
    <w:rsid w:val="6BB46294"/>
    <w:rsid w:val="6C4F4D0C"/>
    <w:rsid w:val="6C5A6ECD"/>
    <w:rsid w:val="6C9854C4"/>
    <w:rsid w:val="6CE348FB"/>
    <w:rsid w:val="6D8D7493"/>
    <w:rsid w:val="6DEF4103"/>
    <w:rsid w:val="6DFD6A45"/>
    <w:rsid w:val="6E604022"/>
    <w:rsid w:val="6F7203A6"/>
    <w:rsid w:val="6F8D445C"/>
    <w:rsid w:val="701D64FB"/>
    <w:rsid w:val="708C7D76"/>
    <w:rsid w:val="70ED57D0"/>
    <w:rsid w:val="71096990"/>
    <w:rsid w:val="717C2845"/>
    <w:rsid w:val="71E21AFF"/>
    <w:rsid w:val="721E282A"/>
    <w:rsid w:val="72310334"/>
    <w:rsid w:val="72D50AD1"/>
    <w:rsid w:val="73D12D34"/>
    <w:rsid w:val="74987115"/>
    <w:rsid w:val="74D80B53"/>
    <w:rsid w:val="74EB6AD9"/>
    <w:rsid w:val="74F51705"/>
    <w:rsid w:val="75023E22"/>
    <w:rsid w:val="75FF1478"/>
    <w:rsid w:val="766A30C6"/>
    <w:rsid w:val="76E52D88"/>
    <w:rsid w:val="77866F8C"/>
    <w:rsid w:val="782C7E18"/>
    <w:rsid w:val="786066B8"/>
    <w:rsid w:val="78F817C4"/>
    <w:rsid w:val="79D403F5"/>
    <w:rsid w:val="79E95AE8"/>
    <w:rsid w:val="7A8B2BB3"/>
    <w:rsid w:val="7BD43BBE"/>
    <w:rsid w:val="7BE34AC6"/>
    <w:rsid w:val="7C9E08D4"/>
    <w:rsid w:val="7CA75EF6"/>
    <w:rsid w:val="7CCE3D0C"/>
    <w:rsid w:val="7CF24D85"/>
    <w:rsid w:val="7D0D0D66"/>
    <w:rsid w:val="7D8A0E59"/>
    <w:rsid w:val="7D8E528A"/>
    <w:rsid w:val="7E717535"/>
    <w:rsid w:val="7F7973D7"/>
    <w:rsid w:val="7F96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footnote text"/>
    <w:basedOn w:val="1"/>
    <w:qFormat/>
    <w:uiPriority w:val="0"/>
    <w:pPr>
      <w:snapToGrid w:val="0"/>
      <w:jc w:val="left"/>
    </w:pPr>
    <w:rPr>
      <w:sz w:val="18"/>
    </w:rPr>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styleId="15">
    <w:name w:val="footnote reference"/>
    <w:basedOn w:val="12"/>
    <w:qFormat/>
    <w:uiPriority w:val="0"/>
    <w:rPr>
      <w:vertAlign w:val="superscript"/>
    </w:rPr>
  </w:style>
  <w:style w:type="paragraph" w:customStyle="1" w:styleId="16">
    <w:name w:val="列出段落1"/>
    <w:basedOn w:val="1"/>
    <w:qFormat/>
    <w:uiPriority w:val="34"/>
    <w:pPr>
      <w:ind w:firstLine="420" w:firstLineChars="200"/>
    </w:pPr>
  </w:style>
  <w:style w:type="paragraph" w:styleId="17">
    <w:name w:val="List Paragraph"/>
    <w:basedOn w:val="1"/>
    <w:unhideWhenUsed/>
    <w:qFormat/>
    <w:uiPriority w:val="99"/>
    <w:pPr>
      <w:ind w:firstLine="420" w:firstLine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4521</Words>
  <Characters>4843</Characters>
  <Lines>0</Lines>
  <Paragraphs>0</Paragraphs>
  <TotalTime>185</TotalTime>
  <ScaleCrop>false</ScaleCrop>
  <LinksUpToDate>false</LinksUpToDate>
  <CharactersWithSpaces>4914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2023-08-30T01:32:00Z</dcterms:created>
  <dc:creator>WPS_1660046945</dc:creator>
  <cp:lastModifiedBy>captin Boyka flint</cp:lastModifiedBy>
  <cp:lastPrinted>2026-03-12T08:12:00Z</cp:lastPrinted>
  <dcterms:modified xsi:type="dcterms:W3CDTF">2026-03-26T05:38:51Z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E59021D6B7B1429F8102715339075864_11</vt:lpwstr>
  </property>
  <property fmtid="{D5CDD505-2E9C-101B-9397-08002B2CF9AE}" pid="4" name="KSOTemplateDocerSaveRecord">
    <vt:lpwstr>eyJoZGlkIjoiYmZiYjIxOTdjNzViODNkZDMyNmJmMjc3ODc1YzY2MDIiLCJ1c2VySWQiOiIyMjA5MzMyMjkifQ==</vt:lpwstr>
  </property>
</Properties>
</file>