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903CD16">
      <w:pPr>
        <w:jc w:val="center"/>
        <w:rPr>
          <w:rFonts w:hint="default" w:ascii="宋体" w:hAnsi="宋体" w:eastAsia="宋体" w:cs="宋体"/>
          <w:b/>
          <w:bCs/>
          <w:sz w:val="44"/>
          <w:szCs w:val="44"/>
          <w:lang w:val="en-US" w:eastAsia="zh-CN"/>
        </w:rPr>
      </w:pPr>
      <w:r>
        <w:rPr>
          <w:rFonts w:hint="eastAsia" w:ascii="宋体" w:hAnsi="宋体" w:eastAsia="宋体" w:cs="宋体"/>
          <w:b/>
          <w:bCs/>
          <w:sz w:val="44"/>
          <w:szCs w:val="44"/>
          <w:lang w:val="en-US" w:eastAsia="zh-CN"/>
        </w:rPr>
        <w:t>沈阳市浑南区XX朗日生鲜超市“5.5”一般物体打击事故调查报告</w:t>
      </w:r>
    </w:p>
    <w:p w14:paraId="1D397F88">
      <w:pPr>
        <w:jc w:val="center"/>
        <w:rPr>
          <w:rFonts w:hint="eastAsia" w:ascii="宋体" w:hAnsi="宋体" w:eastAsia="宋体" w:cs="宋体"/>
          <w:b/>
          <w:bCs/>
          <w:sz w:val="44"/>
          <w:szCs w:val="44"/>
          <w:lang w:val="en-US" w:eastAsia="zh-CN"/>
        </w:rPr>
      </w:pPr>
    </w:p>
    <w:p w14:paraId="5F5B927B">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2024年5月5日，在沈阳市浑南区朗日街XX生鲜超市，发生一起一般物体打击事故。事故</w:t>
      </w:r>
      <w:r>
        <w:rPr>
          <w:rFonts w:hint="eastAsia" w:ascii="仿宋" w:hAnsi="仿宋" w:eastAsia="仿宋" w:cs="仿宋"/>
          <w:sz w:val="32"/>
          <w:szCs w:val="32"/>
        </w:rPr>
        <w:t>造成1人死亡</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造成直接经济损失80万元</w:t>
      </w:r>
      <w:r>
        <w:rPr>
          <w:rFonts w:hint="eastAsia" w:ascii="仿宋" w:hAnsi="仿宋" w:eastAsia="仿宋" w:cs="仿宋"/>
          <w:sz w:val="32"/>
          <w:szCs w:val="32"/>
        </w:rPr>
        <w:t>。</w:t>
      </w:r>
      <w:r>
        <w:rPr>
          <w:rFonts w:hint="eastAsia" w:ascii="仿宋" w:hAnsi="仿宋" w:eastAsia="仿宋" w:cs="仿宋"/>
          <w:sz w:val="32"/>
          <w:szCs w:val="32"/>
          <w:lang w:val="en-US" w:eastAsia="zh-CN"/>
        </w:rPr>
        <w:t>依据《生产安全事故报告和调查处理条例》（国务院第493号令），浑南区政府于5月7日成立了由区应急管理局为组长单位，区总工会、区人社局、市公安局浑南分局、五三街道办事处为成员单位的沈阳市浑南区XX生鲜超市“5.5”一般物体打击事故调查组（以下简称调查组），依法对该起事故进行全面调查。调查组按照“科学严谨、依法依规、实事求是、注重实效”和“四不放过”的原则，通过现场勘察、调阅资料、询问谈话、专家技术分析等方式，查明事故发生的原因、经过，认定了事故性质，提出了对责任人员的处理建议和事故防范的工作建议，现将事故调查情况报告如下：</w:t>
      </w:r>
    </w:p>
    <w:p w14:paraId="199E9295">
      <w:pPr>
        <w:keepNext w:val="0"/>
        <w:keepLines w:val="0"/>
        <w:pageBreakBefore w:val="0"/>
        <w:widowControl w:val="0"/>
        <w:numPr>
          <w:ilvl w:val="0"/>
          <w:numId w:val="1"/>
        </w:numPr>
        <w:kinsoku/>
        <w:wordWrap/>
        <w:overflowPunct/>
        <w:topLinePunct w:val="0"/>
        <w:autoSpaceDE/>
        <w:autoSpaceDN/>
        <w:bidi w:val="0"/>
        <w:adjustRightInd/>
        <w:snapToGrid/>
        <w:spacing w:line="579" w:lineRule="exact"/>
        <w:ind w:firstLine="640" w:firstLineChars="200"/>
        <w:jc w:val="left"/>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事故基本情况</w:t>
      </w:r>
    </w:p>
    <w:p w14:paraId="715F7778">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（一）相关场所基本情况</w:t>
      </w:r>
    </w:p>
    <w:p w14:paraId="6CBE2997">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仿宋" w:hAnsi="仿宋" w:eastAsia="仿宋" w:cs="仿宋"/>
          <w:b/>
          <w:bCs/>
          <w:sz w:val="32"/>
          <w:szCs w:val="40"/>
          <w:lang w:val="en-US" w:eastAsia="zh-CN"/>
        </w:rPr>
      </w:pPr>
      <w:r>
        <w:rPr>
          <w:rFonts w:hint="eastAsia" w:ascii="仿宋" w:hAnsi="仿宋" w:eastAsia="仿宋" w:cs="仿宋"/>
          <w:b/>
          <w:bCs/>
          <w:sz w:val="32"/>
          <w:szCs w:val="40"/>
          <w:lang w:val="en-US" w:eastAsia="zh-CN"/>
        </w:rPr>
        <w:t>事故发生场所</w:t>
      </w:r>
    </w:p>
    <w:p w14:paraId="74B84370">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场所名称：沈阳市浑南区XX生鲜超市</w:t>
      </w:r>
    </w:p>
    <w:p w14:paraId="1F2D0DE1">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场所类型：个体工商户</w:t>
      </w:r>
    </w:p>
    <w:p w14:paraId="71F07366">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经营者：赵X升</w:t>
      </w:r>
    </w:p>
    <w:p w14:paraId="1D5B002D">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统一社会信用代码：922101</w:t>
      </w:r>
      <w:r>
        <w:rPr>
          <w:rFonts w:hint="eastAsia" w:ascii="仿宋" w:hAnsi="仿宋" w:eastAsia="仿宋" w:cs="仿宋"/>
          <w:b w:val="0"/>
          <w:bCs w:val="0"/>
          <w:sz w:val="32"/>
          <w:szCs w:val="40"/>
          <w:lang w:val="en-US" w:eastAsia="zh-CN"/>
        </w:rPr>
        <w:t>XXXX</w:t>
      </w:r>
      <w:r>
        <w:rPr>
          <w:rFonts w:hint="eastAsia" w:ascii="仿宋" w:hAnsi="仿宋" w:eastAsia="仿宋" w:cs="仿宋"/>
          <w:sz w:val="32"/>
          <w:szCs w:val="32"/>
          <w:lang w:val="en-US" w:eastAsia="zh-CN"/>
        </w:rPr>
        <w:t>10PNXXXX</w:t>
      </w:r>
    </w:p>
    <w:p w14:paraId="64B8BEF6">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成立日期：2020年11月12日</w:t>
      </w:r>
    </w:p>
    <w:p w14:paraId="6482A690">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组成形式：个人经营</w:t>
      </w:r>
    </w:p>
    <w:p w14:paraId="69AAF3AC">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经营场所：辽宁省沈阳市东陵区朗日街X号2-9门</w:t>
      </w:r>
    </w:p>
    <w:p w14:paraId="25E57296">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b w:val="0"/>
          <w:bCs w:val="0"/>
          <w:sz w:val="32"/>
          <w:szCs w:val="40"/>
          <w:lang w:val="en-US" w:eastAsia="zh-CN"/>
        </w:rPr>
      </w:pPr>
      <w:r>
        <w:rPr>
          <w:rFonts w:hint="eastAsia" w:ascii="仿宋" w:hAnsi="仿宋" w:eastAsia="仿宋" w:cs="仿宋"/>
          <w:sz w:val="32"/>
          <w:szCs w:val="32"/>
          <w:lang w:val="en-US" w:eastAsia="zh-CN"/>
        </w:rPr>
        <w:t>经营范围：许可项目：食品经营，烟草制品零售，餐饮服务，豆制品制造。一般项目：农副产品销售，日用百货销售，文具用品零售，鲜肉零售，鲜蛋零售，水产品零售新鲜水果零售，新鲜蔬菜零售（除依法须经批准的项目外，凭营业执照依法自主开展经营活动）。</w:t>
      </w:r>
    </w:p>
    <w:p w14:paraId="088C0472">
      <w:pPr>
        <w:keepNext w:val="0"/>
        <w:keepLines w:val="0"/>
        <w:pageBreakBefore w:val="0"/>
        <w:widowControl w:val="0"/>
        <w:numPr>
          <w:ilvl w:val="0"/>
          <w:numId w:val="0"/>
        </w:numPr>
        <w:kinsoku/>
        <w:wordWrap/>
        <w:overflowPunct/>
        <w:topLinePunct w:val="0"/>
        <w:autoSpaceDE/>
        <w:autoSpaceDN/>
        <w:bidi w:val="0"/>
        <w:adjustRightInd/>
        <w:snapToGrid/>
        <w:spacing w:line="579"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（二）相关人员</w:t>
      </w:r>
    </w:p>
    <w:p w14:paraId="3391450C">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1、刘X尧，男，52岁，身份证号：211226</w:t>
      </w:r>
      <w:r>
        <w:rPr>
          <w:rFonts w:hint="eastAsia" w:ascii="仿宋" w:hAnsi="仿宋" w:eastAsia="仿宋" w:cs="仿宋"/>
          <w:b w:val="0"/>
          <w:bCs w:val="0"/>
          <w:sz w:val="32"/>
          <w:szCs w:val="40"/>
          <w:lang w:val="en-US" w:eastAsia="zh-CN"/>
        </w:rPr>
        <w:t>XXXX</w:t>
      </w:r>
      <w:r>
        <w:rPr>
          <w:rFonts w:hint="eastAsia" w:ascii="仿宋" w:hAnsi="仿宋" w:eastAsia="仿宋" w:cs="仿宋"/>
          <w:sz w:val="32"/>
          <w:szCs w:val="32"/>
          <w:lang w:val="en-US" w:eastAsia="zh-CN"/>
        </w:rPr>
        <w:t>0110XXXX，住址：辽宁省法库县叶茂台镇村XX村X组179，沈阳市</w:t>
      </w:r>
      <w:bookmarkStart w:id="0" w:name="_GoBack"/>
      <w:bookmarkEnd w:id="0"/>
      <w:r>
        <w:rPr>
          <w:rFonts w:hint="eastAsia" w:ascii="仿宋" w:hAnsi="仿宋" w:eastAsia="仿宋" w:cs="仿宋"/>
          <w:sz w:val="32"/>
          <w:szCs w:val="32"/>
          <w:lang w:val="en-US" w:eastAsia="zh-CN"/>
        </w:rPr>
        <w:t>浑南区XX生鲜超市员工。（在事故中身亡）</w:t>
      </w:r>
    </w:p>
    <w:p w14:paraId="0FD81D68">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2、赵X升，男，44岁，身份证号：211422</w:t>
      </w:r>
      <w:r>
        <w:rPr>
          <w:rFonts w:hint="eastAsia" w:ascii="仿宋" w:hAnsi="仿宋" w:eastAsia="仿宋" w:cs="仿宋"/>
          <w:b w:val="0"/>
          <w:bCs w:val="0"/>
          <w:sz w:val="32"/>
          <w:szCs w:val="40"/>
          <w:lang w:val="en-US" w:eastAsia="zh-CN"/>
        </w:rPr>
        <w:t>XXXX</w:t>
      </w:r>
      <w:r>
        <w:rPr>
          <w:rFonts w:hint="eastAsia" w:ascii="仿宋" w:hAnsi="仿宋" w:eastAsia="仿宋" w:cs="仿宋"/>
          <w:sz w:val="32"/>
          <w:szCs w:val="32"/>
          <w:lang w:val="en-US" w:eastAsia="zh-CN"/>
        </w:rPr>
        <w:t>0525XXXX，住址：沈阳市和平区XX街XX号3-7-1，沈阳市浑南区XX生鲜超市经营者。</w:t>
      </w:r>
    </w:p>
    <w:p w14:paraId="5C4E929F">
      <w:pPr>
        <w:keepNext w:val="0"/>
        <w:keepLines w:val="0"/>
        <w:pageBreakBefore w:val="0"/>
        <w:widowControl w:val="0"/>
        <w:numPr>
          <w:ilvl w:val="0"/>
          <w:numId w:val="0"/>
        </w:numPr>
        <w:kinsoku/>
        <w:wordWrap/>
        <w:overflowPunct/>
        <w:topLinePunct w:val="0"/>
        <w:autoSpaceDE/>
        <w:autoSpaceDN/>
        <w:bidi w:val="0"/>
        <w:adjustRightInd/>
        <w:snapToGrid/>
        <w:spacing w:line="579" w:lineRule="exact"/>
        <w:ind w:firstLine="643" w:firstLineChars="200"/>
        <w:textAlignment w:val="auto"/>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（三）事故现场勘察情况</w:t>
      </w:r>
    </w:p>
    <w:p w14:paraId="61B93BA4">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1、事发地点位于XX生鲜超市西侧门外液压升降平台井道内（见照片1和照片2）。</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359EA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14:paraId="144B41C6">
            <w:pPr>
              <w:jc w:val="center"/>
            </w:pPr>
            <w:r>
              <w:rPr>
                <w:rFonts w:hint="eastAsia" w:ascii="仿宋" w:hAnsi="仿宋" w:eastAsia="仿宋"/>
                <w:sz w:val="32"/>
                <w:szCs w:val="32"/>
                <w:lang w:eastAsia="zh-CN"/>
              </w:rPr>
              <w:drawing>
                <wp:inline distT="0" distB="0" distL="114300" distR="114300">
                  <wp:extent cx="2531745" cy="1684655"/>
                  <wp:effectExtent l="0" t="0" r="1905" b="10795"/>
                  <wp:docPr id="4" name="图片 3" descr="_DSC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_DSC8705"/>
                          <pic:cNvPicPr>
                            <a:picLocks noChangeAspect="1"/>
                          </pic:cNvPicPr>
                        </pic:nvPicPr>
                        <pic:blipFill>
                          <a:blip r:embed="rId6"/>
                          <a:stretch>
                            <a:fillRect/>
                          </a:stretch>
                        </pic:blipFill>
                        <pic:spPr>
                          <a:xfrm>
                            <a:off x="0" y="0"/>
                            <a:ext cx="2531745" cy="1684655"/>
                          </a:xfrm>
                          <a:prstGeom prst="rect">
                            <a:avLst/>
                          </a:prstGeom>
                          <a:noFill/>
                          <a:ln>
                            <a:noFill/>
                          </a:ln>
                        </pic:spPr>
                      </pic:pic>
                    </a:graphicData>
                  </a:graphic>
                </wp:inline>
              </w:drawing>
            </w:r>
          </w:p>
          <w:p w14:paraId="49091A2B">
            <w:pPr>
              <w:pStyle w:val="3"/>
              <w:jc w:val="center"/>
              <w:rPr>
                <w:rFonts w:hint="eastAsia"/>
                <w:lang w:val="en-US" w:eastAsia="zh-CN"/>
              </w:rPr>
            </w:pPr>
            <w:r>
              <w:t xml:space="preserve">照片 </w:t>
            </w:r>
            <w:r>
              <w:fldChar w:fldCharType="begin"/>
            </w:r>
            <w:r>
              <w:instrText xml:space="preserve"> SEQ 照片 \* ARABIC </w:instrText>
            </w:r>
            <w:r>
              <w:fldChar w:fldCharType="separate"/>
            </w:r>
            <w:r>
              <w:t>1</w:t>
            </w:r>
            <w:r>
              <w:fldChar w:fldCharType="end"/>
            </w:r>
          </w:p>
        </w:tc>
        <w:tc>
          <w:tcPr>
            <w:tcW w:w="4261" w:type="dxa"/>
          </w:tcPr>
          <w:p w14:paraId="66E807BC">
            <w:pPr>
              <w:jc w:val="center"/>
            </w:pPr>
            <w:r>
              <w:drawing>
                <wp:inline distT="0" distB="0" distL="114300" distR="114300">
                  <wp:extent cx="2520315" cy="1684655"/>
                  <wp:effectExtent l="0" t="0" r="13335" b="10795"/>
                  <wp:docPr id="79" name="图片 1" descr="C:/Users/pc/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descr="C:/Users/pc/Desktop/图片2.png图片2"/>
                          <pic:cNvPicPr>
                            <a:picLocks noChangeAspect="1"/>
                          </pic:cNvPicPr>
                        </pic:nvPicPr>
                        <pic:blipFill>
                          <a:blip r:embed="rId7"/>
                          <a:srcRect l="226" r="226"/>
                          <a:stretch>
                            <a:fillRect/>
                          </a:stretch>
                        </pic:blipFill>
                        <pic:spPr>
                          <a:xfrm>
                            <a:off x="0" y="0"/>
                            <a:ext cx="2520315" cy="1684655"/>
                          </a:xfrm>
                          <a:prstGeom prst="rect">
                            <a:avLst/>
                          </a:prstGeom>
                          <a:noFill/>
                          <a:ln>
                            <a:noFill/>
                          </a:ln>
                        </pic:spPr>
                      </pic:pic>
                    </a:graphicData>
                  </a:graphic>
                </wp:inline>
              </w:drawing>
            </w:r>
          </w:p>
          <w:p w14:paraId="4C131B90">
            <w:pPr>
              <w:pStyle w:val="3"/>
              <w:jc w:val="center"/>
              <w:rPr>
                <w:rFonts w:hint="eastAsia" w:ascii="仿宋" w:hAnsi="仿宋" w:eastAsia="仿宋"/>
                <w:sz w:val="32"/>
                <w:szCs w:val="32"/>
                <w:vertAlign w:val="baseline"/>
                <w:lang w:val="en-US" w:eastAsia="zh-CN"/>
              </w:rPr>
            </w:pPr>
            <w:r>
              <w:t xml:space="preserve">照片 </w:t>
            </w:r>
            <w:r>
              <w:fldChar w:fldCharType="begin"/>
            </w:r>
            <w:r>
              <w:instrText xml:space="preserve"> SEQ 照片 \* ARABIC </w:instrText>
            </w:r>
            <w:r>
              <w:fldChar w:fldCharType="separate"/>
            </w:r>
            <w:r>
              <w:t>2</w:t>
            </w:r>
            <w:r>
              <w:fldChar w:fldCharType="end"/>
            </w:r>
            <w:r>
              <w:drawing>
                <wp:anchor distT="0" distB="0" distL="114300" distR="114300" simplePos="0" relativeHeight="251661312" behindDoc="0" locked="0" layoutInCell="1" allowOverlap="1">
                  <wp:simplePos x="0" y="0"/>
                  <wp:positionH relativeFrom="column">
                    <wp:posOffset>3839210</wp:posOffset>
                  </wp:positionH>
                  <wp:positionV relativeFrom="paragraph">
                    <wp:posOffset>981075</wp:posOffset>
                  </wp:positionV>
                  <wp:extent cx="2520315" cy="1684655"/>
                  <wp:effectExtent l="0" t="0" r="13335" b="10795"/>
                  <wp:wrapNone/>
                  <wp:docPr id="78" name="图片 42" descr="_DSC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2" descr="_DSC8511"/>
                          <pic:cNvPicPr>
                            <a:picLocks noChangeAspect="1"/>
                          </pic:cNvPicPr>
                        </pic:nvPicPr>
                        <pic:blipFill>
                          <a:blip r:embed="rId8"/>
                          <a:stretch>
                            <a:fillRect/>
                          </a:stretch>
                        </pic:blipFill>
                        <pic:spPr>
                          <a:xfrm>
                            <a:off x="0" y="0"/>
                            <a:ext cx="2520315" cy="1684655"/>
                          </a:xfrm>
                          <a:prstGeom prst="rect">
                            <a:avLst/>
                          </a:prstGeom>
                          <a:noFill/>
                          <a:ln>
                            <a:noFill/>
                          </a:ln>
                        </pic:spPr>
                      </pic:pic>
                    </a:graphicData>
                  </a:graphic>
                </wp:anchor>
              </w:drawing>
            </w:r>
            <w:r>
              <w:drawing>
                <wp:anchor distT="0" distB="0" distL="114300" distR="114300" simplePos="0" relativeHeight="251660288" behindDoc="0" locked="0" layoutInCell="1" allowOverlap="1">
                  <wp:simplePos x="0" y="0"/>
                  <wp:positionH relativeFrom="column">
                    <wp:posOffset>3991610</wp:posOffset>
                  </wp:positionH>
                  <wp:positionV relativeFrom="paragraph">
                    <wp:posOffset>1133475</wp:posOffset>
                  </wp:positionV>
                  <wp:extent cx="2700655" cy="1805305"/>
                  <wp:effectExtent l="0" t="0" r="4445" b="4445"/>
                  <wp:wrapNone/>
                  <wp:docPr id="77" name="图片 41" descr="_DSC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1" descr="_DSC8511"/>
                          <pic:cNvPicPr>
                            <a:picLocks noChangeAspect="1"/>
                          </pic:cNvPicPr>
                        </pic:nvPicPr>
                        <pic:blipFill>
                          <a:blip r:embed="rId8"/>
                          <a:stretch>
                            <a:fillRect/>
                          </a:stretch>
                        </pic:blipFill>
                        <pic:spPr>
                          <a:xfrm>
                            <a:off x="0" y="0"/>
                            <a:ext cx="2700655" cy="1805305"/>
                          </a:xfrm>
                          <a:prstGeom prst="rect">
                            <a:avLst/>
                          </a:prstGeom>
                          <a:noFill/>
                          <a:ln>
                            <a:noFill/>
                          </a:ln>
                        </pic:spPr>
                      </pic:pic>
                    </a:graphicData>
                  </a:graphic>
                </wp:anchor>
              </w:drawing>
            </w:r>
            <w:r>
              <w:drawing>
                <wp:anchor distT="0" distB="0" distL="114300" distR="114300" simplePos="0" relativeHeight="251659264" behindDoc="0" locked="0" layoutInCell="1" allowOverlap="1">
                  <wp:simplePos x="0" y="0"/>
                  <wp:positionH relativeFrom="column">
                    <wp:posOffset>3839210</wp:posOffset>
                  </wp:positionH>
                  <wp:positionV relativeFrom="paragraph">
                    <wp:posOffset>981075</wp:posOffset>
                  </wp:positionV>
                  <wp:extent cx="2700655" cy="1805305"/>
                  <wp:effectExtent l="0" t="0" r="4445" b="4445"/>
                  <wp:wrapNone/>
                  <wp:docPr id="76" name="图片 40" descr="_DSC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0" descr="_DSC8511"/>
                          <pic:cNvPicPr>
                            <a:picLocks noChangeAspect="1"/>
                          </pic:cNvPicPr>
                        </pic:nvPicPr>
                        <pic:blipFill>
                          <a:blip r:embed="rId8"/>
                          <a:stretch>
                            <a:fillRect/>
                          </a:stretch>
                        </pic:blipFill>
                        <pic:spPr>
                          <a:xfrm>
                            <a:off x="0" y="0"/>
                            <a:ext cx="2700655" cy="1805305"/>
                          </a:xfrm>
                          <a:prstGeom prst="rect">
                            <a:avLst/>
                          </a:prstGeom>
                          <a:noFill/>
                          <a:ln>
                            <a:noFill/>
                          </a:ln>
                        </pic:spPr>
                      </pic:pic>
                    </a:graphicData>
                  </a:graphic>
                </wp:anchor>
              </w:drawing>
            </w:r>
          </w:p>
        </w:tc>
      </w:tr>
    </w:tbl>
    <w:p w14:paraId="32F32543">
      <w:pPr>
        <w:numPr>
          <w:ilvl w:val="0"/>
          <w:numId w:val="2"/>
        </w:numPr>
        <w:ind w:firstLine="646" w:firstLineChars="202"/>
        <w:rPr>
          <w:rFonts w:hint="eastAsia" w:ascii="仿宋" w:hAnsi="仿宋" w:eastAsia="仿宋"/>
          <w:sz w:val="32"/>
          <w:szCs w:val="32"/>
        </w:rPr>
      </w:pPr>
      <w:r>
        <w:rPr>
          <w:rFonts w:hint="eastAsia" w:ascii="仿宋" w:hAnsi="仿宋" w:eastAsia="仿宋"/>
          <w:sz w:val="32"/>
          <w:szCs w:val="32"/>
          <w:lang w:val="en-US" w:eastAsia="zh-CN"/>
        </w:rPr>
        <w:t>液压升降平台井道底部地面可见两处血迹</w:t>
      </w:r>
      <w:r>
        <w:rPr>
          <w:rStyle w:val="12"/>
          <w:rFonts w:hint="eastAsia" w:ascii="仿宋" w:hAnsi="仿宋" w:eastAsia="仿宋"/>
          <w:sz w:val="32"/>
          <w:szCs w:val="32"/>
        </w:rPr>
        <w:t>（见照片</w:t>
      </w:r>
      <w:r>
        <w:rPr>
          <w:rStyle w:val="12"/>
          <w:rFonts w:hint="eastAsia" w:ascii="仿宋" w:hAnsi="仿宋" w:eastAsia="仿宋"/>
          <w:sz w:val="32"/>
          <w:szCs w:val="32"/>
          <w:lang w:val="en-US" w:eastAsia="zh-CN"/>
        </w:rPr>
        <w:t>3</w:t>
      </w:r>
      <w:r>
        <w:rPr>
          <w:rStyle w:val="12"/>
          <w:rFonts w:hint="eastAsia" w:ascii="仿宋" w:hAnsi="仿宋" w:eastAsia="仿宋"/>
          <w:sz w:val="32"/>
          <w:szCs w:val="32"/>
        </w:rPr>
        <w:t>）</w:t>
      </w:r>
      <w:r>
        <w:rPr>
          <w:rStyle w:val="12"/>
          <w:rFonts w:hint="eastAsia" w:ascii="仿宋" w:hAnsi="仿宋" w:eastAsia="仿宋"/>
          <w:sz w:val="32"/>
          <w:szCs w:val="32"/>
          <w:lang w:eastAsia="zh-CN"/>
        </w:rPr>
        <w:t>，</w:t>
      </w:r>
      <w:r>
        <w:rPr>
          <w:rStyle w:val="12"/>
          <w:rFonts w:hint="eastAsia" w:ascii="仿宋" w:hAnsi="仿宋" w:eastAsia="仿宋"/>
          <w:sz w:val="32"/>
          <w:szCs w:val="32"/>
          <w:lang w:val="en-US" w:eastAsia="zh-CN"/>
        </w:rPr>
        <w:t>血迹呈流淌状</w:t>
      </w:r>
      <w:r>
        <w:rPr>
          <w:rFonts w:hint="eastAsia" w:ascii="仿宋" w:hAnsi="仿宋" w:eastAsia="仿宋"/>
          <w:sz w:val="32"/>
          <w:szCs w:val="32"/>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0212D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nil"/>
              <w:left w:val="nil"/>
              <w:bottom w:val="nil"/>
              <w:right w:val="nil"/>
            </w:tcBorders>
          </w:tcPr>
          <w:p w14:paraId="3A3F2BFA">
            <w:pPr>
              <w:widowControl w:val="0"/>
              <w:numPr>
                <w:ilvl w:val="0"/>
                <w:numId w:val="0"/>
              </w:numPr>
              <w:jc w:val="center"/>
            </w:pPr>
            <w:r>
              <w:drawing>
                <wp:inline distT="0" distB="0" distL="114300" distR="114300">
                  <wp:extent cx="2520315" cy="1675130"/>
                  <wp:effectExtent l="0" t="0" r="13335" b="1270"/>
                  <wp:docPr id="80" name="图片 2" descr="C:/Users/pc/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descr="C:/Users/pc/Desktop/图片3.png图片3"/>
                          <pic:cNvPicPr>
                            <a:picLocks noChangeAspect="1"/>
                          </pic:cNvPicPr>
                        </pic:nvPicPr>
                        <pic:blipFill>
                          <a:blip r:embed="rId9"/>
                          <a:srcRect t="63" b="63"/>
                          <a:stretch>
                            <a:fillRect/>
                          </a:stretch>
                        </pic:blipFill>
                        <pic:spPr>
                          <a:xfrm>
                            <a:off x="0" y="0"/>
                            <a:ext cx="2520315" cy="1675130"/>
                          </a:xfrm>
                          <a:prstGeom prst="rect">
                            <a:avLst/>
                          </a:prstGeom>
                          <a:noFill/>
                          <a:ln>
                            <a:noFill/>
                          </a:ln>
                        </pic:spPr>
                      </pic:pic>
                    </a:graphicData>
                  </a:graphic>
                </wp:inline>
              </w:drawing>
            </w:r>
          </w:p>
          <w:p w14:paraId="17C77F0F">
            <w:pPr>
              <w:pStyle w:val="3"/>
              <w:widowControl w:val="0"/>
              <w:numPr>
                <w:ilvl w:val="0"/>
                <w:numId w:val="0"/>
              </w:numPr>
              <w:jc w:val="center"/>
              <w:rPr>
                <w:rFonts w:hint="eastAsia"/>
              </w:rPr>
            </w:pPr>
            <w:r>
              <w:t xml:space="preserve">照片 </w:t>
            </w:r>
            <w:r>
              <w:fldChar w:fldCharType="begin"/>
            </w:r>
            <w:r>
              <w:instrText xml:space="preserve"> SEQ 照片 \* ARABIC </w:instrText>
            </w:r>
            <w:r>
              <w:fldChar w:fldCharType="separate"/>
            </w:r>
            <w:r>
              <w:t>3</w:t>
            </w:r>
            <w:r>
              <w:fldChar w:fldCharType="end"/>
            </w:r>
          </w:p>
        </w:tc>
        <w:tc>
          <w:tcPr>
            <w:tcW w:w="4261" w:type="dxa"/>
            <w:tcBorders>
              <w:top w:val="nil"/>
              <w:left w:val="nil"/>
              <w:bottom w:val="nil"/>
              <w:right w:val="nil"/>
            </w:tcBorders>
          </w:tcPr>
          <w:p w14:paraId="757A4944">
            <w:pPr>
              <w:widowControl w:val="0"/>
              <w:numPr>
                <w:ilvl w:val="0"/>
                <w:numId w:val="0"/>
              </w:numPr>
              <w:jc w:val="center"/>
            </w:pPr>
            <w:r>
              <w:drawing>
                <wp:inline distT="0" distB="0" distL="114300" distR="114300">
                  <wp:extent cx="2520315" cy="1704340"/>
                  <wp:effectExtent l="0" t="0" r="13335" b="10160"/>
                  <wp:docPr id="81" name="图片 3" descr="C:/Users/pc/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descr="C:/Users/pc/Desktop/图片4.png图片4"/>
                          <pic:cNvPicPr>
                            <a:picLocks noChangeAspect="1"/>
                          </pic:cNvPicPr>
                        </pic:nvPicPr>
                        <pic:blipFill>
                          <a:blip r:embed="rId10"/>
                          <a:srcRect l="801" r="801"/>
                          <a:stretch>
                            <a:fillRect/>
                          </a:stretch>
                        </pic:blipFill>
                        <pic:spPr>
                          <a:xfrm>
                            <a:off x="0" y="0"/>
                            <a:ext cx="2520315" cy="1704340"/>
                          </a:xfrm>
                          <a:prstGeom prst="rect">
                            <a:avLst/>
                          </a:prstGeom>
                          <a:noFill/>
                          <a:ln>
                            <a:noFill/>
                          </a:ln>
                        </pic:spPr>
                      </pic:pic>
                    </a:graphicData>
                  </a:graphic>
                </wp:inline>
              </w:drawing>
            </w:r>
          </w:p>
          <w:p w14:paraId="78B07035">
            <w:pPr>
              <w:pStyle w:val="3"/>
              <w:widowControl w:val="0"/>
              <w:numPr>
                <w:ilvl w:val="0"/>
                <w:numId w:val="0"/>
              </w:numPr>
              <w:jc w:val="center"/>
              <w:rPr>
                <w:rFonts w:hint="eastAsia"/>
              </w:rPr>
            </w:pPr>
            <w:r>
              <w:t xml:space="preserve">照片 </w:t>
            </w:r>
            <w:r>
              <w:fldChar w:fldCharType="begin"/>
            </w:r>
            <w:r>
              <w:instrText xml:space="preserve"> SEQ 照片 \* ARABIC </w:instrText>
            </w:r>
            <w:r>
              <w:fldChar w:fldCharType="separate"/>
            </w:r>
            <w:r>
              <w:t>4</w:t>
            </w:r>
            <w:r>
              <w:fldChar w:fldCharType="end"/>
            </w:r>
          </w:p>
        </w:tc>
      </w:tr>
      <w:tr w14:paraId="79DB1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nil"/>
              <w:left w:val="nil"/>
              <w:bottom w:val="nil"/>
              <w:right w:val="nil"/>
            </w:tcBorders>
          </w:tcPr>
          <w:p w14:paraId="560A5951">
            <w:pPr>
              <w:widowControl w:val="0"/>
              <w:numPr>
                <w:ilvl w:val="0"/>
                <w:numId w:val="0"/>
              </w:numPr>
              <w:jc w:val="center"/>
            </w:pPr>
            <w:r>
              <w:drawing>
                <wp:inline distT="0" distB="0" distL="114300" distR="114300">
                  <wp:extent cx="2520315" cy="1684655"/>
                  <wp:effectExtent l="0" t="0" r="13335" b="10795"/>
                  <wp:docPr id="84" name="图片 4" descr="C:/Users/pc/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descr="C:/Users/pc/Desktop/图片5.png图片5"/>
                          <pic:cNvPicPr>
                            <a:picLocks noChangeAspect="1"/>
                          </pic:cNvPicPr>
                        </pic:nvPicPr>
                        <pic:blipFill>
                          <a:blip r:embed="rId11"/>
                          <a:srcRect l="226" r="226"/>
                          <a:stretch>
                            <a:fillRect/>
                          </a:stretch>
                        </pic:blipFill>
                        <pic:spPr>
                          <a:xfrm>
                            <a:off x="0" y="0"/>
                            <a:ext cx="2520315" cy="1684655"/>
                          </a:xfrm>
                          <a:prstGeom prst="rect">
                            <a:avLst/>
                          </a:prstGeom>
                          <a:noFill/>
                          <a:ln>
                            <a:noFill/>
                          </a:ln>
                        </pic:spPr>
                      </pic:pic>
                    </a:graphicData>
                  </a:graphic>
                </wp:inline>
              </w:drawing>
            </w:r>
          </w:p>
          <w:p w14:paraId="7D20886F">
            <w:pPr>
              <w:pStyle w:val="3"/>
              <w:widowControl w:val="0"/>
              <w:numPr>
                <w:ilvl w:val="0"/>
                <w:numId w:val="0"/>
              </w:numPr>
              <w:jc w:val="center"/>
              <w:rPr>
                <w:rFonts w:hint="eastAsia" w:ascii="仿宋" w:hAnsi="仿宋" w:eastAsia="仿宋"/>
                <w:sz w:val="32"/>
                <w:szCs w:val="32"/>
                <w:vertAlign w:val="baseline"/>
              </w:rPr>
            </w:pPr>
            <w:r>
              <w:t xml:space="preserve">照片 </w:t>
            </w:r>
            <w:r>
              <w:fldChar w:fldCharType="begin"/>
            </w:r>
            <w:r>
              <w:instrText xml:space="preserve"> SEQ 照片 \* ARABIC </w:instrText>
            </w:r>
            <w:r>
              <w:fldChar w:fldCharType="separate"/>
            </w:r>
            <w:r>
              <w:t>5</w:t>
            </w:r>
            <w:r>
              <w:fldChar w:fldCharType="end"/>
            </w:r>
          </w:p>
        </w:tc>
        <w:tc>
          <w:tcPr>
            <w:tcW w:w="4261" w:type="dxa"/>
            <w:tcBorders>
              <w:top w:val="nil"/>
              <w:left w:val="nil"/>
              <w:bottom w:val="nil"/>
              <w:right w:val="nil"/>
            </w:tcBorders>
          </w:tcPr>
          <w:p w14:paraId="14B9861D">
            <w:pPr>
              <w:widowControl w:val="0"/>
              <w:numPr>
                <w:ilvl w:val="0"/>
                <w:numId w:val="0"/>
              </w:numPr>
              <w:jc w:val="center"/>
            </w:pPr>
            <w:r>
              <w:drawing>
                <wp:inline distT="0" distB="0" distL="114300" distR="114300">
                  <wp:extent cx="2520315" cy="1684655"/>
                  <wp:effectExtent l="0" t="0" r="13335" b="10795"/>
                  <wp:docPr id="86" name="图片 5" descr="C:/Users/pc/Desktop/图片6.png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descr="C:/Users/pc/Desktop/图片6.png图片6"/>
                          <pic:cNvPicPr>
                            <a:picLocks noChangeAspect="1"/>
                          </pic:cNvPicPr>
                        </pic:nvPicPr>
                        <pic:blipFill>
                          <a:blip r:embed="rId12"/>
                          <a:srcRect l="226" r="226"/>
                          <a:stretch>
                            <a:fillRect/>
                          </a:stretch>
                        </pic:blipFill>
                        <pic:spPr>
                          <a:xfrm>
                            <a:off x="0" y="0"/>
                            <a:ext cx="2520315" cy="1684655"/>
                          </a:xfrm>
                          <a:prstGeom prst="rect">
                            <a:avLst/>
                          </a:prstGeom>
                          <a:noFill/>
                          <a:ln>
                            <a:noFill/>
                          </a:ln>
                        </pic:spPr>
                      </pic:pic>
                    </a:graphicData>
                  </a:graphic>
                </wp:inline>
              </w:drawing>
            </w:r>
          </w:p>
          <w:p w14:paraId="21729A4A">
            <w:pPr>
              <w:pStyle w:val="3"/>
              <w:widowControl w:val="0"/>
              <w:numPr>
                <w:ilvl w:val="0"/>
                <w:numId w:val="0"/>
              </w:numPr>
              <w:jc w:val="center"/>
              <w:rPr>
                <w:rFonts w:hint="eastAsia"/>
              </w:rPr>
            </w:pPr>
            <w:r>
              <w:t xml:space="preserve">照片 </w:t>
            </w:r>
            <w:r>
              <w:fldChar w:fldCharType="begin"/>
            </w:r>
            <w:r>
              <w:instrText xml:space="preserve"> SEQ 照片 \* ARABIC </w:instrText>
            </w:r>
            <w:r>
              <w:fldChar w:fldCharType="separate"/>
            </w:r>
            <w:r>
              <w:t>6</w:t>
            </w:r>
            <w:r>
              <w:fldChar w:fldCharType="end"/>
            </w:r>
          </w:p>
        </w:tc>
      </w:tr>
      <w:tr w14:paraId="41641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Borders>
              <w:top w:val="nil"/>
              <w:left w:val="nil"/>
              <w:bottom w:val="nil"/>
              <w:right w:val="nil"/>
            </w:tcBorders>
          </w:tcPr>
          <w:p w14:paraId="51E7A464">
            <w:pPr>
              <w:widowControl w:val="0"/>
              <w:numPr>
                <w:ilvl w:val="0"/>
                <w:numId w:val="0"/>
              </w:numPr>
              <w:jc w:val="center"/>
            </w:pPr>
            <w:r>
              <w:drawing>
                <wp:inline distT="0" distB="0" distL="114300" distR="114300">
                  <wp:extent cx="2520315" cy="1684655"/>
                  <wp:effectExtent l="0" t="0" r="13335" b="10795"/>
                  <wp:docPr id="87" name="图片 6" descr="C:/Users/pc/Desktop/图片7.png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descr="C:/Users/pc/Desktop/图片7.png图片7"/>
                          <pic:cNvPicPr>
                            <a:picLocks noChangeAspect="1"/>
                          </pic:cNvPicPr>
                        </pic:nvPicPr>
                        <pic:blipFill>
                          <a:blip r:embed="rId13"/>
                          <a:srcRect l="226" r="226"/>
                          <a:stretch>
                            <a:fillRect/>
                          </a:stretch>
                        </pic:blipFill>
                        <pic:spPr>
                          <a:xfrm>
                            <a:off x="0" y="0"/>
                            <a:ext cx="2520315" cy="1684655"/>
                          </a:xfrm>
                          <a:prstGeom prst="rect">
                            <a:avLst/>
                          </a:prstGeom>
                          <a:noFill/>
                          <a:ln>
                            <a:noFill/>
                          </a:ln>
                        </pic:spPr>
                      </pic:pic>
                    </a:graphicData>
                  </a:graphic>
                </wp:inline>
              </w:drawing>
            </w:r>
          </w:p>
          <w:p w14:paraId="2D95BC8C">
            <w:pPr>
              <w:pStyle w:val="3"/>
              <w:widowControl w:val="0"/>
              <w:numPr>
                <w:ilvl w:val="0"/>
                <w:numId w:val="0"/>
              </w:numPr>
              <w:jc w:val="center"/>
              <w:rPr>
                <w:rFonts w:hint="eastAsia"/>
              </w:rPr>
            </w:pPr>
            <w:r>
              <w:t xml:space="preserve">照片 </w:t>
            </w:r>
            <w:r>
              <w:fldChar w:fldCharType="begin"/>
            </w:r>
            <w:r>
              <w:instrText xml:space="preserve"> SEQ 照片 \* ARABIC </w:instrText>
            </w:r>
            <w:r>
              <w:fldChar w:fldCharType="separate"/>
            </w:r>
            <w:r>
              <w:t>7</w:t>
            </w:r>
            <w:r>
              <w:fldChar w:fldCharType="end"/>
            </w:r>
          </w:p>
        </w:tc>
        <w:tc>
          <w:tcPr>
            <w:tcW w:w="4261" w:type="dxa"/>
            <w:tcBorders>
              <w:top w:val="nil"/>
              <w:left w:val="nil"/>
              <w:bottom w:val="nil"/>
              <w:right w:val="nil"/>
            </w:tcBorders>
          </w:tcPr>
          <w:p w14:paraId="11F9E986">
            <w:pPr>
              <w:widowControl w:val="0"/>
              <w:numPr>
                <w:ilvl w:val="0"/>
                <w:numId w:val="0"/>
              </w:numPr>
              <w:jc w:val="both"/>
            </w:pPr>
            <w:r>
              <w:rPr>
                <w:sz w:val="21"/>
              </w:rPr>
              <w:drawing>
                <wp:inline distT="0" distB="0" distL="114300" distR="114300">
                  <wp:extent cx="2520315" cy="1684655"/>
                  <wp:effectExtent l="0" t="0" r="13335" b="10795"/>
                  <wp:docPr id="88" name="图片 47" descr="C:/Users/pc/Desktop/图片8.png图片8"/>
                  <wp:cNvGraphicFramePr/>
                  <a:graphic xmlns:a="http://schemas.openxmlformats.org/drawingml/2006/main">
                    <a:graphicData uri="http://schemas.openxmlformats.org/drawingml/2006/picture">
                      <pic:pic xmlns:pic="http://schemas.openxmlformats.org/drawingml/2006/picture">
                        <pic:nvPicPr>
                          <pic:cNvPr id="88" name="图片 47" descr="C:/Users/pc/Desktop/图片8.png图片8"/>
                          <pic:cNvPicPr/>
                        </pic:nvPicPr>
                        <pic:blipFill>
                          <a:blip r:embed="rId14"/>
                          <a:srcRect l="226" r="226"/>
                          <a:stretch>
                            <a:fillRect/>
                          </a:stretch>
                        </pic:blipFill>
                        <pic:spPr>
                          <a:xfrm>
                            <a:off x="3848735" y="5718175"/>
                            <a:ext cx="2520315" cy="1684655"/>
                          </a:xfrm>
                          <a:prstGeom prst="rect">
                            <a:avLst/>
                          </a:prstGeom>
                          <a:noFill/>
                          <a:ln>
                            <a:noFill/>
                          </a:ln>
                        </pic:spPr>
                      </pic:pic>
                    </a:graphicData>
                  </a:graphic>
                </wp:inline>
              </w:drawing>
            </w:r>
          </w:p>
          <w:p w14:paraId="75CBE2DB">
            <w:pPr>
              <w:pStyle w:val="3"/>
              <w:widowControl w:val="0"/>
              <w:numPr>
                <w:ilvl w:val="0"/>
                <w:numId w:val="0"/>
              </w:numPr>
              <w:jc w:val="center"/>
              <w:rPr>
                <w:rFonts w:hint="eastAsia"/>
              </w:rPr>
            </w:pPr>
            <w:r>
              <w:t xml:space="preserve">照片 </w:t>
            </w:r>
            <w:r>
              <w:fldChar w:fldCharType="begin"/>
            </w:r>
            <w:r>
              <w:instrText xml:space="preserve"> SEQ 照片 \* ARABIC </w:instrText>
            </w:r>
            <w:r>
              <w:fldChar w:fldCharType="separate"/>
            </w:r>
            <w:r>
              <w:t>8</w:t>
            </w:r>
            <w:r>
              <w:fldChar w:fldCharType="end"/>
            </w:r>
          </w:p>
        </w:tc>
      </w:tr>
    </w:tbl>
    <w:p w14:paraId="5892E479">
      <w:pPr>
        <w:numPr>
          <w:ilvl w:val="0"/>
          <w:numId w:val="2"/>
        </w:numPr>
        <w:ind w:firstLine="646" w:firstLineChars="202"/>
        <w:rPr>
          <w:rFonts w:hint="eastAsia" w:ascii="仿宋" w:hAnsi="仿宋" w:eastAsia="仿宋"/>
          <w:sz w:val="32"/>
          <w:szCs w:val="32"/>
          <w:lang w:val="en-US" w:eastAsia="zh-CN"/>
        </w:rPr>
      </w:pPr>
      <w:r>
        <w:rPr>
          <w:rFonts w:hint="eastAsia" w:ascii="仿宋" w:hAnsi="仿宋" w:eastAsia="仿宋"/>
          <w:sz w:val="32"/>
          <w:szCs w:val="32"/>
          <w:lang w:val="en-US" w:eastAsia="zh-CN"/>
        </w:rPr>
        <w:t>血迹上方为液压升降平台的托盘。托盘下表面附有灰尘，血迹上方对应处见灰尘减层（见照片3）。</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80"/>
        <w:gridCol w:w="4242"/>
      </w:tblGrid>
      <w:tr w14:paraId="35AD3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80" w:type="dxa"/>
          </w:tcPr>
          <w:p w14:paraId="010CDFF0">
            <w:pPr>
              <w:numPr>
                <w:ilvl w:val="0"/>
                <w:numId w:val="0"/>
              </w:numPr>
              <w:jc w:val="center"/>
            </w:pPr>
            <w:r>
              <w:drawing>
                <wp:inline distT="0" distB="0" distL="114300" distR="114300">
                  <wp:extent cx="2520315" cy="1684655"/>
                  <wp:effectExtent l="0" t="0" r="13335" b="10795"/>
                  <wp:docPr id="93" name="图片 7" descr="C:/Users/pc/Desktop/图片9.png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descr="C:/Users/pc/Desktop/图片9.png图片9"/>
                          <pic:cNvPicPr>
                            <a:picLocks noChangeAspect="1"/>
                          </pic:cNvPicPr>
                        </pic:nvPicPr>
                        <pic:blipFill>
                          <a:blip r:embed="rId15"/>
                          <a:srcRect l="226" r="226"/>
                          <a:stretch>
                            <a:fillRect/>
                          </a:stretch>
                        </pic:blipFill>
                        <pic:spPr>
                          <a:xfrm>
                            <a:off x="0" y="0"/>
                            <a:ext cx="2520315" cy="1684655"/>
                          </a:xfrm>
                          <a:prstGeom prst="rect">
                            <a:avLst/>
                          </a:prstGeom>
                          <a:noFill/>
                          <a:ln>
                            <a:noFill/>
                          </a:ln>
                        </pic:spPr>
                      </pic:pic>
                    </a:graphicData>
                  </a:graphic>
                </wp:inline>
              </w:drawing>
            </w:r>
          </w:p>
          <w:p w14:paraId="1CDD9A43">
            <w:pPr>
              <w:pStyle w:val="3"/>
              <w:numPr>
                <w:ilvl w:val="0"/>
                <w:numId w:val="0"/>
              </w:numPr>
              <w:jc w:val="center"/>
              <w:rPr>
                <w:rFonts w:hint="eastAsia"/>
              </w:rPr>
            </w:pPr>
            <w:r>
              <w:t xml:space="preserve">照片 </w:t>
            </w:r>
            <w:r>
              <w:fldChar w:fldCharType="begin"/>
            </w:r>
            <w:r>
              <w:instrText xml:space="preserve"> SEQ 照片 \* ARABIC </w:instrText>
            </w:r>
            <w:r>
              <w:fldChar w:fldCharType="separate"/>
            </w:r>
            <w:r>
              <w:t>9</w:t>
            </w:r>
            <w:r>
              <w:fldChar w:fldCharType="end"/>
            </w:r>
          </w:p>
        </w:tc>
        <w:tc>
          <w:tcPr>
            <w:tcW w:w="4242" w:type="dxa"/>
          </w:tcPr>
          <w:p w14:paraId="505B1DB2">
            <w:pPr>
              <w:numPr>
                <w:ilvl w:val="0"/>
                <w:numId w:val="0"/>
              </w:numPr>
              <w:jc w:val="center"/>
              <w:rPr>
                <w:rFonts w:hint="eastAsia" w:ascii="仿宋" w:hAnsi="仿宋" w:eastAsia="仿宋"/>
                <w:sz w:val="32"/>
                <w:szCs w:val="32"/>
              </w:rPr>
            </w:pPr>
            <w:r>
              <w:rPr>
                <w:rFonts w:hint="eastAsia" w:ascii="仿宋" w:hAnsi="仿宋" w:eastAsia="仿宋"/>
                <w:sz w:val="32"/>
                <w:szCs w:val="32"/>
              </w:rPr>
              <w:drawing>
                <wp:inline distT="0" distB="0" distL="114300" distR="114300">
                  <wp:extent cx="2520315" cy="1684655"/>
                  <wp:effectExtent l="0" t="0" r="13335" b="10795"/>
                  <wp:docPr id="94" name="图片 8" descr="C:/Users/pc/Desktop/图片10.png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descr="C:/Users/pc/Desktop/图片10.png图片10"/>
                          <pic:cNvPicPr>
                            <a:picLocks noChangeAspect="1"/>
                          </pic:cNvPicPr>
                        </pic:nvPicPr>
                        <pic:blipFill>
                          <a:blip r:embed="rId16"/>
                          <a:srcRect l="226" r="226"/>
                          <a:stretch>
                            <a:fillRect/>
                          </a:stretch>
                        </pic:blipFill>
                        <pic:spPr>
                          <a:xfrm>
                            <a:off x="0" y="0"/>
                            <a:ext cx="2520315" cy="1684655"/>
                          </a:xfrm>
                          <a:prstGeom prst="rect">
                            <a:avLst/>
                          </a:prstGeom>
                          <a:noFill/>
                          <a:ln>
                            <a:noFill/>
                          </a:ln>
                        </pic:spPr>
                      </pic:pic>
                    </a:graphicData>
                  </a:graphic>
                </wp:inline>
              </w:drawing>
            </w:r>
          </w:p>
          <w:p w14:paraId="5E62D763">
            <w:pPr>
              <w:pStyle w:val="3"/>
              <w:numPr>
                <w:ilvl w:val="0"/>
                <w:numId w:val="0"/>
              </w:numPr>
              <w:jc w:val="center"/>
              <w:rPr>
                <w:rFonts w:hint="eastAsia" w:ascii="仿宋" w:hAnsi="仿宋" w:eastAsia="仿宋"/>
                <w:sz w:val="32"/>
                <w:szCs w:val="32"/>
              </w:rPr>
            </w:pPr>
            <w:r>
              <w:t xml:space="preserve">照片 </w:t>
            </w:r>
            <w:r>
              <w:fldChar w:fldCharType="begin"/>
            </w:r>
            <w:r>
              <w:instrText xml:space="preserve"> SEQ 照片 \* ARABIC </w:instrText>
            </w:r>
            <w:r>
              <w:fldChar w:fldCharType="separate"/>
            </w:r>
            <w:r>
              <w:t>10</w:t>
            </w:r>
            <w:r>
              <w:fldChar w:fldCharType="end"/>
            </w:r>
          </w:p>
        </w:tc>
      </w:tr>
      <w:tr w14:paraId="3767E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80" w:type="dxa"/>
          </w:tcPr>
          <w:p w14:paraId="01708275">
            <w:pPr>
              <w:numPr>
                <w:ilvl w:val="0"/>
                <w:numId w:val="0"/>
              </w:numPr>
              <w:jc w:val="center"/>
            </w:pPr>
            <w:r>
              <w:drawing>
                <wp:inline distT="0" distB="0" distL="114300" distR="114300">
                  <wp:extent cx="2520315" cy="1684655"/>
                  <wp:effectExtent l="0" t="0" r="13335" b="10795"/>
                  <wp:docPr id="95" name="图片 9" descr="C:/Users/pc/Desktop/图片11.png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 descr="C:/Users/pc/Desktop/图片11.png图片11"/>
                          <pic:cNvPicPr>
                            <a:picLocks noChangeAspect="1"/>
                          </pic:cNvPicPr>
                        </pic:nvPicPr>
                        <pic:blipFill>
                          <a:blip r:embed="rId17"/>
                          <a:srcRect l="226" r="226"/>
                          <a:stretch>
                            <a:fillRect/>
                          </a:stretch>
                        </pic:blipFill>
                        <pic:spPr>
                          <a:xfrm>
                            <a:off x="0" y="0"/>
                            <a:ext cx="2520315" cy="1684655"/>
                          </a:xfrm>
                          <a:prstGeom prst="rect">
                            <a:avLst/>
                          </a:prstGeom>
                          <a:noFill/>
                          <a:ln>
                            <a:noFill/>
                          </a:ln>
                        </pic:spPr>
                      </pic:pic>
                    </a:graphicData>
                  </a:graphic>
                </wp:inline>
              </w:drawing>
            </w:r>
          </w:p>
          <w:p w14:paraId="6B74F20A">
            <w:pPr>
              <w:pStyle w:val="3"/>
              <w:numPr>
                <w:ilvl w:val="0"/>
                <w:numId w:val="0"/>
              </w:numPr>
              <w:jc w:val="center"/>
              <w:rPr>
                <w:rFonts w:hint="eastAsia"/>
              </w:rPr>
            </w:pPr>
            <w:r>
              <w:t xml:space="preserve">照片 </w:t>
            </w:r>
            <w:r>
              <w:fldChar w:fldCharType="begin"/>
            </w:r>
            <w:r>
              <w:instrText xml:space="preserve"> SEQ 照片 \* ARABIC </w:instrText>
            </w:r>
            <w:r>
              <w:fldChar w:fldCharType="separate"/>
            </w:r>
            <w:r>
              <w:t>11</w:t>
            </w:r>
            <w:r>
              <w:fldChar w:fldCharType="end"/>
            </w:r>
          </w:p>
        </w:tc>
        <w:tc>
          <w:tcPr>
            <w:tcW w:w="4242" w:type="dxa"/>
          </w:tcPr>
          <w:p w14:paraId="628E27DD">
            <w:pPr>
              <w:numPr>
                <w:ilvl w:val="0"/>
                <w:numId w:val="0"/>
              </w:numPr>
              <w:jc w:val="center"/>
            </w:pPr>
            <w:r>
              <w:rPr>
                <w:sz w:val="21"/>
              </w:rPr>
              <w:drawing>
                <wp:inline distT="0" distB="0" distL="114300" distR="114300">
                  <wp:extent cx="2520315" cy="1684655"/>
                  <wp:effectExtent l="0" t="0" r="13335" b="10795"/>
                  <wp:docPr id="96" name="图片 51" descr="C:/Users/pc/Desktop/图片12.png图片12"/>
                  <wp:cNvGraphicFramePr/>
                  <a:graphic xmlns:a="http://schemas.openxmlformats.org/drawingml/2006/main">
                    <a:graphicData uri="http://schemas.openxmlformats.org/drawingml/2006/picture">
                      <pic:pic xmlns:pic="http://schemas.openxmlformats.org/drawingml/2006/picture">
                        <pic:nvPicPr>
                          <pic:cNvPr id="96" name="图片 51" descr="C:/Users/pc/Desktop/图片12.png图片12"/>
                          <pic:cNvPicPr/>
                        </pic:nvPicPr>
                        <pic:blipFill>
                          <a:blip r:embed="rId18"/>
                          <a:srcRect l="226" r="226"/>
                          <a:stretch>
                            <a:fillRect/>
                          </a:stretch>
                        </pic:blipFill>
                        <pic:spPr>
                          <a:xfrm>
                            <a:off x="3866515" y="3723005"/>
                            <a:ext cx="2520315" cy="1684655"/>
                          </a:xfrm>
                          <a:prstGeom prst="rect">
                            <a:avLst/>
                          </a:prstGeom>
                          <a:noFill/>
                          <a:ln>
                            <a:noFill/>
                          </a:ln>
                        </pic:spPr>
                      </pic:pic>
                    </a:graphicData>
                  </a:graphic>
                </wp:inline>
              </w:drawing>
            </w:r>
          </w:p>
          <w:p w14:paraId="1A0E558B">
            <w:pPr>
              <w:pStyle w:val="3"/>
              <w:numPr>
                <w:ilvl w:val="0"/>
                <w:numId w:val="0"/>
              </w:numPr>
              <w:jc w:val="center"/>
              <w:rPr>
                <w:rFonts w:hint="eastAsia"/>
              </w:rPr>
            </w:pPr>
            <w:r>
              <w:t xml:space="preserve">照片 </w:t>
            </w:r>
            <w:r>
              <w:fldChar w:fldCharType="begin"/>
            </w:r>
            <w:r>
              <w:instrText xml:space="preserve"> SEQ 照片 \* ARABIC </w:instrText>
            </w:r>
            <w:r>
              <w:fldChar w:fldCharType="separate"/>
            </w:r>
            <w:r>
              <w:t>12</w:t>
            </w:r>
            <w:r>
              <w:fldChar w:fldCharType="end"/>
            </w:r>
          </w:p>
        </w:tc>
      </w:tr>
      <w:tr w14:paraId="1622B1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80" w:type="dxa"/>
          </w:tcPr>
          <w:p w14:paraId="4307122C">
            <w:pPr>
              <w:numPr>
                <w:ilvl w:val="0"/>
                <w:numId w:val="0"/>
              </w:numPr>
              <w:jc w:val="center"/>
            </w:pPr>
            <w:r>
              <w:rPr>
                <w:sz w:val="21"/>
              </w:rPr>
              <w:drawing>
                <wp:inline distT="0" distB="0" distL="114300" distR="114300">
                  <wp:extent cx="2519680" cy="1684655"/>
                  <wp:effectExtent l="0" t="0" r="13970" b="10795"/>
                  <wp:docPr id="100" name="图片 55" descr="C:/Users/pc/Desktop/图片13.png图片13"/>
                  <wp:cNvGraphicFramePr/>
                  <a:graphic xmlns:a="http://schemas.openxmlformats.org/drawingml/2006/main">
                    <a:graphicData uri="http://schemas.openxmlformats.org/drawingml/2006/picture">
                      <pic:pic xmlns:pic="http://schemas.openxmlformats.org/drawingml/2006/picture">
                        <pic:nvPicPr>
                          <pic:cNvPr id="100" name="图片 55" descr="C:/Users/pc/Desktop/图片13.png图片13"/>
                          <pic:cNvPicPr/>
                        </pic:nvPicPr>
                        <pic:blipFill>
                          <a:blip r:embed="rId19"/>
                          <a:srcRect l="246" r="246"/>
                          <a:stretch>
                            <a:fillRect/>
                          </a:stretch>
                        </pic:blipFill>
                        <pic:spPr>
                          <a:xfrm>
                            <a:off x="1166495" y="5713095"/>
                            <a:ext cx="2519680" cy="1684655"/>
                          </a:xfrm>
                          <a:prstGeom prst="rect">
                            <a:avLst/>
                          </a:prstGeom>
                          <a:noFill/>
                          <a:ln>
                            <a:noFill/>
                          </a:ln>
                        </pic:spPr>
                      </pic:pic>
                    </a:graphicData>
                  </a:graphic>
                </wp:inline>
              </w:drawing>
            </w:r>
          </w:p>
          <w:p w14:paraId="5FE09BF9">
            <w:pPr>
              <w:pStyle w:val="3"/>
              <w:numPr>
                <w:ilvl w:val="0"/>
                <w:numId w:val="0"/>
              </w:numPr>
              <w:jc w:val="center"/>
              <w:rPr>
                <w:rFonts w:hint="eastAsia"/>
              </w:rPr>
            </w:pPr>
            <w:r>
              <w:t xml:space="preserve">照片 </w:t>
            </w:r>
            <w:r>
              <w:fldChar w:fldCharType="begin"/>
            </w:r>
            <w:r>
              <w:instrText xml:space="preserve"> SEQ 照片 \* ARABIC </w:instrText>
            </w:r>
            <w:r>
              <w:fldChar w:fldCharType="separate"/>
            </w:r>
            <w:r>
              <w:t>13</w:t>
            </w:r>
            <w:r>
              <w:fldChar w:fldCharType="end"/>
            </w:r>
          </w:p>
        </w:tc>
        <w:tc>
          <w:tcPr>
            <w:tcW w:w="4242" w:type="dxa"/>
          </w:tcPr>
          <w:p w14:paraId="63DDE815">
            <w:pPr>
              <w:numPr>
                <w:ilvl w:val="0"/>
                <w:numId w:val="0"/>
              </w:numPr>
              <w:jc w:val="center"/>
            </w:pPr>
            <w:r>
              <w:rPr>
                <w:sz w:val="21"/>
              </w:rPr>
              <w:drawing>
                <wp:inline distT="0" distB="0" distL="114300" distR="114300">
                  <wp:extent cx="2520315" cy="1684655"/>
                  <wp:effectExtent l="0" t="0" r="13335" b="10795"/>
                  <wp:docPr id="106" name="图片 61" descr="C:/Users/pc/Desktop/图片14.png图片14"/>
                  <wp:cNvGraphicFramePr/>
                  <a:graphic xmlns:a="http://schemas.openxmlformats.org/drawingml/2006/main">
                    <a:graphicData uri="http://schemas.openxmlformats.org/drawingml/2006/picture">
                      <pic:pic xmlns:pic="http://schemas.openxmlformats.org/drawingml/2006/picture">
                        <pic:nvPicPr>
                          <pic:cNvPr id="106" name="图片 61" descr="C:/Users/pc/Desktop/图片14.png图片14"/>
                          <pic:cNvPicPr/>
                        </pic:nvPicPr>
                        <pic:blipFill>
                          <a:blip r:embed="rId20"/>
                          <a:srcRect l="226" r="226"/>
                          <a:stretch>
                            <a:fillRect/>
                          </a:stretch>
                        </pic:blipFill>
                        <pic:spPr>
                          <a:xfrm>
                            <a:off x="3878580" y="5718175"/>
                            <a:ext cx="2520315" cy="1684655"/>
                          </a:xfrm>
                          <a:prstGeom prst="rect">
                            <a:avLst/>
                          </a:prstGeom>
                          <a:noFill/>
                          <a:ln>
                            <a:noFill/>
                          </a:ln>
                        </pic:spPr>
                      </pic:pic>
                    </a:graphicData>
                  </a:graphic>
                </wp:inline>
              </w:drawing>
            </w:r>
          </w:p>
          <w:p w14:paraId="61622F59">
            <w:pPr>
              <w:pStyle w:val="3"/>
              <w:numPr>
                <w:ilvl w:val="0"/>
                <w:numId w:val="0"/>
              </w:numPr>
              <w:jc w:val="center"/>
              <w:rPr>
                <w:rFonts w:hint="eastAsia"/>
              </w:rPr>
            </w:pPr>
            <w:r>
              <w:t xml:space="preserve">照片 </w:t>
            </w:r>
            <w:r>
              <w:fldChar w:fldCharType="begin"/>
            </w:r>
            <w:r>
              <w:instrText xml:space="preserve"> SEQ 照片 \* ARABIC </w:instrText>
            </w:r>
            <w:r>
              <w:fldChar w:fldCharType="separate"/>
            </w:r>
            <w:r>
              <w:t>14</w:t>
            </w:r>
            <w:r>
              <w:fldChar w:fldCharType="end"/>
            </w:r>
          </w:p>
        </w:tc>
      </w:tr>
    </w:tbl>
    <w:p w14:paraId="68732B98">
      <w:pPr>
        <w:numPr>
          <w:ilvl w:val="0"/>
          <w:numId w:val="2"/>
        </w:numPr>
        <w:ind w:left="0" w:leftChars="0" w:firstLine="646" w:firstLineChars="202"/>
        <w:rPr>
          <w:rFonts w:hint="eastAsia" w:ascii="仿宋" w:hAnsi="仿宋" w:eastAsia="仿宋"/>
          <w:sz w:val="32"/>
          <w:szCs w:val="32"/>
          <w:lang w:val="en-US" w:eastAsia="zh-CN"/>
        </w:rPr>
      </w:pPr>
      <w:r>
        <w:rPr>
          <w:rFonts w:hint="eastAsia" w:ascii="仿宋" w:hAnsi="仿宋" w:eastAsia="仿宋"/>
          <w:sz w:val="32"/>
          <w:szCs w:val="32"/>
          <w:lang w:val="en-US" w:eastAsia="zh-CN"/>
        </w:rPr>
        <w:t>液压升降平台井道一层向西开门，上门框上方可见阻拦网（见照片5和照片6）。阻拦网下部向南倾斜，其右下角与井道南墙贴靠，右下支臂根部折断、脱落（见照片8）。右下支臂上表面可见纵向凹陷变形及条状撞痕、横向条状撞痕（见照片9）。右上支臂倾斜、根部部分折断（见照片10）。左下支臂倾斜、根部部分折断，右上边缘可见蓝色刮擦痕（见照片11）。倾斜的左下支臂向南移位（见照片12和照片13），进入托盘左侧安全吊耳运动轨迹内（见照片12至照片14）。液压升降平台外部墙体贴有“危险区域，禁止入内”警示标识（见照片14）。</w:t>
      </w:r>
    </w:p>
    <w:p w14:paraId="166E64F1">
      <w:pPr>
        <w:keepNext w:val="0"/>
        <w:keepLines w:val="0"/>
        <w:pageBreakBefore w:val="0"/>
        <w:widowControl w:val="0"/>
        <w:numPr>
          <w:ilvl w:val="0"/>
          <w:numId w:val="1"/>
        </w:numPr>
        <w:kinsoku/>
        <w:wordWrap w:val="0"/>
        <w:overflowPunct/>
        <w:topLinePunct w:val="0"/>
        <w:autoSpaceDE/>
        <w:autoSpaceDN/>
        <w:bidi w:val="0"/>
        <w:adjustRightInd/>
        <w:snapToGrid/>
        <w:spacing w:line="579" w:lineRule="exact"/>
        <w:ind w:left="0" w:leftChars="0" w:firstLine="640" w:firstLineChars="200"/>
        <w:jc w:val="left"/>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事故发生经过</w:t>
      </w:r>
    </w:p>
    <w:p w14:paraId="4B1618CB">
      <w:pPr>
        <w:keepNext w:val="0"/>
        <w:keepLines w:val="0"/>
        <w:pageBreakBefore w:val="0"/>
        <w:widowControl w:val="0"/>
        <w:numPr>
          <w:ilvl w:val="0"/>
          <w:numId w:val="0"/>
        </w:numPr>
        <w:kinsoku/>
        <w:wordWrap w:val="0"/>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事故发生后，调查组人员根据事发时现场监控录像、在场人员描述、现场勘验笔录、专家技术报告等综合分析，还原事发经过如下：</w:t>
      </w:r>
    </w:p>
    <w:p w14:paraId="571DCA63">
      <w:pPr>
        <w:keepNext w:val="0"/>
        <w:keepLines w:val="0"/>
        <w:pageBreakBefore w:val="0"/>
        <w:widowControl w:val="0"/>
        <w:numPr>
          <w:ilvl w:val="0"/>
          <w:numId w:val="0"/>
        </w:numPr>
        <w:kinsoku/>
        <w:wordWrap w:val="0"/>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2024年5月5日上午7时许，</w:t>
      </w:r>
      <w:r>
        <w:rPr>
          <w:rFonts w:hint="eastAsia" w:ascii="仿宋" w:hAnsi="仿宋" w:eastAsia="仿宋" w:cs="仿宋"/>
          <w:b w:val="0"/>
          <w:bCs w:val="0"/>
          <w:sz w:val="32"/>
          <w:szCs w:val="40"/>
          <w:lang w:val="en-US" w:eastAsia="zh-CN"/>
        </w:rPr>
        <w:t>沈</w:t>
      </w:r>
      <w:r>
        <w:rPr>
          <w:rFonts w:hint="eastAsia" w:ascii="仿宋" w:hAnsi="仿宋" w:eastAsia="仿宋" w:cs="仿宋"/>
          <w:sz w:val="32"/>
          <w:szCs w:val="32"/>
          <w:lang w:val="en-US" w:eastAsia="zh-CN"/>
        </w:rPr>
        <w:t>阳市浑南区XX生鲜超市员工王X山和死者刘X尧通过</w:t>
      </w:r>
      <w:r>
        <w:rPr>
          <w:rFonts w:hint="eastAsia" w:ascii="仿宋" w:hAnsi="仿宋" w:eastAsia="仿宋" w:cs="仿宋"/>
          <w:b w:val="0"/>
          <w:bCs w:val="0"/>
          <w:sz w:val="32"/>
          <w:szCs w:val="32"/>
          <w:lang w:val="en-US" w:eastAsia="zh-CN"/>
        </w:rPr>
        <w:t>液压升降平台从超市二楼向下运菜，上午8时左右，王X山发现液压升降平台卡在一至二楼中间处，随后取梯子和锤子在液压升降平台外查看原因，确认液压升降平台周边无人后，便爬上梯子使用锤子敲击液压升降平台外框，此时刘X尧从超市内部赶来查看情况，在未通知王X山的情况下，擅自钻入到液压升降平台下方，随后液压升降平台瞬间坠落砸中刘X尧。</w:t>
      </w:r>
    </w:p>
    <w:p w14:paraId="0C7ED9E3">
      <w:pPr>
        <w:keepNext w:val="0"/>
        <w:keepLines w:val="0"/>
        <w:pageBreakBefore w:val="0"/>
        <w:widowControl w:val="0"/>
        <w:numPr>
          <w:ilvl w:val="0"/>
          <w:numId w:val="1"/>
        </w:numPr>
        <w:kinsoku/>
        <w:wordWrap w:val="0"/>
        <w:overflowPunct/>
        <w:topLinePunct w:val="0"/>
        <w:autoSpaceDE/>
        <w:autoSpaceDN/>
        <w:bidi w:val="0"/>
        <w:adjustRightInd/>
        <w:snapToGrid/>
        <w:spacing w:line="579" w:lineRule="exact"/>
        <w:ind w:left="0" w:leftChars="0" w:firstLine="640" w:firstLineChars="200"/>
        <w:jc w:val="left"/>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事故应急处置情况</w:t>
      </w:r>
    </w:p>
    <w:p w14:paraId="6BA65F53">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事故发生后，王X山第一时间发现刘X尧被砸，当即通知正在超市内部的店长王X，王X赶到现场后通过操控台将液压升降平台抬升约0.5米左右，同时拨打了120急救中心电话,120救护车约十分钟左右赶到现场，超市现场工人配合急救人员抬出刘X尧，急救人员对刘X尧进行简单抢救后，由救护车将刘X尧送往医院。当日下午12时47分，医院经抢救无效后，宣布刘X尧死亡。</w:t>
      </w:r>
    </w:p>
    <w:p w14:paraId="18917856">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eastAsia" w:ascii="仿宋" w:hAnsi="仿宋" w:eastAsia="仿宋" w:cs="仿宋"/>
          <w:b w:val="0"/>
          <w:bCs w:val="0"/>
          <w:sz w:val="32"/>
          <w:szCs w:val="32"/>
          <w:highlight w:val="none"/>
          <w:lang w:val="en-US" w:eastAsia="zh-CN"/>
        </w:rPr>
      </w:pPr>
      <w:r>
        <w:rPr>
          <w:rFonts w:hint="eastAsia" w:ascii="仿宋" w:hAnsi="仿宋" w:eastAsia="仿宋" w:cs="仿宋"/>
          <w:b w:val="0"/>
          <w:bCs w:val="0"/>
          <w:sz w:val="32"/>
          <w:szCs w:val="32"/>
          <w:lang w:val="en-US" w:eastAsia="zh-CN"/>
        </w:rPr>
        <w:t>接到事故信息后，浑南区应急局、市公安局浑南分局、浑南区市场监督管理局第一时间组织工作人员抵达现场，对事故现场进行勘察、调取监控录像、拍照取证，告之沈阳市浑南区XX生鲜超市经营者及时进行善后处理。同时，将现场情况上报</w:t>
      </w:r>
      <w:r>
        <w:rPr>
          <w:rFonts w:hint="eastAsia" w:ascii="仿宋" w:hAnsi="仿宋" w:eastAsia="仿宋" w:cs="仿宋"/>
          <w:b w:val="0"/>
          <w:bCs w:val="0"/>
          <w:sz w:val="32"/>
          <w:szCs w:val="32"/>
          <w:highlight w:val="none"/>
          <w:lang w:val="en-US" w:eastAsia="zh-CN"/>
        </w:rPr>
        <w:t>市级相关部门和浑南区人民政府。</w:t>
      </w:r>
    </w:p>
    <w:p w14:paraId="4A20B8EE">
      <w:pPr>
        <w:keepNext w:val="0"/>
        <w:keepLines w:val="0"/>
        <w:pageBreakBefore w:val="0"/>
        <w:widowControl w:val="0"/>
        <w:numPr>
          <w:ilvl w:val="0"/>
          <w:numId w:val="1"/>
        </w:numPr>
        <w:kinsoku/>
        <w:wordWrap w:val="0"/>
        <w:overflowPunct/>
        <w:topLinePunct w:val="0"/>
        <w:autoSpaceDE/>
        <w:autoSpaceDN/>
        <w:bidi w:val="0"/>
        <w:adjustRightInd/>
        <w:snapToGrid/>
        <w:spacing w:line="579" w:lineRule="exact"/>
        <w:ind w:left="0" w:leftChars="0" w:firstLine="640" w:firstLineChars="200"/>
        <w:jc w:val="left"/>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专家技术分析</w:t>
      </w:r>
    </w:p>
    <w:p w14:paraId="69D286A6">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（一）浑南区市场监督管理局及特检院专家鉴定结论</w:t>
      </w:r>
    </w:p>
    <w:p w14:paraId="0704B9D9">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该设备的基本结构无封闭轿厢和封闭井道，无层门及其他安全装置，不属于GB/T7588.1-2020《电梯制造与安装安全规范第1部分：乘客电梯和载货电梯》中的电梯-服务于指定层站，具有用于运送人员或货物的轿厢，轿厢由绳或链条悬挂或由液压缸支撑并在于铅垂线倾角小于或等于15°的导轨上运行。也不属于GB28755-2012《简易升降机安全规范》中的简易升降机-以曳引机、卷扬机、电动葫芦，液压泵站等作为驱动装置，通过钢丝绳，齿轮齿条、链条或液压缸等部件带动货厢，在井道内沿垂直或与垂直方向倾角小于15°的钢性导向装置运行的仅用于运载货物的起重机械。综上所述，该设备不属于特种设备目录中的设备，故鉴定为非特种设备。</w:t>
      </w:r>
    </w:p>
    <w:p w14:paraId="78F4291E">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（二）液压升降平台相关结构及动作简述</w:t>
      </w:r>
    </w:p>
    <w:p w14:paraId="0639310B">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液压升降平台由框架、液压驱动装置、托盘、缓冲装置及阻拦网组成。托盘安装在框架内，依靠一台液压泵站作为动力源使液压缸伸缩带动链条牵引托盘，在井道内沿竖直方向的刚性导向装置上下运动。框架四角设置缓冲装置，由钢丝绳和滑轮组成。阻拦网四角处分别设置4个支臂，支臂端设置圆孔，左右两侧支臂圆孔分别套在缓冲装置的钢丝绳上（以钢丝绳为导轨）；上侧两个支臂连接钢丝绳。当托盘下降至一层时下压钢丝绳，钢丝绳绕过滑轮将挡在一层门口的阻拦网向上拉起，托盘落底时将阻拦网拉升至门框之上；托盘上升时，钢丝绳随之升起，阻拦网在重力作用下下降，托盘升至二层时阻拦网落底。</w:t>
      </w:r>
    </w:p>
    <w:p w14:paraId="1B0635D1">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托盘的升降可由一层和二层的控制开关控制，控制开关有3个按钮，分别控制托盘上、下、急停。框架上下设置位置开关，分别控制托盘在上位和下位处停止。</w:t>
      </w:r>
    </w:p>
    <w:p w14:paraId="2232AE32">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仿宋" w:hAnsi="仿宋" w:eastAsia="仿宋"/>
          <w:sz w:val="32"/>
          <w:szCs w:val="32"/>
        </w:rPr>
      </w:pPr>
      <w:r>
        <w:rPr>
          <w:rFonts w:hint="eastAsia" w:ascii="楷体" w:hAnsi="楷体" w:eastAsia="楷体" w:cs="楷体"/>
          <w:b/>
          <w:bCs/>
          <w:sz w:val="32"/>
          <w:szCs w:val="32"/>
          <w:lang w:val="en-US" w:eastAsia="zh-CN"/>
        </w:rPr>
        <w:t>（三）事发过程分析</w:t>
      </w:r>
    </w:p>
    <w:p w14:paraId="1A8216DF">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根据事故地点勘查，“液压升降平台井道底部地面可见两处血迹，血迹呈流淌状”、“托盘下表面附有灰尘，血迹上方对应处见灰尘减层”痕迹符合刘X尧进入托盘下方、被下落的托盘碰撞的痕迹特征。</w:t>
      </w:r>
    </w:p>
    <w:p w14:paraId="5A34FED2">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根据事故地点勘查，阻拦网“左下支臂倾斜、根部部分折断，右上边缘可见蓝色刮擦痕”、“倾斜的左下支臂向南移位，进入托盘左侧安全吊耳运动轨迹内”，符合阻拦网左下支臂与托盘左侧安全吊耳发生接触的痕迹特征。</w:t>
      </w:r>
    </w:p>
    <w:p w14:paraId="7D71B38A">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根据液压升降平台结构、托盘和阻拦网的运动规律，由事故后阻拦网位于一层门框之上、托盘在一层上下运动时阻拦网不随之运动、阻拦网右下角与井道南墙贴靠，说明事发前阻拦网被卡在一层门框之上、其下部向南倾斜，可确定阻拦网左下支臂进入托盘左侧安全吊耳运动轨迹内。</w:t>
      </w:r>
    </w:p>
    <w:p w14:paraId="5149C2D1">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托盘自二楼下降过程中，其左侧安全吊耳被阻拦网左下支臂阻挡停止，此时控制开关、行程开关均未被触发，液压泵站带动液压缸持续收缩、使牵引托盘的链条产生堆叠。在托盘和链条及锤子敲击等外力共同作用下，托盘左侧安全吊耳可以摆脱阻拦网左下支臂阻挡，托盘以自由落体的速度向下坠落。</w:t>
      </w:r>
    </w:p>
    <w:p w14:paraId="252E6A81">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eastAsia" w:ascii="仿宋" w:hAnsi="仿宋" w:eastAsia="仿宋"/>
          <w:sz w:val="32"/>
          <w:szCs w:val="32"/>
        </w:rPr>
      </w:pPr>
      <w:r>
        <w:rPr>
          <w:rFonts w:hint="eastAsia" w:ascii="仿宋" w:hAnsi="仿宋" w:eastAsia="仿宋" w:cs="仿宋"/>
          <w:b w:val="0"/>
          <w:bCs w:val="0"/>
          <w:sz w:val="32"/>
          <w:szCs w:val="32"/>
          <w:lang w:val="en-US" w:eastAsia="zh-CN"/>
        </w:rPr>
        <w:t>综合以上分析，事发过程如下：事发前液压升降平台的托盘落底，阻拦网上升至一层门框上方时其下部向南倾斜后被卡住。托盘上升至二层后在下降过程中，其左侧安全吊耳被进入其运动轨迹的阻拦网左下支臂阻挡停止。刘X尧进入托盘下方后，在托盘和链条及锤子敲击等外力共同作用下，托盘左侧安全吊耳摆脱阻拦网左下支臂阻挡，托盘以自由落体的速度向下坠落，将其下方的刘X尧砸伤。</w:t>
      </w:r>
    </w:p>
    <w:p w14:paraId="6B212DE1">
      <w:pPr>
        <w:keepNext w:val="0"/>
        <w:keepLines w:val="0"/>
        <w:pageBreakBefore w:val="0"/>
        <w:widowControl w:val="0"/>
        <w:numPr>
          <w:ilvl w:val="0"/>
          <w:numId w:val="0"/>
        </w:numPr>
        <w:kinsoku/>
        <w:wordWrap/>
        <w:overflowPunct/>
        <w:topLinePunct w:val="0"/>
        <w:autoSpaceDE/>
        <w:autoSpaceDN/>
        <w:bidi w:val="0"/>
        <w:adjustRightInd/>
        <w:snapToGrid/>
        <w:spacing w:line="579"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（四）原因分析</w:t>
      </w:r>
    </w:p>
    <w:p w14:paraId="51CC8F34">
      <w:pPr>
        <w:ind w:firstLine="640" w:firstLineChars="200"/>
        <w:rPr>
          <w:rStyle w:val="12"/>
          <w:rFonts w:hint="eastAsia" w:ascii="仿宋" w:hAnsi="仿宋" w:eastAsia="仿宋"/>
          <w:sz w:val="32"/>
          <w:szCs w:val="32"/>
        </w:rPr>
      </w:pPr>
      <w:r>
        <w:rPr>
          <w:rFonts w:hint="eastAsia" w:ascii="仿宋" w:hAnsi="仿宋" w:eastAsia="仿宋" w:cs="仿宋"/>
          <w:color w:val="auto"/>
          <w:sz w:val="32"/>
          <w:szCs w:val="32"/>
          <w:lang w:val="en-US" w:eastAsia="zh-CN"/>
        </w:rPr>
        <w:t>根据刘X尧</w:t>
      </w:r>
      <w:r>
        <w:rPr>
          <w:rFonts w:hint="eastAsia" w:ascii="仿宋" w:hAnsi="仿宋" w:eastAsia="仿宋"/>
          <w:sz w:val="32"/>
          <w:szCs w:val="32"/>
          <w:lang w:val="en-US" w:eastAsia="zh-CN"/>
        </w:rPr>
        <w:t>《居民死亡医学证明（诊断）书》摘要</w:t>
      </w:r>
      <w:r>
        <w:rPr>
          <w:rFonts w:hint="eastAsia" w:ascii="仿宋" w:hAnsi="仿宋" w:eastAsia="仿宋" w:cs="仿宋"/>
          <w:color w:val="auto"/>
          <w:sz w:val="32"/>
          <w:szCs w:val="32"/>
          <w:lang w:val="en-US" w:eastAsia="zh-CN"/>
        </w:rPr>
        <w:t>及事发过程分析，导致刘X尧受伤的原因为：液压升降平台的托盘与刘X尧发生碰撞。运动的托盘是撞击的动力来源。根据事发时液压升降平台已经发生托盘被卡住的故障，刘X尧进入被卡住的托盘下方，使其处于危险位置后被托盘砸伤，可确定刘X尧进入危险位置和托盘突然坠落是事发原因</w:t>
      </w:r>
      <w:r>
        <w:rPr>
          <w:rStyle w:val="12"/>
          <w:rFonts w:hint="eastAsia" w:ascii="仿宋" w:hAnsi="仿宋" w:eastAsia="仿宋"/>
          <w:sz w:val="32"/>
          <w:szCs w:val="32"/>
        </w:rPr>
        <w:t>。</w:t>
      </w:r>
    </w:p>
    <w:p w14:paraId="566FBCEA">
      <w:pPr>
        <w:keepNext w:val="0"/>
        <w:keepLines w:val="0"/>
        <w:pageBreakBefore w:val="0"/>
        <w:widowControl w:val="0"/>
        <w:numPr>
          <w:ilvl w:val="0"/>
          <w:numId w:val="1"/>
        </w:numPr>
        <w:kinsoku/>
        <w:wordWrap w:val="0"/>
        <w:overflowPunct/>
        <w:topLinePunct w:val="0"/>
        <w:autoSpaceDE/>
        <w:autoSpaceDN/>
        <w:bidi w:val="0"/>
        <w:adjustRightInd/>
        <w:snapToGrid/>
        <w:spacing w:line="579" w:lineRule="exact"/>
        <w:ind w:left="0" w:leftChars="0" w:firstLine="640" w:firstLineChars="200"/>
        <w:jc w:val="left"/>
        <w:textAlignment w:val="auto"/>
        <w:rPr>
          <w:rFonts w:hint="eastAsia" w:ascii="黑体" w:hAnsi="黑体" w:eastAsia="黑体" w:cs="黑体"/>
          <w:b w:val="0"/>
          <w:bCs w:val="0"/>
          <w:sz w:val="32"/>
          <w:szCs w:val="32"/>
          <w:lang w:val="en-US" w:eastAsia="zh-CN"/>
        </w:rPr>
      </w:pPr>
      <w:r>
        <w:rPr>
          <w:rFonts w:hint="default" w:ascii="黑体" w:hAnsi="黑体" w:eastAsia="黑体" w:cs="黑体"/>
          <w:b w:val="0"/>
          <w:bCs w:val="0"/>
          <w:sz w:val="32"/>
          <w:szCs w:val="32"/>
          <w:lang w:val="en-US" w:eastAsia="zh-CN"/>
        </w:rPr>
        <w:t>事故性质、发生的原因</w:t>
      </w:r>
    </w:p>
    <w:p w14:paraId="0F93041C">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楷体" w:hAnsi="楷体" w:eastAsia="楷体" w:cs="楷体"/>
          <w:b/>
          <w:bCs/>
          <w:sz w:val="32"/>
          <w:szCs w:val="32"/>
          <w:lang w:val="en-US" w:eastAsia="zh-CN"/>
        </w:rPr>
      </w:pPr>
      <w:r>
        <w:rPr>
          <w:rFonts w:hint="eastAsia" w:ascii="楷体" w:hAnsi="楷体" w:eastAsia="楷体" w:cs="楷体"/>
          <w:b/>
          <w:bCs/>
          <w:sz w:val="32"/>
          <w:szCs w:val="32"/>
          <w:lang w:val="en-US" w:eastAsia="zh-CN"/>
        </w:rPr>
        <w:t>（一）事故性质</w:t>
      </w:r>
    </w:p>
    <w:p w14:paraId="241DDC61">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根据调查组制作的现场勘验笔录、相关人员询问笔录、现场照片、现场监控视频、专家技术分析报告等证据，认定</w:t>
      </w:r>
      <w:r>
        <w:rPr>
          <w:rFonts w:hint="eastAsia" w:ascii="仿宋" w:hAnsi="仿宋" w:eastAsia="仿宋" w:cs="仿宋"/>
          <w:sz w:val="32"/>
          <w:szCs w:val="32"/>
          <w:lang w:val="en-US" w:eastAsia="zh-CN"/>
        </w:rPr>
        <w:t>沈阳市浑南区XX生鲜超市“5.5”一般物体打击事故</w:t>
      </w:r>
      <w:r>
        <w:rPr>
          <w:rFonts w:hint="eastAsia" w:ascii="仿宋" w:hAnsi="仿宋" w:eastAsia="仿宋" w:cs="仿宋"/>
          <w:b w:val="0"/>
          <w:bCs w:val="0"/>
          <w:sz w:val="32"/>
          <w:szCs w:val="32"/>
          <w:lang w:val="en-US" w:eastAsia="zh-CN"/>
        </w:rPr>
        <w:t>是一起生产安全责任事故。</w:t>
      </w:r>
    </w:p>
    <w:p w14:paraId="44AD7BDA">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default" w:ascii="楷体" w:hAnsi="楷体" w:eastAsia="楷体" w:cs="楷体"/>
          <w:b/>
          <w:bCs/>
          <w:sz w:val="32"/>
          <w:szCs w:val="32"/>
          <w:lang w:val="en-US" w:eastAsia="zh-CN"/>
        </w:rPr>
      </w:pPr>
      <w:r>
        <w:rPr>
          <w:rFonts w:hint="eastAsia" w:ascii="楷体" w:hAnsi="楷体" w:eastAsia="楷体" w:cs="楷体"/>
          <w:b/>
          <w:bCs/>
          <w:sz w:val="32"/>
          <w:szCs w:val="32"/>
          <w:lang w:val="en-US" w:eastAsia="zh-CN"/>
        </w:rPr>
        <w:t>（二）事故原因</w:t>
      </w:r>
    </w:p>
    <w:p w14:paraId="6028AE2E">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bCs/>
          <w:sz w:val="32"/>
          <w:szCs w:val="32"/>
          <w:lang w:val="en-US" w:eastAsia="zh-CN"/>
        </w:rPr>
        <w:t>1、直接原因</w:t>
      </w:r>
      <w:r>
        <w:rPr>
          <w:rFonts w:hint="eastAsia" w:ascii="仿宋" w:hAnsi="仿宋" w:eastAsia="仿宋" w:cs="仿宋"/>
          <w:b w:val="0"/>
          <w:bCs w:val="0"/>
          <w:sz w:val="32"/>
          <w:szCs w:val="32"/>
          <w:lang w:val="en-US" w:eastAsia="zh-CN"/>
        </w:rPr>
        <w:t>：</w:t>
      </w:r>
    </w:p>
    <w:p w14:paraId="1D7464E7">
      <w:pPr>
        <w:pStyle w:val="2"/>
        <w:keepNext w:val="0"/>
        <w:keepLines w:val="0"/>
        <w:pageBreakBefore w:val="0"/>
        <w:widowControl w:val="0"/>
        <w:kinsoku/>
        <w:overflowPunct/>
        <w:topLinePunct w:val="0"/>
        <w:autoSpaceDE/>
        <w:autoSpaceDN/>
        <w:bidi w:val="0"/>
        <w:adjustRightInd/>
        <w:snapToGrid/>
        <w:spacing w:line="579" w:lineRule="exact"/>
        <w:ind w:left="0" w:leftChars="0" w:firstLine="640" w:firstLineChars="200"/>
        <w:textAlignment w:val="auto"/>
        <w:rPr>
          <w:rFonts w:hint="eastAsia" w:ascii="仿宋" w:hAnsi="仿宋" w:eastAsia="仿宋" w:cs="仿宋"/>
          <w:sz w:val="32"/>
          <w:szCs w:val="32"/>
          <w:lang w:eastAsia="zh-CN"/>
        </w:rPr>
      </w:pPr>
      <w:r>
        <w:rPr>
          <w:rFonts w:hint="eastAsia" w:ascii="仿宋" w:hAnsi="仿宋" w:eastAsia="仿宋" w:cs="仿宋"/>
          <w:sz w:val="32"/>
          <w:szCs w:val="32"/>
          <w:lang w:val="en-US" w:eastAsia="zh-CN"/>
        </w:rPr>
        <w:t>人的不安全行为：刘X尧安全意识淡薄，违反操作规程，在未通知王X山的情况下，擅自钻入发生故障的液压升降平台下方形成的危险区域，</w:t>
      </w:r>
      <w:r>
        <w:rPr>
          <w:rStyle w:val="12"/>
          <w:rFonts w:hint="eastAsia" w:ascii="仿宋" w:hAnsi="仿宋" w:eastAsia="仿宋"/>
          <w:sz w:val="32"/>
          <w:szCs w:val="32"/>
          <w:lang w:val="en-US" w:eastAsia="zh-CN"/>
        </w:rPr>
        <w:t>导致发生生产安全事故</w:t>
      </w:r>
      <w:r>
        <w:rPr>
          <w:rFonts w:hint="eastAsia" w:ascii="仿宋" w:hAnsi="仿宋" w:eastAsia="仿宋" w:cs="仿宋"/>
          <w:sz w:val="32"/>
          <w:szCs w:val="32"/>
          <w:lang w:eastAsia="zh-CN"/>
        </w:rPr>
        <w:t>。</w:t>
      </w:r>
    </w:p>
    <w:p w14:paraId="05FBB5B9">
      <w:pPr>
        <w:keepNext w:val="0"/>
        <w:keepLines w:val="0"/>
        <w:pageBreakBefore w:val="0"/>
        <w:widowControl w:val="0"/>
        <w:kinsoku/>
        <w:overflowPunct/>
        <w:topLinePunct w:val="0"/>
        <w:autoSpaceDE/>
        <w:autoSpaceDN/>
        <w:bidi w:val="0"/>
        <w:adjustRightInd/>
        <w:snapToGrid/>
        <w:spacing w:line="579" w:lineRule="exact"/>
        <w:ind w:firstLine="640" w:firstLineChars="200"/>
        <w:jc w:val="both"/>
        <w:textAlignment w:val="auto"/>
        <w:rPr>
          <w:rFonts w:hint="default"/>
          <w:lang w:val="en-US" w:eastAsia="zh-CN"/>
        </w:rPr>
      </w:pPr>
      <w:r>
        <w:rPr>
          <w:rFonts w:hint="eastAsia" w:ascii="仿宋" w:hAnsi="仿宋" w:eastAsia="仿宋" w:cs="仿宋"/>
          <w:sz w:val="32"/>
          <w:szCs w:val="32"/>
          <w:lang w:val="en-US" w:eastAsia="zh-CN"/>
        </w:rPr>
        <w:t>物的不稳定状态：液压升降平台</w:t>
      </w:r>
      <w:r>
        <w:rPr>
          <w:rFonts w:hint="eastAsia" w:ascii="仿宋" w:hAnsi="仿宋" w:eastAsia="仿宋" w:cs="仿宋"/>
          <w:b w:val="0"/>
          <w:bCs w:val="0"/>
          <w:sz w:val="32"/>
          <w:szCs w:val="32"/>
          <w:lang w:val="en-US" w:eastAsia="zh-CN"/>
        </w:rPr>
        <w:t>托盘上升至二层后在下降过程中，其左侧安全吊耳被进入其运动轨迹的阻拦网左下支臂阻挡停止，托盘下方形成危险区域，在托盘和链条及锤子敲击等外力共同作用下，托盘左侧安全吊耳可以摆脱阻拦网左下支臂阻挡，托盘以自由落体的速度向下坠落。</w:t>
      </w:r>
    </w:p>
    <w:p w14:paraId="7C941CE1">
      <w:pPr>
        <w:keepNext w:val="0"/>
        <w:keepLines w:val="0"/>
        <w:pageBreakBefore w:val="0"/>
        <w:widowControl w:val="0"/>
        <w:numPr>
          <w:ilvl w:val="0"/>
          <w:numId w:val="3"/>
        </w:numPr>
        <w:kinsoku/>
        <w:wordWrap/>
        <w:overflowPunct/>
        <w:topLinePunct w:val="0"/>
        <w:autoSpaceDE/>
        <w:autoSpaceDN/>
        <w:bidi w:val="0"/>
        <w:adjustRightInd/>
        <w:snapToGrid/>
        <w:spacing w:line="579" w:lineRule="exact"/>
        <w:ind w:firstLine="643" w:firstLineChars="200"/>
        <w:textAlignment w:val="auto"/>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间接原因：</w:t>
      </w:r>
    </w:p>
    <w:p w14:paraId="43782EB0">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default" w:ascii="仿宋" w:hAnsi="仿宋" w:eastAsia="仿宋" w:cs="仿宋"/>
          <w:b/>
          <w:bCs/>
          <w:sz w:val="32"/>
          <w:szCs w:val="32"/>
          <w:lang w:val="en-US" w:eastAsia="zh-CN"/>
        </w:rPr>
      </w:pPr>
      <w:r>
        <w:rPr>
          <w:rFonts w:hint="eastAsia" w:ascii="仿宋" w:hAnsi="仿宋" w:eastAsia="仿宋" w:cs="仿宋"/>
          <w:b/>
          <w:bCs/>
          <w:sz w:val="32"/>
          <w:szCs w:val="32"/>
          <w:lang w:val="en-US" w:eastAsia="zh-CN"/>
        </w:rPr>
        <w:t>沈阳市浑南区XX生鲜超市经营者赵X升</w:t>
      </w:r>
    </w:p>
    <w:p w14:paraId="48198CB8">
      <w:pPr>
        <w:pStyle w:val="2"/>
        <w:keepNext w:val="0"/>
        <w:keepLines w:val="0"/>
        <w:pageBreakBefore w:val="0"/>
        <w:widowControl w:val="0"/>
        <w:kinsoku/>
        <w:overflowPunct/>
        <w:topLinePunct w:val="0"/>
        <w:autoSpaceDE/>
        <w:autoSpaceDN/>
        <w:bidi w:val="0"/>
        <w:adjustRightInd/>
        <w:snapToGrid/>
        <w:spacing w:line="579" w:lineRule="exact"/>
        <w:ind w:left="0" w:leftChars="0" w:firstLine="640" w:firstLineChars="200"/>
        <w:textAlignment w:val="auto"/>
        <w:rPr>
          <w:rFonts w:hint="eastAsia" w:ascii="仿宋" w:hAnsi="仿宋" w:eastAsia="仿宋" w:cs="仿宋"/>
          <w:b/>
          <w:bCs/>
          <w:sz w:val="32"/>
          <w:szCs w:val="32"/>
          <w:lang w:val="en-US" w:eastAsia="zh-CN"/>
        </w:rPr>
      </w:pPr>
      <w:r>
        <w:rPr>
          <w:rFonts w:hint="eastAsia" w:ascii="仿宋_GB2312" w:eastAsia="仿宋_GB2312"/>
          <w:sz w:val="32"/>
          <w:szCs w:val="32"/>
          <w:lang w:val="en-US" w:eastAsia="zh-CN"/>
        </w:rPr>
        <w:t>作为个体经营投资人未投入安全生产所必须的资金</w:t>
      </w:r>
      <w:r>
        <w:rPr>
          <w:rFonts w:hint="eastAsia" w:ascii="仿宋_GB2312" w:eastAsia="仿宋_GB2312"/>
          <w:sz w:val="32"/>
          <w:szCs w:val="32"/>
          <w:lang w:eastAsia="zh-CN"/>
        </w:rPr>
        <w:t>，</w:t>
      </w:r>
      <w:r>
        <w:rPr>
          <w:rFonts w:hint="eastAsia" w:ascii="仿宋_GB2312" w:eastAsia="仿宋_GB2312"/>
          <w:sz w:val="32"/>
          <w:szCs w:val="32"/>
          <w:lang w:val="en-US" w:eastAsia="zh-CN"/>
        </w:rPr>
        <w:t>对超市员工进行必要的安全生产教育培训，致使超市员工</w:t>
      </w:r>
      <w:r>
        <w:rPr>
          <w:rFonts w:hint="eastAsia" w:ascii="仿宋" w:hAnsi="仿宋" w:eastAsia="仿宋" w:cs="仿宋"/>
          <w:sz w:val="32"/>
          <w:szCs w:val="32"/>
          <w:lang w:val="en-US" w:eastAsia="zh-CN"/>
        </w:rPr>
        <w:t>安全意识淡薄，且未投入必要资金定期对液压升降平台进行维护保养，致使液压升降平台发生故障，</w:t>
      </w:r>
      <w:r>
        <w:rPr>
          <w:rStyle w:val="12"/>
          <w:rFonts w:hint="eastAsia" w:ascii="仿宋" w:hAnsi="仿宋" w:eastAsia="仿宋"/>
          <w:sz w:val="32"/>
          <w:szCs w:val="32"/>
          <w:lang w:val="en-US" w:eastAsia="zh-CN"/>
        </w:rPr>
        <w:t>导致发生生产安全事故</w:t>
      </w:r>
      <w:r>
        <w:rPr>
          <w:rFonts w:hint="eastAsia" w:ascii="仿宋" w:hAnsi="仿宋" w:eastAsia="仿宋" w:cs="仿宋"/>
          <w:sz w:val="32"/>
          <w:szCs w:val="32"/>
          <w:lang w:eastAsia="zh-CN"/>
        </w:rPr>
        <w:t>。</w:t>
      </w:r>
    </w:p>
    <w:p w14:paraId="34E8DAF5">
      <w:pPr>
        <w:pStyle w:val="2"/>
        <w:keepNext w:val="0"/>
        <w:keepLines w:val="0"/>
        <w:pageBreakBefore w:val="0"/>
        <w:widowControl w:val="0"/>
        <w:numPr>
          <w:ilvl w:val="0"/>
          <w:numId w:val="0"/>
        </w:numPr>
        <w:kinsoku/>
        <w:overflowPunct/>
        <w:topLinePunct w:val="0"/>
        <w:autoSpaceDE/>
        <w:autoSpaceDN/>
        <w:bidi w:val="0"/>
        <w:adjustRightInd/>
        <w:snapToGrid/>
        <w:spacing w:line="579" w:lineRule="exact"/>
        <w:ind w:leftChars="0" w:firstLine="640" w:firstLineChars="200"/>
        <w:textAlignment w:val="auto"/>
        <w:rPr>
          <w:rFonts w:hint="default" w:ascii="仿宋" w:hAnsi="仿宋" w:eastAsia="仿宋" w:cs="仿宋"/>
          <w:b/>
          <w:bCs/>
          <w:sz w:val="32"/>
          <w:szCs w:val="32"/>
          <w:lang w:val="en-US" w:eastAsia="zh-CN"/>
        </w:rPr>
      </w:pPr>
      <w:r>
        <w:rPr>
          <w:rFonts w:hint="eastAsia" w:ascii="黑体" w:hAnsi="黑体" w:eastAsia="黑体" w:cs="黑体"/>
          <w:b w:val="0"/>
          <w:bCs w:val="0"/>
          <w:kern w:val="2"/>
          <w:sz w:val="32"/>
          <w:szCs w:val="32"/>
          <w:lang w:val="en-US" w:eastAsia="zh-CN" w:bidi="ar-SA"/>
        </w:rPr>
        <w:t>六、</w:t>
      </w:r>
      <w:r>
        <w:rPr>
          <w:rFonts w:hint="default" w:ascii="黑体" w:hAnsi="黑体" w:eastAsia="黑体" w:cs="黑体"/>
          <w:b w:val="0"/>
          <w:bCs w:val="0"/>
          <w:kern w:val="2"/>
          <w:sz w:val="32"/>
          <w:szCs w:val="32"/>
          <w:lang w:val="en-US" w:eastAsia="zh-CN" w:bidi="ar-SA"/>
        </w:rPr>
        <w:t>对有关责任人员的处理建议</w:t>
      </w:r>
    </w:p>
    <w:p w14:paraId="2AB34A8B">
      <w:pPr>
        <w:pStyle w:val="2"/>
        <w:keepNext w:val="0"/>
        <w:keepLines w:val="0"/>
        <w:pageBreakBefore w:val="0"/>
        <w:widowControl w:val="0"/>
        <w:kinsoku/>
        <w:overflowPunct/>
        <w:topLinePunct w:val="0"/>
        <w:autoSpaceDE/>
        <w:autoSpaceDN/>
        <w:bidi w:val="0"/>
        <w:adjustRightInd/>
        <w:snapToGrid/>
        <w:spacing w:line="579" w:lineRule="exact"/>
        <w:ind w:left="0" w:leftChars="0" w:firstLine="643" w:firstLineChars="200"/>
        <w:textAlignment w:val="auto"/>
        <w:rPr>
          <w:rFonts w:hint="default" w:ascii="仿宋" w:hAnsi="仿宋" w:eastAsia="仿宋" w:cs="仿宋"/>
          <w:b/>
          <w:bCs/>
          <w:sz w:val="32"/>
          <w:szCs w:val="32"/>
          <w:lang w:val="en-US" w:eastAsia="zh-CN"/>
        </w:rPr>
      </w:pPr>
      <w:r>
        <w:rPr>
          <w:rFonts w:hint="eastAsia" w:ascii="仿宋" w:hAnsi="仿宋" w:eastAsia="仿宋" w:cs="仿宋"/>
          <w:b/>
          <w:bCs/>
          <w:sz w:val="32"/>
          <w:szCs w:val="32"/>
          <w:lang w:val="en-US" w:eastAsia="zh-CN"/>
        </w:rPr>
        <w:t>沈阳市浑南区XX生鲜超市员工刘X尧</w:t>
      </w:r>
    </w:p>
    <w:p w14:paraId="65E8160B">
      <w:pPr>
        <w:pStyle w:val="2"/>
        <w:keepNext w:val="0"/>
        <w:keepLines w:val="0"/>
        <w:pageBreakBefore w:val="0"/>
        <w:widowControl w:val="0"/>
        <w:kinsoku/>
        <w:overflowPunct/>
        <w:topLinePunct w:val="0"/>
        <w:autoSpaceDE/>
        <w:autoSpaceDN/>
        <w:bidi w:val="0"/>
        <w:adjustRightInd/>
        <w:snapToGrid/>
        <w:spacing w:line="579" w:lineRule="exact"/>
        <w:ind w:left="0" w:leftChars="0"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安全意识淡薄，违反操作规程，在未通知王X山的情况下，擅自钻入发生故障的液压升降平台下方形成的危险区域，</w:t>
      </w:r>
      <w:r>
        <w:rPr>
          <w:rStyle w:val="12"/>
          <w:rFonts w:hint="eastAsia" w:ascii="仿宋" w:hAnsi="仿宋" w:eastAsia="仿宋"/>
          <w:sz w:val="32"/>
          <w:szCs w:val="32"/>
          <w:lang w:val="en-US" w:eastAsia="zh-CN"/>
        </w:rPr>
        <w:t>导致发生生产安全事故</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鉴于刘X尧在事故中身亡，故免于行政处罚。</w:t>
      </w:r>
    </w:p>
    <w:p w14:paraId="7B4F516F">
      <w:pPr>
        <w:keepNext w:val="0"/>
        <w:keepLines w:val="0"/>
        <w:pageBreakBefore w:val="0"/>
        <w:widowControl w:val="0"/>
        <w:kinsoku/>
        <w:wordWrap/>
        <w:overflowPunct/>
        <w:topLinePunct w:val="0"/>
        <w:autoSpaceDE/>
        <w:autoSpaceDN/>
        <w:bidi w:val="0"/>
        <w:adjustRightInd/>
        <w:snapToGrid/>
        <w:ind w:firstLine="643" w:firstLineChars="200"/>
        <w:textAlignment w:val="auto"/>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沈阳市浑南区XX生鲜超市经营者赵X升</w:t>
      </w:r>
    </w:p>
    <w:p w14:paraId="5A228080">
      <w:pPr>
        <w:pStyle w:val="2"/>
        <w:keepNext w:val="0"/>
        <w:keepLines w:val="0"/>
        <w:pageBreakBefore w:val="0"/>
        <w:widowControl w:val="0"/>
        <w:kinsoku/>
        <w:overflowPunct/>
        <w:topLinePunct w:val="0"/>
        <w:autoSpaceDE/>
        <w:autoSpaceDN/>
        <w:bidi w:val="0"/>
        <w:adjustRightInd/>
        <w:snapToGrid/>
        <w:spacing w:line="579" w:lineRule="exact"/>
        <w:ind w:left="0" w:leftChars="0" w:firstLine="640" w:firstLineChars="200"/>
        <w:textAlignment w:val="auto"/>
        <w:rPr>
          <w:rFonts w:hint="eastAsia" w:ascii="仿宋_GB2312" w:eastAsia="仿宋_GB2312"/>
          <w:sz w:val="32"/>
          <w:szCs w:val="32"/>
          <w:lang w:val="en-US" w:eastAsia="zh-CN"/>
        </w:rPr>
      </w:pPr>
      <w:r>
        <w:rPr>
          <w:rFonts w:hint="eastAsia" w:ascii="仿宋_GB2312" w:eastAsia="仿宋_GB2312"/>
          <w:sz w:val="32"/>
          <w:szCs w:val="32"/>
          <w:lang w:val="en-US" w:eastAsia="zh-CN"/>
        </w:rPr>
        <w:t>作为个体经营投资人未投入安全生产所必须的资金</w:t>
      </w:r>
      <w:r>
        <w:rPr>
          <w:rFonts w:hint="eastAsia" w:ascii="仿宋_GB2312" w:eastAsia="仿宋_GB2312"/>
          <w:sz w:val="32"/>
          <w:szCs w:val="32"/>
          <w:lang w:eastAsia="zh-CN"/>
        </w:rPr>
        <w:t>，</w:t>
      </w:r>
      <w:r>
        <w:rPr>
          <w:rFonts w:hint="eastAsia" w:ascii="仿宋_GB2312" w:eastAsia="仿宋_GB2312"/>
          <w:sz w:val="32"/>
          <w:szCs w:val="32"/>
          <w:lang w:val="en-US" w:eastAsia="zh-CN"/>
        </w:rPr>
        <w:t>对超市员工进行必要的安全生产教育培训，致使超市员工</w:t>
      </w:r>
      <w:r>
        <w:rPr>
          <w:rFonts w:hint="eastAsia" w:ascii="仿宋" w:hAnsi="仿宋" w:eastAsia="仿宋" w:cs="仿宋"/>
          <w:sz w:val="32"/>
          <w:szCs w:val="32"/>
          <w:lang w:val="en-US" w:eastAsia="zh-CN"/>
        </w:rPr>
        <w:t>安全意识淡薄，且未投入必要资金定期对液压升降平台进行维护保养，致使液压升降平台发生故障，</w:t>
      </w:r>
      <w:r>
        <w:rPr>
          <w:rStyle w:val="12"/>
          <w:rFonts w:hint="eastAsia" w:ascii="仿宋" w:hAnsi="仿宋" w:eastAsia="仿宋"/>
          <w:sz w:val="32"/>
          <w:szCs w:val="32"/>
          <w:lang w:val="en-US" w:eastAsia="zh-CN"/>
        </w:rPr>
        <w:t>导致发生生产安全事故</w:t>
      </w:r>
      <w:r>
        <w:rPr>
          <w:rFonts w:hint="eastAsia" w:ascii="仿宋" w:hAnsi="仿宋" w:eastAsia="仿宋" w:cs="仿宋"/>
          <w:sz w:val="32"/>
          <w:szCs w:val="32"/>
          <w:lang w:eastAsia="zh-CN"/>
        </w:rPr>
        <w:t>。</w:t>
      </w:r>
    </w:p>
    <w:p w14:paraId="3771F991">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以上行为违反了《中华人民共和国安全生产法》第二十三条第一款之规定</w:t>
      </w:r>
      <w:r>
        <w:rPr>
          <w:rStyle w:val="11"/>
          <w:rFonts w:hint="eastAsia" w:ascii="仿宋_GB2312" w:hAnsi="仿宋_GB2312" w:eastAsia="仿宋_GB2312" w:cs="仿宋_GB2312"/>
          <w:sz w:val="32"/>
          <w:szCs w:val="32"/>
          <w:lang w:val="en-US" w:eastAsia="zh-CN"/>
        </w:rPr>
        <w:t>[</w:t>
      </w:r>
      <w:r>
        <w:rPr>
          <w:rStyle w:val="11"/>
          <w:rFonts w:hint="eastAsia" w:ascii="仿宋_GB2312" w:hAnsi="仿宋_GB2312" w:eastAsia="仿宋_GB2312" w:cs="仿宋_GB2312"/>
          <w:sz w:val="32"/>
          <w:szCs w:val="32"/>
          <w:lang w:val="en-US" w:eastAsia="zh-CN"/>
        </w:rPr>
        <w:footnoteReference w:id="0"/>
      </w:r>
      <w:r>
        <w:rPr>
          <w:rStyle w:val="11"/>
          <w:rFonts w:hint="eastAsia" w:ascii="仿宋_GB2312" w:hAnsi="仿宋_GB2312" w:eastAsia="仿宋_GB2312" w:cs="仿宋_GB2312"/>
          <w:sz w:val="32"/>
          <w:szCs w:val="32"/>
          <w:lang w:val="en-US" w:eastAsia="zh-CN"/>
        </w:rPr>
        <w:t>]</w:t>
      </w:r>
      <w:r>
        <w:rPr>
          <w:rFonts w:hint="eastAsia" w:ascii="仿宋" w:hAnsi="仿宋" w:eastAsia="仿宋" w:cs="仿宋"/>
          <w:sz w:val="32"/>
          <w:szCs w:val="32"/>
          <w:lang w:val="en-US" w:eastAsia="zh-CN"/>
        </w:rPr>
        <w:t>，建议由区应急管理局依据《中华人民共和国安全生产法》第九十三条第二款之规定</w:t>
      </w:r>
      <w:r>
        <w:rPr>
          <w:rStyle w:val="11"/>
          <w:rFonts w:hint="eastAsia" w:ascii="仿宋_GB2312" w:hAnsi="仿宋_GB2312" w:eastAsia="仿宋_GB2312" w:cs="仿宋_GB2312"/>
          <w:sz w:val="32"/>
          <w:szCs w:val="32"/>
          <w:lang w:val="en-US" w:eastAsia="zh-CN"/>
        </w:rPr>
        <w:t>[</w:t>
      </w:r>
      <w:r>
        <w:rPr>
          <w:rStyle w:val="11"/>
          <w:rFonts w:hint="eastAsia" w:ascii="仿宋_GB2312" w:hAnsi="仿宋_GB2312" w:eastAsia="仿宋_GB2312" w:cs="仿宋_GB2312"/>
          <w:sz w:val="32"/>
          <w:szCs w:val="32"/>
          <w:lang w:val="en-US" w:eastAsia="zh-CN"/>
        </w:rPr>
        <w:footnoteReference w:id="1"/>
      </w:r>
      <w:r>
        <w:rPr>
          <w:rStyle w:val="11"/>
          <w:rFonts w:hint="eastAsia" w:ascii="仿宋_GB2312" w:hAnsi="仿宋_GB2312" w:eastAsia="仿宋_GB2312" w:cs="仿宋_GB2312"/>
          <w:sz w:val="32"/>
          <w:szCs w:val="32"/>
          <w:lang w:val="en-US" w:eastAsia="zh-CN"/>
        </w:rPr>
        <w:t>]</w:t>
      </w:r>
      <w:r>
        <w:rPr>
          <w:rFonts w:hint="eastAsia" w:ascii="仿宋" w:hAnsi="仿宋" w:eastAsia="仿宋" w:cs="仿宋"/>
          <w:sz w:val="32"/>
          <w:szCs w:val="32"/>
          <w:lang w:val="en-US" w:eastAsia="zh-CN"/>
        </w:rPr>
        <w:t>给予其行政处罚。</w:t>
      </w:r>
    </w:p>
    <w:p w14:paraId="3B708D10">
      <w:pPr>
        <w:keepNext w:val="0"/>
        <w:keepLines w:val="0"/>
        <w:pageBreakBefore w:val="0"/>
        <w:widowControl w:val="0"/>
        <w:kinsoku/>
        <w:overflowPunct/>
        <w:topLinePunct w:val="0"/>
        <w:autoSpaceDE/>
        <w:autoSpaceDN/>
        <w:bidi w:val="0"/>
        <w:adjustRightInd/>
        <w:snapToGrid/>
        <w:spacing w:line="579" w:lineRule="exact"/>
        <w:ind w:firstLine="640" w:firstLineChars="200"/>
        <w:jc w:val="left"/>
        <w:textAlignment w:val="auto"/>
        <w:rPr>
          <w:rFonts w:hint="eastAsia" w:ascii="仿宋" w:hAnsi="仿宋" w:eastAsia="仿宋" w:cs="仿宋"/>
          <w:b w:val="0"/>
          <w:bCs w:val="0"/>
          <w:sz w:val="32"/>
          <w:szCs w:val="32"/>
          <w:lang w:val="en-US" w:eastAsia="zh-CN"/>
        </w:rPr>
      </w:pPr>
      <w:r>
        <w:rPr>
          <w:rFonts w:hint="eastAsia" w:ascii="黑体" w:hAnsi="黑体" w:eastAsia="黑体" w:cs="黑体"/>
          <w:b w:val="0"/>
          <w:bCs w:val="0"/>
          <w:kern w:val="2"/>
          <w:sz w:val="32"/>
          <w:szCs w:val="32"/>
          <w:lang w:val="en-US" w:eastAsia="zh-CN" w:bidi="ar-SA"/>
        </w:rPr>
        <w:t>七、</w:t>
      </w:r>
      <w:r>
        <w:rPr>
          <w:rFonts w:hint="default" w:ascii="黑体" w:hAnsi="黑体" w:eastAsia="黑体" w:cs="黑体"/>
          <w:b w:val="0"/>
          <w:bCs w:val="0"/>
          <w:kern w:val="2"/>
          <w:sz w:val="32"/>
          <w:szCs w:val="32"/>
          <w:lang w:val="en-US" w:eastAsia="zh-CN" w:bidi="ar-SA"/>
        </w:rPr>
        <w:t>事故防范及整改措施</w:t>
      </w:r>
    </w:p>
    <w:p w14:paraId="345669F9">
      <w:pPr>
        <w:pStyle w:val="2"/>
        <w:keepNext w:val="0"/>
        <w:keepLines w:val="0"/>
        <w:pageBreakBefore w:val="0"/>
        <w:widowControl w:val="0"/>
        <w:kinsoku/>
        <w:overflowPunct/>
        <w:topLinePunct w:val="0"/>
        <w:autoSpaceDE/>
        <w:autoSpaceDN/>
        <w:bidi w:val="0"/>
        <w:adjustRightInd/>
        <w:snapToGrid/>
        <w:spacing w:line="579" w:lineRule="exact"/>
        <w:ind w:left="0" w:leftChars="0" w:firstLine="640"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为防范和杜绝类似生产安全事故的发生，确保生产安全，建议相关人员落实如下整改措施：</w:t>
      </w:r>
    </w:p>
    <w:p w14:paraId="53B1C0D1">
      <w:pPr>
        <w:pStyle w:val="2"/>
        <w:keepNext w:val="0"/>
        <w:keepLines w:val="0"/>
        <w:pageBreakBefore w:val="0"/>
        <w:widowControl w:val="0"/>
        <w:kinsoku/>
        <w:overflowPunct/>
        <w:topLinePunct w:val="0"/>
        <w:autoSpaceDE/>
        <w:autoSpaceDN/>
        <w:bidi w:val="0"/>
        <w:adjustRightInd/>
        <w:snapToGrid/>
        <w:spacing w:line="579" w:lineRule="exact"/>
        <w:ind w:firstLine="643" w:firstLineChars="200"/>
        <w:textAlignment w:val="auto"/>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沈阳市浑南区XX生鲜超市经营者赵X升</w:t>
      </w:r>
    </w:p>
    <w:p w14:paraId="197C8FC2">
      <w:pPr>
        <w:pStyle w:val="2"/>
        <w:keepNext w:val="0"/>
        <w:keepLines w:val="0"/>
        <w:pageBreakBefore w:val="0"/>
        <w:widowControl w:val="0"/>
        <w:kinsoku/>
        <w:overflowPunct/>
        <w:topLinePunct w:val="0"/>
        <w:autoSpaceDE/>
        <w:autoSpaceDN/>
        <w:bidi w:val="0"/>
        <w:adjustRightInd/>
        <w:snapToGrid/>
        <w:spacing w:line="579" w:lineRule="exact"/>
        <w:ind w:firstLine="640" w:firstLineChars="200"/>
        <w:textAlignment w:val="auto"/>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要认真吸取事故教训，保证必要的安全生产资金投入，加强店内员工的安全生产教育培训，确保员工具备安全生产意识；定期对店内设备进行必要的保养和维护，确保设备正常运行。</w:t>
      </w:r>
    </w:p>
    <w:sectPr>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65B3E2">
    <w:pPr>
      <w:pStyle w:val="4"/>
    </w:pPr>
  </w:p>
  <w:p w14:paraId="69CA1F2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7EBC1E">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637EBC1E">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r>
        <w:separator/>
      </w:r>
    </w:p>
  </w:footnote>
  <w:footnote w:type="continuationSeparator" w:id="5">
    <w:p>
      <w:r>
        <w:continuationSeparator/>
      </w:r>
    </w:p>
  </w:footnote>
  <w:footnote w:id="0">
    <w:p w14:paraId="469ADAE6">
      <w:pPr>
        <w:keepNext w:val="0"/>
        <w:keepLines w:val="0"/>
        <w:pageBreakBefore w:val="0"/>
        <w:widowControl w:val="0"/>
        <w:kinsoku/>
        <w:wordWrap/>
        <w:overflowPunct/>
        <w:topLinePunct w:val="0"/>
        <w:bidi w:val="0"/>
        <w:adjustRightInd/>
        <w:spacing w:line="230" w:lineRule="exact"/>
        <w:textAlignment w:val="auto"/>
        <w:rPr>
          <w:rFonts w:hint="eastAsia" w:ascii="宋体" w:hAnsi="宋体" w:eastAsia="宋体" w:cs="宋体"/>
          <w:kern w:val="2"/>
          <w:sz w:val="16"/>
          <w:szCs w:val="16"/>
          <w:lang w:val="en-US" w:eastAsia="zh-CN" w:bidi="ar-SA"/>
        </w:rPr>
      </w:pPr>
      <w:r>
        <w:rPr>
          <w:rFonts w:hint="eastAsia" w:ascii="宋体" w:hAnsi="宋体" w:eastAsia="宋体" w:cs="宋体"/>
          <w:kern w:val="2"/>
          <w:sz w:val="16"/>
          <w:szCs w:val="16"/>
          <w:lang w:val="en-US" w:eastAsia="zh-CN" w:bidi="ar-SA"/>
        </w:rPr>
        <w:t>[</w:t>
      </w:r>
      <w:r>
        <w:rPr>
          <w:rFonts w:hint="eastAsia" w:ascii="宋体" w:hAnsi="宋体" w:eastAsia="宋体" w:cs="宋体"/>
          <w:kern w:val="2"/>
          <w:sz w:val="16"/>
          <w:szCs w:val="16"/>
          <w:lang w:val="en-US" w:eastAsia="zh-CN" w:bidi="ar-SA"/>
        </w:rPr>
        <w:footnoteRef/>
      </w:r>
      <w:r>
        <w:rPr>
          <w:rFonts w:hint="eastAsia" w:ascii="宋体" w:hAnsi="宋体" w:eastAsia="宋体" w:cs="宋体"/>
          <w:kern w:val="2"/>
          <w:sz w:val="16"/>
          <w:szCs w:val="16"/>
          <w:lang w:val="en-US" w:eastAsia="zh-CN" w:bidi="ar-SA"/>
        </w:rPr>
        <w:t>] 《中华人民共和国安全生产法》第二十三条第一款：生产经营单位应当具备的安全生产条件所必需的资金投入，由生产经营单位的决策机构、主要负责人或者个人经营的投资人予以保证，并对由于安全生产所必需的资金投入不足导致的后果承担责任。</w:t>
      </w:r>
    </w:p>
  </w:footnote>
  <w:footnote w:id="1">
    <w:p w14:paraId="19AD1EA5">
      <w:pPr>
        <w:keepNext w:val="0"/>
        <w:keepLines w:val="0"/>
        <w:pageBreakBefore w:val="0"/>
        <w:widowControl w:val="0"/>
        <w:kinsoku/>
        <w:wordWrap/>
        <w:overflowPunct/>
        <w:topLinePunct w:val="0"/>
        <w:bidi w:val="0"/>
        <w:adjustRightInd/>
        <w:spacing w:line="230" w:lineRule="exact"/>
        <w:textAlignment w:val="auto"/>
        <w:rPr>
          <w:rFonts w:hint="eastAsia" w:ascii="宋体" w:hAnsi="宋体" w:eastAsia="宋体" w:cs="宋体"/>
          <w:kern w:val="2"/>
          <w:sz w:val="16"/>
          <w:szCs w:val="16"/>
          <w:lang w:val="en-US" w:eastAsia="zh-CN" w:bidi="ar-SA"/>
        </w:rPr>
      </w:pPr>
      <w:r>
        <w:rPr>
          <w:rFonts w:hint="eastAsia" w:ascii="宋体" w:hAnsi="宋体" w:eastAsia="宋体" w:cs="宋体"/>
          <w:sz w:val="16"/>
          <w:szCs w:val="16"/>
          <w:lang w:val="en-US" w:eastAsia="zh-CN"/>
        </w:rPr>
        <w:t>[</w:t>
      </w:r>
      <w:r>
        <w:rPr>
          <w:rFonts w:hint="eastAsia" w:ascii="宋体" w:hAnsi="宋体" w:eastAsia="宋体" w:cs="宋体"/>
          <w:sz w:val="16"/>
          <w:szCs w:val="16"/>
          <w:lang w:val="en-US" w:eastAsia="zh-CN"/>
        </w:rPr>
        <w:footnoteRef/>
      </w:r>
      <w:r>
        <w:rPr>
          <w:rFonts w:hint="eastAsia" w:ascii="宋体" w:hAnsi="宋体" w:eastAsia="宋体" w:cs="宋体"/>
          <w:sz w:val="16"/>
          <w:szCs w:val="16"/>
          <w:lang w:val="en-US" w:eastAsia="zh-CN"/>
        </w:rPr>
        <w:t>]</w:t>
      </w:r>
      <w:r>
        <w:rPr>
          <w:rFonts w:hint="eastAsia" w:ascii="宋体" w:hAnsi="宋体" w:eastAsia="宋体" w:cs="宋体"/>
          <w:kern w:val="2"/>
          <w:sz w:val="16"/>
          <w:szCs w:val="16"/>
          <w:lang w:val="en-US" w:eastAsia="zh-CN" w:bidi="ar-SA"/>
        </w:rPr>
        <w:t>《中华人民共和国安全生产法》第九十三条：生产经营单位的决策机构、主要负责人或者个人经营的投资人不依照本法规定保证安全生产所必需的资金投入，致使生产经营单位不具备安全生产条件的，责令限期改正，提供必需的资金；逾期未改正的，责令生产经营单位停产停业整顿。</w:t>
      </w:r>
    </w:p>
    <w:p w14:paraId="24858F27">
      <w:pPr>
        <w:keepNext w:val="0"/>
        <w:keepLines w:val="0"/>
        <w:pageBreakBefore w:val="0"/>
        <w:widowControl w:val="0"/>
        <w:kinsoku/>
        <w:wordWrap/>
        <w:overflowPunct/>
        <w:topLinePunct w:val="0"/>
        <w:bidi w:val="0"/>
        <w:adjustRightInd/>
        <w:spacing w:line="230" w:lineRule="exact"/>
        <w:textAlignment w:val="auto"/>
        <w:rPr>
          <w:rFonts w:hint="eastAsia" w:ascii="宋体" w:hAnsi="宋体" w:eastAsia="宋体" w:cs="宋体"/>
          <w:kern w:val="2"/>
          <w:sz w:val="16"/>
          <w:szCs w:val="16"/>
          <w:lang w:val="en-US" w:eastAsia="zh-CN" w:bidi="ar-SA"/>
        </w:rPr>
      </w:pPr>
      <w:r>
        <w:rPr>
          <w:rFonts w:hint="eastAsia" w:ascii="宋体" w:hAnsi="宋体" w:eastAsia="宋体" w:cs="宋体"/>
          <w:kern w:val="2"/>
          <w:sz w:val="16"/>
          <w:szCs w:val="16"/>
          <w:lang w:val="en-US" w:eastAsia="zh-CN" w:bidi="ar-SA"/>
        </w:rPr>
        <w:t>　　有前款违法行为，导致发生生产安全事故的，对生产经营单位的主要负责人给予撤职处分，对个人经营的投资人处二万元以上二十万元以下的罚款；构成犯罪的，依照刑法有关规定追究刑事责任。</w:t>
      </w:r>
    </w:p>
    <w:p w14:paraId="69CEB30A">
      <w:pPr>
        <w:keepNext w:val="0"/>
        <w:keepLines w:val="0"/>
        <w:pageBreakBefore w:val="0"/>
        <w:widowControl w:val="0"/>
        <w:kinsoku/>
        <w:wordWrap/>
        <w:overflowPunct/>
        <w:topLinePunct w:val="0"/>
        <w:bidi w:val="0"/>
        <w:adjustRightInd/>
        <w:spacing w:line="230" w:lineRule="exact"/>
        <w:textAlignment w:val="auto"/>
        <w:rPr>
          <w:rFonts w:hint="eastAsia" w:ascii="宋体" w:hAnsi="宋体" w:eastAsia="宋体" w:cs="宋体"/>
          <w:kern w:val="2"/>
          <w:sz w:val="16"/>
          <w:szCs w:val="16"/>
          <w:lang w:val="en-US" w:eastAsia="zh-CN" w:bidi="ar-SA"/>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975A219"/>
    <w:multiLevelType w:val="singleLevel"/>
    <w:tmpl w:val="E975A219"/>
    <w:lvl w:ilvl="0" w:tentative="0">
      <w:start w:val="2"/>
      <w:numFmt w:val="decimal"/>
      <w:suff w:val="nothing"/>
      <w:lvlText w:val="%1、"/>
      <w:lvlJc w:val="left"/>
    </w:lvl>
  </w:abstractNum>
  <w:abstractNum w:abstractNumId="1">
    <w:nsid w:val="F8C2AFEF"/>
    <w:multiLevelType w:val="singleLevel"/>
    <w:tmpl w:val="F8C2AFEF"/>
    <w:lvl w:ilvl="0" w:tentative="0">
      <w:start w:val="2"/>
      <w:numFmt w:val="decimal"/>
      <w:suff w:val="nothing"/>
      <w:lvlText w:val="%1、"/>
      <w:lvlJc w:val="left"/>
    </w:lvl>
  </w:abstractNum>
  <w:abstractNum w:abstractNumId="2">
    <w:nsid w:val="40DD0404"/>
    <w:multiLevelType w:val="singleLevel"/>
    <w:tmpl w:val="40DD0404"/>
    <w:lvl w:ilvl="0" w:tentative="0">
      <w:start w:val="1"/>
      <w:numFmt w:val="chineseCounting"/>
      <w:suff w:val="nothing"/>
      <w:lvlText w:val="%1、"/>
      <w:lvlJc w:val="left"/>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4"/>
    <w:footnote w:id="5"/>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ExMjViOWI2NDIxNmEyNmNiZTkwYjNhYmFkNDE2MjAifQ=="/>
  </w:docVars>
  <w:rsids>
    <w:rsidRoot w:val="00172A27"/>
    <w:rsid w:val="00A94FEC"/>
    <w:rsid w:val="013531F3"/>
    <w:rsid w:val="03773C2D"/>
    <w:rsid w:val="06A26EE9"/>
    <w:rsid w:val="07061308"/>
    <w:rsid w:val="09720661"/>
    <w:rsid w:val="0ECF17CB"/>
    <w:rsid w:val="0FC21D10"/>
    <w:rsid w:val="101637E3"/>
    <w:rsid w:val="11212363"/>
    <w:rsid w:val="11256311"/>
    <w:rsid w:val="11844B5F"/>
    <w:rsid w:val="118E286E"/>
    <w:rsid w:val="11C20769"/>
    <w:rsid w:val="12B207DE"/>
    <w:rsid w:val="12D26099"/>
    <w:rsid w:val="13141792"/>
    <w:rsid w:val="13877EBC"/>
    <w:rsid w:val="14143437"/>
    <w:rsid w:val="151B125A"/>
    <w:rsid w:val="18800766"/>
    <w:rsid w:val="19C54E88"/>
    <w:rsid w:val="1C324E2B"/>
    <w:rsid w:val="1E5E126D"/>
    <w:rsid w:val="216E2D3B"/>
    <w:rsid w:val="21DB01AC"/>
    <w:rsid w:val="21DF2C72"/>
    <w:rsid w:val="2AB20610"/>
    <w:rsid w:val="2C9F05B3"/>
    <w:rsid w:val="2D1B54A6"/>
    <w:rsid w:val="2D32459D"/>
    <w:rsid w:val="2EE31608"/>
    <w:rsid w:val="30234CEB"/>
    <w:rsid w:val="30B60768"/>
    <w:rsid w:val="348334BA"/>
    <w:rsid w:val="34BE468A"/>
    <w:rsid w:val="384653A1"/>
    <w:rsid w:val="39096AFA"/>
    <w:rsid w:val="3B3C263B"/>
    <w:rsid w:val="3B7B09F0"/>
    <w:rsid w:val="3BAE3989"/>
    <w:rsid w:val="3DA9164D"/>
    <w:rsid w:val="3F9D4D99"/>
    <w:rsid w:val="40460B80"/>
    <w:rsid w:val="464C1CE9"/>
    <w:rsid w:val="4A3A67A3"/>
    <w:rsid w:val="4DDF34CD"/>
    <w:rsid w:val="4F2F6914"/>
    <w:rsid w:val="4FAE58AE"/>
    <w:rsid w:val="50A85BF5"/>
    <w:rsid w:val="525C7843"/>
    <w:rsid w:val="52BB7BB8"/>
    <w:rsid w:val="54A92AE8"/>
    <w:rsid w:val="577613A7"/>
    <w:rsid w:val="58907AC4"/>
    <w:rsid w:val="5AB84569"/>
    <w:rsid w:val="5DD7237A"/>
    <w:rsid w:val="5FFF6400"/>
    <w:rsid w:val="60B923D2"/>
    <w:rsid w:val="6142054C"/>
    <w:rsid w:val="614B7400"/>
    <w:rsid w:val="66D02C8D"/>
    <w:rsid w:val="67B81E4D"/>
    <w:rsid w:val="6833644E"/>
    <w:rsid w:val="685869F5"/>
    <w:rsid w:val="6AD00976"/>
    <w:rsid w:val="6C9854C4"/>
    <w:rsid w:val="6CE348FB"/>
    <w:rsid w:val="6D8D7493"/>
    <w:rsid w:val="71096990"/>
    <w:rsid w:val="717C2845"/>
    <w:rsid w:val="723317BC"/>
    <w:rsid w:val="74EB6AD9"/>
    <w:rsid w:val="74F51705"/>
    <w:rsid w:val="782C7E18"/>
    <w:rsid w:val="78F817C4"/>
    <w:rsid w:val="79D403F5"/>
    <w:rsid w:val="7E2E7B05"/>
    <w:rsid w:val="7F4264C3"/>
    <w:rsid w:val="7F7973D7"/>
    <w:rsid w:val="7F967F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ind w:firstLine="420"/>
    </w:pPr>
  </w:style>
  <w:style w:type="paragraph" w:styleId="3">
    <w:name w:val="caption"/>
    <w:basedOn w:val="1"/>
    <w:next w:val="1"/>
    <w:autoRedefine/>
    <w:semiHidden/>
    <w:unhideWhenUsed/>
    <w:qFormat/>
    <w:uiPriority w:val="0"/>
    <w:rPr>
      <w:rFonts w:ascii="Arial" w:hAnsi="Arial" w:eastAsia="黑体"/>
      <w:sz w:val="20"/>
    </w:rPr>
  </w:style>
  <w:style w:type="paragraph" w:styleId="4">
    <w:name w:val="footer"/>
    <w:basedOn w:val="1"/>
    <w:autoRedefine/>
    <w:qFormat/>
    <w:uiPriority w:val="0"/>
    <w:pPr>
      <w:tabs>
        <w:tab w:val="center" w:pos="4153"/>
        <w:tab w:val="right" w:pos="8306"/>
      </w:tabs>
      <w:snapToGrid w:val="0"/>
      <w:jc w:val="left"/>
    </w:pPr>
    <w:rPr>
      <w:sz w:val="18"/>
    </w:rPr>
  </w:style>
  <w:style w:type="paragraph" w:styleId="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footnote text"/>
    <w:basedOn w:val="1"/>
    <w:autoRedefine/>
    <w:qFormat/>
    <w:uiPriority w:val="0"/>
    <w:pPr>
      <w:snapToGrid w:val="0"/>
      <w:jc w:val="left"/>
    </w:pPr>
    <w:rPr>
      <w:sz w:val="18"/>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basedOn w:val="9"/>
    <w:autoRedefine/>
    <w:qFormat/>
    <w:uiPriority w:val="0"/>
    <w:rPr>
      <w:color w:val="0000FF"/>
      <w:u w:val="single"/>
    </w:rPr>
  </w:style>
  <w:style w:type="character" w:styleId="11">
    <w:name w:val="footnote reference"/>
    <w:basedOn w:val="9"/>
    <w:autoRedefine/>
    <w:qFormat/>
    <w:uiPriority w:val="0"/>
    <w:rPr>
      <w:vertAlign w:val="superscript"/>
    </w:rPr>
  </w:style>
  <w:style w:type="character" w:customStyle="1" w:styleId="12">
    <w:name w:val="UserStyle_7"/>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3992</Words>
  <Characters>4138</Characters>
  <Lines>0</Lines>
  <Paragraphs>0</Paragraphs>
  <TotalTime>0</TotalTime>
  <ScaleCrop>false</ScaleCrop>
  <LinksUpToDate>false</LinksUpToDate>
  <CharactersWithSpaces>4152</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2023-08-30T01:32:00Z</dcterms:created>
  <dc:creator>WPS_1660046945</dc:creator>
  <cp:lastModifiedBy>杨洋</cp:lastModifiedBy>
  <cp:lastPrinted>2023-12-14T02:24:00Z</cp:lastPrinted>
  <dcterms:modified xsi:type="dcterms:W3CDTF">2026-06-15T03:12:22Z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D4ECBD028DF84DE0993CBCEE5AC0F755_13</vt:lpwstr>
  </property>
  <property fmtid="{D5CDD505-2E9C-101B-9397-08002B2CF9AE}" pid="4" name="KSOTemplateDocerSaveRecord">
    <vt:lpwstr>eyJoZGlkIjoiNzZiZTQ3ZmI1OTFmODUzNzgwMGRlNDBmMWZiZDQzMjEiLCJ1c2VySWQiOiIyMzQ0MjI2NjQifQ==</vt:lpwstr>
  </property>
</Properties>
</file>