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BF76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华文中宋" w:hAnsi="华文中宋" w:eastAsia="华文中宋" w:cs="华文中宋"/>
          <w:b/>
          <w:color w:val="000000"/>
          <w:sz w:val="44"/>
          <w:szCs w:val="44"/>
          <w:highlight w:val="none"/>
          <w:shd w:val="clear" w:color="auto" w:fill="FFFFFF"/>
        </w:rPr>
      </w:pPr>
      <w:r>
        <w:rPr>
          <w:rFonts w:hint="eastAsia" w:ascii="华文中宋" w:hAnsi="华文中宋" w:eastAsia="华文中宋" w:cs="华文中宋"/>
          <w:b/>
          <w:color w:val="000000"/>
          <w:sz w:val="44"/>
          <w:szCs w:val="44"/>
          <w:highlight w:val="none"/>
          <w:shd w:val="clear" w:color="auto" w:fill="FFFFFF"/>
        </w:rPr>
        <w:t>安全生产行政执法文书</w:t>
      </w:r>
    </w:p>
    <w:p w14:paraId="693B545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华文中宋" w:hAnsi="华文中宋" w:eastAsia="华文中宋" w:cs="华文中宋"/>
          <w:b/>
          <w:color w:val="000000"/>
          <w:sz w:val="44"/>
          <w:szCs w:val="44"/>
          <w:highlight w:val="none"/>
          <w:shd w:val="clear" w:color="auto" w:fill="FFFFFF"/>
        </w:rPr>
      </w:pPr>
      <w:r>
        <w:rPr>
          <w:rFonts w:hint="eastAsia" w:ascii="华文中宋" w:hAnsi="华文中宋" w:eastAsia="华文中宋" w:cs="华文中宋"/>
          <w:b/>
          <w:sz w:val="44"/>
          <w:szCs w:val="44"/>
          <w:highlight w:val="none"/>
        </w:rPr>
        <mc:AlternateContent>
          <mc:Choice Requires="wps">
            <w:drawing>
              <wp:anchor distT="0" distB="0" distL="114300" distR="114300" simplePos="0" relativeHeight="251659264" behindDoc="0" locked="0" layoutInCell="1" allowOverlap="1">
                <wp:simplePos x="0" y="0"/>
                <wp:positionH relativeFrom="column">
                  <wp:posOffset>-67310</wp:posOffset>
                </wp:positionH>
                <wp:positionV relativeFrom="paragraph">
                  <wp:posOffset>0</wp:posOffset>
                </wp:positionV>
                <wp:extent cx="5687060" cy="8890"/>
                <wp:effectExtent l="0" t="19050" r="8890" b="29210"/>
                <wp:wrapNone/>
                <wp:docPr id="24" name="直接箭头连接符 24"/>
                <wp:cNvGraphicFramePr/>
                <a:graphic xmlns:a="http://schemas.openxmlformats.org/drawingml/2006/main">
                  <a:graphicData uri="http://schemas.microsoft.com/office/word/2010/wordprocessingShape">
                    <wps:wsp>
                      <wps:cNvCnPr/>
                      <wps:spPr>
                        <a:xfrm>
                          <a:off x="0" y="0"/>
                          <a:ext cx="5687060" cy="8890"/>
                        </a:xfrm>
                        <a:prstGeom prst="straightConnector1">
                          <a:avLst/>
                        </a:prstGeom>
                        <a:ln w="38100" cap="flat" cmpd="dbl">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5.3pt;margin-top:0pt;height:0.7pt;width:447.8pt;z-index:251659264;mso-width-relative:page;mso-height-relative:page;" filled="f" stroked="t" coordsize="21600,21600" o:gfxdata="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KuFPtEAAAAGAQAADwAAAAAAAAABACAAAAAiAAAAZHJzL2Rv&#10;d25yZXYueG1sUEsBAhQAFAAAAAgAh07iQAManrgIAgAA/AMAAA4AAAAAAAAAAQAgAAAAIAEAAGRy&#10;cy9lMm9Eb2MueG1sUEsFBgAAAAAGAAYAWQEAAJoFAAAAAA==&#10;">
                <v:fill on="f" focussize="0,0"/>
                <v:stroke weight="3pt" color="#000000" linestyle="thinThin" joinstyle="round"/>
                <v:imagedata o:title=""/>
                <o:lock v:ext="edit" aspectratio="f"/>
              </v:shape>
            </w:pict>
          </mc:Fallback>
        </mc:AlternateContent>
      </w:r>
      <w:r>
        <w:rPr>
          <w:rFonts w:hint="eastAsia" w:ascii="华文中宋" w:hAnsi="华文中宋" w:eastAsia="华文中宋" w:cs="华文中宋"/>
          <w:b/>
          <w:color w:val="000000"/>
          <w:sz w:val="44"/>
          <w:szCs w:val="44"/>
          <w:highlight w:val="none"/>
          <w:shd w:val="clear" w:color="auto" w:fill="FFFFFF"/>
        </w:rPr>
        <w:t>行政处罚决定书</w:t>
      </w:r>
    </w:p>
    <w:p w14:paraId="05594D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w:t>
      </w:r>
      <w:r>
        <w:rPr>
          <w:rFonts w:hint="eastAsia" w:ascii="仿宋_GB2312" w:hAnsi="仿宋_GB2312" w:eastAsia="仿宋_GB2312" w:cs="仿宋_GB2312"/>
          <w:b w:val="0"/>
          <w:bCs w:val="0"/>
          <w:color w:val="000000"/>
          <w:sz w:val="24"/>
          <w:szCs w:val="24"/>
          <w:highlight w:val="none"/>
          <w:lang w:eastAsia="zh-CN"/>
        </w:rPr>
        <w:t>沈浑</w:t>
      </w:r>
      <w:r>
        <w:rPr>
          <w:rFonts w:hint="eastAsia" w:ascii="仿宋_GB2312" w:hAnsi="仿宋_GB2312" w:eastAsia="仿宋_GB2312" w:cs="仿宋_GB2312"/>
          <w:b w:val="0"/>
          <w:bCs w:val="0"/>
          <w:color w:val="000000"/>
          <w:sz w:val="24"/>
          <w:szCs w:val="24"/>
          <w:highlight w:val="none"/>
        </w:rPr>
        <w:t>）应急</w:t>
      </w:r>
      <w:r>
        <w:rPr>
          <w:rFonts w:hint="eastAsia" w:ascii="仿宋_GB2312" w:hAnsi="仿宋_GB2312" w:eastAsia="仿宋_GB2312" w:cs="仿宋_GB2312"/>
          <w:b w:val="0"/>
          <w:bCs w:val="0"/>
          <w:color w:val="000000"/>
          <w:sz w:val="24"/>
          <w:szCs w:val="24"/>
          <w:highlight w:val="none"/>
          <w:shd w:val="clear" w:color="auto" w:fill="FFFFFF"/>
        </w:rPr>
        <w:t>罚</w:t>
      </w:r>
      <w:r>
        <w:rPr>
          <w:rFonts w:hint="eastAsia" w:ascii="仿宋_GB2312" w:hAnsi="仿宋_GB2312" w:eastAsia="仿宋_GB2312" w:cs="仿宋_GB2312"/>
          <w:b w:val="0"/>
          <w:bCs w:val="0"/>
          <w:color w:val="000000"/>
          <w:sz w:val="24"/>
          <w:szCs w:val="24"/>
          <w:highlight w:val="none"/>
          <w:lang w:eastAsia="zh-CN"/>
        </w:rPr>
        <w:t>〔202</w:t>
      </w:r>
      <w:r>
        <w:rPr>
          <w:rFonts w:hint="eastAsia" w:ascii="仿宋_GB2312" w:hAnsi="仿宋_GB2312" w:eastAsia="仿宋_GB2312" w:cs="仿宋_GB2312"/>
          <w:b w:val="0"/>
          <w:bCs w:val="0"/>
          <w:color w:val="000000"/>
          <w:sz w:val="24"/>
          <w:szCs w:val="24"/>
          <w:highlight w:val="none"/>
          <w:lang w:val="en-US" w:eastAsia="zh-CN"/>
        </w:rPr>
        <w:t>6</w:t>
      </w:r>
      <w:r>
        <w:rPr>
          <w:rFonts w:hint="eastAsia" w:ascii="仿宋_GB2312" w:hAnsi="仿宋_GB2312" w:eastAsia="仿宋_GB2312" w:cs="仿宋_GB2312"/>
          <w:b w:val="0"/>
          <w:bCs w:val="0"/>
          <w:color w:val="000000"/>
          <w:sz w:val="24"/>
          <w:szCs w:val="24"/>
          <w:highlight w:val="none"/>
          <w:lang w:eastAsia="zh-CN"/>
        </w:rPr>
        <w:t>〕监管</w:t>
      </w:r>
      <w:r>
        <w:rPr>
          <w:rFonts w:hint="eastAsia" w:ascii="仿宋_GB2312" w:hAnsi="仿宋_GB2312" w:eastAsia="仿宋_GB2312" w:cs="仿宋_GB2312"/>
          <w:b w:val="0"/>
          <w:bCs w:val="0"/>
          <w:color w:val="000000"/>
          <w:sz w:val="24"/>
          <w:szCs w:val="24"/>
          <w:highlight w:val="none"/>
          <w:lang w:val="en-US" w:eastAsia="zh-CN"/>
        </w:rPr>
        <w:t>4</w:t>
      </w:r>
      <w:r>
        <w:rPr>
          <w:rFonts w:hint="eastAsia" w:ascii="仿宋_GB2312" w:hAnsi="仿宋_GB2312" w:eastAsia="仿宋_GB2312" w:cs="仿宋_GB2312"/>
          <w:b w:val="0"/>
          <w:bCs w:val="0"/>
          <w:color w:val="000000"/>
          <w:sz w:val="24"/>
          <w:szCs w:val="24"/>
          <w:highlight w:val="none"/>
          <w:lang w:eastAsia="zh-CN"/>
        </w:rPr>
        <w:t>号</w:t>
      </w:r>
    </w:p>
    <w:p w14:paraId="3DAB1E7B">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rPr>
      </w:pPr>
    </w:p>
    <w:p w14:paraId="3B310D40">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被处罚人：</w:t>
      </w:r>
      <w:r>
        <w:rPr>
          <w:rFonts w:hint="eastAsia" w:ascii="仿宋_GB2312" w:hAnsi="仿宋_GB2312" w:eastAsia="仿宋_GB2312" w:cs="仿宋_GB2312"/>
          <w:b w:val="0"/>
          <w:bCs w:val="0"/>
          <w:color w:val="000000"/>
          <w:sz w:val="24"/>
          <w:szCs w:val="24"/>
          <w:highlight w:val="none"/>
          <w:u w:val="single"/>
          <w:lang w:val="en-US" w:eastAsia="zh-CN"/>
        </w:rPr>
        <w:t xml:space="preserve">  马翠璐    </w:t>
      </w:r>
      <w:r>
        <w:rPr>
          <w:rFonts w:hint="eastAsia" w:ascii="仿宋_GB2312" w:hAnsi="仿宋_GB2312" w:eastAsia="仿宋_GB2312" w:cs="仿宋_GB2312"/>
          <w:b w:val="0"/>
          <w:bCs w:val="0"/>
          <w:color w:val="000000"/>
          <w:sz w:val="24"/>
          <w:szCs w:val="24"/>
          <w:highlight w:val="none"/>
          <w:u w:val="none"/>
          <w:lang w:val="en-US" w:eastAsia="zh-CN"/>
        </w:rPr>
        <w:t xml:space="preserve"> 性别：</w:t>
      </w:r>
      <w:r>
        <w:rPr>
          <w:rFonts w:hint="eastAsia" w:ascii="仿宋_GB2312" w:hAnsi="仿宋_GB2312" w:eastAsia="仿宋_GB2312" w:cs="仿宋_GB2312"/>
          <w:b w:val="0"/>
          <w:bCs w:val="0"/>
          <w:color w:val="000000"/>
          <w:sz w:val="24"/>
          <w:szCs w:val="24"/>
          <w:highlight w:val="none"/>
          <w:u w:val="single"/>
          <w:lang w:val="en-US" w:eastAsia="zh-CN"/>
        </w:rPr>
        <w:t xml:space="preserve"> 女  </w:t>
      </w:r>
      <w:r>
        <w:rPr>
          <w:rFonts w:hint="eastAsia" w:ascii="仿宋_GB2312" w:hAnsi="仿宋_GB2312" w:eastAsia="仿宋_GB2312" w:cs="仿宋_GB2312"/>
          <w:b w:val="0"/>
          <w:bCs w:val="0"/>
          <w:color w:val="000000"/>
          <w:sz w:val="24"/>
          <w:szCs w:val="24"/>
          <w:highlight w:val="none"/>
          <w:u w:val="none"/>
          <w:lang w:val="en-US" w:eastAsia="zh-CN"/>
        </w:rPr>
        <w:t xml:space="preserve"> 年龄：</w:t>
      </w:r>
      <w:r>
        <w:rPr>
          <w:rFonts w:hint="eastAsia" w:ascii="仿宋_GB2312" w:hAnsi="仿宋_GB2312" w:eastAsia="仿宋_GB2312" w:cs="仿宋_GB2312"/>
          <w:b w:val="0"/>
          <w:bCs w:val="0"/>
          <w:color w:val="000000"/>
          <w:sz w:val="24"/>
          <w:szCs w:val="24"/>
          <w:highlight w:val="none"/>
          <w:u w:val="single"/>
          <w:lang w:val="en-US" w:eastAsia="zh-CN"/>
        </w:rPr>
        <w:t xml:space="preserve">  40    </w:t>
      </w:r>
      <w:r>
        <w:rPr>
          <w:rFonts w:hint="eastAsia" w:ascii="仿宋_GB2312" w:hAnsi="仿宋_GB2312" w:eastAsia="仿宋_GB2312" w:cs="仿宋_GB2312"/>
          <w:b w:val="0"/>
          <w:bCs w:val="0"/>
          <w:color w:val="000000"/>
          <w:sz w:val="24"/>
          <w:szCs w:val="24"/>
          <w:highlight w:val="none"/>
          <w:u w:val="none"/>
          <w:lang w:val="en-US" w:eastAsia="zh-CN"/>
        </w:rPr>
        <w:t xml:space="preserve"> 联系电话：</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19749AE7">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身份证号码：</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bookmarkStart w:id="0" w:name="_GoBack"/>
      <w:bookmarkEnd w:id="0"/>
      <w:r>
        <w:rPr>
          <w:rFonts w:hint="eastAsia" w:ascii="仿宋_GB2312" w:hAnsi="仿宋_GB2312" w:eastAsia="仿宋_GB2312" w:cs="仿宋_GB2312"/>
          <w:b w:val="0"/>
          <w:bCs w:val="0"/>
          <w:color w:val="000000"/>
          <w:sz w:val="24"/>
          <w:szCs w:val="24"/>
          <w:highlight w:val="none"/>
          <w:u w:val="none"/>
          <w:lang w:val="en-US" w:eastAsia="zh-CN"/>
        </w:rPr>
        <w:t xml:space="preserve">    住址：</w:t>
      </w:r>
      <w:r>
        <w:rPr>
          <w:rFonts w:hint="eastAsia" w:ascii="仿宋_GB2312" w:hAnsi="仿宋_GB2312" w:eastAsia="仿宋_GB2312" w:cs="仿宋_GB2312"/>
          <w:b w:val="0"/>
          <w:bCs w:val="0"/>
          <w:color w:val="000000"/>
          <w:sz w:val="24"/>
          <w:szCs w:val="24"/>
          <w:highlight w:val="none"/>
          <w:u w:val="single"/>
          <w:lang w:val="en-US" w:eastAsia="zh-CN"/>
        </w:rPr>
        <w:t xml:space="preserve"> 沈阳市大东区联合路  </w:t>
      </w:r>
    </w:p>
    <w:p w14:paraId="55EAE47F">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non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所在单位：</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lang w:val="en-US" w:eastAsia="zh-CN"/>
        </w:rPr>
        <w:t>沈阳市棋盘山开发区鸿望加油站</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职务：</w:t>
      </w:r>
      <w:r>
        <w:rPr>
          <w:rFonts w:hint="eastAsia" w:ascii="仿宋_GB2312" w:hAnsi="仿宋_GB2312" w:eastAsia="仿宋_GB2312" w:cs="仿宋_GB2312"/>
          <w:b w:val="0"/>
          <w:bCs w:val="0"/>
          <w:color w:val="000000"/>
          <w:sz w:val="24"/>
          <w:szCs w:val="24"/>
          <w:highlight w:val="none"/>
          <w:u w:val="single"/>
          <w:lang w:val="en-US" w:eastAsia="zh-CN"/>
        </w:rPr>
        <w:t xml:space="preserve">    主要负责人                          </w:t>
      </w:r>
    </w:p>
    <w:p w14:paraId="5436BE7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单位地址：</w:t>
      </w:r>
      <w:r>
        <w:rPr>
          <w:rFonts w:hint="eastAsia" w:ascii="仿宋_GB2312" w:hAnsi="仿宋_GB2312" w:eastAsia="仿宋_GB2312" w:cs="仿宋_GB2312"/>
          <w:b w:val="0"/>
          <w:bCs w:val="0"/>
          <w:color w:val="000000"/>
          <w:sz w:val="24"/>
          <w:szCs w:val="24"/>
          <w:highlight w:val="none"/>
          <w:u w:val="single"/>
          <w:lang w:val="en-US" w:eastAsia="zh-CN"/>
        </w:rPr>
        <w:t xml:space="preserve">  辽宁省沈阳市浑南区满堂街道望滨村                                                            </w:t>
      </w:r>
    </w:p>
    <w:p w14:paraId="23173708">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被处罚单位：</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58E89E92">
      <w:pPr>
        <w:adjustRightInd w:val="0"/>
        <w:snapToGrid w:val="0"/>
        <w:spacing w:line="560" w:lineRule="exact"/>
        <w:rPr>
          <w:rFonts w:hint="eastAsia" w:ascii="仿宋_GB2312" w:hAnsi="仿宋_GB2312" w:eastAsia="仿宋_GB2312" w:cs="仿宋_GB2312"/>
          <w:b w:val="0"/>
          <w:bCs w:val="0"/>
          <w:color w:val="000000"/>
          <w:sz w:val="24"/>
          <w:szCs w:val="24"/>
          <w:highlight w:val="none"/>
          <w:shd w:val="clear" w:color="auto" w:fill="FFFFFF"/>
        </w:rPr>
      </w:pPr>
      <w:r>
        <w:rPr>
          <w:rFonts w:hint="eastAsia" w:ascii="仿宋_GB2312" w:hAnsi="仿宋_GB2312" w:eastAsia="仿宋_GB2312" w:cs="仿宋_GB2312"/>
          <w:b w:val="0"/>
          <w:bCs w:val="0"/>
          <w:color w:val="000000"/>
          <w:sz w:val="24"/>
          <w:szCs w:val="24"/>
          <w:highlight w:val="none"/>
          <w:shd w:val="clear" w:color="auto" w:fill="FFFFFF"/>
          <w:lang w:val="en-US" w:eastAsia="zh-CN"/>
        </w:rPr>
        <w:t>统一社会信用代码：</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 xml:space="preserve">                       </w:t>
      </w:r>
    </w:p>
    <w:p w14:paraId="30371687">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地址：</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w:t>
      </w:r>
    </w:p>
    <w:p w14:paraId="0E8D0BFE">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b w:val="0"/>
          <w:bCs w:val="0"/>
          <w:color w:val="000000"/>
          <w:sz w:val="24"/>
          <w:szCs w:val="24"/>
          <w:highlight w:val="none"/>
          <w:u w:val="single"/>
          <w:shd w:val="clear" w:color="auto" w:fill="FFFFFF"/>
          <w:lang w:val="en-US" w:eastAsia="zh-CN"/>
        </w:rPr>
      </w:pP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法定代表人（负责人）：</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联系电话：</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 xml:space="preserve">             </w:t>
      </w:r>
    </w:p>
    <w:p w14:paraId="104052E7">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身份证号码：</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shd w:val="clear" w:color="auto" w:fill="FFFFFF"/>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职    务：</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57895B8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rPr>
      </w:pPr>
    </w:p>
    <w:p w14:paraId="40372465">
      <w:pPr>
        <w:numPr>
          <w:ilvl w:val="0"/>
          <w:numId w:val="0"/>
        </w:numPr>
        <w:adjustRightInd w:val="0"/>
        <w:snapToGrid w:val="0"/>
        <w:spacing w:line="560" w:lineRule="exact"/>
        <w:ind w:firstLine="480" w:firstLineChars="200"/>
        <w:jc w:val="both"/>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本机关于</w:t>
      </w:r>
      <w:r>
        <w:rPr>
          <w:rFonts w:hint="eastAsia" w:ascii="仿宋_GB2312" w:hAnsi="仿宋_GB2312" w:eastAsia="仿宋_GB2312" w:cs="仿宋_GB2312"/>
          <w:b w:val="0"/>
          <w:bCs w:val="0"/>
          <w:color w:val="000000"/>
          <w:sz w:val="24"/>
          <w:szCs w:val="24"/>
          <w:highlight w:val="none"/>
          <w:u w:val="single"/>
          <w:lang w:val="en-US" w:eastAsia="zh-CN"/>
        </w:rPr>
        <w:t>2026</w:t>
      </w:r>
      <w:r>
        <w:rPr>
          <w:rFonts w:hint="eastAsia" w:ascii="仿宋_GB2312" w:hAnsi="仿宋_GB2312" w:eastAsia="仿宋_GB2312" w:cs="仿宋_GB2312"/>
          <w:b w:val="0"/>
          <w:bCs w:val="0"/>
          <w:color w:val="000000"/>
          <w:sz w:val="24"/>
          <w:szCs w:val="24"/>
          <w:highlight w:val="none"/>
        </w:rPr>
        <w:t>年</w:t>
      </w:r>
      <w:r>
        <w:rPr>
          <w:rFonts w:hint="eastAsia" w:ascii="仿宋_GB2312" w:hAnsi="仿宋_GB2312" w:eastAsia="仿宋_GB2312" w:cs="仿宋_GB2312"/>
          <w:b w:val="0"/>
          <w:bCs w:val="0"/>
          <w:color w:val="000000"/>
          <w:sz w:val="24"/>
          <w:szCs w:val="24"/>
          <w:highlight w:val="none"/>
          <w:u w:val="single"/>
          <w:lang w:val="en-US" w:eastAsia="zh-CN"/>
        </w:rPr>
        <w:t>3</w:t>
      </w:r>
      <w:r>
        <w:rPr>
          <w:rFonts w:hint="eastAsia" w:ascii="仿宋_GB2312" w:hAnsi="仿宋_GB2312" w:eastAsia="仿宋_GB2312" w:cs="仿宋_GB2312"/>
          <w:b w:val="0"/>
          <w:bCs w:val="0"/>
          <w:color w:val="000000"/>
          <w:sz w:val="24"/>
          <w:szCs w:val="24"/>
          <w:highlight w:val="none"/>
        </w:rPr>
        <w:t>月</w:t>
      </w:r>
      <w:r>
        <w:rPr>
          <w:rFonts w:hint="eastAsia" w:ascii="仿宋_GB2312" w:hAnsi="仿宋_GB2312" w:eastAsia="仿宋_GB2312" w:cs="仿宋_GB2312"/>
          <w:b w:val="0"/>
          <w:bCs w:val="0"/>
          <w:color w:val="000000"/>
          <w:sz w:val="24"/>
          <w:szCs w:val="24"/>
          <w:highlight w:val="none"/>
          <w:u w:val="single"/>
          <w:lang w:val="en-US" w:eastAsia="zh-CN"/>
        </w:rPr>
        <w:t>27</w:t>
      </w:r>
      <w:r>
        <w:rPr>
          <w:rFonts w:hint="eastAsia" w:ascii="仿宋_GB2312" w:hAnsi="仿宋_GB2312" w:eastAsia="仿宋_GB2312" w:cs="仿宋_GB2312"/>
          <w:b w:val="0"/>
          <w:bCs w:val="0"/>
          <w:color w:val="000000"/>
          <w:sz w:val="24"/>
          <w:szCs w:val="24"/>
          <w:highlight w:val="none"/>
          <w:shd w:val="clear" w:color="auto" w:fill="FFFFFF"/>
        </w:rPr>
        <w:t>日</w:t>
      </w:r>
      <w:r>
        <w:rPr>
          <w:rFonts w:hint="eastAsia" w:ascii="仿宋_GB2312" w:hAnsi="仿宋_GB2312" w:eastAsia="仿宋_GB2312" w:cs="仿宋_GB2312"/>
          <w:b w:val="0"/>
          <w:bCs w:val="0"/>
          <w:color w:val="000000"/>
          <w:sz w:val="24"/>
          <w:szCs w:val="24"/>
          <w:highlight w:val="none"/>
          <w:lang w:val="en-US" w:eastAsia="zh-CN"/>
        </w:rPr>
        <w:t>对你单位</w:t>
      </w:r>
      <w:r>
        <w:rPr>
          <w:rFonts w:hint="eastAsia" w:ascii="仿宋_GB2312" w:hAnsi="仿宋_GB2312" w:eastAsia="仿宋_GB2312" w:cs="仿宋_GB2312"/>
          <w:b w:val="0"/>
          <w:bCs w:val="0"/>
          <w:color w:val="000000"/>
          <w:sz w:val="24"/>
          <w:szCs w:val="24"/>
          <w:highlight w:val="none"/>
          <w:u w:val="single"/>
          <w:lang w:val="en-US" w:eastAsia="zh-CN"/>
        </w:rPr>
        <w:t>安全生产规章制度类违法</w:t>
      </w:r>
      <w:r>
        <w:rPr>
          <w:rFonts w:hint="eastAsia" w:ascii="仿宋_GB2312" w:hAnsi="仿宋_GB2312" w:eastAsia="仿宋_GB2312" w:cs="仿宋_GB2312"/>
          <w:b w:val="0"/>
          <w:bCs w:val="0"/>
          <w:color w:val="000000"/>
          <w:sz w:val="24"/>
          <w:szCs w:val="24"/>
          <w:highlight w:val="none"/>
          <w:lang w:val="en-US" w:eastAsia="zh-CN"/>
        </w:rPr>
        <w:t>立案调查。经调查，你单位</w:t>
      </w:r>
      <w:r>
        <w:rPr>
          <w:rFonts w:hint="eastAsia" w:ascii="仿宋_GB2312" w:hAnsi="仿宋_GB2312" w:eastAsia="仿宋_GB2312" w:cs="仿宋_GB2312"/>
          <w:b w:val="0"/>
          <w:bCs w:val="0"/>
          <w:color w:val="000000"/>
          <w:sz w:val="24"/>
          <w:szCs w:val="24"/>
          <w:highlight w:val="none"/>
          <w:u w:val="single"/>
          <w:lang w:val="en-US" w:eastAsia="zh-CN"/>
        </w:rPr>
        <w:t>主要负责人</w:t>
      </w:r>
      <w:r>
        <w:rPr>
          <w:rFonts w:hint="eastAsia" w:ascii="仿宋_GB2312" w:hAnsi="仿宋_GB2312" w:eastAsia="仿宋_GB2312" w:cs="仿宋_GB2312"/>
          <w:b w:val="0"/>
          <w:bCs/>
          <w:color w:val="000000"/>
          <w:sz w:val="24"/>
          <w:szCs w:val="24"/>
          <w:highlight w:val="none"/>
          <w:u w:val="single"/>
          <w:lang w:val="en-US" w:eastAsia="zh-CN"/>
        </w:rPr>
        <w:t>未组织制定并实施本单位手机支付的安全生产规章制度和操作规程</w:t>
      </w:r>
      <w:r>
        <w:rPr>
          <w:rFonts w:hint="eastAsia" w:ascii="仿宋_GB2312" w:hAnsi="仿宋_GB2312" w:eastAsia="仿宋_GB2312" w:cs="仿宋_GB2312"/>
          <w:b w:val="0"/>
          <w:bCs w:val="0"/>
          <w:color w:val="000000"/>
          <w:sz w:val="24"/>
          <w:szCs w:val="24"/>
          <w:highlight w:val="none"/>
          <w:u w:val="single"/>
          <w:lang w:eastAsia="zh-CN"/>
        </w:rPr>
        <w:t>，加油作业区内未安装可燃气体声光报警装置不允许客户使用手机支付。</w:t>
      </w:r>
      <w:r>
        <w:rPr>
          <w:rFonts w:hint="eastAsia" w:ascii="仿宋_GB2312" w:hAnsi="仿宋_GB2312" w:eastAsia="仿宋_GB2312" w:cs="仿宋_GB2312"/>
          <w:b w:val="0"/>
          <w:bCs w:val="0"/>
          <w:color w:val="000000"/>
          <w:sz w:val="24"/>
          <w:szCs w:val="24"/>
          <w:highlight w:val="none"/>
        </w:rPr>
        <w:t>以上事实</w:t>
      </w:r>
      <w:r>
        <w:rPr>
          <w:rFonts w:hint="eastAsia" w:ascii="仿宋_GB2312" w:hAnsi="仿宋_GB2312" w:eastAsia="仿宋_GB2312" w:cs="仿宋_GB2312"/>
          <w:b w:val="0"/>
          <w:bCs w:val="0"/>
          <w:color w:val="000000"/>
          <w:sz w:val="24"/>
          <w:szCs w:val="24"/>
          <w:highlight w:val="none"/>
          <w:lang w:val="en-US" w:eastAsia="zh-CN"/>
        </w:rPr>
        <w:t>有</w:t>
      </w:r>
      <w:r>
        <w:rPr>
          <w:rFonts w:hint="eastAsia" w:ascii="仿宋_GB2312" w:hAnsi="仿宋_GB2312" w:eastAsia="仿宋_GB2312" w:cs="仿宋_GB2312"/>
          <w:b w:val="0"/>
          <w:bCs w:val="0"/>
          <w:sz w:val="24"/>
          <w:szCs w:val="24"/>
          <w:highlight w:val="none"/>
          <w:u w:val="single"/>
          <w:lang w:eastAsia="zh-CN"/>
        </w:rPr>
        <w:t>《现场检查记录》《责令限期整改指令书》</w:t>
      </w:r>
      <w:r>
        <w:rPr>
          <w:rFonts w:hint="eastAsia" w:ascii="仿宋_GB2312" w:hAnsi="仿宋_GB2312" w:eastAsia="仿宋_GB2312" w:cs="仿宋_GB2312"/>
          <w:b w:val="0"/>
          <w:bCs w:val="0"/>
          <w:color w:val="000000"/>
          <w:sz w:val="24"/>
          <w:szCs w:val="24"/>
          <w:highlight w:val="none"/>
          <w:u w:val="single"/>
          <w:lang w:val="en-US" w:eastAsia="zh-CN"/>
        </w:rPr>
        <w:t>《调查询问笔录》</w:t>
      </w:r>
      <w:r>
        <w:rPr>
          <w:rFonts w:hint="eastAsia" w:ascii="仿宋_GB2312" w:hAnsi="仿宋_GB2312" w:eastAsia="仿宋_GB2312" w:cs="仿宋_GB2312"/>
          <w:b w:val="0"/>
          <w:bCs w:val="0"/>
          <w:sz w:val="24"/>
          <w:szCs w:val="24"/>
          <w:highlight w:val="none"/>
          <w:u w:val="single"/>
          <w:lang w:val="en-US" w:eastAsia="zh-CN"/>
        </w:rPr>
        <w:t>《整改复查意见书》</w:t>
      </w:r>
      <w:r>
        <w:rPr>
          <w:rFonts w:hint="eastAsia" w:ascii="仿宋_GB2312" w:hAnsi="仿宋_GB2312" w:eastAsia="仿宋_GB2312" w:cs="仿宋_GB2312"/>
          <w:b w:val="0"/>
          <w:bCs w:val="0"/>
          <w:color w:val="000000"/>
          <w:sz w:val="24"/>
          <w:szCs w:val="24"/>
          <w:highlight w:val="none"/>
          <w:lang w:val="en-US" w:eastAsia="zh-CN"/>
        </w:rPr>
        <w:t>等证据证实。</w:t>
      </w:r>
    </w:p>
    <w:p w14:paraId="40714324">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pacing w:val="0"/>
          <w:sz w:val="24"/>
          <w:szCs w:val="24"/>
          <w:highlight w:val="none"/>
          <w:shd w:val="clear" w:color="auto" w:fill="auto"/>
          <w:lang w:val="en-US" w:eastAsia="zh-CN"/>
        </w:rPr>
        <w:sectPr>
          <w:footerReference r:id="rId3" w:type="default"/>
          <w:pgSz w:w="11906" w:h="16838"/>
          <w:pgMar w:top="1701" w:right="1587" w:bottom="1474" w:left="1587" w:header="0" w:footer="1134" w:gutter="0"/>
          <w:pgBorders>
            <w:top w:val="none" w:sz="0" w:space="0"/>
            <w:left w:val="none" w:sz="0" w:space="0"/>
            <w:bottom w:val="none" w:sz="0" w:space="0"/>
            <w:right w:val="none" w:sz="0" w:space="0"/>
          </w:pgBorders>
          <w:pgNumType w:fmt="numberInDash"/>
          <w:cols w:space="720" w:num="1"/>
          <w:docGrid w:type="lines" w:linePitch="323" w:charSpace="0"/>
        </w:sectPr>
      </w:pP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以上行为，违反了</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《加油站作业安全规范》（</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AQ 3010-2022</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第4.5条、</w:t>
      </w:r>
      <w:r>
        <w:rPr>
          <w:rFonts w:hint="eastAsia" w:ascii="仿宋_GB2312" w:hAnsi="仿宋_GB2312" w:eastAsia="仿宋_GB2312" w:cs="仿宋_GB2312"/>
          <w:b w:val="0"/>
          <w:bCs w:val="0"/>
          <w:color w:val="000000"/>
          <w:spacing w:val="0"/>
          <w:sz w:val="24"/>
          <w:szCs w:val="24"/>
          <w:highlight w:val="none"/>
          <w:u w:val="single"/>
          <w:shd w:val="clear" w:color="auto" w:fill="auto"/>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中华人民共和国</w:t>
      </w:r>
      <w:r>
        <w:rPr>
          <w:rFonts w:hint="eastAsia" w:ascii="仿宋_GB2312" w:hAnsi="仿宋_GB2312" w:eastAsia="仿宋_GB2312" w:cs="仿宋_GB2312"/>
          <w:b w:val="0"/>
          <w:bCs w:val="0"/>
          <w:color w:val="000000"/>
          <w:spacing w:val="0"/>
          <w:sz w:val="24"/>
          <w:szCs w:val="24"/>
          <w:highlight w:val="none"/>
          <w:u w:val="single"/>
          <w:shd w:val="clear" w:color="auto" w:fill="auto"/>
        </w:rPr>
        <w:t>安全生产法》第</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二十一</w:t>
      </w:r>
      <w:r>
        <w:rPr>
          <w:rFonts w:hint="eastAsia" w:ascii="仿宋_GB2312" w:hAnsi="仿宋_GB2312" w:eastAsia="仿宋_GB2312" w:cs="仿宋_GB2312"/>
          <w:b w:val="0"/>
          <w:bCs w:val="0"/>
          <w:color w:val="000000"/>
          <w:spacing w:val="0"/>
          <w:sz w:val="24"/>
          <w:szCs w:val="24"/>
          <w:highlight w:val="none"/>
          <w:u w:val="single"/>
          <w:shd w:val="clear" w:color="auto" w:fill="auto"/>
        </w:rPr>
        <w:t>条第</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二</w:t>
      </w:r>
      <w:r>
        <w:rPr>
          <w:rFonts w:hint="eastAsia" w:ascii="仿宋_GB2312" w:hAnsi="仿宋_GB2312" w:eastAsia="仿宋_GB2312" w:cs="仿宋_GB2312"/>
          <w:b w:val="0"/>
          <w:bCs w:val="0"/>
          <w:color w:val="000000"/>
          <w:spacing w:val="0"/>
          <w:sz w:val="24"/>
          <w:szCs w:val="24"/>
          <w:highlight w:val="none"/>
          <w:u w:val="single"/>
          <w:shd w:val="clear" w:color="auto" w:fill="auto"/>
        </w:rPr>
        <w:t>款</w:t>
      </w: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的规定，依据</w:t>
      </w:r>
      <w:r>
        <w:rPr>
          <w:rFonts w:hint="eastAsia" w:ascii="仿宋_GB2312" w:hAnsi="仿宋_GB2312" w:eastAsia="仿宋_GB2312" w:cs="仿宋_GB2312"/>
          <w:b w:val="0"/>
          <w:bCs w:val="0"/>
          <w:color w:val="000000"/>
          <w:spacing w:val="0"/>
          <w:sz w:val="24"/>
          <w:szCs w:val="24"/>
          <w:highlight w:val="none"/>
          <w:u w:val="single"/>
          <w:shd w:val="clear" w:color="auto" w:fill="auto"/>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中华人民共和国</w:t>
      </w:r>
      <w:r>
        <w:rPr>
          <w:rFonts w:hint="eastAsia" w:ascii="仿宋_GB2312" w:hAnsi="仿宋_GB2312" w:eastAsia="仿宋_GB2312" w:cs="仿宋_GB2312"/>
          <w:b w:val="0"/>
          <w:bCs w:val="0"/>
          <w:color w:val="000000"/>
          <w:spacing w:val="0"/>
          <w:sz w:val="24"/>
          <w:szCs w:val="24"/>
          <w:highlight w:val="none"/>
          <w:u w:val="single"/>
          <w:shd w:val="clear" w:color="auto" w:fill="auto"/>
        </w:rPr>
        <w:t>安全生产法</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》第</w:t>
      </w:r>
      <w:r>
        <w:rPr>
          <w:rFonts w:hint="eastAsia" w:ascii="仿宋_GB2312" w:hAnsi="仿宋_GB2312" w:eastAsia="仿宋_GB2312" w:cs="仿宋_GB2312"/>
          <w:b w:val="0"/>
          <w:bCs w:val="0"/>
          <w:color w:val="000000"/>
          <w:spacing w:val="0"/>
          <w:sz w:val="24"/>
          <w:szCs w:val="24"/>
          <w:highlight w:val="none"/>
          <w:u w:val="single"/>
          <w:shd w:val="clear" w:color="auto" w:fill="auto"/>
        </w:rPr>
        <w:t>九十</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四</w:t>
      </w:r>
      <w:r>
        <w:rPr>
          <w:rFonts w:hint="eastAsia" w:ascii="仿宋_GB2312" w:hAnsi="仿宋_GB2312" w:eastAsia="仿宋_GB2312" w:cs="仿宋_GB2312"/>
          <w:b w:val="0"/>
          <w:bCs w:val="0"/>
          <w:color w:val="000000"/>
          <w:spacing w:val="0"/>
          <w:sz w:val="24"/>
          <w:szCs w:val="24"/>
          <w:highlight w:val="none"/>
          <w:u w:val="single"/>
          <w:shd w:val="clear" w:color="auto" w:fill="auto"/>
        </w:rPr>
        <w:t>条</w:t>
      </w: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的规定，</w:t>
      </w: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应当</w:t>
      </w:r>
      <w:r>
        <w:rPr>
          <w:rFonts w:hint="eastAsia" w:ascii="仿宋_GB2312" w:hAnsi="仿宋_GB2312" w:eastAsia="仿宋_GB2312" w:cs="仿宋_GB2312"/>
          <w:b w:val="0"/>
          <w:bCs w:val="0"/>
          <w:spacing w:val="0"/>
          <w:sz w:val="24"/>
          <w:szCs w:val="24"/>
          <w:highlight w:val="none"/>
          <w:u w:val="single"/>
          <w:shd w:val="clear" w:color="auto" w:fill="auto"/>
          <w:lang w:val="en-US" w:eastAsia="zh-CN"/>
        </w:rPr>
        <w:t>给予你单位二万元以上五万元以下罚款</w:t>
      </w: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的行政处</w:t>
      </w:r>
    </w:p>
    <w:p w14:paraId="5441E4A8">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pacing w:val="0"/>
          <w:sz w:val="24"/>
          <w:szCs w:val="24"/>
          <w:highlight w:val="none"/>
          <w:shd w:val="clear" w:color="auto" w:fill="auto"/>
          <w:lang w:val="en-US" w:eastAsia="zh-CN"/>
        </w:rPr>
      </w:pP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罚。</w:t>
      </w:r>
    </w:p>
    <w:p w14:paraId="088CDFD3">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鉴于你单位</w:t>
      </w:r>
      <w:r>
        <w:rPr>
          <w:rFonts w:hint="eastAsia" w:ascii="仿宋_GB2312" w:hAnsi="仿宋_GB2312" w:eastAsia="仿宋_GB2312" w:cs="仿宋_GB2312"/>
          <w:b w:val="0"/>
          <w:bCs w:val="0"/>
          <w:color w:val="000000"/>
          <w:sz w:val="24"/>
          <w:szCs w:val="24"/>
          <w:highlight w:val="none"/>
          <w:u w:val="single"/>
          <w:lang w:val="en-US" w:eastAsia="zh-CN"/>
        </w:rPr>
        <w:t>主要负责人能够积极配合本</w:t>
      </w:r>
      <w:r>
        <w:rPr>
          <w:rFonts w:hint="eastAsia" w:ascii="仿宋_GB2312" w:hAnsi="仿宋_GB2312" w:eastAsia="仿宋_GB2312" w:cs="仿宋_GB2312"/>
          <w:b w:val="0"/>
          <w:bCs w:val="0"/>
          <w:sz w:val="24"/>
          <w:szCs w:val="24"/>
          <w:highlight w:val="none"/>
          <w:u w:val="single"/>
          <w:lang w:val="en-US" w:eastAsia="zh-CN"/>
        </w:rPr>
        <w:t>机关</w:t>
      </w:r>
      <w:r>
        <w:rPr>
          <w:rFonts w:hint="eastAsia" w:ascii="仿宋_GB2312" w:hAnsi="仿宋_GB2312" w:eastAsia="仿宋_GB2312" w:cs="仿宋_GB2312"/>
          <w:b w:val="0"/>
          <w:bCs w:val="0"/>
          <w:color w:val="000000"/>
          <w:sz w:val="24"/>
          <w:szCs w:val="24"/>
          <w:highlight w:val="none"/>
          <w:u w:val="single"/>
          <w:lang w:val="en-US" w:eastAsia="zh-CN"/>
        </w:rPr>
        <w:t>的相关调查，</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如实陈述违法事实，主动提供相关证据和证明材料，</w:t>
      </w:r>
      <w:r>
        <w:rPr>
          <w:rFonts w:hint="eastAsia" w:ascii="仿宋_GB2312" w:hAnsi="仿宋_GB2312" w:eastAsia="仿宋_GB2312" w:cs="仿宋_GB2312"/>
          <w:b w:val="0"/>
          <w:bCs w:val="0"/>
          <w:color w:val="000000"/>
          <w:sz w:val="24"/>
          <w:szCs w:val="24"/>
          <w:highlight w:val="none"/>
          <w:u w:val="single"/>
          <w:lang w:val="en-US" w:eastAsia="zh-CN"/>
        </w:rPr>
        <w:t>积极改正违法行为。</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且上述违法行为没有造成较大的社会危害后果，至案发时止该公司近三年未发生过生产安全事故，未被纳入严重失信主体名单，</w:t>
      </w:r>
      <w:r>
        <w:rPr>
          <w:rFonts w:hint="eastAsia" w:ascii="仿宋_GB2312" w:hAnsi="仿宋_GB2312" w:eastAsia="仿宋_GB2312" w:cs="仿宋_GB2312"/>
          <w:b w:val="0"/>
          <w:bCs w:val="0"/>
          <w:color w:val="000000"/>
          <w:sz w:val="24"/>
          <w:szCs w:val="24"/>
          <w:highlight w:val="none"/>
          <w:u w:val="single"/>
          <w:lang w:val="en-US" w:eastAsia="zh-CN"/>
        </w:rPr>
        <w:t>没有其他违法行为的相关举报，具有从轻情节</w:t>
      </w:r>
      <w:r>
        <w:rPr>
          <w:rFonts w:hint="eastAsia" w:ascii="仿宋_GB2312" w:hAnsi="仿宋_GB2312" w:eastAsia="仿宋_GB2312" w:cs="仿宋_GB2312"/>
          <w:b w:val="0"/>
          <w:bCs w:val="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lang w:val="en-US" w:eastAsia="zh-CN"/>
        </w:rPr>
        <w:t>，依据</w:t>
      </w:r>
      <w:r>
        <w:rPr>
          <w:rFonts w:hint="eastAsia" w:ascii="仿宋_GB2312" w:hAnsi="仿宋_GB2312" w:eastAsia="仿宋_GB2312" w:cs="仿宋_GB2312"/>
          <w:b w:val="0"/>
          <w:bCs w:val="0"/>
          <w:sz w:val="24"/>
          <w:szCs w:val="24"/>
          <w:highlight w:val="none"/>
          <w:u w:val="single"/>
          <w:lang w:eastAsia="zh-CN"/>
        </w:rPr>
        <w:t>《沈阳市应急管理行政处罚自由裁量指导标准》序号</w:t>
      </w:r>
      <w:r>
        <w:rPr>
          <w:rFonts w:hint="eastAsia" w:ascii="仿宋_GB2312" w:hAnsi="仿宋_GB2312" w:eastAsia="仿宋_GB2312" w:cs="仿宋_GB2312"/>
          <w:b w:val="0"/>
          <w:bCs w:val="0"/>
          <w:sz w:val="24"/>
          <w:szCs w:val="24"/>
          <w:highlight w:val="none"/>
          <w:u w:val="single"/>
          <w:lang w:val="en-US" w:eastAsia="zh-CN"/>
        </w:rPr>
        <w:t>1裁量阶次A</w:t>
      </w:r>
      <w:r>
        <w:rPr>
          <w:rFonts w:hint="eastAsia" w:ascii="仿宋_GB2312" w:hAnsi="仿宋_GB2312" w:eastAsia="仿宋_GB2312" w:cs="仿宋_GB2312"/>
          <w:b w:val="0"/>
          <w:bCs w:val="0"/>
          <w:color w:val="000000"/>
          <w:sz w:val="24"/>
          <w:szCs w:val="24"/>
          <w:highlight w:val="none"/>
          <w:lang w:val="en-US" w:eastAsia="zh-CN"/>
        </w:rPr>
        <w:t>的规定，本机关决定对你单位</w:t>
      </w:r>
      <w:r>
        <w:rPr>
          <w:rFonts w:hint="eastAsia" w:ascii="仿宋_GB2312" w:hAnsi="仿宋_GB2312" w:eastAsia="仿宋_GB2312" w:cs="仿宋_GB2312"/>
          <w:b w:val="0"/>
          <w:bCs w:val="0"/>
          <w:color w:val="000000"/>
          <w:sz w:val="24"/>
          <w:szCs w:val="24"/>
          <w:highlight w:val="none"/>
          <w:u w:val="single"/>
          <w:lang w:val="en-US" w:eastAsia="zh-CN"/>
        </w:rPr>
        <w:t>主要负责人</w:t>
      </w:r>
      <w:r>
        <w:rPr>
          <w:rFonts w:hint="eastAsia" w:ascii="仿宋_GB2312" w:hAnsi="仿宋_GB2312" w:eastAsia="仿宋_GB2312" w:cs="仿宋_GB2312"/>
          <w:b w:val="0"/>
          <w:bCs w:val="0"/>
          <w:color w:val="000000"/>
          <w:sz w:val="24"/>
          <w:szCs w:val="24"/>
          <w:highlight w:val="none"/>
          <w:u w:val="single"/>
          <w:lang w:eastAsia="zh-CN"/>
        </w:rPr>
        <w:t>违法行为</w:t>
      </w:r>
      <w:r>
        <w:rPr>
          <w:rFonts w:hint="eastAsia" w:ascii="仿宋_GB2312" w:hAnsi="仿宋_GB2312" w:eastAsia="仿宋_GB2312" w:cs="仿宋_GB2312"/>
          <w:b w:val="0"/>
          <w:bCs w:val="0"/>
          <w:color w:val="000000"/>
          <w:sz w:val="24"/>
          <w:szCs w:val="24"/>
          <w:highlight w:val="none"/>
          <w:u w:val="single"/>
          <w:lang w:val="en-US" w:eastAsia="zh-CN"/>
        </w:rPr>
        <w:t>作出罚款2万元（大写：贰万元整）</w:t>
      </w:r>
      <w:r>
        <w:rPr>
          <w:rFonts w:hint="eastAsia" w:ascii="仿宋_GB2312" w:hAnsi="仿宋_GB2312" w:eastAsia="仿宋_GB2312" w:cs="仿宋_GB2312"/>
          <w:b w:val="0"/>
          <w:bCs w:val="0"/>
          <w:color w:val="000000"/>
          <w:sz w:val="24"/>
          <w:szCs w:val="24"/>
          <w:highlight w:val="none"/>
          <w:u w:val="none"/>
          <w:lang w:val="en-US" w:eastAsia="zh-CN"/>
        </w:rPr>
        <w:t>的</w:t>
      </w:r>
      <w:r>
        <w:rPr>
          <w:rFonts w:hint="eastAsia" w:ascii="仿宋_GB2312" w:hAnsi="仿宋_GB2312" w:eastAsia="仿宋_GB2312" w:cs="仿宋_GB2312"/>
          <w:b w:val="0"/>
          <w:bCs w:val="0"/>
          <w:color w:val="000000"/>
          <w:sz w:val="24"/>
          <w:szCs w:val="24"/>
          <w:highlight w:val="none"/>
          <w:lang w:val="en-US" w:eastAsia="zh-CN"/>
        </w:rPr>
        <w:t>行政处罚。</w:t>
      </w:r>
    </w:p>
    <w:p w14:paraId="24DD20B9">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对你单位的违法行为，本机关已依法责令□改正/☑限期改正。</w:t>
      </w:r>
    </w:p>
    <w:p w14:paraId="46E8EEBE">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lang w:val="en-US" w:eastAsia="zh-CN"/>
        </w:rPr>
        <w:t>你单位应当自收到本决定书之日起15日内将□罚款缴纳至指定银行：</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none"/>
          <w:lang w:val="en-US" w:eastAsia="zh-CN"/>
        </w:rPr>
        <w:t>（账号：</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none"/>
          <w:lang w:val="en-US" w:eastAsia="zh-CN"/>
        </w:rPr>
        <w:t>）/</w:t>
      </w:r>
      <w:r>
        <w:rPr>
          <w:rFonts w:hint="eastAsia" w:ascii="仿宋_GB2312" w:hAnsi="仿宋_GB2312" w:eastAsia="仿宋_GB2312" w:cs="仿宋_GB2312"/>
          <w:b w:val="0"/>
          <w:bCs w:val="0"/>
          <w:color w:val="000000"/>
          <w:sz w:val="24"/>
          <w:szCs w:val="24"/>
          <w:highlight w:val="none"/>
          <w:lang w:val="en-US" w:eastAsia="zh-CN"/>
        </w:rPr>
        <w:t>☑通过</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eastAsia="zh-CN"/>
        </w:rPr>
        <w:t>《辽宁省非税收入电子缴费通知书》上的方式缴至辽宁省非税收入待解缴账户</w:t>
      </w:r>
      <w:r>
        <w:rPr>
          <w:rFonts w:hint="eastAsia" w:ascii="仿宋_GB2312" w:hAnsi="仿宋_GB2312" w:eastAsia="仿宋_GB2312" w:cs="仿宋_GB2312"/>
          <w:b w:val="0"/>
          <w:bCs w:val="0"/>
          <w:color w:val="000000"/>
          <w:sz w:val="24"/>
          <w:szCs w:val="24"/>
          <w:highlight w:val="none"/>
          <w:lang w:val="en-US" w:eastAsia="zh-CN"/>
        </w:rPr>
        <w:t>电子支付系统缴纳罚款。</w:t>
      </w:r>
      <w:r>
        <w:rPr>
          <w:rFonts w:hint="eastAsia" w:ascii="仿宋_GB2312" w:hAnsi="仿宋_GB2312" w:eastAsia="仿宋_GB2312" w:cs="仿宋_GB2312"/>
          <w:b w:val="0"/>
          <w:bCs w:val="0"/>
          <w:color w:val="000000"/>
          <w:sz w:val="24"/>
          <w:szCs w:val="24"/>
          <w:highlight w:val="none"/>
          <w:shd w:val="clear" w:color="auto" w:fill="FFFFFF"/>
          <w:lang w:val="en-US" w:eastAsia="zh-CN"/>
        </w:rPr>
        <w:t>到期不缴纳罚款的，依据《中华人民共和国行政处罚法》第七十二条第一款第一项的规定，本机关有权每日按罚款数额的3%加处罚款。</w:t>
      </w:r>
    </w:p>
    <w:p w14:paraId="55D76E60">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shd w:val="clear" w:color="auto" w:fill="FFFFFF"/>
          <w:lang w:eastAsia="zh-CN"/>
        </w:rPr>
        <w:t>如果不服本决定</w:t>
      </w:r>
      <w:r>
        <w:rPr>
          <w:rFonts w:hint="eastAsia" w:ascii="仿宋_GB2312" w:hAnsi="仿宋_GB2312" w:eastAsia="仿宋_GB2312" w:cs="仿宋_GB2312"/>
          <w:b w:val="0"/>
          <w:bCs w:val="0"/>
          <w:color w:val="000000"/>
          <w:sz w:val="24"/>
          <w:szCs w:val="24"/>
          <w:highlight w:val="none"/>
          <w:shd w:val="clear" w:color="auto" w:fill="FFFFFF"/>
        </w:rPr>
        <w:t>，</w:t>
      </w:r>
      <w:r>
        <w:rPr>
          <w:rFonts w:hint="eastAsia" w:ascii="仿宋_GB2312" w:hAnsi="仿宋_GB2312" w:eastAsia="仿宋_GB2312" w:cs="仿宋_GB2312"/>
          <w:b w:val="0"/>
          <w:bCs w:val="0"/>
          <w:color w:val="000000"/>
          <w:sz w:val="24"/>
          <w:szCs w:val="24"/>
          <w:highlight w:val="none"/>
        </w:rPr>
        <w:t>可以</w:t>
      </w:r>
      <w:r>
        <w:rPr>
          <w:rFonts w:hint="eastAsia" w:ascii="仿宋_GB2312" w:hAnsi="仿宋_GB2312" w:eastAsia="仿宋_GB2312" w:cs="仿宋_GB2312"/>
          <w:b w:val="0"/>
          <w:bCs w:val="0"/>
          <w:color w:val="000000"/>
          <w:sz w:val="24"/>
          <w:szCs w:val="24"/>
          <w:highlight w:val="none"/>
          <w:shd w:val="clear" w:color="auto" w:fill="FFFFFF"/>
        </w:rPr>
        <w:t>在</w:t>
      </w:r>
      <w:r>
        <w:rPr>
          <w:rFonts w:hint="eastAsia" w:ascii="仿宋_GB2312" w:hAnsi="仿宋_GB2312" w:eastAsia="仿宋_GB2312" w:cs="仿宋_GB2312"/>
          <w:b w:val="0"/>
          <w:bCs w:val="0"/>
          <w:color w:val="000000"/>
          <w:sz w:val="24"/>
          <w:szCs w:val="24"/>
          <w:highlight w:val="none"/>
          <w:shd w:val="clear" w:color="auto" w:fill="FFFFFF"/>
          <w:lang w:eastAsia="zh-CN"/>
        </w:rPr>
        <w:t>收到本决定书之日起</w:t>
      </w:r>
      <w:r>
        <w:rPr>
          <w:rFonts w:hint="eastAsia" w:ascii="仿宋_GB2312" w:hAnsi="仿宋_GB2312" w:eastAsia="仿宋_GB2312" w:cs="仿宋_GB2312"/>
          <w:b w:val="0"/>
          <w:bCs w:val="0"/>
          <w:color w:val="000000"/>
          <w:sz w:val="24"/>
          <w:szCs w:val="24"/>
          <w:highlight w:val="none"/>
          <w:shd w:val="clear" w:color="auto" w:fill="FFFFFF"/>
        </w:rPr>
        <w:t>60日内依法向</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eastAsia="zh-CN"/>
        </w:rPr>
        <w:t>浑南区</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shd w:val="clear" w:color="auto" w:fill="FFFFFF"/>
        </w:rPr>
        <w:t>人民政府申请行政复议，或者在6个月内依法向</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eastAsia="zh-CN"/>
        </w:rPr>
        <w:t>沈阳市高新区</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shd w:val="clear" w:color="auto" w:fill="FFFFFF"/>
        </w:rPr>
        <w:t>人民法院提起行政诉讼，但本决定不停止执行，法律另有规定的除外。逾期不申请行政复议、不提起行政诉讼</w:t>
      </w: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shd w:val="clear" w:color="auto" w:fill="FFFFFF"/>
        </w:rPr>
        <w:t>又不履行</w:t>
      </w:r>
      <w:r>
        <w:rPr>
          <w:rFonts w:hint="eastAsia" w:ascii="仿宋_GB2312" w:hAnsi="仿宋_GB2312" w:eastAsia="仿宋_GB2312" w:cs="仿宋_GB2312"/>
          <w:b w:val="0"/>
          <w:bCs w:val="0"/>
          <w:color w:val="000000"/>
          <w:sz w:val="24"/>
          <w:szCs w:val="24"/>
          <w:highlight w:val="none"/>
          <w:shd w:val="clear" w:color="auto" w:fill="FFFFFF"/>
          <w:lang w:val="en-US" w:eastAsia="zh-CN"/>
        </w:rPr>
        <w:t>本处罚决定</w:t>
      </w:r>
      <w:r>
        <w:rPr>
          <w:rFonts w:hint="eastAsia" w:ascii="仿宋_GB2312" w:hAnsi="仿宋_GB2312" w:eastAsia="仿宋_GB2312" w:cs="仿宋_GB2312"/>
          <w:b w:val="0"/>
          <w:bCs w:val="0"/>
          <w:color w:val="000000"/>
          <w:sz w:val="24"/>
          <w:szCs w:val="24"/>
          <w:highlight w:val="none"/>
          <w:shd w:val="clear" w:color="auto" w:fill="FFFFFF"/>
        </w:rPr>
        <w:t>的，</w:t>
      </w:r>
      <w:r>
        <w:rPr>
          <w:rFonts w:hint="eastAsia" w:ascii="仿宋_GB2312" w:hAnsi="仿宋_GB2312" w:eastAsia="仿宋_GB2312" w:cs="仿宋_GB2312"/>
          <w:b w:val="0"/>
          <w:bCs w:val="0"/>
          <w:color w:val="000000"/>
          <w:sz w:val="24"/>
          <w:szCs w:val="24"/>
          <w:highlight w:val="none"/>
        </w:rPr>
        <w:t>本机关将依法申请人民法院强制执行</w:t>
      </w:r>
      <w:r>
        <w:rPr>
          <w:rFonts w:hint="eastAsia" w:ascii="仿宋_GB2312" w:hAnsi="仿宋_GB2312" w:eastAsia="仿宋_GB2312" w:cs="仿宋_GB2312"/>
          <w:b w:val="0"/>
          <w:bCs w:val="0"/>
          <w:color w:val="000000"/>
          <w:sz w:val="24"/>
          <w:szCs w:val="24"/>
          <w:highlight w:val="none"/>
          <w:lang w:eastAsia="zh-CN"/>
        </w:rPr>
        <w:t>或者按照有关规定强制执行</w:t>
      </w:r>
      <w:r>
        <w:rPr>
          <w:rFonts w:hint="eastAsia" w:ascii="仿宋_GB2312" w:hAnsi="仿宋_GB2312" w:eastAsia="仿宋_GB2312" w:cs="仿宋_GB2312"/>
          <w:b w:val="0"/>
          <w:bCs w:val="0"/>
          <w:color w:val="000000"/>
          <w:sz w:val="24"/>
          <w:szCs w:val="24"/>
          <w:highlight w:val="none"/>
        </w:rPr>
        <w:t>。</w:t>
      </w:r>
    </w:p>
    <w:p w14:paraId="37DA316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2C309550">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047FDA6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5687B8C1">
      <w:pPr>
        <w:keepNext w:val="0"/>
        <w:keepLines w:val="0"/>
        <w:pageBreakBefore w:val="0"/>
        <w:widowControl w:val="0"/>
        <w:kinsoku/>
        <w:wordWrap/>
        <w:overflowPunct/>
        <w:topLinePunct w:val="0"/>
        <w:autoSpaceDE/>
        <w:autoSpaceDN/>
        <w:bidi w:val="0"/>
        <w:adjustRightInd w:val="0"/>
        <w:snapToGrid w:val="0"/>
        <w:spacing w:line="560" w:lineRule="exact"/>
        <w:ind w:right="840" w:rightChars="400"/>
        <w:jc w:val="right"/>
        <w:textAlignment w:val="auto"/>
        <w:rPr>
          <w:rFonts w:hint="eastAsia" w:ascii="仿宋_GB2312" w:hAnsi="仿宋_GB2312" w:eastAsia="仿宋_GB2312" w:cs="仿宋_GB2312"/>
          <w:b w:val="0"/>
          <w:bCs w:val="0"/>
          <w:color w:val="000000"/>
          <w:sz w:val="24"/>
          <w:szCs w:val="24"/>
          <w:highlight w:val="none"/>
          <w:shd w:val="clear" w:color="auto" w:fill="FFFFFF"/>
        </w:rPr>
      </w:pPr>
      <w:r>
        <w:rPr>
          <w:rFonts w:hint="eastAsia" w:ascii="仿宋_GB2312" w:hAnsi="仿宋_GB2312" w:eastAsia="仿宋_GB2312" w:cs="仿宋_GB2312"/>
          <w:b w:val="0"/>
          <w:bCs w:val="0"/>
          <w:color w:val="000000"/>
          <w:sz w:val="24"/>
          <w:szCs w:val="24"/>
          <w:highlight w:val="none"/>
          <w:shd w:val="clear" w:color="auto" w:fill="FFFFFF"/>
          <w:lang w:eastAsia="zh-CN"/>
        </w:rPr>
        <w:t>沈阳市浑南区应急管理局</w:t>
      </w:r>
      <w:r>
        <w:rPr>
          <w:rFonts w:hint="eastAsia" w:ascii="仿宋_GB2312" w:hAnsi="仿宋_GB2312" w:eastAsia="仿宋_GB2312" w:cs="仿宋_GB2312"/>
          <w:b w:val="0"/>
          <w:bCs w:val="0"/>
          <w:color w:val="000000"/>
          <w:sz w:val="24"/>
          <w:szCs w:val="24"/>
          <w:highlight w:val="none"/>
          <w:shd w:val="clear" w:color="auto" w:fill="FFFFFF"/>
        </w:rPr>
        <w:t>（印章）</w:t>
      </w:r>
    </w:p>
    <w:p w14:paraId="0273F14C">
      <w:pPr>
        <w:keepNext w:val="0"/>
        <w:keepLines w:val="0"/>
        <w:pageBreakBefore w:val="0"/>
        <w:widowControl w:val="0"/>
        <w:kinsoku/>
        <w:wordWrap/>
        <w:overflowPunct/>
        <w:topLinePunct w:val="0"/>
        <w:autoSpaceDE/>
        <w:autoSpaceDN/>
        <w:bidi w:val="0"/>
        <w:adjustRightInd w:val="0"/>
        <w:snapToGrid w:val="0"/>
        <w:spacing w:line="560" w:lineRule="exact"/>
        <w:ind w:right="1890" w:rightChars="900"/>
        <w:jc w:val="right"/>
        <w:textAlignment w:val="auto"/>
      </w:pPr>
      <w:r>
        <w:rPr>
          <w:rFonts w:hint="eastAsia" w:ascii="仿宋_GB2312" w:hAnsi="仿宋_GB2312" w:eastAsia="仿宋_GB2312" w:cs="仿宋_GB2312"/>
          <w:b w:val="0"/>
          <w:bCs w:val="0"/>
          <w:color w:val="000000"/>
          <w:sz w:val="24"/>
          <w:szCs w:val="24"/>
          <w:highlight w:val="none"/>
          <w:shd w:val="clear" w:color="auto" w:fill="FFFFFF"/>
          <w:lang w:eastAsia="zh-CN"/>
        </w:rPr>
        <w:t>202</w:t>
      </w:r>
      <w:r>
        <w:rPr>
          <w:rFonts w:hint="eastAsia" w:ascii="仿宋_GB2312" w:hAnsi="仿宋_GB2312" w:eastAsia="仿宋_GB2312" w:cs="仿宋_GB2312"/>
          <w:b w:val="0"/>
          <w:bCs w:val="0"/>
          <w:color w:val="000000"/>
          <w:sz w:val="24"/>
          <w:szCs w:val="24"/>
          <w:highlight w:val="none"/>
          <w:shd w:val="clear" w:color="auto" w:fill="FFFFFF"/>
          <w:lang w:val="en-US" w:eastAsia="zh-CN"/>
        </w:rPr>
        <w:t>6</w:t>
      </w:r>
      <w:r>
        <w:rPr>
          <w:rFonts w:hint="eastAsia" w:ascii="仿宋_GB2312" w:hAnsi="仿宋_GB2312" w:eastAsia="仿宋_GB2312" w:cs="仿宋_GB2312"/>
          <w:b w:val="0"/>
          <w:bCs w:val="0"/>
          <w:color w:val="000000"/>
          <w:sz w:val="24"/>
          <w:szCs w:val="24"/>
          <w:highlight w:val="none"/>
          <w:shd w:val="clear" w:color="auto" w:fill="FFFFFF"/>
        </w:rPr>
        <w:t>年</w:t>
      </w:r>
      <w:r>
        <w:rPr>
          <w:rFonts w:hint="eastAsia" w:ascii="仿宋_GB2312" w:hAnsi="仿宋_GB2312" w:eastAsia="仿宋_GB2312" w:cs="仿宋_GB2312"/>
          <w:b w:val="0"/>
          <w:bCs w:val="0"/>
          <w:color w:val="auto"/>
          <w:sz w:val="24"/>
          <w:szCs w:val="24"/>
          <w:highlight w:val="none"/>
          <w:u w:val="none"/>
          <w:shd w:val="clear" w:color="auto" w:fill="FFFFFF"/>
          <w:lang w:val="en-US" w:eastAsia="zh-CN"/>
        </w:rPr>
        <w:t>6</w:t>
      </w:r>
      <w:r>
        <w:rPr>
          <w:rFonts w:hint="eastAsia" w:ascii="仿宋_GB2312" w:hAnsi="仿宋_GB2312" w:eastAsia="仿宋_GB2312" w:cs="仿宋_GB2312"/>
          <w:b w:val="0"/>
          <w:bCs w:val="0"/>
          <w:color w:val="000000"/>
          <w:sz w:val="24"/>
          <w:szCs w:val="24"/>
          <w:highlight w:val="none"/>
          <w:u w:val="none"/>
          <w:shd w:val="clear" w:color="auto" w:fill="FFFFFF"/>
        </w:rPr>
        <w:t>月</w:t>
      </w:r>
      <w:r>
        <w:rPr>
          <w:rFonts w:hint="eastAsia" w:ascii="仿宋_GB2312" w:hAnsi="仿宋_GB2312" w:eastAsia="仿宋_GB2312" w:cs="仿宋_GB2312"/>
          <w:b w:val="0"/>
          <w:bCs w:val="0"/>
          <w:color w:val="auto"/>
          <w:sz w:val="24"/>
          <w:szCs w:val="24"/>
          <w:highlight w:val="none"/>
          <w:u w:val="none"/>
          <w:shd w:val="clear" w:color="auto" w:fill="FFFFFF"/>
          <w:lang w:val="en-US" w:eastAsia="zh-CN"/>
        </w:rPr>
        <w:t>22</w:t>
      </w:r>
      <w:r>
        <w:rPr>
          <w:rFonts w:hint="eastAsia" w:ascii="仿宋_GB2312" w:hAnsi="仿宋_GB2312" w:eastAsia="仿宋_GB2312" w:cs="仿宋_GB2312"/>
          <w:b w:val="0"/>
          <w:bCs w:val="0"/>
          <w:color w:val="000000"/>
          <w:sz w:val="24"/>
          <w:szCs w:val="24"/>
          <w:highlight w:val="none"/>
          <w:shd w:val="clear" w:color="auto" w:fill="FFFFFF"/>
        </w:rPr>
        <w:t>日</w:t>
      </w: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PSEMBED1">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BF94">
    <w:pPr>
      <w:pStyle w:val="6"/>
      <w:jc w:val="both"/>
      <w:rPr>
        <w:rFonts w:hint="eastAsia"/>
      </w:rPr>
    </w:pPr>
    <w:r>
      <w:rPr>
        <w:rFonts w:hint="eastAsia" w:ascii="方正书宋_GBK" w:hAnsi="方正书宋_GBK" w:eastAsia="方正书宋_GBK" w:cs="方正书宋_GBK"/>
        <w:b/>
        <w:bCs/>
        <w:sz w:val="21"/>
        <w:szCs w:val="21"/>
      </w:rPr>
      <mc:AlternateContent>
        <mc:Choice Requires="wps">
          <w:drawing>
            <wp:anchor distT="0" distB="0" distL="114300" distR="114300" simplePos="0" relativeHeight="251660288" behindDoc="1" locked="0" layoutInCell="1" allowOverlap="1">
              <wp:simplePos x="0" y="0"/>
              <wp:positionH relativeFrom="column">
                <wp:posOffset>-66040</wp:posOffset>
              </wp:positionH>
              <wp:positionV relativeFrom="page">
                <wp:posOffset>9754870</wp:posOffset>
              </wp:positionV>
              <wp:extent cx="5691505" cy="4445"/>
              <wp:effectExtent l="0" t="0" r="0" b="0"/>
              <wp:wrapTight wrapText="bothSides">
                <wp:wrapPolygon>
                  <wp:start x="0" y="0"/>
                  <wp:lineTo x="0" y="21600"/>
                  <wp:lineTo x="21600" y="21600"/>
                  <wp:lineTo x="21600" y="0"/>
                  <wp:lineTo x="0" y="0"/>
                </wp:wrapPolygon>
              </wp:wrapTight>
              <wp:docPr id="22" name="直接箭头连接符 22"/>
              <wp:cNvGraphicFramePr/>
              <a:graphic xmlns:a="http://schemas.openxmlformats.org/drawingml/2006/main">
                <a:graphicData uri="http://schemas.microsoft.com/office/word/2010/wordprocessingShape">
                  <wps:wsp>
                    <wps:cNvCnPr/>
                    <wps:spPr>
                      <a:xfrm flipV="1">
                        <a:off x="0" y="0"/>
                        <a:ext cx="5691505" cy="4445"/>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5.2pt;margin-top:768.1pt;height:0.35pt;width:448.15pt;mso-position-vertical-relative:page;mso-wrap-distance-left:9pt;mso-wrap-distance-right:9pt;z-index:-251656192;mso-width-relative:page;mso-height-relative:page;" filled="f" stroked="t" coordsize="21600,21600" wrapcoords="0 0 0 21600 21600 21600 21600 0 0 0" o:gfxdata="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C0lYtsAAAANAQAADwAAAAAAAAAB&#10;ACAAAAAiAAAAZHJzL2Rvd25yZXYueG1sUEsBAhQAFAAAAAgAh07iQL+n6icNAgAABgQAAA4AAAAA&#10;AAAAAQAgAAAAKgEAAGRycy9lMm9Eb2MueG1sUEsFBgAAAAAGAAYAWQEAAKkFAAAAAA==&#10;">
              <v:fill on="f" focussize="0,0"/>
              <v:stroke weight="1.5pt" color="#000000" joinstyle="round"/>
              <v:imagedata o:title=""/>
              <o:lock v:ext="edit" aspectratio="f"/>
              <w10:wrap type="tight"/>
            </v:shape>
          </w:pict>
        </mc:Fallback>
      </mc:AlternateContent>
    </w:r>
    <w:r>
      <w:rPr>
        <w:rFonts w:hint="eastAsia" w:ascii="方正书宋_GBK" w:hAnsi="方正书宋_GBK" w:eastAsia="方正书宋_GBK" w:cs="方正书宋_GBK"/>
        <w:b/>
        <w:bCs/>
        <w:color w:val="000000"/>
        <w:sz w:val="21"/>
        <w:szCs w:val="21"/>
      </w:rPr>
      <w:t>本文书一式两份：一份由应急管理部门备案，一份交</w:t>
    </w:r>
    <w:r>
      <w:rPr>
        <w:rFonts w:hint="eastAsia" w:ascii="方正书宋_GBK" w:hAnsi="方正书宋_GBK" w:eastAsia="方正书宋_GBK" w:cs="方正书宋_GBK"/>
        <w:b/>
        <w:bCs/>
        <w:color w:val="000000"/>
        <w:sz w:val="21"/>
        <w:szCs w:val="21"/>
        <w:lang w:val="en-US" w:eastAsia="zh-CN"/>
      </w:rPr>
      <w:t>当事</w:t>
    </w:r>
    <w:r>
      <w:rPr>
        <w:rFonts w:hint="eastAsia" w:ascii="方正书宋_GBK" w:hAnsi="方正书宋_GBK" w:eastAsia="方正书宋_GBK" w:cs="方正书宋_GBK"/>
        <w:b/>
        <w:bCs/>
        <w:color w:val="000000"/>
        <w:sz w:val="21"/>
        <w:szCs w:val="21"/>
      </w:rPr>
      <w:t>人。</w:t>
    </w:r>
    <w:r>
      <w:rPr>
        <w:rFonts w:hint="eastAsia" w:ascii="方正书宋_GBK" w:hAnsi="方正书宋_GBK" w:eastAsia="方正书宋_GBK" w:cs="方正书宋_GBK"/>
        <w:b/>
        <w:bCs/>
        <w:color w:val="000000"/>
        <w:sz w:val="21"/>
        <w:szCs w:val="21"/>
        <w:lang w:val="en-US" w:eastAsia="zh-CN"/>
      </w:rPr>
      <w:t xml:space="preserve">                </w:t>
    </w:r>
    <w:r>
      <w:rPr>
        <w:rFonts w:hint="eastAsia" w:ascii="宋体" w:hAnsi="宋体" w:eastAsia="方正书宋_GBK" w:cs="方正书宋_GBK"/>
        <w:b/>
        <w:bCs/>
        <w:color w:val="000000"/>
        <w:w w:val="100"/>
        <w:sz w:val="21"/>
        <w:szCs w:val="21"/>
      </w:rPr>
      <w:t>共</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 第</w:t>
    </w:r>
    <w:r>
      <w:rPr>
        <w:rFonts w:hint="eastAsia" w:ascii="宋体" w:hAnsi="宋体" w:eastAsia="方正书宋_GBK" w:cs="方正书宋_GBK"/>
        <w:b/>
        <w:bCs/>
        <w:color w:val="000000"/>
        <w:w w:val="100"/>
        <w:sz w:val="21"/>
        <w:szCs w:val="21"/>
        <w:lang w:val="en-US" w:eastAsia="zh-CN"/>
      </w:rPr>
      <w:t>1</w:t>
    </w:r>
    <w:r>
      <w:rPr>
        <w:rFonts w:hint="eastAsia" w:ascii="宋体" w:hAnsi="宋体" w:eastAsia="方正书宋_GBK" w:cs="方正书宋_GBK"/>
        <w:b/>
        <w:bCs/>
        <w:color w:val="000000"/>
        <w:w w:val="10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2EB2">
    <w:pPr>
      <w:pStyle w:val="6"/>
      <w:jc w:val="both"/>
      <w:rPr>
        <w:rFonts w:hint="eastAsia"/>
      </w:rPr>
    </w:pPr>
    <w:r>
      <w:rPr>
        <w:rFonts w:hint="eastAsia" w:ascii="方正书宋_GBK" w:hAnsi="方正书宋_GBK" w:eastAsia="方正书宋_GBK" w:cs="方正书宋_GBK"/>
        <w:b/>
        <w:bCs/>
        <w:sz w:val="21"/>
        <w:szCs w:val="21"/>
      </w:rPr>
      <mc:AlternateContent>
        <mc:Choice Requires="wps">
          <w:drawing>
            <wp:anchor distT="0" distB="0" distL="114300" distR="114300" simplePos="0" relativeHeight="251661312" behindDoc="1" locked="0" layoutInCell="1" allowOverlap="1">
              <wp:simplePos x="0" y="0"/>
              <wp:positionH relativeFrom="column">
                <wp:posOffset>-66040</wp:posOffset>
              </wp:positionH>
              <wp:positionV relativeFrom="page">
                <wp:posOffset>9754870</wp:posOffset>
              </wp:positionV>
              <wp:extent cx="5691505" cy="4445"/>
              <wp:effectExtent l="0" t="0" r="0" b="0"/>
              <wp:wrapTight wrapText="bothSides">
                <wp:wrapPolygon>
                  <wp:start x="0" y="0"/>
                  <wp:lineTo x="0" y="21600"/>
                  <wp:lineTo x="21600" y="21600"/>
                  <wp:lineTo x="21600" y="0"/>
                  <wp:lineTo x="0" y="0"/>
                </wp:wrapPolygon>
              </wp:wrapTight>
              <wp:docPr id="25" name="直接箭头连接符 25"/>
              <wp:cNvGraphicFramePr/>
              <a:graphic xmlns:a="http://schemas.openxmlformats.org/drawingml/2006/main">
                <a:graphicData uri="http://schemas.microsoft.com/office/word/2010/wordprocessingShape">
                  <wps:wsp>
                    <wps:cNvCnPr/>
                    <wps:spPr>
                      <a:xfrm flipV="1">
                        <a:off x="0" y="0"/>
                        <a:ext cx="5691505" cy="4445"/>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5.2pt;margin-top:768.1pt;height:0.35pt;width:448.15pt;mso-position-vertical-relative:page;mso-wrap-distance-left:9pt;mso-wrap-distance-right:9pt;z-index:-251655168;mso-width-relative:page;mso-height-relative:page;" filled="f" stroked="t" coordsize="21600,21600" wrapcoords="0 0 0 21600 21600 21600 21600 0 0 0" o:gfxdata="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gLSVi2wAAAA0BAAAPAAAAAAAA&#10;AAEAIAAAACIAAABkcnMvZG93bnJldi54bWxQSwECFAAUAAAACACHTuJAI5+ZNw8CAAAGBAAADgAA&#10;AAAAAAABACAAAAAqAQAAZHJzL2Uyb0RvYy54bWxQSwUGAAAAAAYABgBZAQAAqwUAAAAA&#10;">
              <v:fill on="f" focussize="0,0"/>
              <v:stroke weight="1.5pt" color="#000000" joinstyle="round"/>
              <v:imagedata o:title=""/>
              <o:lock v:ext="edit" aspectratio="f"/>
              <w10:wrap type="tight"/>
            </v:shape>
          </w:pict>
        </mc:Fallback>
      </mc:AlternateContent>
    </w:r>
    <w:r>
      <w:rPr>
        <w:rFonts w:hint="eastAsia" w:ascii="方正书宋_GBK" w:hAnsi="方正书宋_GBK" w:eastAsia="方正书宋_GBK" w:cs="方正书宋_GBK"/>
        <w:b/>
        <w:bCs/>
        <w:color w:val="000000"/>
        <w:sz w:val="21"/>
        <w:szCs w:val="21"/>
      </w:rPr>
      <w:t>本文书一式两份：一份由应急管理部门备案，一份交</w:t>
    </w:r>
    <w:r>
      <w:rPr>
        <w:rFonts w:hint="eastAsia" w:ascii="方正书宋_GBK" w:hAnsi="方正书宋_GBK" w:eastAsia="方正书宋_GBK" w:cs="方正书宋_GBK"/>
        <w:b/>
        <w:bCs/>
        <w:color w:val="000000"/>
        <w:sz w:val="21"/>
        <w:szCs w:val="21"/>
        <w:lang w:val="en-US" w:eastAsia="zh-CN"/>
      </w:rPr>
      <w:t>当事</w:t>
    </w:r>
    <w:r>
      <w:rPr>
        <w:rFonts w:hint="eastAsia" w:ascii="方正书宋_GBK" w:hAnsi="方正书宋_GBK" w:eastAsia="方正书宋_GBK" w:cs="方正书宋_GBK"/>
        <w:b/>
        <w:bCs/>
        <w:color w:val="000000"/>
        <w:sz w:val="21"/>
        <w:szCs w:val="21"/>
      </w:rPr>
      <w:t>人。</w:t>
    </w:r>
    <w:r>
      <w:rPr>
        <w:rFonts w:hint="eastAsia" w:ascii="方正书宋_GBK" w:hAnsi="方正书宋_GBK" w:eastAsia="方正书宋_GBK" w:cs="方正书宋_GBK"/>
        <w:b/>
        <w:bCs/>
        <w:color w:val="000000"/>
        <w:sz w:val="21"/>
        <w:szCs w:val="21"/>
        <w:lang w:val="en-US" w:eastAsia="zh-CN"/>
      </w:rPr>
      <w:t xml:space="preserve">            </w:t>
    </w:r>
    <w:r>
      <w:rPr>
        <w:rFonts w:hint="eastAsia" w:ascii="宋体" w:hAnsi="宋体" w:eastAsia="方正书宋_GBK" w:cs="方正书宋_GBK"/>
        <w:b/>
        <w:bCs/>
        <w:color w:val="000000"/>
        <w:w w:val="100"/>
        <w:sz w:val="21"/>
        <w:szCs w:val="21"/>
      </w:rPr>
      <w:t>共</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 第</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DCFD">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4E75B1"/>
    <w:rsid w:val="3D4E75B1"/>
    <w:rsid w:val="47DC5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jc w:val="left"/>
    </w:pPr>
    <w:rPr>
      <w:color w:val="000000"/>
      <w:kern w:val="0"/>
      <w:sz w:val="24"/>
    </w:rPr>
  </w:style>
  <w:style w:type="paragraph" w:styleId="3">
    <w:name w:val="Body Text Indent"/>
    <w:basedOn w:val="1"/>
    <w:next w:val="4"/>
    <w:qFormat/>
    <w:uiPriority w:val="99"/>
    <w:pPr>
      <w:spacing w:after="120"/>
      <w:ind w:left="420" w:leftChars="200"/>
    </w:pPr>
  </w:style>
  <w:style w:type="paragraph" w:styleId="4">
    <w:name w:val="Normal Indent"/>
    <w:basedOn w:val="1"/>
    <w:next w:val="5"/>
    <w:qFormat/>
    <w:uiPriority w:val="0"/>
    <w:pPr>
      <w:ind w:firstLine="420" w:firstLineChars="200"/>
    </w:pPr>
    <w:rPr>
      <w:rFonts w:eastAsia="仿宋"/>
      <w:sz w:val="32"/>
    </w:rPr>
  </w:style>
  <w:style w:type="paragraph" w:styleId="5">
    <w:name w:val="Body Text"/>
    <w:basedOn w:val="1"/>
    <w:next w:val="4"/>
    <w:qFormat/>
    <w:uiPriority w:val="0"/>
    <w:pPr>
      <w:spacing w:after="120" w:afterLines="0" w:afterAutospacing="0"/>
    </w:p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967</Words>
  <Characters>1028</Characters>
  <Lines>0</Lines>
  <Paragraphs>0</Paragraphs>
  <TotalTime>0</TotalTime>
  <ScaleCrop>false</ScaleCrop>
  <LinksUpToDate>false</LinksUpToDate>
  <CharactersWithSpaces>1478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2026-07-30T09:09:00Z</dcterms:created>
  <dc:creator>章鱼丸子</dc:creator>
  <cp:lastModifiedBy>杨洋</cp:lastModifiedBy>
  <dcterms:modified xsi:type="dcterms:W3CDTF">2026-07-31T01:31:39Z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9F6E35F567554DF8941D053AB4493B6D_13</vt:lpwstr>
  </property>
  <property fmtid="{D5CDD505-2E9C-101B-9397-08002B2CF9AE}" pid="4" name="KSOTemplateDocerSaveRecord">
    <vt:lpwstr>eyJoZGlkIjoiNzZiZTQ3ZmI1OTFmODUzNzgwMGRlNDBmMWZiZDQzMjEiLCJ1c2VySWQiOiIyMzQ0MjI2NjQifQ==</vt:lpwstr>
  </property>
</Properties>
</file>