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A02F39">
      <w:pPr>
        <w:jc w:val="center"/>
        <w:outlineLvl w:val="9"/>
        <w:rPr>
          <w:rFonts w:hint="eastAsia" w:ascii="宋体" w:hAnsi="宋体" w:eastAsia="宋体" w:cs="宋体"/>
          <w:b/>
          <w:bCs/>
          <w:sz w:val="44"/>
          <w:szCs w:val="44"/>
          <w:lang w:val="en-US" w:eastAsia="zh-CN"/>
        </w:rPr>
      </w:pPr>
    </w:p>
    <w:p w14:paraId="55A07E99">
      <w:pPr>
        <w:jc w:val="center"/>
        <w:outlineLvl w:val="9"/>
        <w:rPr>
          <w:rFonts w:hint="eastAsia" w:ascii="宋体" w:hAnsi="宋体" w:eastAsia="宋体" w:cs="宋体"/>
          <w:b/>
          <w:bCs/>
          <w:sz w:val="44"/>
          <w:szCs w:val="44"/>
          <w:lang w:val="en-US" w:eastAsia="zh-CN"/>
        </w:rPr>
      </w:pPr>
    </w:p>
    <w:p w14:paraId="31A181F0">
      <w:pPr>
        <w:jc w:val="center"/>
        <w:outlineLvl w:val="9"/>
        <w:rPr>
          <w:rFonts w:hint="eastAsia" w:ascii="宋体" w:hAnsi="宋体" w:eastAsia="宋体" w:cs="宋体"/>
          <w:b/>
          <w:bCs/>
          <w:sz w:val="44"/>
          <w:szCs w:val="44"/>
          <w:lang w:val="en-US" w:eastAsia="zh-CN"/>
        </w:rPr>
      </w:pPr>
    </w:p>
    <w:p w14:paraId="4F08E40B">
      <w:pPr>
        <w:keepNext w:val="0"/>
        <w:keepLines w:val="0"/>
        <w:pageBreakBefore w:val="0"/>
        <w:widowControl w:val="0"/>
        <w:kinsoku/>
        <w:wordWrap/>
        <w:overflowPunct/>
        <w:topLinePunct w:val="0"/>
        <w:autoSpaceDE/>
        <w:autoSpaceDN/>
        <w:bidi w:val="0"/>
        <w:adjustRightInd/>
        <w:snapToGrid/>
        <w:spacing w:line="560" w:lineRule="exact"/>
        <w:ind w:left="442" w:hanging="442" w:hangingChars="100"/>
        <w:jc w:val="center"/>
        <w:textAlignment w:val="auto"/>
        <w:rPr>
          <w:rFonts w:hint="eastAsia"/>
          <w:b/>
          <w:bCs/>
          <w:sz w:val="44"/>
          <w:szCs w:val="44"/>
          <w:lang w:val="en-US" w:eastAsia="zh-CN"/>
        </w:rPr>
      </w:pPr>
      <w:r>
        <w:rPr>
          <w:rFonts w:hint="eastAsia"/>
          <w:b/>
          <w:bCs/>
          <w:sz w:val="44"/>
          <w:szCs w:val="44"/>
          <w:lang w:val="en-US" w:eastAsia="zh-CN"/>
        </w:rPr>
        <w:t>沈阳浑南辽宁明X建设安装有限公司</w:t>
      </w:r>
    </w:p>
    <w:p w14:paraId="5C468B45">
      <w:pPr>
        <w:keepNext w:val="0"/>
        <w:keepLines w:val="0"/>
        <w:pageBreakBefore w:val="0"/>
        <w:widowControl w:val="0"/>
        <w:kinsoku/>
        <w:wordWrap/>
        <w:overflowPunct/>
        <w:topLinePunct w:val="0"/>
        <w:autoSpaceDE/>
        <w:autoSpaceDN/>
        <w:bidi w:val="0"/>
        <w:adjustRightInd/>
        <w:snapToGrid/>
        <w:spacing w:line="560" w:lineRule="exact"/>
        <w:ind w:left="442" w:hanging="442" w:hangingChars="100"/>
        <w:jc w:val="center"/>
        <w:textAlignment w:val="auto"/>
        <w:rPr>
          <w:rFonts w:hint="eastAsia"/>
          <w:b/>
          <w:bCs/>
          <w:sz w:val="44"/>
          <w:szCs w:val="44"/>
          <w:lang w:val="en-US" w:eastAsia="zh-CN"/>
        </w:rPr>
      </w:pPr>
      <w:r>
        <w:rPr>
          <w:rFonts w:hint="eastAsia"/>
          <w:b/>
          <w:bCs/>
          <w:sz w:val="44"/>
          <w:szCs w:val="44"/>
          <w:lang w:val="en-US" w:eastAsia="zh-CN"/>
        </w:rPr>
        <w:t>“10.13”一般坍塌事故</w:t>
      </w:r>
    </w:p>
    <w:p w14:paraId="5952002B">
      <w:pPr>
        <w:keepNext w:val="0"/>
        <w:keepLines w:val="0"/>
        <w:pageBreakBefore w:val="0"/>
        <w:widowControl w:val="0"/>
        <w:kinsoku/>
        <w:wordWrap/>
        <w:overflowPunct/>
        <w:topLinePunct w:val="0"/>
        <w:autoSpaceDE/>
        <w:autoSpaceDN/>
        <w:bidi w:val="0"/>
        <w:adjustRightInd/>
        <w:snapToGrid/>
        <w:spacing w:line="560" w:lineRule="exact"/>
        <w:ind w:left="442" w:hanging="442" w:hangingChars="100"/>
        <w:jc w:val="center"/>
        <w:textAlignment w:val="auto"/>
        <w:rPr>
          <w:rFonts w:hint="default" w:ascii="宋体" w:hAnsi="宋体" w:eastAsia="宋体" w:cs="宋体"/>
          <w:bCs/>
          <w:kern w:val="2"/>
          <w:sz w:val="21"/>
          <w:szCs w:val="44"/>
          <w:lang w:val="en-US" w:eastAsia="zh-CN" w:bidi="ar-SA"/>
        </w:rPr>
      </w:pPr>
      <w:r>
        <w:rPr>
          <w:rFonts w:hint="eastAsia"/>
          <w:b/>
          <w:bCs/>
          <w:sz w:val="44"/>
          <w:szCs w:val="44"/>
          <w:lang w:val="en-US" w:eastAsia="zh-CN"/>
        </w:rPr>
        <w:t>调查报告</w:t>
      </w:r>
    </w:p>
    <w:p w14:paraId="1F04CEA7">
      <w:pPr>
        <w:spacing w:before="0" w:beforeLines="0" w:after="0" w:afterLines="0" w:line="240" w:lineRule="auto"/>
        <w:ind w:left="0" w:leftChars="0" w:right="0" w:rightChars="0" w:firstLine="0" w:firstLineChars="0"/>
        <w:jc w:val="both"/>
        <w:rPr>
          <w:rFonts w:hint="eastAsia" w:ascii="宋体" w:hAnsi="宋体" w:eastAsia="宋体" w:cs="宋体"/>
          <w:bCs/>
          <w:kern w:val="2"/>
          <w:sz w:val="21"/>
          <w:szCs w:val="44"/>
          <w:lang w:val="en-US" w:eastAsia="zh-CN" w:bidi="ar-SA"/>
        </w:rPr>
      </w:pPr>
    </w:p>
    <w:p w14:paraId="163BB3C7">
      <w:pPr>
        <w:spacing w:before="0" w:beforeLines="0" w:after="0" w:afterLines="0" w:line="240" w:lineRule="auto"/>
        <w:ind w:left="0" w:leftChars="0" w:right="0" w:rightChars="0" w:firstLine="0" w:firstLineChars="0"/>
        <w:jc w:val="both"/>
        <w:rPr>
          <w:rFonts w:hint="eastAsia" w:ascii="宋体" w:hAnsi="宋体" w:eastAsia="宋体" w:cs="宋体"/>
          <w:bCs/>
          <w:kern w:val="2"/>
          <w:sz w:val="21"/>
          <w:szCs w:val="44"/>
          <w:lang w:val="en-US" w:eastAsia="zh-CN" w:bidi="ar-SA"/>
        </w:rPr>
      </w:pPr>
    </w:p>
    <w:p w14:paraId="52B9C2E1">
      <w:pPr>
        <w:spacing w:before="0" w:beforeLines="0" w:after="0" w:afterLines="0" w:line="240" w:lineRule="auto"/>
        <w:ind w:left="0" w:leftChars="0" w:right="0" w:rightChars="0" w:firstLine="0" w:firstLineChars="0"/>
        <w:jc w:val="both"/>
        <w:rPr>
          <w:rFonts w:hint="eastAsia" w:ascii="宋体" w:hAnsi="宋体" w:eastAsia="宋体" w:cs="宋体"/>
          <w:bCs/>
          <w:kern w:val="2"/>
          <w:sz w:val="21"/>
          <w:szCs w:val="44"/>
          <w:lang w:val="en-US" w:eastAsia="zh-CN" w:bidi="ar-SA"/>
        </w:rPr>
      </w:pPr>
    </w:p>
    <w:p w14:paraId="180F334C">
      <w:pPr>
        <w:spacing w:before="0" w:beforeLines="0" w:after="0" w:afterLines="0" w:line="240" w:lineRule="auto"/>
        <w:ind w:left="0" w:leftChars="0" w:right="0" w:rightChars="0" w:firstLine="0" w:firstLineChars="0"/>
        <w:jc w:val="both"/>
        <w:rPr>
          <w:rFonts w:hint="eastAsia" w:ascii="宋体" w:hAnsi="宋体" w:eastAsia="宋体" w:cs="宋体"/>
          <w:bCs/>
          <w:kern w:val="2"/>
          <w:sz w:val="21"/>
          <w:szCs w:val="44"/>
          <w:lang w:val="en-US" w:eastAsia="zh-CN" w:bidi="ar-SA"/>
        </w:rPr>
      </w:pPr>
    </w:p>
    <w:p w14:paraId="2AFDD875">
      <w:pPr>
        <w:spacing w:before="0" w:beforeLines="0" w:after="0" w:afterLines="0" w:line="240" w:lineRule="auto"/>
        <w:ind w:left="0" w:leftChars="0" w:right="0" w:rightChars="0" w:firstLine="0" w:firstLineChars="0"/>
        <w:jc w:val="both"/>
        <w:rPr>
          <w:rFonts w:hint="eastAsia" w:ascii="宋体" w:hAnsi="宋体" w:eastAsia="宋体" w:cs="宋体"/>
          <w:bCs/>
          <w:kern w:val="2"/>
          <w:sz w:val="21"/>
          <w:szCs w:val="44"/>
          <w:lang w:val="en-US" w:eastAsia="zh-CN" w:bidi="ar-SA"/>
        </w:rPr>
      </w:pPr>
    </w:p>
    <w:p w14:paraId="6FAC3D94">
      <w:pPr>
        <w:spacing w:before="0" w:beforeLines="0" w:after="0" w:afterLines="0" w:line="240" w:lineRule="auto"/>
        <w:ind w:left="0" w:leftChars="0" w:right="0" w:rightChars="0" w:firstLine="0" w:firstLineChars="0"/>
        <w:jc w:val="both"/>
        <w:rPr>
          <w:rFonts w:hint="eastAsia" w:ascii="宋体" w:hAnsi="宋体" w:eastAsia="宋体" w:cs="宋体"/>
          <w:bCs/>
          <w:kern w:val="2"/>
          <w:sz w:val="21"/>
          <w:szCs w:val="44"/>
          <w:lang w:val="en-US" w:eastAsia="zh-CN" w:bidi="ar-SA"/>
        </w:rPr>
      </w:pPr>
    </w:p>
    <w:p w14:paraId="4B975585">
      <w:pPr>
        <w:spacing w:before="0" w:beforeLines="0" w:after="0" w:afterLines="0" w:line="240" w:lineRule="auto"/>
        <w:ind w:left="0" w:leftChars="0" w:right="0" w:rightChars="0" w:firstLine="0" w:firstLineChars="0"/>
        <w:jc w:val="both"/>
        <w:rPr>
          <w:rFonts w:hint="eastAsia" w:ascii="宋体" w:hAnsi="宋体" w:eastAsia="宋体" w:cs="宋体"/>
          <w:bCs/>
          <w:kern w:val="2"/>
          <w:sz w:val="21"/>
          <w:szCs w:val="44"/>
          <w:lang w:val="en-US" w:eastAsia="zh-CN" w:bidi="ar-SA"/>
        </w:rPr>
      </w:pPr>
    </w:p>
    <w:p w14:paraId="7011E75E">
      <w:pPr>
        <w:spacing w:before="0" w:beforeLines="0" w:after="0" w:afterLines="0" w:line="240" w:lineRule="auto"/>
        <w:ind w:left="0" w:leftChars="0" w:right="0" w:rightChars="0" w:firstLine="0" w:firstLineChars="0"/>
        <w:jc w:val="both"/>
        <w:rPr>
          <w:rFonts w:hint="eastAsia" w:ascii="宋体" w:hAnsi="宋体" w:eastAsia="宋体" w:cs="宋体"/>
          <w:bCs/>
          <w:kern w:val="2"/>
          <w:sz w:val="21"/>
          <w:szCs w:val="44"/>
          <w:lang w:val="en-US" w:eastAsia="zh-CN" w:bidi="ar-SA"/>
        </w:rPr>
      </w:pPr>
    </w:p>
    <w:p w14:paraId="5610CDB2">
      <w:pPr>
        <w:spacing w:before="0" w:beforeLines="0" w:after="0" w:afterLines="0" w:line="240" w:lineRule="auto"/>
        <w:ind w:left="0" w:leftChars="0" w:right="0" w:rightChars="0" w:firstLine="0" w:firstLineChars="0"/>
        <w:jc w:val="both"/>
        <w:rPr>
          <w:rFonts w:hint="eastAsia" w:ascii="宋体" w:hAnsi="宋体" w:eastAsia="宋体" w:cs="宋体"/>
          <w:bCs/>
          <w:kern w:val="2"/>
          <w:sz w:val="21"/>
          <w:szCs w:val="44"/>
          <w:lang w:val="en-US" w:eastAsia="zh-CN" w:bidi="ar-SA"/>
        </w:rPr>
      </w:pPr>
    </w:p>
    <w:p w14:paraId="3DC16A08">
      <w:pPr>
        <w:spacing w:before="0" w:beforeLines="0" w:after="0" w:afterLines="0" w:line="240" w:lineRule="auto"/>
        <w:ind w:left="0" w:leftChars="0" w:right="0" w:rightChars="0" w:firstLine="0" w:firstLineChars="0"/>
        <w:jc w:val="both"/>
        <w:rPr>
          <w:rFonts w:hint="eastAsia" w:ascii="宋体" w:hAnsi="宋体" w:eastAsia="宋体" w:cs="宋体"/>
          <w:bCs/>
          <w:kern w:val="2"/>
          <w:sz w:val="21"/>
          <w:szCs w:val="44"/>
          <w:lang w:val="en-US" w:eastAsia="zh-CN" w:bidi="ar-SA"/>
        </w:rPr>
      </w:pPr>
    </w:p>
    <w:p w14:paraId="65364B5C">
      <w:pPr>
        <w:spacing w:before="0" w:beforeLines="0" w:after="0" w:afterLines="0" w:line="240" w:lineRule="auto"/>
        <w:ind w:left="0" w:leftChars="0" w:right="0" w:rightChars="0" w:firstLine="0" w:firstLineChars="0"/>
        <w:jc w:val="both"/>
        <w:rPr>
          <w:rFonts w:hint="eastAsia" w:ascii="宋体" w:hAnsi="宋体" w:eastAsia="宋体" w:cs="宋体"/>
          <w:bCs/>
          <w:kern w:val="2"/>
          <w:sz w:val="21"/>
          <w:szCs w:val="44"/>
          <w:lang w:val="en-US" w:eastAsia="zh-CN" w:bidi="ar-SA"/>
        </w:rPr>
      </w:pPr>
    </w:p>
    <w:p w14:paraId="12CFB3F9">
      <w:pPr>
        <w:spacing w:before="0" w:beforeLines="0" w:after="0" w:afterLines="0" w:line="240" w:lineRule="auto"/>
        <w:ind w:left="0" w:leftChars="0" w:right="0" w:rightChars="0" w:firstLine="0" w:firstLineChars="0"/>
        <w:jc w:val="both"/>
        <w:rPr>
          <w:rFonts w:hint="eastAsia" w:ascii="宋体" w:hAnsi="宋体" w:eastAsia="宋体" w:cs="宋体"/>
          <w:bCs/>
          <w:kern w:val="2"/>
          <w:sz w:val="21"/>
          <w:szCs w:val="44"/>
          <w:lang w:val="en-US" w:eastAsia="zh-CN" w:bidi="ar-SA"/>
        </w:rPr>
      </w:pPr>
    </w:p>
    <w:p w14:paraId="1ED40888">
      <w:pPr>
        <w:spacing w:before="0" w:beforeLines="0" w:after="0" w:afterLines="0" w:line="240" w:lineRule="auto"/>
        <w:ind w:left="0" w:leftChars="0" w:right="0" w:rightChars="0" w:firstLine="0" w:firstLineChars="0"/>
        <w:jc w:val="both"/>
        <w:rPr>
          <w:rFonts w:hint="eastAsia" w:ascii="宋体" w:hAnsi="宋体" w:eastAsia="宋体" w:cs="宋体"/>
          <w:bCs/>
          <w:kern w:val="2"/>
          <w:sz w:val="21"/>
          <w:szCs w:val="44"/>
          <w:lang w:val="en-US" w:eastAsia="zh-CN" w:bidi="ar-SA"/>
        </w:rPr>
      </w:pPr>
    </w:p>
    <w:p w14:paraId="455EEB88">
      <w:pPr>
        <w:spacing w:before="0" w:beforeLines="0" w:after="0" w:afterLines="0" w:line="240" w:lineRule="auto"/>
        <w:ind w:left="0" w:leftChars="0" w:right="0" w:rightChars="0" w:firstLine="0" w:firstLineChars="0"/>
        <w:jc w:val="both"/>
        <w:rPr>
          <w:rFonts w:hint="eastAsia" w:ascii="宋体" w:hAnsi="宋体" w:eastAsia="宋体" w:cs="宋体"/>
          <w:bCs/>
          <w:kern w:val="2"/>
          <w:sz w:val="21"/>
          <w:szCs w:val="44"/>
          <w:lang w:val="en-US" w:eastAsia="zh-CN" w:bidi="ar-SA"/>
        </w:rPr>
      </w:pPr>
    </w:p>
    <w:p w14:paraId="7379B7DC">
      <w:pPr>
        <w:spacing w:before="0" w:beforeLines="0" w:after="0" w:afterLines="0" w:line="240" w:lineRule="auto"/>
        <w:ind w:left="0" w:leftChars="0" w:right="0" w:rightChars="0" w:firstLine="0" w:firstLineChars="0"/>
        <w:jc w:val="both"/>
        <w:rPr>
          <w:rFonts w:hint="eastAsia" w:ascii="宋体" w:hAnsi="宋体" w:eastAsia="宋体" w:cs="宋体"/>
          <w:bCs/>
          <w:kern w:val="2"/>
          <w:sz w:val="21"/>
          <w:szCs w:val="44"/>
          <w:lang w:val="en-US" w:eastAsia="zh-CN" w:bidi="ar-SA"/>
        </w:rPr>
      </w:pPr>
    </w:p>
    <w:p w14:paraId="7B889CD6">
      <w:pPr>
        <w:spacing w:before="0" w:beforeLines="0" w:after="0" w:afterLines="0" w:line="240" w:lineRule="auto"/>
        <w:ind w:left="0" w:leftChars="0" w:right="0" w:rightChars="0" w:firstLine="0" w:firstLineChars="0"/>
        <w:jc w:val="both"/>
        <w:rPr>
          <w:rFonts w:hint="eastAsia" w:ascii="宋体" w:hAnsi="宋体" w:eastAsia="宋体" w:cs="宋体"/>
          <w:bCs/>
          <w:kern w:val="2"/>
          <w:sz w:val="21"/>
          <w:szCs w:val="44"/>
          <w:lang w:val="en-US" w:eastAsia="zh-CN" w:bidi="ar-SA"/>
        </w:rPr>
      </w:pPr>
    </w:p>
    <w:p w14:paraId="7D52A8A9">
      <w:pPr>
        <w:spacing w:before="0" w:beforeLines="0" w:after="0" w:afterLines="0" w:line="240" w:lineRule="auto"/>
        <w:ind w:left="0" w:leftChars="0" w:right="0" w:rightChars="0" w:firstLine="0" w:firstLineChars="0"/>
        <w:jc w:val="center"/>
        <w:rPr>
          <w:rFonts w:hint="eastAsia" w:ascii="宋体" w:hAnsi="宋体" w:eastAsia="宋体" w:cs="宋体"/>
          <w:bCs/>
          <w:kern w:val="2"/>
          <w:sz w:val="28"/>
          <w:szCs w:val="28"/>
          <w:lang w:val="en-US" w:eastAsia="zh-CN" w:bidi="ar-SA"/>
        </w:rPr>
      </w:pPr>
    </w:p>
    <w:p w14:paraId="5BBD1A52">
      <w:pPr>
        <w:spacing w:before="0" w:beforeLines="0" w:after="0" w:afterLines="0" w:line="240" w:lineRule="auto"/>
        <w:ind w:left="0" w:leftChars="0" w:right="0" w:rightChars="0" w:firstLine="0" w:firstLineChars="0"/>
        <w:jc w:val="center"/>
        <w:rPr>
          <w:rFonts w:hint="eastAsia" w:ascii="楷体" w:hAnsi="楷体" w:eastAsia="楷体" w:cs="楷体"/>
          <w:bCs/>
          <w:kern w:val="2"/>
          <w:sz w:val="30"/>
          <w:szCs w:val="30"/>
          <w:lang w:val="en-US" w:eastAsia="zh-CN" w:bidi="ar-SA"/>
        </w:rPr>
      </w:pPr>
      <w:r>
        <w:rPr>
          <w:rFonts w:hint="eastAsia" w:ascii="楷体" w:hAnsi="楷体" w:eastAsia="楷体" w:cs="楷体"/>
          <w:bCs/>
          <w:kern w:val="2"/>
          <w:sz w:val="30"/>
          <w:szCs w:val="30"/>
          <w:lang w:val="en-US" w:eastAsia="zh-CN" w:bidi="ar-SA"/>
        </w:rPr>
        <w:t>浑南区事故调查组</w:t>
      </w:r>
    </w:p>
    <w:p w14:paraId="3B0D520C">
      <w:pPr>
        <w:spacing w:before="0" w:beforeLines="0" w:after="0" w:afterLines="0" w:line="240" w:lineRule="auto"/>
        <w:ind w:left="0" w:leftChars="0" w:right="0" w:rightChars="0" w:firstLine="0" w:firstLineChars="0"/>
        <w:jc w:val="both"/>
        <w:rPr>
          <w:rFonts w:hint="default" w:ascii="宋体" w:hAnsi="宋体" w:eastAsia="宋体" w:cs="宋体"/>
          <w:bCs/>
          <w:kern w:val="2"/>
          <w:sz w:val="28"/>
          <w:szCs w:val="28"/>
          <w:lang w:val="en-US" w:eastAsia="zh-CN" w:bidi="ar-SA"/>
        </w:rPr>
        <w:sectPr>
          <w:footerReference r:id="rId4" w:type="default"/>
          <w:pgSz w:w="11906" w:h="16838"/>
          <w:pgMar w:top="2211" w:right="1531" w:bottom="1871" w:left="1531" w:header="851" w:footer="992" w:gutter="0"/>
          <w:cols w:space="0" w:num="1"/>
          <w:rtlGutter w:val="0"/>
          <w:docGrid w:type="lines" w:linePitch="312" w:charSpace="0"/>
        </w:sectPr>
      </w:pPr>
    </w:p>
    <w:sdt>
      <w:sdtPr>
        <w:rPr>
          <w:rFonts w:ascii="宋体" w:hAnsi="宋体" w:eastAsia="宋体" w:cstheme="minorBidi"/>
          <w:kern w:val="2"/>
          <w:sz w:val="21"/>
          <w:szCs w:val="24"/>
          <w:lang w:val="en-US" w:eastAsia="zh-CN" w:bidi="ar-SA"/>
        </w:rPr>
        <w:id w:val="147454941"/>
        <w15:color w:val="DBDBDB"/>
        <w:docPartObj>
          <w:docPartGallery w:val="Table of Contents"/>
          <w:docPartUnique/>
        </w:docPartObj>
      </w:sdtPr>
      <w:sdtEndPr>
        <w:rPr>
          <w:rFonts w:hint="eastAsia" w:ascii="宋体" w:hAnsi="宋体" w:eastAsia="宋体" w:cs="宋体"/>
          <w:bCs/>
          <w:kern w:val="2"/>
          <w:sz w:val="28"/>
          <w:szCs w:val="56"/>
          <w:lang w:val="en-US" w:eastAsia="zh-CN" w:bidi="ar-SA"/>
        </w:rPr>
      </w:sdtEndPr>
      <w:sdtContent>
        <w:p w14:paraId="282D5754">
          <w:pPr>
            <w:keepNext w:val="0"/>
            <w:keepLines w:val="0"/>
            <w:pageBreakBefore w:val="0"/>
            <w:widowControl w:val="0"/>
            <w:kinsoku/>
            <w:wordWrap/>
            <w:overflowPunct/>
            <w:topLinePunct w:val="0"/>
            <w:autoSpaceDE/>
            <w:autoSpaceDN/>
            <w:bidi w:val="0"/>
            <w:adjustRightInd/>
            <w:snapToGrid/>
            <w:spacing w:before="0" w:after="0" w:line="460" w:lineRule="exact"/>
            <w:ind w:left="0" w:leftChars="0" w:right="0" w:rightChars="0" w:firstLine="0" w:firstLineChars="0"/>
            <w:jc w:val="center"/>
            <w:textAlignment w:val="auto"/>
            <w:rPr>
              <w:sz w:val="28"/>
              <w:szCs w:val="28"/>
            </w:rPr>
          </w:pPr>
          <w:bookmarkStart w:id="0" w:name="_Toc6680"/>
          <w:bookmarkStart w:id="1" w:name="_Toc1556"/>
          <w:r>
            <w:rPr>
              <w:rFonts w:ascii="宋体" w:hAnsi="宋体" w:eastAsia="宋体"/>
              <w:sz w:val="28"/>
              <w:szCs w:val="28"/>
            </w:rPr>
            <w:t>目录</w:t>
          </w:r>
        </w:p>
        <w:p w14:paraId="74548EB7">
          <w:pPr>
            <w:pStyle w:val="8"/>
            <w:tabs>
              <w:tab w:val="right" w:leader="dot" w:pos="8306"/>
            </w:tabs>
          </w:pPr>
          <w:r>
            <w:rPr>
              <w:rFonts w:hint="eastAsia" w:ascii="宋体" w:hAnsi="宋体" w:eastAsia="宋体" w:cs="宋体"/>
              <w:b/>
              <w:bCs/>
              <w:sz w:val="28"/>
              <w:szCs w:val="28"/>
              <w:lang w:val="en-US" w:eastAsia="zh-CN"/>
            </w:rPr>
            <w:fldChar w:fldCharType="begin"/>
          </w:r>
          <w:r>
            <w:rPr>
              <w:rFonts w:hint="eastAsia" w:ascii="宋体" w:hAnsi="宋体" w:eastAsia="宋体" w:cs="宋体"/>
              <w:b/>
              <w:bCs/>
              <w:sz w:val="28"/>
              <w:szCs w:val="28"/>
              <w:lang w:val="en-US" w:eastAsia="zh-CN"/>
            </w:rPr>
            <w:instrText xml:space="preserve">TOC \o "1-3" \h \u </w:instrText>
          </w:r>
          <w:r>
            <w:rPr>
              <w:rFonts w:hint="eastAsia" w:ascii="宋体" w:hAnsi="宋体" w:eastAsia="宋体" w:cs="宋体"/>
              <w:b/>
              <w:bCs/>
              <w:sz w:val="28"/>
              <w:szCs w:val="28"/>
              <w:lang w:val="en-US" w:eastAsia="zh-CN"/>
            </w:rPr>
            <w:fldChar w:fldCharType="separate"/>
          </w:r>
          <w:r>
            <w:rPr>
              <w:rFonts w:hint="eastAsia" w:ascii="宋体" w:hAnsi="宋体" w:eastAsia="宋体" w:cs="宋体"/>
              <w:bCs/>
              <w:szCs w:val="28"/>
              <w:lang w:val="en-US" w:eastAsia="zh-CN"/>
            </w:rPr>
            <w:fldChar w:fldCharType="begin"/>
          </w:r>
          <w:r>
            <w:rPr>
              <w:rFonts w:hint="eastAsia" w:ascii="宋体" w:hAnsi="宋体" w:eastAsia="宋体" w:cs="宋体"/>
              <w:bCs/>
              <w:szCs w:val="28"/>
              <w:lang w:val="en-US" w:eastAsia="zh-CN"/>
            </w:rPr>
            <w:instrText xml:space="preserve"> HYPERLINK \l _Toc25319 </w:instrText>
          </w:r>
          <w:r>
            <w:rPr>
              <w:rFonts w:hint="eastAsia" w:ascii="宋体" w:hAnsi="宋体" w:eastAsia="宋体" w:cs="宋体"/>
              <w:bCs/>
              <w:szCs w:val="28"/>
              <w:lang w:val="en-US" w:eastAsia="zh-CN"/>
            </w:rPr>
            <w:fldChar w:fldCharType="separate"/>
          </w:r>
          <w:r>
            <w:rPr>
              <w:rFonts w:hint="eastAsia" w:ascii="宋体" w:hAnsi="宋体" w:eastAsia="宋体" w:cs="宋体"/>
              <w:bCs/>
              <w:szCs w:val="32"/>
              <w:lang w:val="en-US" w:eastAsia="zh-CN"/>
            </w:rPr>
            <w:t xml:space="preserve">一、 </w:t>
          </w:r>
          <w:r>
            <w:rPr>
              <w:rFonts w:hint="eastAsia" w:ascii="黑体" w:hAnsi="黑体" w:eastAsia="黑体" w:cs="黑体"/>
              <w:bCs w:val="0"/>
              <w:szCs w:val="32"/>
              <w:lang w:val="en-US" w:eastAsia="zh-CN"/>
            </w:rPr>
            <w:t>事故基本情况</w:t>
          </w:r>
          <w:r>
            <w:tab/>
          </w:r>
          <w:r>
            <w:fldChar w:fldCharType="begin"/>
          </w:r>
          <w:r>
            <w:instrText xml:space="preserve"> PAGEREF _Toc25319 \h </w:instrText>
          </w:r>
          <w:r>
            <w:fldChar w:fldCharType="separate"/>
          </w:r>
          <w:r>
            <w:t>2</w:t>
          </w:r>
          <w:r>
            <w:fldChar w:fldCharType="end"/>
          </w:r>
          <w:r>
            <w:rPr>
              <w:rFonts w:hint="eastAsia" w:ascii="宋体" w:hAnsi="宋体" w:eastAsia="宋体" w:cs="宋体"/>
              <w:bCs/>
              <w:szCs w:val="28"/>
              <w:lang w:val="en-US" w:eastAsia="zh-CN"/>
            </w:rPr>
            <w:fldChar w:fldCharType="end"/>
          </w:r>
        </w:p>
        <w:p w14:paraId="42E51DC8">
          <w:pPr>
            <w:pStyle w:val="10"/>
            <w:tabs>
              <w:tab w:val="right" w:leader="dot" w:pos="8306"/>
            </w:tabs>
          </w:pPr>
          <w:r>
            <w:rPr>
              <w:rFonts w:hint="eastAsia" w:ascii="宋体" w:hAnsi="宋体" w:eastAsia="宋体" w:cs="宋体"/>
              <w:bCs/>
              <w:szCs w:val="28"/>
              <w:lang w:val="en-US" w:eastAsia="zh-CN"/>
            </w:rPr>
            <w:fldChar w:fldCharType="begin"/>
          </w:r>
          <w:r>
            <w:rPr>
              <w:rFonts w:hint="eastAsia" w:ascii="宋体" w:hAnsi="宋体" w:eastAsia="宋体" w:cs="宋体"/>
              <w:bCs/>
              <w:szCs w:val="28"/>
              <w:lang w:val="en-US" w:eastAsia="zh-CN"/>
            </w:rPr>
            <w:instrText xml:space="preserve"> HYPERLINK \l _Toc14027 </w:instrText>
          </w:r>
          <w:r>
            <w:rPr>
              <w:rFonts w:hint="eastAsia" w:ascii="宋体" w:hAnsi="宋体" w:eastAsia="宋体" w:cs="宋体"/>
              <w:bCs/>
              <w:szCs w:val="28"/>
              <w:lang w:val="en-US" w:eastAsia="zh-CN"/>
            </w:rPr>
            <w:fldChar w:fldCharType="separate"/>
          </w:r>
          <w:r>
            <w:rPr>
              <w:rFonts w:hint="eastAsia" w:ascii="楷体" w:hAnsi="楷体" w:eastAsia="楷体" w:cs="楷体"/>
              <w:bCs/>
              <w:szCs w:val="32"/>
              <w:lang w:val="en-US" w:eastAsia="zh-CN"/>
            </w:rPr>
            <w:t>（一）相关单位基本情况</w:t>
          </w:r>
          <w:r>
            <w:tab/>
          </w:r>
          <w:r>
            <w:fldChar w:fldCharType="begin"/>
          </w:r>
          <w:r>
            <w:instrText xml:space="preserve"> PAGEREF _Toc14027 \h </w:instrText>
          </w:r>
          <w:r>
            <w:fldChar w:fldCharType="separate"/>
          </w:r>
          <w:r>
            <w:t>2</w:t>
          </w:r>
          <w:r>
            <w:fldChar w:fldCharType="end"/>
          </w:r>
          <w:r>
            <w:rPr>
              <w:rFonts w:hint="eastAsia" w:ascii="宋体" w:hAnsi="宋体" w:eastAsia="宋体" w:cs="宋体"/>
              <w:bCs/>
              <w:szCs w:val="28"/>
              <w:lang w:val="en-US" w:eastAsia="zh-CN"/>
            </w:rPr>
            <w:fldChar w:fldCharType="end"/>
          </w:r>
        </w:p>
        <w:p w14:paraId="0B83AE3F">
          <w:pPr>
            <w:pStyle w:val="10"/>
            <w:tabs>
              <w:tab w:val="right" w:leader="dot" w:pos="8306"/>
            </w:tabs>
          </w:pPr>
          <w:r>
            <w:rPr>
              <w:rFonts w:hint="eastAsia" w:ascii="宋体" w:hAnsi="宋体" w:eastAsia="宋体" w:cs="宋体"/>
              <w:bCs/>
              <w:szCs w:val="28"/>
              <w:lang w:val="en-US" w:eastAsia="zh-CN"/>
            </w:rPr>
            <w:fldChar w:fldCharType="begin"/>
          </w:r>
          <w:r>
            <w:rPr>
              <w:rFonts w:hint="eastAsia" w:ascii="宋体" w:hAnsi="宋体" w:eastAsia="宋体" w:cs="宋体"/>
              <w:bCs/>
              <w:szCs w:val="28"/>
              <w:lang w:val="en-US" w:eastAsia="zh-CN"/>
            </w:rPr>
            <w:instrText xml:space="preserve"> HYPERLINK \l _Toc22824 </w:instrText>
          </w:r>
          <w:r>
            <w:rPr>
              <w:rFonts w:hint="eastAsia" w:ascii="宋体" w:hAnsi="宋体" w:eastAsia="宋体" w:cs="宋体"/>
              <w:bCs/>
              <w:szCs w:val="28"/>
              <w:lang w:val="en-US" w:eastAsia="zh-CN"/>
            </w:rPr>
            <w:fldChar w:fldCharType="separate"/>
          </w:r>
          <w:r>
            <w:rPr>
              <w:rFonts w:hint="eastAsia" w:ascii="楷体" w:hAnsi="楷体" w:eastAsia="楷体" w:cs="楷体"/>
              <w:bCs/>
              <w:szCs w:val="32"/>
              <w:lang w:val="en-US" w:eastAsia="zh-CN"/>
            </w:rPr>
            <w:t>（二）相关人员基本情况</w:t>
          </w:r>
          <w:r>
            <w:tab/>
          </w:r>
          <w:r>
            <w:fldChar w:fldCharType="begin"/>
          </w:r>
          <w:r>
            <w:instrText xml:space="preserve"> PAGEREF _Toc22824 \h </w:instrText>
          </w:r>
          <w:r>
            <w:fldChar w:fldCharType="separate"/>
          </w:r>
          <w:r>
            <w:t>5</w:t>
          </w:r>
          <w:r>
            <w:fldChar w:fldCharType="end"/>
          </w:r>
          <w:r>
            <w:rPr>
              <w:rFonts w:hint="eastAsia" w:ascii="宋体" w:hAnsi="宋体" w:eastAsia="宋体" w:cs="宋体"/>
              <w:bCs/>
              <w:szCs w:val="28"/>
              <w:lang w:val="en-US" w:eastAsia="zh-CN"/>
            </w:rPr>
            <w:fldChar w:fldCharType="end"/>
          </w:r>
        </w:p>
        <w:p w14:paraId="350FE2A3">
          <w:pPr>
            <w:pStyle w:val="10"/>
            <w:tabs>
              <w:tab w:val="right" w:leader="dot" w:pos="8306"/>
            </w:tabs>
          </w:pPr>
          <w:r>
            <w:rPr>
              <w:rFonts w:hint="eastAsia" w:ascii="宋体" w:hAnsi="宋体" w:eastAsia="宋体" w:cs="宋体"/>
              <w:bCs/>
              <w:szCs w:val="28"/>
              <w:lang w:val="en-US" w:eastAsia="zh-CN"/>
            </w:rPr>
            <w:fldChar w:fldCharType="begin"/>
          </w:r>
          <w:r>
            <w:rPr>
              <w:rFonts w:hint="eastAsia" w:ascii="宋体" w:hAnsi="宋体" w:eastAsia="宋体" w:cs="宋体"/>
              <w:bCs/>
              <w:szCs w:val="28"/>
              <w:lang w:val="en-US" w:eastAsia="zh-CN"/>
            </w:rPr>
            <w:instrText xml:space="preserve"> HYPERLINK \l _Toc3624 </w:instrText>
          </w:r>
          <w:r>
            <w:rPr>
              <w:rFonts w:hint="eastAsia" w:ascii="宋体" w:hAnsi="宋体" w:eastAsia="宋体" w:cs="宋体"/>
              <w:bCs/>
              <w:szCs w:val="28"/>
              <w:lang w:val="en-US" w:eastAsia="zh-CN"/>
            </w:rPr>
            <w:fldChar w:fldCharType="separate"/>
          </w:r>
          <w:r>
            <w:rPr>
              <w:rFonts w:hint="eastAsia" w:ascii="楷体" w:hAnsi="楷体" w:eastAsia="楷体" w:cs="楷体"/>
              <w:bCs/>
              <w:szCs w:val="32"/>
              <w:lang w:val="en-US" w:eastAsia="zh-CN"/>
            </w:rPr>
            <w:t>（三）行业监管情况</w:t>
          </w:r>
          <w:r>
            <w:tab/>
          </w:r>
          <w:r>
            <w:fldChar w:fldCharType="begin"/>
          </w:r>
          <w:r>
            <w:instrText xml:space="preserve"> PAGEREF _Toc3624 \h </w:instrText>
          </w:r>
          <w:r>
            <w:fldChar w:fldCharType="separate"/>
          </w:r>
          <w:r>
            <w:t>6</w:t>
          </w:r>
          <w:r>
            <w:fldChar w:fldCharType="end"/>
          </w:r>
          <w:r>
            <w:rPr>
              <w:rFonts w:hint="eastAsia" w:ascii="宋体" w:hAnsi="宋体" w:eastAsia="宋体" w:cs="宋体"/>
              <w:bCs/>
              <w:szCs w:val="28"/>
              <w:lang w:val="en-US" w:eastAsia="zh-CN"/>
            </w:rPr>
            <w:fldChar w:fldCharType="end"/>
          </w:r>
        </w:p>
        <w:p w14:paraId="16444ABB">
          <w:pPr>
            <w:pStyle w:val="10"/>
            <w:tabs>
              <w:tab w:val="right" w:leader="dot" w:pos="8306"/>
            </w:tabs>
          </w:pPr>
          <w:r>
            <w:rPr>
              <w:rFonts w:hint="eastAsia" w:ascii="宋体" w:hAnsi="宋体" w:eastAsia="宋体" w:cs="宋体"/>
              <w:bCs/>
              <w:szCs w:val="28"/>
              <w:lang w:val="en-US" w:eastAsia="zh-CN"/>
            </w:rPr>
            <w:fldChar w:fldCharType="begin"/>
          </w:r>
          <w:r>
            <w:rPr>
              <w:rFonts w:hint="eastAsia" w:ascii="宋体" w:hAnsi="宋体" w:eastAsia="宋体" w:cs="宋体"/>
              <w:bCs/>
              <w:szCs w:val="28"/>
              <w:lang w:val="en-US" w:eastAsia="zh-CN"/>
            </w:rPr>
            <w:instrText xml:space="preserve"> HYPERLINK \l _Toc30799 </w:instrText>
          </w:r>
          <w:r>
            <w:rPr>
              <w:rFonts w:hint="eastAsia" w:ascii="宋体" w:hAnsi="宋体" w:eastAsia="宋体" w:cs="宋体"/>
              <w:bCs/>
              <w:szCs w:val="28"/>
              <w:lang w:val="en-US" w:eastAsia="zh-CN"/>
            </w:rPr>
            <w:fldChar w:fldCharType="separate"/>
          </w:r>
          <w:r>
            <w:rPr>
              <w:rFonts w:hint="eastAsia" w:ascii="楷体" w:hAnsi="楷体" w:eastAsia="楷体" w:cs="楷体"/>
              <w:bCs/>
              <w:szCs w:val="32"/>
              <w:lang w:val="en-US" w:eastAsia="zh-CN"/>
            </w:rPr>
            <w:t>（四）事故现场勘察情况</w:t>
          </w:r>
          <w:r>
            <w:tab/>
          </w:r>
          <w:r>
            <w:fldChar w:fldCharType="begin"/>
          </w:r>
          <w:r>
            <w:instrText xml:space="preserve"> PAGEREF _Toc30799 \h </w:instrText>
          </w:r>
          <w:r>
            <w:fldChar w:fldCharType="separate"/>
          </w:r>
          <w:r>
            <w:t>6</w:t>
          </w:r>
          <w:r>
            <w:fldChar w:fldCharType="end"/>
          </w:r>
          <w:r>
            <w:rPr>
              <w:rFonts w:hint="eastAsia" w:ascii="宋体" w:hAnsi="宋体" w:eastAsia="宋体" w:cs="宋体"/>
              <w:bCs/>
              <w:szCs w:val="28"/>
              <w:lang w:val="en-US" w:eastAsia="zh-CN"/>
            </w:rPr>
            <w:fldChar w:fldCharType="end"/>
          </w:r>
        </w:p>
        <w:p w14:paraId="1BC7E3E9">
          <w:pPr>
            <w:pStyle w:val="8"/>
            <w:tabs>
              <w:tab w:val="right" w:leader="dot" w:pos="8306"/>
            </w:tabs>
          </w:pPr>
          <w:r>
            <w:rPr>
              <w:rFonts w:hint="eastAsia" w:ascii="宋体" w:hAnsi="宋体" w:eastAsia="宋体" w:cs="宋体"/>
              <w:bCs/>
              <w:szCs w:val="28"/>
              <w:lang w:val="en-US" w:eastAsia="zh-CN"/>
            </w:rPr>
            <w:fldChar w:fldCharType="begin"/>
          </w:r>
          <w:r>
            <w:rPr>
              <w:rFonts w:hint="eastAsia" w:ascii="宋体" w:hAnsi="宋体" w:eastAsia="宋体" w:cs="宋体"/>
              <w:bCs/>
              <w:szCs w:val="28"/>
              <w:lang w:val="en-US" w:eastAsia="zh-CN"/>
            </w:rPr>
            <w:instrText xml:space="preserve"> HYPERLINK \l _Toc17944 </w:instrText>
          </w:r>
          <w:r>
            <w:rPr>
              <w:rFonts w:hint="eastAsia" w:ascii="宋体" w:hAnsi="宋体" w:eastAsia="宋体" w:cs="宋体"/>
              <w:bCs/>
              <w:szCs w:val="28"/>
              <w:lang w:val="en-US" w:eastAsia="zh-CN"/>
            </w:rPr>
            <w:fldChar w:fldCharType="separate"/>
          </w:r>
          <w:r>
            <w:rPr>
              <w:rFonts w:hint="eastAsia" w:ascii="宋体" w:hAnsi="宋体" w:eastAsia="宋体" w:cs="宋体"/>
              <w:bCs/>
              <w:szCs w:val="32"/>
              <w:lang w:val="en-US" w:eastAsia="zh-CN"/>
            </w:rPr>
            <w:t xml:space="preserve">二、 </w:t>
          </w:r>
          <w:r>
            <w:rPr>
              <w:rFonts w:hint="eastAsia" w:ascii="黑体" w:hAnsi="黑体" w:eastAsia="黑体" w:cs="黑体"/>
              <w:bCs w:val="0"/>
              <w:szCs w:val="32"/>
              <w:lang w:val="en-US" w:eastAsia="zh-CN"/>
            </w:rPr>
            <w:t>事故发生经过</w:t>
          </w:r>
          <w:r>
            <w:tab/>
          </w:r>
          <w:r>
            <w:fldChar w:fldCharType="begin"/>
          </w:r>
          <w:r>
            <w:instrText xml:space="preserve"> PAGEREF _Toc17944 \h </w:instrText>
          </w:r>
          <w:r>
            <w:fldChar w:fldCharType="separate"/>
          </w:r>
          <w:r>
            <w:t>11</w:t>
          </w:r>
          <w:r>
            <w:fldChar w:fldCharType="end"/>
          </w:r>
          <w:r>
            <w:rPr>
              <w:rFonts w:hint="eastAsia" w:ascii="宋体" w:hAnsi="宋体" w:eastAsia="宋体" w:cs="宋体"/>
              <w:bCs/>
              <w:szCs w:val="28"/>
              <w:lang w:val="en-US" w:eastAsia="zh-CN"/>
            </w:rPr>
            <w:fldChar w:fldCharType="end"/>
          </w:r>
        </w:p>
        <w:p w14:paraId="357BBAEC">
          <w:pPr>
            <w:pStyle w:val="8"/>
            <w:tabs>
              <w:tab w:val="right" w:leader="dot" w:pos="8306"/>
            </w:tabs>
          </w:pPr>
          <w:r>
            <w:rPr>
              <w:rFonts w:hint="eastAsia" w:ascii="宋体" w:hAnsi="宋体" w:eastAsia="宋体" w:cs="宋体"/>
              <w:bCs/>
              <w:szCs w:val="28"/>
              <w:lang w:val="en-US" w:eastAsia="zh-CN"/>
            </w:rPr>
            <w:fldChar w:fldCharType="begin"/>
          </w:r>
          <w:r>
            <w:rPr>
              <w:rFonts w:hint="eastAsia" w:ascii="宋体" w:hAnsi="宋体" w:eastAsia="宋体" w:cs="宋体"/>
              <w:bCs/>
              <w:szCs w:val="28"/>
              <w:lang w:val="en-US" w:eastAsia="zh-CN"/>
            </w:rPr>
            <w:instrText xml:space="preserve"> HYPERLINK \l _Toc243 </w:instrText>
          </w:r>
          <w:r>
            <w:rPr>
              <w:rFonts w:hint="eastAsia" w:ascii="宋体" w:hAnsi="宋体" w:eastAsia="宋体" w:cs="宋体"/>
              <w:bCs/>
              <w:szCs w:val="28"/>
              <w:lang w:val="en-US" w:eastAsia="zh-CN"/>
            </w:rPr>
            <w:fldChar w:fldCharType="separate"/>
          </w:r>
          <w:r>
            <w:rPr>
              <w:rFonts w:hint="eastAsia" w:ascii="宋体" w:hAnsi="宋体" w:eastAsia="宋体" w:cs="宋体"/>
              <w:bCs/>
              <w:szCs w:val="32"/>
              <w:lang w:val="en-US" w:eastAsia="zh-CN"/>
            </w:rPr>
            <w:t xml:space="preserve">三、 </w:t>
          </w:r>
          <w:r>
            <w:rPr>
              <w:rFonts w:hint="eastAsia" w:ascii="黑体" w:hAnsi="黑体" w:eastAsia="黑体" w:cs="黑体"/>
              <w:bCs w:val="0"/>
              <w:szCs w:val="32"/>
              <w:lang w:val="en-US" w:eastAsia="zh-CN"/>
            </w:rPr>
            <w:t>事故应急处置及善后情况</w:t>
          </w:r>
          <w:r>
            <w:tab/>
          </w:r>
          <w:r>
            <w:fldChar w:fldCharType="begin"/>
          </w:r>
          <w:r>
            <w:instrText xml:space="preserve"> PAGEREF _Toc243 \h </w:instrText>
          </w:r>
          <w:r>
            <w:fldChar w:fldCharType="separate"/>
          </w:r>
          <w:r>
            <w:t>13</w:t>
          </w:r>
          <w:r>
            <w:fldChar w:fldCharType="end"/>
          </w:r>
          <w:r>
            <w:rPr>
              <w:rFonts w:hint="eastAsia" w:ascii="宋体" w:hAnsi="宋体" w:eastAsia="宋体" w:cs="宋体"/>
              <w:bCs/>
              <w:szCs w:val="28"/>
              <w:lang w:val="en-US" w:eastAsia="zh-CN"/>
            </w:rPr>
            <w:fldChar w:fldCharType="end"/>
          </w:r>
        </w:p>
        <w:p w14:paraId="478A9C3A">
          <w:pPr>
            <w:pStyle w:val="8"/>
            <w:tabs>
              <w:tab w:val="right" w:leader="dot" w:pos="8306"/>
            </w:tabs>
          </w:pPr>
          <w:r>
            <w:rPr>
              <w:rFonts w:hint="eastAsia" w:ascii="宋体" w:hAnsi="宋体" w:eastAsia="宋体" w:cs="宋体"/>
              <w:bCs/>
              <w:szCs w:val="28"/>
              <w:lang w:val="en-US" w:eastAsia="zh-CN"/>
            </w:rPr>
            <w:fldChar w:fldCharType="begin"/>
          </w:r>
          <w:r>
            <w:rPr>
              <w:rFonts w:hint="eastAsia" w:ascii="宋体" w:hAnsi="宋体" w:eastAsia="宋体" w:cs="宋体"/>
              <w:bCs/>
              <w:szCs w:val="28"/>
              <w:lang w:val="en-US" w:eastAsia="zh-CN"/>
            </w:rPr>
            <w:instrText xml:space="preserve"> HYPERLINK \l _Toc18669 </w:instrText>
          </w:r>
          <w:r>
            <w:rPr>
              <w:rFonts w:hint="eastAsia" w:ascii="宋体" w:hAnsi="宋体" w:eastAsia="宋体" w:cs="宋体"/>
              <w:bCs/>
              <w:szCs w:val="28"/>
              <w:lang w:val="en-US" w:eastAsia="zh-CN"/>
            </w:rPr>
            <w:fldChar w:fldCharType="separate"/>
          </w:r>
          <w:r>
            <w:rPr>
              <w:rFonts w:hint="eastAsia" w:ascii="宋体" w:hAnsi="宋体" w:eastAsia="宋体" w:cs="宋体"/>
              <w:bCs/>
              <w:szCs w:val="32"/>
              <w:lang w:val="en-US" w:eastAsia="zh-CN"/>
            </w:rPr>
            <w:t xml:space="preserve">四、 </w:t>
          </w:r>
          <w:r>
            <w:rPr>
              <w:rFonts w:hint="default" w:ascii="黑体" w:hAnsi="黑体" w:eastAsia="黑体" w:cs="黑体"/>
              <w:bCs w:val="0"/>
              <w:szCs w:val="32"/>
              <w:lang w:val="en-US" w:eastAsia="zh-CN"/>
            </w:rPr>
            <w:t>事故发生的原因</w:t>
          </w:r>
          <w:r>
            <w:tab/>
          </w:r>
          <w:r>
            <w:fldChar w:fldCharType="begin"/>
          </w:r>
          <w:r>
            <w:instrText xml:space="preserve"> PAGEREF _Toc18669 \h </w:instrText>
          </w:r>
          <w:r>
            <w:fldChar w:fldCharType="separate"/>
          </w:r>
          <w:r>
            <w:t>14</w:t>
          </w:r>
          <w:r>
            <w:fldChar w:fldCharType="end"/>
          </w:r>
          <w:r>
            <w:rPr>
              <w:rFonts w:hint="eastAsia" w:ascii="宋体" w:hAnsi="宋体" w:eastAsia="宋体" w:cs="宋体"/>
              <w:bCs/>
              <w:szCs w:val="28"/>
              <w:lang w:val="en-US" w:eastAsia="zh-CN"/>
            </w:rPr>
            <w:fldChar w:fldCharType="end"/>
          </w:r>
        </w:p>
        <w:p w14:paraId="49C4B81A">
          <w:pPr>
            <w:pStyle w:val="10"/>
            <w:tabs>
              <w:tab w:val="right" w:leader="dot" w:pos="8306"/>
            </w:tabs>
          </w:pPr>
          <w:r>
            <w:rPr>
              <w:rFonts w:hint="eastAsia" w:ascii="宋体" w:hAnsi="宋体" w:eastAsia="宋体" w:cs="宋体"/>
              <w:bCs/>
              <w:szCs w:val="28"/>
              <w:lang w:val="en-US" w:eastAsia="zh-CN"/>
            </w:rPr>
            <w:fldChar w:fldCharType="begin"/>
          </w:r>
          <w:r>
            <w:rPr>
              <w:rFonts w:hint="eastAsia" w:ascii="宋体" w:hAnsi="宋体" w:eastAsia="宋体" w:cs="宋体"/>
              <w:bCs/>
              <w:szCs w:val="28"/>
              <w:lang w:val="en-US" w:eastAsia="zh-CN"/>
            </w:rPr>
            <w:instrText xml:space="preserve"> HYPERLINK \l _Toc6099 </w:instrText>
          </w:r>
          <w:r>
            <w:rPr>
              <w:rFonts w:hint="eastAsia" w:ascii="宋体" w:hAnsi="宋体" w:eastAsia="宋体" w:cs="宋体"/>
              <w:bCs/>
              <w:szCs w:val="28"/>
              <w:lang w:val="en-US" w:eastAsia="zh-CN"/>
            </w:rPr>
            <w:fldChar w:fldCharType="separate"/>
          </w:r>
          <w:r>
            <w:rPr>
              <w:rFonts w:hint="eastAsia" w:ascii="楷体" w:hAnsi="楷体" w:eastAsia="楷体" w:cs="楷体"/>
              <w:bCs/>
              <w:szCs w:val="32"/>
              <w:lang w:val="en-US" w:eastAsia="zh-CN"/>
            </w:rPr>
            <w:t>（一）直接原因：</w:t>
          </w:r>
          <w:r>
            <w:tab/>
          </w:r>
          <w:r>
            <w:fldChar w:fldCharType="begin"/>
          </w:r>
          <w:r>
            <w:instrText xml:space="preserve"> PAGEREF _Toc6099 \h </w:instrText>
          </w:r>
          <w:r>
            <w:fldChar w:fldCharType="separate"/>
          </w:r>
          <w:r>
            <w:t>14</w:t>
          </w:r>
          <w:r>
            <w:fldChar w:fldCharType="end"/>
          </w:r>
          <w:r>
            <w:rPr>
              <w:rFonts w:hint="eastAsia" w:ascii="宋体" w:hAnsi="宋体" w:eastAsia="宋体" w:cs="宋体"/>
              <w:bCs/>
              <w:szCs w:val="28"/>
              <w:lang w:val="en-US" w:eastAsia="zh-CN"/>
            </w:rPr>
            <w:fldChar w:fldCharType="end"/>
          </w:r>
        </w:p>
        <w:p w14:paraId="6343CA10">
          <w:pPr>
            <w:pStyle w:val="10"/>
            <w:tabs>
              <w:tab w:val="right" w:leader="dot" w:pos="8306"/>
            </w:tabs>
          </w:pPr>
          <w:r>
            <w:rPr>
              <w:rFonts w:hint="eastAsia" w:ascii="宋体" w:hAnsi="宋体" w:eastAsia="宋体" w:cs="宋体"/>
              <w:bCs/>
              <w:szCs w:val="28"/>
              <w:lang w:val="en-US" w:eastAsia="zh-CN"/>
            </w:rPr>
            <w:fldChar w:fldCharType="begin"/>
          </w:r>
          <w:r>
            <w:rPr>
              <w:rFonts w:hint="eastAsia" w:ascii="宋体" w:hAnsi="宋体" w:eastAsia="宋体" w:cs="宋体"/>
              <w:bCs/>
              <w:szCs w:val="28"/>
              <w:lang w:val="en-US" w:eastAsia="zh-CN"/>
            </w:rPr>
            <w:instrText xml:space="preserve"> HYPERLINK \l _Toc17749 </w:instrText>
          </w:r>
          <w:r>
            <w:rPr>
              <w:rFonts w:hint="eastAsia" w:ascii="宋体" w:hAnsi="宋体" w:eastAsia="宋体" w:cs="宋体"/>
              <w:bCs/>
              <w:szCs w:val="28"/>
              <w:lang w:val="en-US" w:eastAsia="zh-CN"/>
            </w:rPr>
            <w:fldChar w:fldCharType="separate"/>
          </w:r>
          <w:r>
            <w:rPr>
              <w:rFonts w:hint="eastAsia" w:ascii="楷体" w:hAnsi="楷体" w:eastAsia="楷体" w:cs="楷体"/>
              <w:bCs/>
              <w:szCs w:val="32"/>
              <w:lang w:val="en-US" w:eastAsia="zh-CN"/>
            </w:rPr>
            <w:t>（二）间接原因：</w:t>
          </w:r>
          <w:r>
            <w:tab/>
          </w:r>
          <w:r>
            <w:fldChar w:fldCharType="begin"/>
          </w:r>
          <w:r>
            <w:instrText xml:space="preserve"> PAGEREF _Toc17749 \h </w:instrText>
          </w:r>
          <w:r>
            <w:fldChar w:fldCharType="separate"/>
          </w:r>
          <w:r>
            <w:t>14</w:t>
          </w:r>
          <w:r>
            <w:fldChar w:fldCharType="end"/>
          </w:r>
          <w:r>
            <w:rPr>
              <w:rFonts w:hint="eastAsia" w:ascii="宋体" w:hAnsi="宋体" w:eastAsia="宋体" w:cs="宋体"/>
              <w:bCs/>
              <w:szCs w:val="28"/>
              <w:lang w:val="en-US" w:eastAsia="zh-CN"/>
            </w:rPr>
            <w:fldChar w:fldCharType="end"/>
          </w:r>
        </w:p>
        <w:p w14:paraId="7A59AFAE">
          <w:pPr>
            <w:pStyle w:val="8"/>
            <w:tabs>
              <w:tab w:val="right" w:leader="dot" w:pos="8306"/>
            </w:tabs>
          </w:pPr>
          <w:r>
            <w:rPr>
              <w:rFonts w:hint="eastAsia" w:ascii="宋体" w:hAnsi="宋体" w:eastAsia="宋体" w:cs="宋体"/>
              <w:bCs/>
              <w:szCs w:val="28"/>
              <w:lang w:val="en-US" w:eastAsia="zh-CN"/>
            </w:rPr>
            <w:fldChar w:fldCharType="begin"/>
          </w:r>
          <w:r>
            <w:rPr>
              <w:rFonts w:hint="eastAsia" w:ascii="宋体" w:hAnsi="宋体" w:eastAsia="宋体" w:cs="宋体"/>
              <w:bCs/>
              <w:szCs w:val="28"/>
              <w:lang w:val="en-US" w:eastAsia="zh-CN"/>
            </w:rPr>
            <w:instrText xml:space="preserve"> HYPERLINK \l _Toc547 </w:instrText>
          </w:r>
          <w:r>
            <w:rPr>
              <w:rFonts w:hint="eastAsia" w:ascii="宋体" w:hAnsi="宋体" w:eastAsia="宋体" w:cs="宋体"/>
              <w:bCs/>
              <w:szCs w:val="28"/>
              <w:lang w:val="en-US" w:eastAsia="zh-CN"/>
            </w:rPr>
            <w:fldChar w:fldCharType="separate"/>
          </w:r>
          <w:r>
            <w:rPr>
              <w:rFonts w:hint="eastAsia" w:ascii="仿宋" w:hAnsi="仿宋" w:eastAsia="仿宋" w:cs="仿宋"/>
              <w:bCs/>
              <w:szCs w:val="32"/>
              <w:lang w:val="en-US" w:eastAsia="zh-CN"/>
            </w:rPr>
            <w:t>辽宁明X建设安装有限公司</w:t>
          </w:r>
          <w:r>
            <w:tab/>
          </w:r>
          <w:r>
            <w:fldChar w:fldCharType="begin"/>
          </w:r>
          <w:r>
            <w:instrText xml:space="preserve"> PAGEREF _Toc547 \h </w:instrText>
          </w:r>
          <w:r>
            <w:fldChar w:fldCharType="separate"/>
          </w:r>
          <w:r>
            <w:t>14</w:t>
          </w:r>
          <w:r>
            <w:fldChar w:fldCharType="end"/>
          </w:r>
          <w:r>
            <w:rPr>
              <w:rFonts w:hint="eastAsia" w:ascii="宋体" w:hAnsi="宋体" w:eastAsia="宋体" w:cs="宋体"/>
              <w:bCs/>
              <w:szCs w:val="28"/>
              <w:lang w:val="en-US" w:eastAsia="zh-CN"/>
            </w:rPr>
            <w:fldChar w:fldCharType="end"/>
          </w:r>
        </w:p>
        <w:p w14:paraId="21B1B740">
          <w:pPr>
            <w:pStyle w:val="8"/>
            <w:tabs>
              <w:tab w:val="right" w:leader="dot" w:pos="8306"/>
            </w:tabs>
          </w:pPr>
          <w:r>
            <w:rPr>
              <w:rFonts w:hint="eastAsia" w:ascii="宋体" w:hAnsi="宋体" w:eastAsia="宋体" w:cs="宋体"/>
              <w:bCs/>
              <w:szCs w:val="28"/>
              <w:lang w:val="en-US" w:eastAsia="zh-CN"/>
            </w:rPr>
            <w:fldChar w:fldCharType="begin"/>
          </w:r>
          <w:r>
            <w:rPr>
              <w:rFonts w:hint="eastAsia" w:ascii="宋体" w:hAnsi="宋体" w:eastAsia="宋体" w:cs="宋体"/>
              <w:bCs/>
              <w:szCs w:val="28"/>
              <w:lang w:val="en-US" w:eastAsia="zh-CN"/>
            </w:rPr>
            <w:instrText xml:space="preserve"> HYPERLINK \l _Toc7512 </w:instrText>
          </w:r>
          <w:r>
            <w:rPr>
              <w:rFonts w:hint="eastAsia" w:ascii="宋体" w:hAnsi="宋体" w:eastAsia="宋体" w:cs="宋体"/>
              <w:bCs/>
              <w:szCs w:val="28"/>
              <w:lang w:val="en-US" w:eastAsia="zh-CN"/>
            </w:rPr>
            <w:fldChar w:fldCharType="separate"/>
          </w:r>
          <w:r>
            <w:rPr>
              <w:rFonts w:hint="eastAsia" w:ascii="仿宋" w:hAnsi="仿宋" w:eastAsia="仿宋" w:cs="仿宋"/>
              <w:bCs/>
              <w:szCs w:val="32"/>
              <w:lang w:val="en-US" w:eastAsia="zh-CN"/>
            </w:rPr>
            <w:t>张XX</w:t>
          </w:r>
          <w:r>
            <w:tab/>
          </w:r>
          <w:r>
            <w:fldChar w:fldCharType="begin"/>
          </w:r>
          <w:r>
            <w:instrText xml:space="preserve"> PAGEREF _Toc7512 \h </w:instrText>
          </w:r>
          <w:r>
            <w:fldChar w:fldCharType="separate"/>
          </w:r>
          <w:r>
            <w:t>14</w:t>
          </w:r>
          <w:r>
            <w:fldChar w:fldCharType="end"/>
          </w:r>
          <w:r>
            <w:rPr>
              <w:rFonts w:hint="eastAsia" w:ascii="宋体" w:hAnsi="宋体" w:eastAsia="宋体" w:cs="宋体"/>
              <w:bCs/>
              <w:szCs w:val="28"/>
              <w:lang w:val="en-US" w:eastAsia="zh-CN"/>
            </w:rPr>
            <w:fldChar w:fldCharType="end"/>
          </w:r>
        </w:p>
        <w:p w14:paraId="1A39843D">
          <w:pPr>
            <w:pStyle w:val="10"/>
            <w:tabs>
              <w:tab w:val="right" w:leader="dot" w:pos="8306"/>
            </w:tabs>
          </w:pPr>
          <w:r>
            <w:rPr>
              <w:rFonts w:hint="eastAsia" w:ascii="宋体" w:hAnsi="宋体" w:eastAsia="宋体" w:cs="宋体"/>
              <w:bCs/>
              <w:szCs w:val="28"/>
              <w:lang w:val="en-US" w:eastAsia="zh-CN"/>
            </w:rPr>
            <w:fldChar w:fldCharType="begin"/>
          </w:r>
          <w:r>
            <w:rPr>
              <w:rFonts w:hint="eastAsia" w:ascii="宋体" w:hAnsi="宋体" w:eastAsia="宋体" w:cs="宋体"/>
              <w:bCs/>
              <w:szCs w:val="28"/>
              <w:lang w:val="en-US" w:eastAsia="zh-CN"/>
            </w:rPr>
            <w:instrText xml:space="preserve"> HYPERLINK \l _Toc13917 </w:instrText>
          </w:r>
          <w:r>
            <w:rPr>
              <w:rFonts w:hint="eastAsia" w:ascii="宋体" w:hAnsi="宋体" w:eastAsia="宋体" w:cs="宋体"/>
              <w:bCs/>
              <w:szCs w:val="28"/>
              <w:lang w:val="en-US" w:eastAsia="zh-CN"/>
            </w:rPr>
            <w:fldChar w:fldCharType="separate"/>
          </w:r>
          <w:r>
            <w:rPr>
              <w:rFonts w:hint="eastAsia" w:ascii="楷体" w:hAnsi="楷体" w:eastAsia="楷体" w:cs="楷体"/>
              <w:bCs/>
              <w:kern w:val="2"/>
              <w:szCs w:val="32"/>
              <w:lang w:val="en-US" w:eastAsia="zh-CN" w:bidi="ar-SA"/>
            </w:rPr>
            <w:t>（一）对有关责任单位的处理建议</w:t>
          </w:r>
          <w:r>
            <w:tab/>
          </w:r>
          <w:r>
            <w:fldChar w:fldCharType="begin"/>
          </w:r>
          <w:r>
            <w:instrText xml:space="preserve"> PAGEREF _Toc13917 \h </w:instrText>
          </w:r>
          <w:r>
            <w:fldChar w:fldCharType="separate"/>
          </w:r>
          <w:r>
            <w:t>15</w:t>
          </w:r>
          <w:r>
            <w:fldChar w:fldCharType="end"/>
          </w:r>
          <w:r>
            <w:rPr>
              <w:rFonts w:hint="eastAsia" w:ascii="宋体" w:hAnsi="宋体" w:eastAsia="宋体" w:cs="宋体"/>
              <w:bCs/>
              <w:szCs w:val="28"/>
              <w:lang w:val="en-US" w:eastAsia="zh-CN"/>
            </w:rPr>
            <w:fldChar w:fldCharType="end"/>
          </w:r>
        </w:p>
        <w:p w14:paraId="008A75C7">
          <w:pPr>
            <w:pStyle w:val="8"/>
            <w:tabs>
              <w:tab w:val="right" w:leader="dot" w:pos="8306"/>
            </w:tabs>
          </w:pPr>
          <w:r>
            <w:rPr>
              <w:rFonts w:hint="eastAsia" w:ascii="宋体" w:hAnsi="宋体" w:eastAsia="宋体" w:cs="宋体"/>
              <w:bCs/>
              <w:szCs w:val="28"/>
              <w:lang w:val="en-US" w:eastAsia="zh-CN"/>
            </w:rPr>
            <w:fldChar w:fldCharType="begin"/>
          </w:r>
          <w:r>
            <w:rPr>
              <w:rFonts w:hint="eastAsia" w:ascii="宋体" w:hAnsi="宋体" w:eastAsia="宋体" w:cs="宋体"/>
              <w:bCs/>
              <w:szCs w:val="28"/>
              <w:lang w:val="en-US" w:eastAsia="zh-CN"/>
            </w:rPr>
            <w:instrText xml:space="preserve"> HYPERLINK \l _Toc22606 </w:instrText>
          </w:r>
          <w:r>
            <w:rPr>
              <w:rFonts w:hint="eastAsia" w:ascii="宋体" w:hAnsi="宋体" w:eastAsia="宋体" w:cs="宋体"/>
              <w:bCs/>
              <w:szCs w:val="28"/>
              <w:lang w:val="en-US" w:eastAsia="zh-CN"/>
            </w:rPr>
            <w:fldChar w:fldCharType="separate"/>
          </w:r>
          <w:r>
            <w:rPr>
              <w:rFonts w:hint="eastAsia" w:ascii="仿宋" w:hAnsi="仿宋" w:eastAsia="仿宋" w:cs="仿宋"/>
              <w:bCs/>
              <w:szCs w:val="32"/>
              <w:lang w:val="en-US" w:eastAsia="zh-CN"/>
            </w:rPr>
            <w:t>辽宁明X建设安装有限公司</w:t>
          </w:r>
          <w:r>
            <w:tab/>
          </w:r>
          <w:r>
            <w:fldChar w:fldCharType="begin"/>
          </w:r>
          <w:r>
            <w:instrText xml:space="preserve"> PAGEREF _Toc22606 \h </w:instrText>
          </w:r>
          <w:r>
            <w:fldChar w:fldCharType="separate"/>
          </w:r>
          <w:r>
            <w:t>15</w:t>
          </w:r>
          <w:r>
            <w:fldChar w:fldCharType="end"/>
          </w:r>
          <w:r>
            <w:rPr>
              <w:rFonts w:hint="eastAsia" w:ascii="宋体" w:hAnsi="宋体" w:eastAsia="宋体" w:cs="宋体"/>
              <w:bCs/>
              <w:szCs w:val="28"/>
              <w:lang w:val="en-US" w:eastAsia="zh-CN"/>
            </w:rPr>
            <w:fldChar w:fldCharType="end"/>
          </w:r>
        </w:p>
        <w:p w14:paraId="32A46D5D">
          <w:pPr>
            <w:pStyle w:val="10"/>
            <w:tabs>
              <w:tab w:val="right" w:leader="dot" w:pos="8306"/>
            </w:tabs>
          </w:pPr>
          <w:r>
            <w:rPr>
              <w:rFonts w:hint="eastAsia" w:ascii="宋体" w:hAnsi="宋体" w:eastAsia="宋体" w:cs="宋体"/>
              <w:bCs/>
              <w:szCs w:val="28"/>
              <w:lang w:val="en-US" w:eastAsia="zh-CN"/>
            </w:rPr>
            <w:fldChar w:fldCharType="begin"/>
          </w:r>
          <w:r>
            <w:rPr>
              <w:rFonts w:hint="eastAsia" w:ascii="宋体" w:hAnsi="宋体" w:eastAsia="宋体" w:cs="宋体"/>
              <w:bCs/>
              <w:szCs w:val="28"/>
              <w:lang w:val="en-US" w:eastAsia="zh-CN"/>
            </w:rPr>
            <w:instrText xml:space="preserve"> HYPERLINK \l _Toc31878 </w:instrText>
          </w:r>
          <w:r>
            <w:rPr>
              <w:rFonts w:hint="eastAsia" w:ascii="宋体" w:hAnsi="宋体" w:eastAsia="宋体" w:cs="宋体"/>
              <w:bCs/>
              <w:szCs w:val="28"/>
              <w:lang w:val="en-US" w:eastAsia="zh-CN"/>
            </w:rPr>
            <w:fldChar w:fldCharType="separate"/>
          </w:r>
          <w:r>
            <w:rPr>
              <w:rFonts w:hint="eastAsia" w:ascii="楷体" w:hAnsi="楷体" w:eastAsia="楷体" w:cs="楷体"/>
              <w:bCs/>
              <w:kern w:val="2"/>
              <w:szCs w:val="32"/>
              <w:lang w:val="en-US" w:eastAsia="zh-CN" w:bidi="ar-SA"/>
            </w:rPr>
            <w:t>（二）</w:t>
          </w:r>
          <w:r>
            <w:rPr>
              <w:rFonts w:hint="default" w:ascii="楷体" w:hAnsi="楷体" w:eastAsia="楷体" w:cs="楷体"/>
              <w:bCs/>
              <w:kern w:val="2"/>
              <w:szCs w:val="32"/>
              <w:lang w:val="en-US" w:eastAsia="zh-CN" w:bidi="ar-SA"/>
            </w:rPr>
            <w:t>对有关责任人员的处理建议</w:t>
          </w:r>
          <w:r>
            <w:tab/>
          </w:r>
          <w:r>
            <w:fldChar w:fldCharType="begin"/>
          </w:r>
          <w:r>
            <w:instrText xml:space="preserve"> PAGEREF _Toc31878 \h </w:instrText>
          </w:r>
          <w:r>
            <w:fldChar w:fldCharType="separate"/>
          </w:r>
          <w:r>
            <w:t>15</w:t>
          </w:r>
          <w:r>
            <w:fldChar w:fldCharType="end"/>
          </w:r>
          <w:r>
            <w:rPr>
              <w:rFonts w:hint="eastAsia" w:ascii="宋体" w:hAnsi="宋体" w:eastAsia="宋体" w:cs="宋体"/>
              <w:bCs/>
              <w:szCs w:val="28"/>
              <w:lang w:val="en-US" w:eastAsia="zh-CN"/>
            </w:rPr>
            <w:fldChar w:fldCharType="end"/>
          </w:r>
        </w:p>
        <w:p w14:paraId="03AB0E29">
          <w:pPr>
            <w:pStyle w:val="8"/>
            <w:tabs>
              <w:tab w:val="right" w:leader="dot" w:pos="8306"/>
            </w:tabs>
          </w:pPr>
          <w:r>
            <w:rPr>
              <w:rFonts w:hint="eastAsia" w:ascii="宋体" w:hAnsi="宋体" w:eastAsia="宋体" w:cs="宋体"/>
              <w:bCs/>
              <w:szCs w:val="28"/>
              <w:lang w:val="en-US" w:eastAsia="zh-CN"/>
            </w:rPr>
            <w:fldChar w:fldCharType="begin"/>
          </w:r>
          <w:r>
            <w:rPr>
              <w:rFonts w:hint="eastAsia" w:ascii="宋体" w:hAnsi="宋体" w:eastAsia="宋体" w:cs="宋体"/>
              <w:bCs/>
              <w:szCs w:val="28"/>
              <w:lang w:val="en-US" w:eastAsia="zh-CN"/>
            </w:rPr>
            <w:instrText xml:space="preserve"> HYPERLINK \l _Toc23596 </w:instrText>
          </w:r>
          <w:r>
            <w:rPr>
              <w:rFonts w:hint="eastAsia" w:ascii="宋体" w:hAnsi="宋体" w:eastAsia="宋体" w:cs="宋体"/>
              <w:bCs/>
              <w:szCs w:val="28"/>
              <w:lang w:val="en-US" w:eastAsia="zh-CN"/>
            </w:rPr>
            <w:fldChar w:fldCharType="separate"/>
          </w:r>
          <w:r>
            <w:rPr>
              <w:rFonts w:hint="eastAsia" w:ascii="仿宋" w:hAnsi="仿宋" w:eastAsia="仿宋" w:cs="仿宋"/>
              <w:bCs/>
              <w:szCs w:val="32"/>
              <w:lang w:val="en-US" w:eastAsia="zh-CN"/>
            </w:rPr>
            <w:t>张XX</w:t>
          </w:r>
          <w:r>
            <w:tab/>
          </w:r>
          <w:r>
            <w:fldChar w:fldCharType="begin"/>
          </w:r>
          <w:r>
            <w:instrText xml:space="preserve"> PAGEREF _Toc23596 \h </w:instrText>
          </w:r>
          <w:r>
            <w:fldChar w:fldCharType="separate"/>
          </w:r>
          <w:r>
            <w:t>15</w:t>
          </w:r>
          <w:r>
            <w:fldChar w:fldCharType="end"/>
          </w:r>
          <w:r>
            <w:rPr>
              <w:rFonts w:hint="eastAsia" w:ascii="宋体" w:hAnsi="宋体" w:eastAsia="宋体" w:cs="宋体"/>
              <w:bCs/>
              <w:szCs w:val="28"/>
              <w:lang w:val="en-US" w:eastAsia="zh-CN"/>
            </w:rPr>
            <w:fldChar w:fldCharType="end"/>
          </w:r>
        </w:p>
        <w:p w14:paraId="6B928A45">
          <w:pPr>
            <w:pStyle w:val="8"/>
            <w:tabs>
              <w:tab w:val="right" w:leader="dot" w:pos="8306"/>
            </w:tabs>
          </w:pPr>
          <w:r>
            <w:rPr>
              <w:rFonts w:hint="eastAsia" w:ascii="宋体" w:hAnsi="宋体" w:eastAsia="宋体" w:cs="宋体"/>
              <w:bCs/>
              <w:szCs w:val="28"/>
              <w:lang w:val="en-US" w:eastAsia="zh-CN"/>
            </w:rPr>
            <w:fldChar w:fldCharType="begin"/>
          </w:r>
          <w:r>
            <w:rPr>
              <w:rFonts w:hint="eastAsia" w:ascii="宋体" w:hAnsi="宋体" w:eastAsia="宋体" w:cs="宋体"/>
              <w:bCs/>
              <w:szCs w:val="28"/>
              <w:lang w:val="en-US" w:eastAsia="zh-CN"/>
            </w:rPr>
            <w:instrText xml:space="preserve"> HYPERLINK \l _Toc28028 </w:instrText>
          </w:r>
          <w:r>
            <w:rPr>
              <w:rFonts w:hint="eastAsia" w:ascii="宋体" w:hAnsi="宋体" w:eastAsia="宋体" w:cs="宋体"/>
              <w:bCs/>
              <w:szCs w:val="28"/>
              <w:lang w:val="en-US" w:eastAsia="zh-CN"/>
            </w:rPr>
            <w:fldChar w:fldCharType="separate"/>
          </w:r>
          <w:r>
            <w:rPr>
              <w:rFonts w:hint="eastAsia" w:ascii="仿宋" w:hAnsi="仿宋" w:eastAsia="仿宋" w:cs="仿宋"/>
              <w:bCs/>
              <w:szCs w:val="32"/>
              <w:lang w:val="en-US" w:eastAsia="zh-CN"/>
            </w:rPr>
            <w:t>唐XX</w:t>
          </w:r>
          <w:r>
            <w:tab/>
          </w:r>
          <w:r>
            <w:fldChar w:fldCharType="begin"/>
          </w:r>
          <w:r>
            <w:instrText xml:space="preserve"> PAGEREF _Toc28028 \h </w:instrText>
          </w:r>
          <w:r>
            <w:fldChar w:fldCharType="separate"/>
          </w:r>
          <w:r>
            <w:t>16</w:t>
          </w:r>
          <w:r>
            <w:fldChar w:fldCharType="end"/>
          </w:r>
          <w:r>
            <w:rPr>
              <w:rFonts w:hint="eastAsia" w:ascii="宋体" w:hAnsi="宋体" w:eastAsia="宋体" w:cs="宋体"/>
              <w:bCs/>
              <w:szCs w:val="28"/>
              <w:lang w:val="en-US" w:eastAsia="zh-CN"/>
            </w:rPr>
            <w:fldChar w:fldCharType="end"/>
          </w:r>
        </w:p>
        <w:p w14:paraId="1720737C">
          <w:pPr>
            <w:pStyle w:val="8"/>
            <w:tabs>
              <w:tab w:val="right" w:leader="dot" w:pos="8306"/>
            </w:tabs>
          </w:pPr>
          <w:r>
            <w:rPr>
              <w:rFonts w:hint="eastAsia" w:ascii="宋体" w:hAnsi="宋体" w:eastAsia="宋体" w:cs="宋体"/>
              <w:bCs/>
              <w:szCs w:val="28"/>
              <w:lang w:val="en-US" w:eastAsia="zh-CN"/>
            </w:rPr>
            <w:fldChar w:fldCharType="begin"/>
          </w:r>
          <w:r>
            <w:rPr>
              <w:rFonts w:hint="eastAsia" w:ascii="宋体" w:hAnsi="宋体" w:eastAsia="宋体" w:cs="宋体"/>
              <w:bCs/>
              <w:szCs w:val="28"/>
              <w:lang w:val="en-US" w:eastAsia="zh-CN"/>
            </w:rPr>
            <w:instrText xml:space="preserve"> HYPERLINK \l _Toc7632 </w:instrText>
          </w:r>
          <w:r>
            <w:rPr>
              <w:rFonts w:hint="eastAsia" w:ascii="宋体" w:hAnsi="宋体" w:eastAsia="宋体" w:cs="宋体"/>
              <w:bCs/>
              <w:szCs w:val="28"/>
              <w:lang w:val="en-US" w:eastAsia="zh-CN"/>
            </w:rPr>
            <w:fldChar w:fldCharType="separate"/>
          </w:r>
          <w:r>
            <w:rPr>
              <w:rFonts w:hint="eastAsia" w:ascii="黑体" w:hAnsi="黑体" w:eastAsia="黑体" w:cs="黑体"/>
              <w:bCs w:val="0"/>
              <w:kern w:val="2"/>
              <w:szCs w:val="32"/>
              <w:highlight w:val="none"/>
              <w:lang w:val="en-US" w:eastAsia="zh-CN" w:bidi="ar-SA"/>
            </w:rPr>
            <w:t>七、</w:t>
          </w:r>
          <w:r>
            <w:rPr>
              <w:rFonts w:hint="default" w:ascii="黑体" w:hAnsi="黑体" w:eastAsia="黑体" w:cs="黑体"/>
              <w:bCs w:val="0"/>
              <w:kern w:val="2"/>
              <w:szCs w:val="32"/>
              <w:highlight w:val="none"/>
              <w:lang w:val="en-US" w:eastAsia="zh-CN" w:bidi="ar-SA"/>
            </w:rPr>
            <w:t>事故防范及整改措施</w:t>
          </w:r>
          <w:r>
            <w:tab/>
          </w:r>
          <w:r>
            <w:fldChar w:fldCharType="begin"/>
          </w:r>
          <w:r>
            <w:instrText xml:space="preserve"> PAGEREF _Toc7632 \h </w:instrText>
          </w:r>
          <w:r>
            <w:fldChar w:fldCharType="separate"/>
          </w:r>
          <w:r>
            <w:t>16</w:t>
          </w:r>
          <w:r>
            <w:fldChar w:fldCharType="end"/>
          </w:r>
          <w:r>
            <w:rPr>
              <w:rFonts w:hint="eastAsia" w:ascii="宋体" w:hAnsi="宋体" w:eastAsia="宋体" w:cs="宋体"/>
              <w:bCs/>
              <w:szCs w:val="28"/>
              <w:lang w:val="en-US" w:eastAsia="zh-CN"/>
            </w:rPr>
            <w:fldChar w:fldCharType="end"/>
          </w:r>
        </w:p>
        <w:p w14:paraId="3F5485AA">
          <w:pPr>
            <w:pStyle w:val="8"/>
            <w:tabs>
              <w:tab w:val="right" w:leader="dot" w:pos="8306"/>
            </w:tabs>
          </w:pPr>
          <w:r>
            <w:rPr>
              <w:rFonts w:hint="eastAsia" w:ascii="宋体" w:hAnsi="宋体" w:eastAsia="宋体" w:cs="宋体"/>
              <w:bCs/>
              <w:szCs w:val="28"/>
              <w:lang w:val="en-US" w:eastAsia="zh-CN"/>
            </w:rPr>
            <w:fldChar w:fldCharType="begin"/>
          </w:r>
          <w:r>
            <w:rPr>
              <w:rFonts w:hint="eastAsia" w:ascii="宋体" w:hAnsi="宋体" w:eastAsia="宋体" w:cs="宋体"/>
              <w:bCs/>
              <w:szCs w:val="28"/>
              <w:lang w:val="en-US" w:eastAsia="zh-CN"/>
            </w:rPr>
            <w:instrText xml:space="preserve"> HYPERLINK \l _Toc676 </w:instrText>
          </w:r>
          <w:r>
            <w:rPr>
              <w:rFonts w:hint="eastAsia" w:ascii="宋体" w:hAnsi="宋体" w:eastAsia="宋体" w:cs="宋体"/>
              <w:bCs/>
              <w:szCs w:val="28"/>
              <w:lang w:val="en-US" w:eastAsia="zh-CN"/>
            </w:rPr>
            <w:fldChar w:fldCharType="separate"/>
          </w:r>
          <w:r>
            <w:rPr>
              <w:rFonts w:hint="eastAsia" w:ascii="仿宋" w:hAnsi="仿宋" w:eastAsia="仿宋" w:cs="仿宋"/>
              <w:bCs/>
              <w:szCs w:val="32"/>
              <w:lang w:val="en-US" w:eastAsia="zh-CN"/>
            </w:rPr>
            <w:t>辽宁明X建设安装有限公司</w:t>
          </w:r>
          <w:r>
            <w:tab/>
          </w:r>
          <w:r>
            <w:fldChar w:fldCharType="begin"/>
          </w:r>
          <w:r>
            <w:instrText xml:space="preserve"> PAGEREF _Toc676 \h </w:instrText>
          </w:r>
          <w:r>
            <w:fldChar w:fldCharType="separate"/>
          </w:r>
          <w:r>
            <w:t>17</w:t>
          </w:r>
          <w:r>
            <w:fldChar w:fldCharType="end"/>
          </w:r>
          <w:r>
            <w:rPr>
              <w:rFonts w:hint="eastAsia" w:ascii="宋体" w:hAnsi="宋体" w:eastAsia="宋体" w:cs="宋体"/>
              <w:bCs/>
              <w:szCs w:val="28"/>
              <w:lang w:val="en-US" w:eastAsia="zh-CN"/>
            </w:rPr>
            <w:fldChar w:fldCharType="end"/>
          </w:r>
        </w:p>
        <w:p w14:paraId="62EAE9A0">
          <w:pPr>
            <w:pStyle w:val="8"/>
            <w:tabs>
              <w:tab w:val="right" w:leader="dot" w:pos="8306"/>
            </w:tabs>
          </w:pPr>
          <w:r>
            <w:rPr>
              <w:rFonts w:hint="eastAsia" w:ascii="宋体" w:hAnsi="宋体" w:eastAsia="宋体" w:cs="宋体"/>
              <w:bCs/>
              <w:szCs w:val="28"/>
              <w:lang w:val="en-US" w:eastAsia="zh-CN"/>
            </w:rPr>
            <w:fldChar w:fldCharType="begin"/>
          </w:r>
          <w:r>
            <w:rPr>
              <w:rFonts w:hint="eastAsia" w:ascii="宋体" w:hAnsi="宋体" w:eastAsia="宋体" w:cs="宋体"/>
              <w:bCs/>
              <w:szCs w:val="28"/>
              <w:lang w:val="en-US" w:eastAsia="zh-CN"/>
            </w:rPr>
            <w:instrText xml:space="preserve"> HYPERLINK \l _Toc7756 </w:instrText>
          </w:r>
          <w:r>
            <w:rPr>
              <w:rFonts w:hint="eastAsia" w:ascii="宋体" w:hAnsi="宋体" w:eastAsia="宋体" w:cs="宋体"/>
              <w:bCs/>
              <w:szCs w:val="28"/>
              <w:lang w:val="en-US" w:eastAsia="zh-CN"/>
            </w:rPr>
            <w:fldChar w:fldCharType="separate"/>
          </w:r>
          <w:r>
            <w:rPr>
              <w:rFonts w:hint="eastAsia" w:ascii="仿宋" w:hAnsi="仿宋" w:eastAsia="仿宋" w:cs="仿宋"/>
              <w:bCs/>
              <w:szCs w:val="32"/>
              <w:lang w:val="en-US" w:eastAsia="zh-CN"/>
            </w:rPr>
            <w:t>住建部门</w:t>
          </w:r>
          <w:r>
            <w:tab/>
          </w:r>
          <w:r>
            <w:fldChar w:fldCharType="begin"/>
          </w:r>
          <w:r>
            <w:instrText xml:space="preserve"> PAGEREF _Toc7756 \h </w:instrText>
          </w:r>
          <w:r>
            <w:fldChar w:fldCharType="separate"/>
          </w:r>
          <w:r>
            <w:t>17</w:t>
          </w:r>
          <w:r>
            <w:fldChar w:fldCharType="end"/>
          </w:r>
          <w:r>
            <w:rPr>
              <w:rFonts w:hint="eastAsia" w:ascii="宋体" w:hAnsi="宋体" w:eastAsia="宋体" w:cs="宋体"/>
              <w:bCs/>
              <w:szCs w:val="28"/>
              <w:lang w:val="en-US" w:eastAsia="zh-CN"/>
            </w:rPr>
            <w:fldChar w:fldCharType="end"/>
          </w:r>
        </w:p>
        <w:p w14:paraId="31C49F52">
          <w:pPr>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宋体" w:hAnsi="宋体" w:eastAsia="宋体" w:cs="宋体"/>
              <w:bCs/>
              <w:kern w:val="2"/>
              <w:sz w:val="28"/>
              <w:szCs w:val="56"/>
              <w:lang w:val="en-US" w:eastAsia="zh-CN" w:bidi="ar-SA"/>
            </w:rPr>
          </w:pPr>
          <w:r>
            <w:rPr>
              <w:rFonts w:hint="eastAsia" w:ascii="宋体" w:hAnsi="宋体" w:eastAsia="宋体" w:cs="宋体"/>
              <w:bCs/>
              <w:szCs w:val="28"/>
              <w:lang w:val="en-US" w:eastAsia="zh-CN"/>
            </w:rPr>
            <w:fldChar w:fldCharType="end"/>
          </w:r>
        </w:p>
      </w:sdtContent>
    </w:sdt>
    <w:p w14:paraId="7230B636">
      <w:pPr>
        <w:jc w:val="center"/>
        <w:outlineLvl w:val="9"/>
        <w:rPr>
          <w:rFonts w:hint="eastAsia" w:ascii="宋体" w:hAnsi="宋体" w:eastAsia="宋体" w:cs="宋体"/>
          <w:bCs/>
          <w:kern w:val="2"/>
          <w:sz w:val="28"/>
          <w:szCs w:val="56"/>
          <w:lang w:val="en-US" w:eastAsia="zh-CN" w:bidi="ar-SA"/>
        </w:rPr>
        <w:sectPr>
          <w:footerReference r:id="rId5" w:type="default"/>
          <w:pgSz w:w="11906" w:h="16838"/>
          <w:pgMar w:top="2211" w:right="1531" w:bottom="1871" w:left="1531" w:header="851" w:footer="992" w:gutter="0"/>
          <w:pgNumType w:start="1"/>
          <w:cols w:space="0" w:num="1"/>
          <w:rtlGutter w:val="0"/>
          <w:docGrid w:type="lines" w:linePitch="312" w:charSpace="0"/>
        </w:sectPr>
      </w:pPr>
    </w:p>
    <w:bookmarkEnd w:id="0"/>
    <w:bookmarkEnd w:id="1"/>
    <w:p w14:paraId="024EB663">
      <w:pPr>
        <w:keepNext w:val="0"/>
        <w:keepLines w:val="0"/>
        <w:pageBreakBefore w:val="0"/>
        <w:widowControl w:val="0"/>
        <w:kinsoku/>
        <w:wordWrap/>
        <w:overflowPunct/>
        <w:topLinePunct w:val="0"/>
        <w:autoSpaceDE/>
        <w:autoSpaceDN/>
        <w:bidi w:val="0"/>
        <w:adjustRightInd/>
        <w:snapToGrid/>
        <w:spacing w:line="579" w:lineRule="exact"/>
        <w:ind w:left="442" w:hanging="442" w:hangingChars="100"/>
        <w:jc w:val="center"/>
        <w:textAlignment w:val="auto"/>
        <w:rPr>
          <w:rFonts w:hint="eastAsia"/>
          <w:b/>
          <w:bCs/>
          <w:sz w:val="44"/>
          <w:szCs w:val="44"/>
          <w:lang w:val="en-US" w:eastAsia="zh-CN"/>
        </w:rPr>
      </w:pPr>
      <w:r>
        <w:rPr>
          <w:rFonts w:hint="eastAsia"/>
          <w:b/>
          <w:bCs/>
          <w:sz w:val="44"/>
          <w:szCs w:val="44"/>
          <w:lang w:val="en-US" w:eastAsia="zh-CN"/>
        </w:rPr>
        <w:t>沈阳浑南辽宁明X建设安装有限公司“10.13”一般坍塌事故</w:t>
      </w:r>
    </w:p>
    <w:p w14:paraId="668AAA5E">
      <w:pPr>
        <w:keepNext w:val="0"/>
        <w:keepLines w:val="0"/>
        <w:pageBreakBefore w:val="0"/>
        <w:widowControl w:val="0"/>
        <w:kinsoku/>
        <w:wordWrap/>
        <w:overflowPunct/>
        <w:topLinePunct w:val="0"/>
        <w:autoSpaceDE/>
        <w:autoSpaceDN/>
        <w:bidi w:val="0"/>
        <w:adjustRightInd/>
        <w:snapToGrid/>
        <w:spacing w:line="579" w:lineRule="exact"/>
        <w:ind w:left="442" w:hanging="442" w:hangingChars="100"/>
        <w:jc w:val="center"/>
        <w:textAlignment w:val="auto"/>
        <w:rPr>
          <w:rFonts w:hint="default" w:ascii="宋体" w:hAnsi="宋体" w:eastAsia="宋体" w:cs="宋体"/>
          <w:bCs/>
          <w:kern w:val="2"/>
          <w:sz w:val="21"/>
          <w:szCs w:val="44"/>
          <w:lang w:val="en-US" w:eastAsia="zh-CN" w:bidi="ar-SA"/>
        </w:rPr>
      </w:pPr>
      <w:r>
        <w:rPr>
          <w:rFonts w:hint="eastAsia"/>
          <w:b/>
          <w:bCs/>
          <w:sz w:val="44"/>
          <w:szCs w:val="44"/>
          <w:lang w:val="en-US" w:eastAsia="zh-CN"/>
        </w:rPr>
        <w:t>调查报告</w:t>
      </w:r>
    </w:p>
    <w:p w14:paraId="2031F527">
      <w:pPr>
        <w:keepNext w:val="0"/>
        <w:keepLines w:val="0"/>
        <w:pageBreakBefore w:val="0"/>
        <w:widowControl w:val="0"/>
        <w:kinsoku/>
        <w:wordWrap/>
        <w:overflowPunct/>
        <w:topLinePunct w:val="0"/>
        <w:autoSpaceDE/>
        <w:autoSpaceDN/>
        <w:bidi w:val="0"/>
        <w:adjustRightInd/>
        <w:snapToGrid/>
        <w:spacing w:line="579" w:lineRule="exact"/>
        <w:jc w:val="both"/>
        <w:textAlignment w:val="auto"/>
        <w:rPr>
          <w:rFonts w:hint="eastAsia" w:ascii="宋体" w:hAnsi="宋体" w:eastAsia="宋体" w:cs="宋体"/>
          <w:b/>
          <w:bCs/>
          <w:sz w:val="44"/>
          <w:szCs w:val="44"/>
          <w:lang w:val="en-US" w:eastAsia="zh-CN"/>
        </w:rPr>
      </w:pPr>
    </w:p>
    <w:p w14:paraId="7C27AC01">
      <w:pPr>
        <w:keepNext w:val="0"/>
        <w:keepLines w:val="0"/>
        <w:pageBreakBefore w:val="0"/>
        <w:widowControl w:val="0"/>
        <w:kinsoku/>
        <w:wordWrap/>
        <w:overflowPunct/>
        <w:topLinePunct w:val="0"/>
        <w:autoSpaceDE/>
        <w:autoSpaceDN/>
        <w:bidi w:val="0"/>
        <w:adjustRightInd/>
        <w:snapToGrid/>
        <w:spacing w:line="579" w:lineRule="exact"/>
        <w:ind w:firstLine="640"/>
        <w:jc w:val="left"/>
        <w:textAlignment w:val="auto"/>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2025年10月13日9时30分许，在浑南区高坎街道汇置山湖二期北侧围挡五号配电室西侧一米处一基坑发生一起一般坍塌事故。事故造成1人死亡，直接经济损失100万元。依据《生产安全事故报告和调查处理条例》（国务院第493号令），浑南区政府于10月17日成立了由区应急管理局为组长单位，区总工会、区人社局、市公安局浑南分局、区房产局、区城建局为成员单位的辽宁明X建设安装有限公司“10.13”一般坍塌事故调查组（以下简称调查组），同时邀请区检察院派员参加，依法对该起事故进行全面调查。调查组按照“科学严谨、依法依规、实事求是、注重实效”和“四不放过”的原则，通过现场勘察、调阅资料、询问谈话、技术分析、调取相关人员急诊病历等方式，查明事故发生的原因、经过，认定了事故性质，提出了对责任单位及责任人员的处理建议和事故防范的工作建议。</w:t>
      </w:r>
    </w:p>
    <w:p w14:paraId="582A6534">
      <w:pPr>
        <w:keepNext w:val="0"/>
        <w:keepLines w:val="0"/>
        <w:pageBreakBefore w:val="0"/>
        <w:widowControl w:val="0"/>
        <w:kinsoku/>
        <w:wordWrap/>
        <w:overflowPunct/>
        <w:topLinePunct w:val="0"/>
        <w:autoSpaceDE/>
        <w:autoSpaceDN/>
        <w:bidi w:val="0"/>
        <w:adjustRightInd/>
        <w:snapToGrid/>
        <w:spacing w:line="579" w:lineRule="exact"/>
        <w:ind w:firstLine="640"/>
        <w:jc w:val="left"/>
        <w:textAlignment w:val="auto"/>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经调查组认定：辽宁明X建设安装有限公司“10.13”一般坍塌事故是一起由于施工单位安全管理缺失导致的生产安全责任事故，现将事故调查情况报告如下。</w:t>
      </w:r>
    </w:p>
    <w:p w14:paraId="1AC4BA83">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left"/>
        <w:textAlignment w:val="auto"/>
        <w:outlineLvl w:val="0"/>
        <w:rPr>
          <w:rFonts w:hint="eastAsia" w:ascii="黑体" w:hAnsi="黑体" w:eastAsia="黑体" w:cs="黑体"/>
          <w:b w:val="0"/>
          <w:bCs w:val="0"/>
          <w:sz w:val="32"/>
          <w:szCs w:val="32"/>
          <w:lang w:val="en-US" w:eastAsia="zh-CN"/>
        </w:rPr>
      </w:pPr>
      <w:bookmarkStart w:id="2" w:name="_Toc12184"/>
      <w:bookmarkStart w:id="3" w:name="_Toc25319"/>
      <w:r>
        <w:rPr>
          <w:rFonts w:hint="eastAsia" w:ascii="黑体" w:hAnsi="黑体" w:eastAsia="黑体" w:cs="黑体"/>
          <w:b w:val="0"/>
          <w:bCs w:val="0"/>
          <w:sz w:val="32"/>
          <w:szCs w:val="32"/>
          <w:lang w:val="en-US" w:eastAsia="zh-CN"/>
        </w:rPr>
        <w:t>一、事故基本情况</w:t>
      </w:r>
      <w:bookmarkEnd w:id="2"/>
      <w:bookmarkEnd w:id="3"/>
    </w:p>
    <w:p w14:paraId="2E14A7A1">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1"/>
        <w:rPr>
          <w:rFonts w:hint="eastAsia" w:ascii="楷体" w:hAnsi="楷体" w:eastAsia="楷体" w:cs="楷体"/>
          <w:b/>
          <w:bCs/>
          <w:sz w:val="32"/>
          <w:szCs w:val="32"/>
          <w:lang w:val="en-US" w:eastAsia="zh-CN"/>
        </w:rPr>
      </w:pPr>
      <w:bookmarkStart w:id="4" w:name="_Toc14027"/>
      <w:bookmarkStart w:id="5" w:name="_Toc25746"/>
      <w:r>
        <w:rPr>
          <w:rFonts w:hint="eastAsia" w:ascii="楷体" w:hAnsi="楷体" w:eastAsia="楷体" w:cs="楷体"/>
          <w:b w:val="0"/>
          <w:bCs w:val="0"/>
          <w:sz w:val="32"/>
          <w:szCs w:val="32"/>
          <w:lang w:val="en-US" w:eastAsia="zh-CN"/>
        </w:rPr>
        <w:t>（一）相关单位基本情况</w:t>
      </w:r>
      <w:bookmarkEnd w:id="4"/>
      <w:bookmarkEnd w:id="5"/>
    </w:p>
    <w:p w14:paraId="18544873">
      <w:pPr>
        <w:keepNext w:val="0"/>
        <w:keepLines w:val="0"/>
        <w:pageBreakBefore w:val="0"/>
        <w:widowControl w:val="0"/>
        <w:kinsoku/>
        <w:wordWrap/>
        <w:overflowPunct/>
        <w:topLinePunct w:val="0"/>
        <w:autoSpaceDE/>
        <w:autoSpaceDN/>
        <w:bidi w:val="0"/>
        <w:adjustRightInd/>
        <w:snapToGrid/>
        <w:spacing w:line="579" w:lineRule="exact"/>
        <w:ind w:firstLine="640"/>
        <w:jc w:val="left"/>
        <w:textAlignment w:val="auto"/>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1.总公司：沈阳惠X热电股份有限公司（以下简称惠X总部）</w:t>
      </w:r>
    </w:p>
    <w:p w14:paraId="3C7FEAB8">
      <w:pPr>
        <w:keepNext w:val="0"/>
        <w:keepLines w:val="0"/>
        <w:pageBreakBefore w:val="0"/>
        <w:widowControl w:val="0"/>
        <w:kinsoku/>
        <w:wordWrap/>
        <w:overflowPunct/>
        <w:topLinePunct w:val="0"/>
        <w:autoSpaceDE/>
        <w:autoSpaceDN/>
        <w:bidi w:val="0"/>
        <w:adjustRightInd/>
        <w:snapToGrid/>
        <w:spacing w:line="579" w:lineRule="exact"/>
        <w:ind w:firstLine="640"/>
        <w:jc w:val="left"/>
        <w:textAlignment w:val="auto"/>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企业类型：股份有限公司(上市、国有控股）</w:t>
      </w:r>
    </w:p>
    <w:p w14:paraId="5045D6E4">
      <w:pPr>
        <w:keepNext w:val="0"/>
        <w:keepLines w:val="0"/>
        <w:pageBreakBefore w:val="0"/>
        <w:widowControl w:val="0"/>
        <w:kinsoku/>
        <w:wordWrap/>
        <w:overflowPunct/>
        <w:topLinePunct w:val="0"/>
        <w:autoSpaceDE/>
        <w:autoSpaceDN/>
        <w:bidi w:val="0"/>
        <w:adjustRightInd/>
        <w:snapToGrid/>
        <w:spacing w:line="579" w:lineRule="exact"/>
        <w:ind w:firstLine="640"/>
        <w:jc w:val="left"/>
        <w:textAlignment w:val="auto"/>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法定代表人：郝X</w:t>
      </w:r>
    </w:p>
    <w:p w14:paraId="7EF00247">
      <w:pPr>
        <w:keepNext w:val="0"/>
        <w:keepLines w:val="0"/>
        <w:pageBreakBefore w:val="0"/>
        <w:widowControl w:val="0"/>
        <w:kinsoku/>
        <w:wordWrap/>
        <w:overflowPunct/>
        <w:topLinePunct w:val="0"/>
        <w:autoSpaceDE/>
        <w:autoSpaceDN/>
        <w:bidi w:val="0"/>
        <w:adjustRightInd/>
        <w:snapToGrid/>
        <w:spacing w:line="579" w:lineRule="exact"/>
        <w:ind w:firstLine="640"/>
        <w:jc w:val="left"/>
        <w:textAlignment w:val="auto"/>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统一社会信用代码：91210100243XXXX556</w:t>
      </w:r>
    </w:p>
    <w:p w14:paraId="5EADB53A">
      <w:pPr>
        <w:keepNext w:val="0"/>
        <w:keepLines w:val="0"/>
        <w:pageBreakBefore w:val="0"/>
        <w:widowControl w:val="0"/>
        <w:kinsoku/>
        <w:wordWrap/>
        <w:overflowPunct/>
        <w:topLinePunct w:val="0"/>
        <w:autoSpaceDE/>
        <w:autoSpaceDN/>
        <w:bidi w:val="0"/>
        <w:adjustRightInd/>
        <w:snapToGrid/>
        <w:spacing w:line="579" w:lineRule="exact"/>
        <w:ind w:firstLine="640"/>
        <w:jc w:val="left"/>
        <w:textAlignment w:val="auto"/>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成立日期：1993年12月28日</w:t>
      </w:r>
    </w:p>
    <w:p w14:paraId="32C44029">
      <w:pPr>
        <w:keepNext w:val="0"/>
        <w:keepLines w:val="0"/>
        <w:pageBreakBefore w:val="0"/>
        <w:widowControl w:val="0"/>
        <w:kinsoku/>
        <w:wordWrap/>
        <w:overflowPunct/>
        <w:topLinePunct w:val="0"/>
        <w:autoSpaceDE/>
        <w:autoSpaceDN/>
        <w:bidi w:val="0"/>
        <w:adjustRightInd/>
        <w:snapToGrid/>
        <w:spacing w:line="579" w:lineRule="exact"/>
        <w:ind w:firstLine="640"/>
        <w:jc w:val="left"/>
        <w:textAlignment w:val="auto"/>
        <w:rPr>
          <w:rFonts w:hint="default"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注册资本：53,283.2976万(元)</w:t>
      </w:r>
    </w:p>
    <w:p w14:paraId="6CE3D24E">
      <w:pPr>
        <w:keepNext w:val="0"/>
        <w:keepLines w:val="0"/>
        <w:pageBreakBefore w:val="0"/>
        <w:widowControl w:val="0"/>
        <w:kinsoku/>
        <w:wordWrap/>
        <w:overflowPunct/>
        <w:topLinePunct w:val="0"/>
        <w:autoSpaceDE/>
        <w:autoSpaceDN/>
        <w:bidi w:val="0"/>
        <w:adjustRightInd/>
        <w:snapToGrid/>
        <w:spacing w:line="579" w:lineRule="exact"/>
        <w:ind w:firstLine="640"/>
        <w:jc w:val="left"/>
        <w:textAlignment w:val="auto"/>
        <w:rPr>
          <w:rFonts w:hint="default"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注册地址：沈阳市沈河区热闹路XX</w:t>
      </w:r>
    </w:p>
    <w:p w14:paraId="609EA75E">
      <w:pPr>
        <w:keepNext w:val="0"/>
        <w:keepLines w:val="0"/>
        <w:pageBreakBefore w:val="0"/>
        <w:widowControl w:val="0"/>
        <w:kinsoku/>
        <w:wordWrap/>
        <w:overflowPunct/>
        <w:topLinePunct w:val="0"/>
        <w:autoSpaceDE/>
        <w:autoSpaceDN/>
        <w:bidi w:val="0"/>
        <w:adjustRightInd/>
        <w:snapToGrid/>
        <w:spacing w:line="579" w:lineRule="exact"/>
        <w:ind w:firstLine="640"/>
        <w:jc w:val="left"/>
        <w:textAlignment w:val="auto"/>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许可项目：供暖服务；建设工程施工；发电业务、输电业务、供（配）电业务；供电业务；输电、供电、受电电力设施的安装、维修和试验；电气安装服务。（依法须经批准的项目，经相关部门批准后方可开展经营活动，具体经营项目以相关部门批准文件或许可证件为准）一般项目：热力生产和供应；普通机械设备安装服务；金属结构制造；输配电及控制设备制造；储能技术服务；人工智能基础软件开发；租赁服务（不含许可类租赁服务）；住房租赁；非金属矿及制品销售；化肥销售；建筑材料销售；太阳能发电技术服务；新兴能源技术研发；供冷服务；电动汽车充电基础设施运营；集中式快速充电站；风力发电技术服务；信息系统集成服务；信息系统运行维护服务；合同能源管理；技术服务、技术开发、技术咨询、技术交流、技术转让、技术推广。（除依法须经批准的项目外，凭营业执照依法自主开展经营活动）。</w:t>
      </w:r>
    </w:p>
    <w:p w14:paraId="4A6C554A">
      <w:pPr>
        <w:keepNext w:val="0"/>
        <w:keepLines w:val="0"/>
        <w:pageBreakBefore w:val="0"/>
        <w:widowControl w:val="0"/>
        <w:kinsoku/>
        <w:wordWrap/>
        <w:overflowPunct/>
        <w:topLinePunct w:val="0"/>
        <w:autoSpaceDE/>
        <w:autoSpaceDN/>
        <w:bidi w:val="0"/>
        <w:adjustRightInd/>
        <w:snapToGrid/>
        <w:spacing w:line="579" w:lineRule="exact"/>
        <w:ind w:firstLine="640"/>
        <w:jc w:val="left"/>
        <w:textAlignment w:val="auto"/>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2.子公司：沈阳惠X棋盘山供热有限责任公司（以下简称棋盘山惠X）</w:t>
      </w:r>
    </w:p>
    <w:p w14:paraId="69FED5C3">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企业类型：其他有限责任公司</w:t>
      </w:r>
    </w:p>
    <w:p w14:paraId="79520181">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法定代表人：杨X</w:t>
      </w:r>
    </w:p>
    <w:p w14:paraId="748E3B9D">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统一社会信用代码：91210112XXXX75774C</w:t>
      </w:r>
    </w:p>
    <w:p w14:paraId="34E6A4D7">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成立日期：2005年11月9日</w:t>
      </w:r>
    </w:p>
    <w:p w14:paraId="614A675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注册资本：3000万(元)</w:t>
      </w:r>
    </w:p>
    <w:p w14:paraId="2863A7A1">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注册地址：沈阳市东陵区高坎镇XX村</w:t>
      </w:r>
    </w:p>
    <w:p w14:paraId="3C6E496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许可项目：无 一般经营项目：供热，安装工程，供热技术咨询,水暖材料销售。（依法须经批准的项目，经相关部门批准后方可开展经营活动。）</w:t>
      </w:r>
    </w:p>
    <w:p w14:paraId="7ED26D4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3.中标公司：辽宁明X建设安装有限公司（以下简称明X公司）</w:t>
      </w:r>
    </w:p>
    <w:p w14:paraId="4B0C5DEC">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企业类型：有限责任公司（自然人投资或控股）</w:t>
      </w:r>
    </w:p>
    <w:p w14:paraId="6AB61966">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法定代表人：薛XX</w:t>
      </w:r>
    </w:p>
    <w:p w14:paraId="2B27B407">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统一社会信用代码：912101810XXXX78488</w:t>
      </w:r>
    </w:p>
    <w:p w14:paraId="1834B6E7">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成立日期：2013年1月10日</w:t>
      </w:r>
    </w:p>
    <w:p w14:paraId="4FFB23A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注册资本：10000万(元)</w:t>
      </w:r>
    </w:p>
    <w:p w14:paraId="626830EC">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注册地址：新民市金五台子乡金XX村</w:t>
      </w:r>
    </w:p>
    <w:p w14:paraId="33E05FC1">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 w:hAnsi="仿宋" w:eastAsia="仿宋" w:cs="仿宋"/>
          <w:b w:val="0"/>
          <w:bCs w:val="0"/>
          <w:sz w:val="32"/>
          <w:szCs w:val="40"/>
          <w:lang w:val="en-US" w:eastAsia="zh-CN"/>
        </w:rPr>
      </w:pPr>
      <w:r>
        <w:rPr>
          <w:rFonts w:hint="eastAsia" w:ascii="仿宋_GB2312" w:hAnsi="仿宋_GB2312" w:eastAsia="仿宋_GB2312" w:cs="仿宋_GB2312"/>
          <w:b w:val="0"/>
          <w:bCs w:val="0"/>
          <w:color w:val="000000"/>
          <w:sz w:val="32"/>
          <w:szCs w:val="32"/>
          <w:highlight w:val="none"/>
          <w:lang w:val="en-US" w:eastAsia="zh-CN"/>
        </w:rPr>
        <w:t>许可项目：建设工程施工；建设工程设计；施工专业作业；输电、供电、受电电力设施的安装、维修和试验；电气安装服务；文物保护工程施工；公路管理与养护；文物保护工程设计；建筑劳务分包；建筑物拆除作业（爆破作业除外）；医用口罩生产；医护人员防护用品生产（Ⅱ类医疗器械）；特种设备安装改造修理；建筑智能化系统设计。（依法须经批准的项目，经相关部门批准后方可开展经营活动，具体经营项目以相关部门批准文件或许可证件为准）一般项目：生产性废旧金属回收；再生资源回收（除生产性废旧金属）；特种劳动防护用品生产；建筑工程机械与设备租赁；承接总公司工程建设业务；建筑防水卷材产品销售；园林绿化工程施工；土石方工程施工；防腐材料销售；保温材料销售；医护人员防护用品批发；日用口罩（非医用）销售；日用口罩（非医用）生产；电气设备销售；机械设备租赁；普通机械设备安装服务；仪器仪表销售；配电开关控制设备销售；智能输配电及控制设备销售；机械电气设备销售；电气设备修理；五金产品零售；特种劳动防护用品销售；电力设施器材销售；工程技术服务（规划管理、勘察、设计、监理除外）；建筑材料销售；医护人员防护用品生产（Ⅰ类医疗器械）；电线、电缆经营；特种设备销售；污水处理及其再生利用；市政设施管理；环境保护专用设备销售；工业工程设计服务；电工仪器仪表制造；工程管理服务；城市绿化管理；医护人员防护用品零售。（除依法须经批准的项目外，凭营业执照依法自主开展经营活动）</w:t>
      </w:r>
    </w:p>
    <w:p w14:paraId="4FA67638">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outlineLvl w:val="1"/>
        <w:rPr>
          <w:rFonts w:hint="eastAsia" w:ascii="楷体" w:hAnsi="楷体" w:eastAsia="楷体" w:cs="楷体"/>
          <w:b w:val="0"/>
          <w:bCs w:val="0"/>
          <w:sz w:val="32"/>
          <w:szCs w:val="32"/>
          <w:lang w:val="en-US" w:eastAsia="zh-CN"/>
        </w:rPr>
      </w:pPr>
      <w:bookmarkStart w:id="6" w:name="_Toc22438"/>
      <w:bookmarkStart w:id="7" w:name="_Toc22824"/>
      <w:r>
        <w:rPr>
          <w:rFonts w:hint="eastAsia" w:ascii="楷体" w:hAnsi="楷体" w:eastAsia="楷体" w:cs="楷体"/>
          <w:b w:val="0"/>
          <w:bCs w:val="0"/>
          <w:sz w:val="32"/>
          <w:szCs w:val="32"/>
          <w:lang w:val="en-US" w:eastAsia="zh-CN"/>
        </w:rPr>
        <w:t>（二）相关人员</w:t>
      </w:r>
      <w:bookmarkEnd w:id="6"/>
      <w:r>
        <w:rPr>
          <w:rFonts w:hint="eastAsia" w:ascii="楷体" w:hAnsi="楷体" w:eastAsia="楷体" w:cs="楷体"/>
          <w:b w:val="0"/>
          <w:bCs w:val="0"/>
          <w:sz w:val="32"/>
          <w:szCs w:val="32"/>
          <w:lang w:val="en-US" w:eastAsia="zh-CN"/>
        </w:rPr>
        <w:t>基本情况</w:t>
      </w:r>
      <w:bookmarkEnd w:id="7"/>
    </w:p>
    <w:p w14:paraId="2F625DC5">
      <w:pPr>
        <w:pStyle w:val="4"/>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1、李X，男，事故发生时66岁，身份证号：211222195912XXXXXX，事发时为辽宁明X建设安装有限公司临时雇佣施工工人。（在事故中死亡）</w:t>
      </w:r>
    </w:p>
    <w:p w14:paraId="65C646D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2、张XX，别名张X，男，事故发生时50岁，身份证号：210105197506XXXX10，身份证地址为沈阳市和平区三好街XX号，事发时为辽宁明X建设安装有限公司项目施工组织者。</w:t>
      </w:r>
    </w:p>
    <w:p w14:paraId="5C5EF5B8">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3、唐XX，男，事故发生时36岁，身份证号：23230119890XXXXXX，身份证地址为：黑龙江省绥化市北林区四方台镇七一村XX号，惠X总部工程设备部暖通岗员工。</w:t>
      </w:r>
    </w:p>
    <w:p w14:paraId="640E213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4、徐X，男，事故发生时34岁，身份证号：21138119911XXXXXX，身份证地址为：沈阳市铁西区沈新路XX，明X公司工程部生产经理。</w:t>
      </w:r>
    </w:p>
    <w:p w14:paraId="2B10E336">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outlineLvl w:val="1"/>
        <w:rPr>
          <w:rFonts w:hint="eastAsia" w:ascii="楷体" w:hAnsi="楷体" w:eastAsia="楷体" w:cs="楷体"/>
          <w:b/>
          <w:bCs/>
          <w:sz w:val="32"/>
          <w:szCs w:val="32"/>
          <w:lang w:val="en-US" w:eastAsia="zh-CN"/>
        </w:rPr>
      </w:pPr>
      <w:bookmarkStart w:id="8" w:name="_Toc1245"/>
      <w:bookmarkStart w:id="9" w:name="_Toc3624"/>
      <w:bookmarkStart w:id="10" w:name="_Toc23073"/>
      <w:bookmarkStart w:id="11" w:name="_Toc4714"/>
      <w:bookmarkStart w:id="12" w:name="_Toc13821"/>
      <w:bookmarkStart w:id="13" w:name="_Toc31022"/>
      <w:bookmarkStart w:id="14" w:name="_Toc12561"/>
      <w:r>
        <w:rPr>
          <w:rFonts w:hint="eastAsia" w:ascii="楷体" w:hAnsi="楷体" w:eastAsia="楷体" w:cs="楷体"/>
          <w:b w:val="0"/>
          <w:bCs w:val="0"/>
          <w:sz w:val="32"/>
          <w:szCs w:val="32"/>
          <w:lang w:val="en-US" w:eastAsia="zh-CN"/>
        </w:rPr>
        <w:t>（三）行业监管情况</w:t>
      </w:r>
      <w:bookmarkEnd w:id="8"/>
      <w:bookmarkEnd w:id="9"/>
      <w:bookmarkEnd w:id="10"/>
      <w:bookmarkEnd w:id="11"/>
      <w:bookmarkEnd w:id="12"/>
      <w:bookmarkEnd w:id="13"/>
    </w:p>
    <w:p w14:paraId="06289FE0">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依据《房屋建筑和市政基础设施工程施工安全监督规定》（建质〔2014〕153号）第二条：本规定所称施工安全监督，是指住房城乡建设主管部门依据有关法律法规，对房屋建筑和市政基础设施工程的建设、勘察、设计、施工、监理等单位及人员（以下简称工程建设责任主体）履行安全生产职责，执行法律、法规、规章、制度及工程建设强制性标准等情况实施抽查并对违法违规行为进行处理的行政执法活动。住建部门对该工程实行监管，进行抽检。</w:t>
      </w:r>
    </w:p>
    <w:p w14:paraId="0152062D">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outlineLvl w:val="1"/>
        <w:rPr>
          <w:rFonts w:hint="default" w:ascii="楷体" w:hAnsi="楷体" w:eastAsia="楷体" w:cs="楷体"/>
          <w:b w:val="0"/>
          <w:bCs w:val="0"/>
          <w:sz w:val="32"/>
          <w:szCs w:val="32"/>
          <w:lang w:val="en-US" w:eastAsia="zh-CN"/>
        </w:rPr>
      </w:pPr>
      <w:bookmarkStart w:id="15" w:name="_Toc30799"/>
      <w:r>
        <w:rPr>
          <w:rFonts w:hint="eastAsia" w:ascii="楷体" w:hAnsi="楷体" w:eastAsia="楷体" w:cs="楷体"/>
          <w:b w:val="0"/>
          <w:bCs w:val="0"/>
          <w:sz w:val="32"/>
          <w:szCs w:val="32"/>
          <w:lang w:val="en-US" w:eastAsia="zh-CN"/>
        </w:rPr>
        <w:t>（四）事故现场勘察情况</w:t>
      </w:r>
      <w:bookmarkEnd w:id="14"/>
      <w:bookmarkEnd w:id="15"/>
    </w:p>
    <w:p w14:paraId="675E565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000000"/>
          <w:kern w:val="2"/>
          <w:sz w:val="32"/>
          <w:szCs w:val="32"/>
          <w:highlight w:val="none"/>
          <w:lang w:val="en-US" w:eastAsia="zh-CN" w:bidi="ar-SA"/>
        </w:rPr>
      </w:pPr>
      <w:bookmarkStart w:id="16" w:name="_Toc4807"/>
      <w:r>
        <w:rPr>
          <w:rFonts w:hint="eastAsia" w:ascii="仿宋_GB2312" w:hAnsi="仿宋_GB2312" w:eastAsia="仿宋_GB2312" w:cs="仿宋_GB2312"/>
          <w:b w:val="0"/>
          <w:bCs w:val="0"/>
          <w:color w:val="000000"/>
          <w:kern w:val="2"/>
          <w:sz w:val="32"/>
          <w:szCs w:val="32"/>
          <w:highlight w:val="none"/>
          <w:lang w:val="en-US" w:eastAsia="zh-CN" w:bidi="ar-SA"/>
        </w:rPr>
        <w:t>事发位置位于沈阳市浑南区高坎街道汇置山湖二期北侧围挡内五号配电室西侧一米处一处基坑，该基坑为供暖一次网施工项目，该基坑南北长度约为7米，东西最宽处约为3米，最窄处约为2.7米，最深处约为1.8米，坑西侧地面上堆积残土及木板高度约为1米，残土堆距坑边缘距离为0米，事发位置为北侧围挡向南2米，此处基坑宽度为2.7米，深度为1.4米，坑内有积水，积水退去后显露出大块泥土及混凝土石块，据现场人员描述发现死者时死者被泥土块石挤压在事发位置坑东侧，脚朝南头朝北。</w:t>
      </w:r>
    </w:p>
    <w:p w14:paraId="6F207680">
      <w:pPr>
        <w:rPr>
          <w:rFonts w:hint="eastAsia"/>
          <w:lang w:val="en-US" w:eastAsia="zh-CN"/>
        </w:rPr>
      </w:pPr>
    </w:p>
    <w:p w14:paraId="152EF552">
      <w:pPr>
        <w:widowControl w:val="0"/>
        <w:numPr>
          <w:ilvl w:val="0"/>
          <w:numId w:val="0"/>
        </w:numPr>
        <w:jc w:val="both"/>
        <w:rPr>
          <w:rFonts w:hint="eastAsia" w:ascii="仿宋" w:hAnsi="仿宋" w:eastAsia="仿宋" w:cs="仿宋"/>
          <w:sz w:val="32"/>
          <w:szCs w:val="32"/>
          <w:lang w:val="en-US" w:eastAsia="zh-CN"/>
        </w:rPr>
      </w:pPr>
      <w:r>
        <w:rPr>
          <w:rFonts w:hint="eastAsia" w:ascii="仿宋" w:hAnsi="仿宋" w:eastAsia="仿宋" w:cs="仿宋"/>
          <w:sz w:val="32"/>
          <w:szCs w:val="32"/>
        </w:rPr>
        <w:drawing>
          <wp:inline distT="0" distB="0" distL="114300" distR="114300">
            <wp:extent cx="5264785" cy="3947160"/>
            <wp:effectExtent l="0" t="0" r="12065" b="15240"/>
            <wp:docPr id="3" name="图片 3" descr="微信图片_20251119155740_61_9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51119155740_61_9 副本"/>
                    <pic:cNvPicPr>
                      <a:picLocks noChangeAspect="1"/>
                    </pic:cNvPicPr>
                  </pic:nvPicPr>
                  <pic:blipFill>
                    <a:blip r:embed="rId8"/>
                    <a:stretch>
                      <a:fillRect/>
                    </a:stretch>
                  </pic:blipFill>
                  <pic:spPr>
                    <a:xfrm>
                      <a:off x="0" y="0"/>
                      <a:ext cx="5264785" cy="3947160"/>
                    </a:xfrm>
                    <a:prstGeom prst="rect">
                      <a:avLst/>
                    </a:prstGeom>
                  </pic:spPr>
                </pic:pic>
              </a:graphicData>
            </a:graphic>
          </wp:inline>
        </w:drawing>
      </w:r>
      <w:r>
        <w:rPr>
          <w:rFonts w:hint="eastAsia" w:ascii="仿宋" w:hAnsi="仿宋" w:eastAsia="仿宋" w:cs="仿宋"/>
          <w:sz w:val="32"/>
          <w:szCs w:val="32"/>
        </w:rPr>
        <mc:AlternateContent>
          <mc:Choice Requires="wps">
            <w:drawing>
              <wp:anchor distT="0" distB="0" distL="114300" distR="114300" simplePos="0" relativeHeight="251659264" behindDoc="0" locked="0" layoutInCell="1" allowOverlap="1">
                <wp:simplePos x="0" y="0"/>
                <wp:positionH relativeFrom="column">
                  <wp:posOffset>8006080</wp:posOffset>
                </wp:positionH>
                <wp:positionV relativeFrom="paragraph">
                  <wp:posOffset>-1905635</wp:posOffset>
                </wp:positionV>
                <wp:extent cx="685800" cy="396240"/>
                <wp:effectExtent l="252730" t="4445" r="13970" b="189865"/>
                <wp:wrapNone/>
                <wp:docPr id="4" name="矩形标注 4"/>
                <wp:cNvGraphicFramePr/>
                <a:graphic xmlns:a="http://schemas.openxmlformats.org/drawingml/2006/main">
                  <a:graphicData uri="http://schemas.microsoft.com/office/word/2010/wordprocessingShape">
                    <wps:wsp>
                      <wps:cNvSpPr/>
                      <wps:spPr>
                        <a:xfrm>
                          <a:off x="0" y="0"/>
                          <a:ext cx="685800" cy="396240"/>
                        </a:xfrm>
                        <a:prstGeom prst="wedgeRectCallout">
                          <a:avLst>
                            <a:gd name="adj1" fmla="val -81574"/>
                            <a:gd name="adj2" fmla="val 89264"/>
                          </a:avLst>
                        </a:prstGeom>
                        <a:solidFill>
                          <a:srgbClr val="FFFFFF"/>
                        </a:solidFill>
                        <a:ln w="9525" cap="flat" cmpd="sng">
                          <a:solidFill>
                            <a:srgbClr val="000000"/>
                          </a:solidFill>
                          <a:prstDash val="solid"/>
                          <a:miter/>
                          <a:headEnd type="none" w="med" len="med"/>
                          <a:tailEnd type="none" w="med" len="med"/>
                        </a:ln>
                      </wps:spPr>
                      <wps:txbx>
                        <w:txbxContent>
                          <w:p w14:paraId="36E4157C">
                            <w:pPr>
                              <w:rPr>
                                <w:rFonts w:hint="eastAsia"/>
                              </w:rPr>
                            </w:pPr>
                            <w:r>
                              <w:rPr>
                                <w:rFonts w:hint="eastAsia"/>
                              </w:rPr>
                              <w:t>防火堤</w:t>
                            </w:r>
                          </w:p>
                        </w:txbxContent>
                      </wps:txbx>
                      <wps:bodyPr upright="1"/>
                    </wps:wsp>
                  </a:graphicData>
                </a:graphic>
              </wp:anchor>
            </w:drawing>
          </mc:Choice>
          <mc:Fallback>
            <w:pict>
              <v:shape id="_x0000_s1026" o:spid="_x0000_s1026" o:spt="61" type="#_x0000_t61" style="position:absolute;left:0pt;margin-left:630.4pt;margin-top:-150.05pt;height:31.2pt;width:54pt;z-index:251659264;mso-width-relative:page;mso-height-relative:page;" fillcolor="#FFFFFF" filled="t" stroked="t" coordsize="21600,21600" o:gfxdata="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phAIe90AAAAPAQAADwAAAAAAAAABACAAAAAiAAAA&#10;ZHJzL2Rvd25yZXYueG1sUEsBAhQAFAAAAAgAh07iQEphjjA7AgAAjAQAAA4AAAAAAAAAAQAgAAAA&#10;LAEAAGRycy9lMm9Eb2MueG1sUEsFBgAAAAAGAAYAWQEAANkFAAAAAA==&#10;" adj="-6820,30081">
                <v:fill on="t" focussize="0,0"/>
                <v:stroke color="#000000" joinstyle="miter"/>
                <v:imagedata o:title=""/>
                <o:lock v:ext="edit" aspectratio="f"/>
                <v:textbox>
                  <w:txbxContent>
                    <w:p w14:paraId="36E4157C">
                      <w:pPr>
                        <w:rPr>
                          <w:rFonts w:hint="eastAsia"/>
                        </w:rPr>
                      </w:pPr>
                      <w:r>
                        <w:rPr>
                          <w:rFonts w:hint="eastAsia"/>
                        </w:rPr>
                        <w:t>防火堤</w:t>
                      </w:r>
                    </w:p>
                  </w:txbxContent>
                </v:textbox>
              </v:shape>
            </w:pict>
          </mc:Fallback>
        </mc:AlternateContent>
      </w:r>
    </w:p>
    <w:p w14:paraId="107A4E99">
      <w:pPr>
        <w:keepNext w:val="0"/>
        <w:keepLines w:val="0"/>
        <w:pageBreakBefore w:val="0"/>
        <w:widowControl w:val="0"/>
        <w:kinsoku/>
        <w:overflowPunct/>
        <w:topLinePunct w:val="0"/>
        <w:autoSpaceDE/>
        <w:autoSpaceDN/>
        <w:bidi w:val="0"/>
        <w:adjustRightInd/>
        <w:snapToGrid/>
        <w:spacing w:line="579" w:lineRule="exact"/>
        <w:jc w:val="center"/>
        <w:textAlignment w:val="auto"/>
        <w:rPr>
          <w:rFonts w:hint="default"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图1现场照片一</w:t>
      </w:r>
    </w:p>
    <w:p w14:paraId="2E9A2D72">
      <w:pPr>
        <w:widowControl w:val="0"/>
        <w:numPr>
          <w:ilvl w:val="0"/>
          <w:numId w:val="0"/>
        </w:num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drawing>
          <wp:inline distT="0" distB="0" distL="114300" distR="114300">
            <wp:extent cx="5616575" cy="3947160"/>
            <wp:effectExtent l="0" t="0" r="3175" b="15240"/>
            <wp:docPr id="5" name="图片 5" descr="微信图片_20251119155741_62_9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51119155741_62_9 副本"/>
                    <pic:cNvPicPr>
                      <a:picLocks noChangeAspect="1"/>
                    </pic:cNvPicPr>
                  </pic:nvPicPr>
                  <pic:blipFill>
                    <a:blip r:embed="rId9"/>
                    <a:stretch>
                      <a:fillRect/>
                    </a:stretch>
                  </pic:blipFill>
                  <pic:spPr>
                    <a:xfrm>
                      <a:off x="0" y="0"/>
                      <a:ext cx="5616575" cy="3947160"/>
                    </a:xfrm>
                    <a:prstGeom prst="rect">
                      <a:avLst/>
                    </a:prstGeom>
                  </pic:spPr>
                </pic:pic>
              </a:graphicData>
            </a:graphic>
          </wp:inline>
        </w:drawing>
      </w:r>
    </w:p>
    <w:p w14:paraId="2A210BD4">
      <w:pPr>
        <w:keepNext w:val="0"/>
        <w:keepLines w:val="0"/>
        <w:pageBreakBefore w:val="0"/>
        <w:widowControl w:val="0"/>
        <w:kinsoku/>
        <w:overflowPunct/>
        <w:topLinePunct w:val="0"/>
        <w:autoSpaceDE/>
        <w:autoSpaceDN/>
        <w:bidi w:val="0"/>
        <w:adjustRightInd/>
        <w:snapToGrid/>
        <w:spacing w:line="579" w:lineRule="exact"/>
        <w:jc w:val="center"/>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图2 现场照片二</w:t>
      </w:r>
    </w:p>
    <w:p w14:paraId="2AC4CCBE">
      <w:pPr>
        <w:widowControl w:val="0"/>
        <w:numPr>
          <w:ilvl w:val="0"/>
          <w:numId w:val="0"/>
        </w:num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drawing>
          <wp:inline distT="0" distB="0" distL="114300" distR="114300">
            <wp:extent cx="4759960" cy="6350000"/>
            <wp:effectExtent l="0" t="0" r="2540" b="12700"/>
            <wp:docPr id="7" name="图片 7" descr="微信图片_20251106100640_55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51106100640_55_9"/>
                    <pic:cNvPicPr>
                      <a:picLocks noChangeAspect="1"/>
                    </pic:cNvPicPr>
                  </pic:nvPicPr>
                  <pic:blipFill>
                    <a:blip r:embed="rId10"/>
                    <a:stretch>
                      <a:fillRect/>
                    </a:stretch>
                  </pic:blipFill>
                  <pic:spPr>
                    <a:xfrm>
                      <a:off x="0" y="0"/>
                      <a:ext cx="4759960" cy="6350000"/>
                    </a:xfrm>
                    <a:prstGeom prst="rect">
                      <a:avLst/>
                    </a:prstGeom>
                  </pic:spPr>
                </pic:pic>
              </a:graphicData>
            </a:graphic>
          </wp:inline>
        </w:drawing>
      </w:r>
    </w:p>
    <w:p w14:paraId="40C2298D">
      <w:pPr>
        <w:keepNext w:val="0"/>
        <w:keepLines w:val="0"/>
        <w:pageBreakBefore w:val="0"/>
        <w:widowControl w:val="0"/>
        <w:kinsoku/>
        <w:overflowPunct/>
        <w:topLinePunct w:val="0"/>
        <w:autoSpaceDE/>
        <w:autoSpaceDN/>
        <w:bidi w:val="0"/>
        <w:adjustRightInd/>
        <w:snapToGrid/>
        <w:spacing w:line="579" w:lineRule="exact"/>
        <w:jc w:val="center"/>
        <w:textAlignment w:val="auto"/>
        <w:rPr>
          <w:rFonts w:hint="default"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图3现场照片3显示土堆紧邻坑边</w:t>
      </w:r>
    </w:p>
    <w:p w14:paraId="3E86619A">
      <w:pPr>
        <w:widowControl w:val="0"/>
        <w:numPr>
          <w:ilvl w:val="0"/>
          <w:numId w:val="0"/>
        </w:num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drawing>
          <wp:inline distT="0" distB="0" distL="114300" distR="114300">
            <wp:extent cx="5264785" cy="3547745"/>
            <wp:effectExtent l="0" t="0" r="12065" b="14605"/>
            <wp:docPr id="6" name="图片 6" descr="微信图片_20251106100636_52_9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51106100636_52_9 副本"/>
                    <pic:cNvPicPr>
                      <a:picLocks noChangeAspect="1"/>
                    </pic:cNvPicPr>
                  </pic:nvPicPr>
                  <pic:blipFill>
                    <a:blip r:embed="rId11"/>
                    <a:stretch>
                      <a:fillRect/>
                    </a:stretch>
                  </pic:blipFill>
                  <pic:spPr>
                    <a:xfrm>
                      <a:off x="0" y="0"/>
                      <a:ext cx="5264785" cy="3547745"/>
                    </a:xfrm>
                    <a:prstGeom prst="rect">
                      <a:avLst/>
                    </a:prstGeom>
                  </pic:spPr>
                </pic:pic>
              </a:graphicData>
            </a:graphic>
          </wp:inline>
        </w:drawing>
      </w:r>
    </w:p>
    <w:p w14:paraId="70E2A505">
      <w:pPr>
        <w:keepNext w:val="0"/>
        <w:keepLines w:val="0"/>
        <w:pageBreakBefore w:val="0"/>
        <w:widowControl w:val="0"/>
        <w:kinsoku/>
        <w:overflowPunct/>
        <w:topLinePunct w:val="0"/>
        <w:autoSpaceDE/>
        <w:autoSpaceDN/>
        <w:bidi w:val="0"/>
        <w:adjustRightInd/>
        <w:snapToGrid/>
        <w:spacing w:line="579" w:lineRule="exact"/>
        <w:jc w:val="center"/>
        <w:textAlignment w:val="auto"/>
        <w:rPr>
          <w:rFonts w:hint="default"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图4现场照片4</w:t>
      </w:r>
    </w:p>
    <w:p w14:paraId="07DA3029">
      <w:pPr>
        <w:widowControl w:val="0"/>
        <w:numPr>
          <w:ilvl w:val="0"/>
          <w:numId w:val="0"/>
        </w:numPr>
        <w:jc w:val="both"/>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drawing>
          <wp:inline distT="0" distB="0" distL="114300" distR="114300">
            <wp:extent cx="5264785" cy="3718560"/>
            <wp:effectExtent l="0" t="0" r="12065" b="15240"/>
            <wp:docPr id="8" name="图片 8" descr="微信图片_20251106100634_50_9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51106100634_50_9 副本"/>
                    <pic:cNvPicPr>
                      <a:picLocks noChangeAspect="1"/>
                    </pic:cNvPicPr>
                  </pic:nvPicPr>
                  <pic:blipFill>
                    <a:blip r:embed="rId12"/>
                    <a:stretch>
                      <a:fillRect/>
                    </a:stretch>
                  </pic:blipFill>
                  <pic:spPr>
                    <a:xfrm>
                      <a:off x="0" y="0"/>
                      <a:ext cx="5264785" cy="3718560"/>
                    </a:xfrm>
                    <a:prstGeom prst="rect">
                      <a:avLst/>
                    </a:prstGeom>
                  </pic:spPr>
                </pic:pic>
              </a:graphicData>
            </a:graphic>
          </wp:inline>
        </w:drawing>
      </w:r>
    </w:p>
    <w:p w14:paraId="28F709B4">
      <w:pPr>
        <w:keepNext w:val="0"/>
        <w:keepLines w:val="0"/>
        <w:pageBreakBefore w:val="0"/>
        <w:widowControl w:val="0"/>
        <w:kinsoku/>
        <w:overflowPunct/>
        <w:topLinePunct w:val="0"/>
        <w:autoSpaceDE/>
        <w:autoSpaceDN/>
        <w:bidi w:val="0"/>
        <w:adjustRightInd/>
        <w:snapToGrid/>
        <w:spacing w:line="579" w:lineRule="exact"/>
        <w:jc w:val="center"/>
        <w:textAlignment w:val="auto"/>
        <w:rPr>
          <w:rFonts w:hint="default"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图5现场照片5</w:t>
      </w:r>
    </w:p>
    <w:p w14:paraId="49D40058">
      <w:pPr>
        <w:keepNext w:val="0"/>
        <w:keepLines w:val="0"/>
        <w:pageBreakBefore w:val="0"/>
        <w:widowControl w:val="0"/>
        <w:numPr>
          <w:ilvl w:val="0"/>
          <w:numId w:val="0"/>
        </w:numPr>
        <w:kinsoku/>
        <w:wordWrap w:val="0"/>
        <w:overflowPunct/>
        <w:topLinePunct w:val="0"/>
        <w:autoSpaceDE/>
        <w:autoSpaceDN/>
        <w:bidi w:val="0"/>
        <w:adjustRightInd/>
        <w:snapToGrid/>
        <w:spacing w:line="579" w:lineRule="exact"/>
        <w:ind w:firstLine="640" w:firstLineChars="200"/>
        <w:jc w:val="both"/>
        <w:textAlignment w:val="auto"/>
        <w:outlineLvl w:val="0"/>
        <w:rPr>
          <w:rFonts w:hint="eastAsia" w:ascii="黑体" w:hAnsi="黑体" w:eastAsia="黑体" w:cs="黑体"/>
          <w:b w:val="0"/>
          <w:bCs w:val="0"/>
          <w:sz w:val="32"/>
          <w:szCs w:val="32"/>
          <w:lang w:val="en-US" w:eastAsia="zh-CN"/>
        </w:rPr>
      </w:pPr>
      <w:bookmarkStart w:id="17" w:name="_Toc17944"/>
      <w:r>
        <w:rPr>
          <w:rFonts w:hint="eastAsia" w:ascii="黑体" w:hAnsi="黑体" w:eastAsia="黑体" w:cs="黑体"/>
          <w:b w:val="0"/>
          <w:bCs w:val="0"/>
          <w:sz w:val="32"/>
          <w:szCs w:val="32"/>
          <w:lang w:val="en-US" w:eastAsia="zh-CN"/>
        </w:rPr>
        <w:t>二、事故发生经过</w:t>
      </w:r>
      <w:bookmarkEnd w:id="16"/>
      <w:bookmarkEnd w:id="17"/>
    </w:p>
    <w:p w14:paraId="31C80257">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事故发生后，调查组人员根据在场人员描述、现场勘验笔录、技术分析、调取相关人员急诊病历等方式综合分析，回溯事发经过如下。</w:t>
      </w:r>
    </w:p>
    <w:p w14:paraId="53742FA5">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jc w:val="both"/>
        <w:textAlignment w:val="auto"/>
        <w:rPr>
          <w:rFonts w:hint="eastAsia" w:ascii="楷体" w:hAnsi="楷体" w:eastAsia="楷体" w:cs="楷体"/>
          <w:b w:val="0"/>
          <w:bCs w:val="0"/>
          <w:sz w:val="32"/>
          <w:szCs w:val="32"/>
          <w:lang w:val="en-US" w:eastAsia="zh-CN"/>
        </w:rPr>
      </w:pPr>
      <w:bookmarkStart w:id="18" w:name="_Toc20979"/>
      <w:r>
        <w:rPr>
          <w:rFonts w:hint="eastAsia" w:ascii="楷体" w:hAnsi="楷体" w:eastAsia="楷体" w:cs="楷体"/>
          <w:b w:val="0"/>
          <w:bCs w:val="0"/>
          <w:sz w:val="32"/>
          <w:szCs w:val="32"/>
          <w:lang w:val="en-US" w:eastAsia="zh-CN"/>
        </w:rPr>
        <w:t>（一）事故基本情况</w:t>
      </w:r>
    </w:p>
    <w:p w14:paraId="79D36DD1">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经调查，2025年7月沈阳惠X棋盘山有限责任公司棋盘山工区2025年汇置山湖二期一级网接网项目登上华润守正平台。2025年9月张XX在华润守正平台获知事发项目，因与明X公司实际控制人朱XX有过合作，遂将消息通知给朱XX。朱XX口头答应中标后由张XX负责这个项目,安排</w:t>
      </w:r>
      <w:r>
        <w:rPr>
          <w:rFonts w:hint="eastAsia" w:ascii="仿宋_GB2312" w:hAnsi="仿宋_GB2312" w:eastAsia="仿宋_GB2312" w:cs="仿宋_GB2312"/>
          <w:b w:val="0"/>
          <w:bCs w:val="0"/>
          <w:color w:val="000000"/>
          <w:sz w:val="32"/>
          <w:szCs w:val="32"/>
          <w:highlight w:val="none"/>
          <w:lang w:val="en-US" w:eastAsia="zh-CN"/>
        </w:rPr>
        <w:t>辽宁明X建设安装</w:t>
      </w:r>
      <w:r>
        <w:rPr>
          <w:rFonts w:hint="eastAsia" w:ascii="仿宋_GB2312" w:hAnsi="仿宋_GB2312" w:eastAsia="仿宋_GB2312" w:cs="仿宋_GB2312"/>
          <w:b w:val="0"/>
          <w:bCs w:val="0"/>
          <w:color w:val="000000"/>
          <w:kern w:val="2"/>
          <w:sz w:val="32"/>
          <w:szCs w:val="32"/>
          <w:highlight w:val="none"/>
          <w:lang w:val="en-US" w:eastAsia="zh-CN" w:bidi="ar-SA"/>
        </w:rPr>
        <w:t>有限公司分管投标的负责人高XX参与投标。中标后唐XX告诉张XX该项目已中标，张XX找到徐X，徐X口头答应张XX让其负责该项目。2025年9月30日惠X总部向明X公司下发预成交通知书和成交通知书，同日惠X总部工程设备部员工唐XX催促张XX组织工人进场施工。2025年10月1日张XX通过微信联系惠X总部招标采购部合同管理岗工作人员杨XX表示自己为明X方面项目负责人，杨XX要求张XX提供相关资料，张XX表示会安排相关人员与杨XX对接。2025年10月3日，唐XX联系张XX催促该项目尽快进场施工。2025年10月4日，张XX应唐XX要求安排人员正式进场施工。2025年10月5日至10日惠X总部工作人员唐XX、棋盘山惠X工作人员赵XX分别到过现场，进行寻找主管线及测量管道材料厚度工作。2025年10月9日明X公司负责采购的工作人员刘X与杨XX联系。10月10日明X公司招标负责人与杨XX联系，10月11日明X公司向惠X方面出具履约保函，因履约保函名头错误履约保函被退回。10月13日事故发生，后续履约保函及施工合同并未办理。2025年10月20日明X公司以工程量发生较大变化为由，提交同意惠X总部对此项目重新招标的说明。</w:t>
      </w:r>
    </w:p>
    <w:p w14:paraId="2C149CE3">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jc w:val="both"/>
        <w:textAlignment w:val="auto"/>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（二）事故发生情况</w:t>
      </w:r>
    </w:p>
    <w:p w14:paraId="0C8BC970">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jc w:val="both"/>
        <w:textAlignment w:val="auto"/>
        <w:rPr>
          <w:rFonts w:hint="default" w:ascii="仿宋" w:hAnsi="仿宋" w:eastAsia="仿宋" w:cs="仿宋"/>
          <w:sz w:val="32"/>
          <w:szCs w:val="32"/>
          <w:lang w:val="en-US" w:eastAsia="zh-CN"/>
        </w:rPr>
      </w:pPr>
      <w:r>
        <w:rPr>
          <w:rFonts w:hint="eastAsia" w:ascii="仿宋_GB2312" w:hAnsi="仿宋_GB2312" w:eastAsia="仿宋_GB2312" w:cs="仿宋_GB2312"/>
          <w:b w:val="0"/>
          <w:bCs w:val="0"/>
          <w:color w:val="000000"/>
          <w:kern w:val="2"/>
          <w:sz w:val="32"/>
          <w:szCs w:val="32"/>
          <w:highlight w:val="none"/>
          <w:lang w:val="en-US" w:eastAsia="zh-CN" w:bidi="ar-SA"/>
        </w:rPr>
        <w:t>经调查，2025年9月30日因唐XX催促张XX赶快进场干活，张XX单独联系之前的合作伙伴陈XX让其组织工人进场施工，陈XX觉得这个工程太小利润低，遂联系工头李XX承揽这个工程（李XX包工包料形式承揽），同时陈XX催促张XX要求李XX和中标单位（辽宁明X建设安装有限公司）签订分包合同，张XX表示十一国庆放假没有人签不了合同。2025年10月3日因为唐XX的催促，张XX安排陈XX找到李XX，李XX通过电话联系焊工胡XX让他带着李X再找个钩机去棋盘山干活。2025年10月4日正式开始施工，当日上午8、9时左右胡XX、李X到达现场与陈XX、张XX碰面，张XX交代胡XX管线在什么位置需要干什么活，交代完后陈XX和张XX离开施工现场并告诉胡XX现场有事联系张XX解决。2025年10月5日至10日惠X总部工作人员唐XX、棋盘山惠X工作人员赵XX分别到过现场，唐XX进行寻找主管线工作，赵XX进行测量管道材料厚度工作，在此期间项目正在施工。10月11日当天晚上主管放水同时抽水，造成施工坑内积水。10月12日正常施工。10月13日钩机在围挡外侧主管道清坑，清坑后因为水泵泵头被淤泥压在坑底李X下到坑底找水泵泵头，找到后在坑底清理淤泥，将水泵系上绳，胡XX准备在围挡里侧五号配电房边将水泵拉到地面，李X没有上到地面来而是顺着坑钻过围挡往小区里边走，进围挡后大约走一米左右胡XX看到沟西侧地面上残土向下滑落，胡XX喊了一声“土下来了”，残土砸向李X，将李X挤压到沟东侧，李X面朝围挡膝盖以下被土掩埋。发现李X被掩埋后，胡XX连忙跳下去将李X拽起，发现李X头部左后方有受伤痕迹并且开始吐血，胡XX马上拨打120，此时时间约为10月13日9点30分。9点50分左右120到达现场开始抢救。此时李X已经昏迷，120将李X拉往方大医院，同时胡XX给李X儿子李XX打电话告知他父亲出事了让他去医院，胡XX也开车跟着救护车前往医院。当日11时23分医院宣布李X死亡，李X儿子在医院报警。</w:t>
      </w:r>
      <w:r>
        <w:rPr>
          <w:rFonts w:hint="eastAsia" w:ascii="仿宋" w:hAnsi="仿宋" w:eastAsia="仿宋" w:cs="仿宋"/>
          <w:sz w:val="32"/>
          <w:szCs w:val="32"/>
          <w:lang w:val="en-US" w:eastAsia="zh-CN"/>
        </w:rPr>
        <w:t xml:space="preserve">  </w:t>
      </w:r>
    </w:p>
    <w:p w14:paraId="41F21A89">
      <w:pPr>
        <w:keepNext w:val="0"/>
        <w:keepLines w:val="0"/>
        <w:pageBreakBefore w:val="0"/>
        <w:widowControl w:val="0"/>
        <w:numPr>
          <w:ilvl w:val="0"/>
          <w:numId w:val="0"/>
        </w:numPr>
        <w:kinsoku/>
        <w:wordWrap w:val="0"/>
        <w:overflowPunct/>
        <w:topLinePunct w:val="0"/>
        <w:autoSpaceDE/>
        <w:autoSpaceDN/>
        <w:bidi w:val="0"/>
        <w:adjustRightInd/>
        <w:snapToGrid/>
        <w:spacing w:line="579" w:lineRule="exact"/>
        <w:ind w:firstLine="640" w:firstLineChars="200"/>
        <w:jc w:val="left"/>
        <w:textAlignment w:val="auto"/>
        <w:outlineLvl w:val="0"/>
        <w:rPr>
          <w:rFonts w:hint="default" w:ascii="黑体" w:hAnsi="黑体" w:eastAsia="黑体" w:cs="黑体"/>
          <w:b w:val="0"/>
          <w:bCs w:val="0"/>
          <w:sz w:val="32"/>
          <w:szCs w:val="32"/>
          <w:lang w:val="en-US" w:eastAsia="zh-CN"/>
        </w:rPr>
      </w:pPr>
      <w:bookmarkStart w:id="19" w:name="_Toc243"/>
      <w:r>
        <w:rPr>
          <w:rFonts w:hint="eastAsia" w:ascii="黑体" w:hAnsi="黑体" w:eastAsia="黑体" w:cs="黑体"/>
          <w:b w:val="0"/>
          <w:bCs w:val="0"/>
          <w:sz w:val="32"/>
          <w:szCs w:val="32"/>
          <w:lang w:val="en-US" w:eastAsia="zh-CN"/>
        </w:rPr>
        <w:t>三、事故善后情况</w:t>
      </w:r>
      <w:bookmarkEnd w:id="18"/>
      <w:bookmarkEnd w:id="19"/>
    </w:p>
    <w:p w14:paraId="3BD0E823">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事故发生后，浑南区应急管理局第一时间组织工作人员抵达现场，对事故现场进行勘察、拍照取证，告知事故发生单位及时进行善后处理并对死者家属开展赔偿工作。同时，将现场情况上报市级相关部门和浑南区人民政府。</w:t>
      </w:r>
    </w:p>
    <w:p w14:paraId="1CFC4C6E">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2026年1月31日张XX与死者家属达成协议总计赔偿100万元。</w:t>
      </w:r>
    </w:p>
    <w:p w14:paraId="61686648">
      <w:pPr>
        <w:keepNext w:val="0"/>
        <w:keepLines w:val="0"/>
        <w:pageBreakBefore w:val="0"/>
        <w:widowControl w:val="0"/>
        <w:numPr>
          <w:ilvl w:val="0"/>
          <w:numId w:val="0"/>
        </w:numPr>
        <w:kinsoku/>
        <w:wordWrap w:val="0"/>
        <w:overflowPunct/>
        <w:topLinePunct w:val="0"/>
        <w:autoSpaceDE/>
        <w:autoSpaceDN/>
        <w:bidi w:val="0"/>
        <w:adjustRightInd/>
        <w:snapToGrid/>
        <w:spacing w:line="579" w:lineRule="exact"/>
        <w:ind w:firstLine="640" w:firstLineChars="200"/>
        <w:jc w:val="left"/>
        <w:textAlignment w:val="auto"/>
        <w:outlineLvl w:val="0"/>
        <w:rPr>
          <w:rFonts w:hint="eastAsia" w:ascii="黑体" w:hAnsi="黑体" w:eastAsia="黑体" w:cs="黑体"/>
          <w:b w:val="0"/>
          <w:bCs w:val="0"/>
          <w:sz w:val="32"/>
          <w:szCs w:val="32"/>
          <w:lang w:val="en-US" w:eastAsia="zh-CN"/>
        </w:rPr>
      </w:pPr>
      <w:bookmarkStart w:id="20" w:name="_Toc14263"/>
      <w:bookmarkStart w:id="21" w:name="_Toc18669"/>
      <w:r>
        <w:rPr>
          <w:rFonts w:hint="eastAsia" w:ascii="黑体" w:hAnsi="黑体" w:eastAsia="黑体" w:cs="黑体"/>
          <w:b w:val="0"/>
          <w:bCs w:val="0"/>
          <w:sz w:val="32"/>
          <w:szCs w:val="32"/>
          <w:lang w:val="en-US" w:eastAsia="zh-CN"/>
        </w:rPr>
        <w:t>四、</w:t>
      </w:r>
      <w:r>
        <w:rPr>
          <w:rFonts w:hint="default" w:ascii="黑体" w:hAnsi="黑体" w:eastAsia="黑体" w:cs="黑体"/>
          <w:b w:val="0"/>
          <w:bCs w:val="0"/>
          <w:sz w:val="32"/>
          <w:szCs w:val="32"/>
          <w:lang w:val="en-US" w:eastAsia="zh-CN"/>
        </w:rPr>
        <w:t>事故发生的原因</w:t>
      </w:r>
      <w:bookmarkEnd w:id="20"/>
      <w:bookmarkEnd w:id="21"/>
    </w:p>
    <w:p w14:paraId="151D937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1"/>
        <w:rPr>
          <w:rFonts w:hint="eastAsia" w:ascii="仿宋" w:hAnsi="仿宋" w:eastAsia="仿宋" w:cs="仿宋"/>
          <w:b w:val="0"/>
          <w:bCs w:val="0"/>
          <w:sz w:val="32"/>
          <w:szCs w:val="32"/>
          <w:lang w:val="en-US" w:eastAsia="zh-CN"/>
        </w:rPr>
      </w:pPr>
      <w:bookmarkStart w:id="22" w:name="_Toc6099"/>
      <w:bookmarkStart w:id="23" w:name="_Toc23937"/>
      <w:r>
        <w:rPr>
          <w:rFonts w:hint="eastAsia" w:ascii="楷体" w:hAnsi="楷体" w:eastAsia="楷体" w:cs="楷体"/>
          <w:b w:val="0"/>
          <w:bCs w:val="0"/>
          <w:sz w:val="32"/>
          <w:szCs w:val="32"/>
          <w:lang w:val="en-US" w:eastAsia="zh-CN"/>
        </w:rPr>
        <w:t>（一）直接原因</w:t>
      </w:r>
      <w:bookmarkEnd w:id="22"/>
      <w:bookmarkEnd w:id="23"/>
    </w:p>
    <w:p w14:paraId="3CF1AEC5">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jc w:val="both"/>
        <w:textAlignment w:val="auto"/>
        <w:rPr>
          <w:rFonts w:hint="default" w:ascii="仿宋" w:hAnsi="仿宋" w:eastAsia="仿宋" w:cs="仿宋"/>
          <w:b w:val="0"/>
          <w:bCs w:val="0"/>
          <w:sz w:val="32"/>
          <w:szCs w:val="32"/>
          <w:highlight w:val="none"/>
          <w:lang w:val="en-US" w:eastAsia="zh-CN"/>
        </w:rPr>
      </w:pPr>
      <w:bookmarkStart w:id="24" w:name="_Toc4172"/>
      <w:r>
        <w:rPr>
          <w:rFonts w:hint="eastAsia" w:ascii="仿宋_GB2312" w:hAnsi="仿宋_GB2312" w:eastAsia="仿宋_GB2312" w:cs="仿宋_GB2312"/>
          <w:b w:val="0"/>
          <w:bCs w:val="0"/>
          <w:color w:val="000000"/>
          <w:kern w:val="2"/>
          <w:sz w:val="32"/>
          <w:szCs w:val="32"/>
          <w:highlight w:val="none"/>
          <w:lang w:val="en-US" w:eastAsia="zh-CN" w:bidi="ar-SA"/>
        </w:rPr>
        <w:t>本次事故发生的直接原因为槽壁失稳坍塌，异物落下致使受害者被砸。具体原因为：（1）未按设计要求施工（设计施工说明及设计图纸为惠X招标材料中所有，由明X公司提供）。一是开挖施工与设计图纸中直埋管道横断面图不符。二是沟槽内有积水不满足设计施工说明（1）中管道安装要求。三是排水问题，安装管道前，应排除地下水或积水。（2）沟槽开挖弃土直接堆放在坡顶，不符合临时堆土坡角至坑边距离干燥密实土不小于3m，松软土不小于5m的规定。</w:t>
      </w:r>
    </w:p>
    <w:p w14:paraId="6F8BBB5C">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1"/>
        <w:rPr>
          <w:rFonts w:hint="eastAsia" w:ascii="仿宋" w:hAnsi="仿宋" w:eastAsia="仿宋" w:cs="仿宋"/>
          <w:b w:val="0"/>
          <w:bCs w:val="0"/>
          <w:sz w:val="32"/>
          <w:szCs w:val="32"/>
          <w:lang w:val="en-US" w:eastAsia="zh-CN"/>
        </w:rPr>
      </w:pPr>
      <w:bookmarkStart w:id="25" w:name="_Toc17749"/>
      <w:r>
        <w:rPr>
          <w:rFonts w:hint="eastAsia" w:ascii="楷体" w:hAnsi="楷体" w:eastAsia="楷体" w:cs="楷体"/>
          <w:b w:val="0"/>
          <w:bCs w:val="0"/>
          <w:sz w:val="32"/>
          <w:szCs w:val="32"/>
          <w:lang w:val="en-US" w:eastAsia="zh-CN"/>
        </w:rPr>
        <w:t>（二）间接原因</w:t>
      </w:r>
      <w:bookmarkEnd w:id="24"/>
      <w:bookmarkEnd w:id="25"/>
    </w:p>
    <w:p w14:paraId="526A6AB6">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bCs/>
          <w:color w:val="000000"/>
          <w:kern w:val="2"/>
          <w:sz w:val="32"/>
          <w:szCs w:val="32"/>
          <w:highlight w:val="none"/>
          <w:lang w:val="en-US" w:eastAsia="zh-CN" w:bidi="ar-SA"/>
        </w:rPr>
      </w:pPr>
      <w:bookmarkStart w:id="26" w:name="_Toc547"/>
      <w:r>
        <w:rPr>
          <w:rFonts w:hint="eastAsia" w:ascii="仿宋_GB2312" w:hAnsi="仿宋_GB2312" w:eastAsia="仿宋_GB2312" w:cs="仿宋_GB2312"/>
          <w:b/>
          <w:bCs/>
          <w:color w:val="000000"/>
          <w:kern w:val="2"/>
          <w:sz w:val="32"/>
          <w:szCs w:val="32"/>
          <w:highlight w:val="none"/>
          <w:lang w:val="en-US" w:eastAsia="zh-CN" w:bidi="ar-SA"/>
        </w:rPr>
        <w:t>1.辽宁明X建设安装有限公司</w:t>
      </w:r>
      <w:bookmarkEnd w:id="26"/>
    </w:p>
    <w:p w14:paraId="59A0B2D9">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bookmarkStart w:id="27" w:name="_Toc32751"/>
      <w:bookmarkStart w:id="28" w:name="_Toc9964"/>
      <w:bookmarkStart w:id="29" w:name="_Toc20421"/>
      <w:r>
        <w:rPr>
          <w:rFonts w:hint="eastAsia" w:ascii="仿宋_GB2312" w:hAnsi="仿宋_GB2312" w:eastAsia="仿宋_GB2312" w:cs="仿宋_GB2312"/>
          <w:b w:val="0"/>
          <w:bCs w:val="0"/>
          <w:color w:val="000000"/>
          <w:kern w:val="2"/>
          <w:sz w:val="32"/>
          <w:szCs w:val="32"/>
          <w:highlight w:val="none"/>
          <w:lang w:val="en-US" w:eastAsia="zh-CN" w:bidi="ar-SA"/>
        </w:rPr>
        <w:t>本次施工明X公司没有遵守自身制定的安全生产制度。未按照设计要求，缺乏安全管理、安全教育、技术交底、现场监管，不具备安全生产条件的情况下盲目施工，导致发生安全生产事故。</w:t>
      </w:r>
      <w:bookmarkEnd w:id="27"/>
      <w:bookmarkEnd w:id="28"/>
    </w:p>
    <w:p w14:paraId="07097E80">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bCs/>
          <w:color w:val="000000"/>
          <w:kern w:val="2"/>
          <w:sz w:val="32"/>
          <w:szCs w:val="32"/>
          <w:highlight w:val="none"/>
          <w:lang w:val="en-US" w:eastAsia="zh-CN" w:bidi="ar-SA"/>
        </w:rPr>
      </w:pPr>
      <w:bookmarkStart w:id="30" w:name="_Toc7512"/>
      <w:r>
        <w:rPr>
          <w:rFonts w:hint="eastAsia" w:ascii="仿宋_GB2312" w:hAnsi="仿宋_GB2312" w:eastAsia="仿宋_GB2312" w:cs="仿宋_GB2312"/>
          <w:b/>
          <w:bCs/>
          <w:color w:val="000000"/>
          <w:kern w:val="2"/>
          <w:sz w:val="32"/>
          <w:szCs w:val="32"/>
          <w:highlight w:val="none"/>
          <w:lang w:val="en-US" w:eastAsia="zh-CN" w:bidi="ar-SA"/>
        </w:rPr>
        <w:t>2.</w:t>
      </w:r>
      <w:bookmarkEnd w:id="30"/>
      <w:r>
        <w:rPr>
          <w:rFonts w:hint="eastAsia" w:ascii="仿宋_GB2312" w:hAnsi="仿宋_GB2312" w:eastAsia="仿宋_GB2312" w:cs="仿宋_GB2312"/>
          <w:b/>
          <w:bCs/>
          <w:color w:val="000000"/>
          <w:kern w:val="2"/>
          <w:sz w:val="32"/>
          <w:szCs w:val="32"/>
          <w:highlight w:val="none"/>
          <w:lang w:val="en-US" w:eastAsia="zh-CN" w:bidi="ar-SA"/>
        </w:rPr>
        <w:t>张XX</w:t>
      </w:r>
    </w:p>
    <w:p w14:paraId="61A56C4C">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bookmarkStart w:id="31" w:name="_Toc9827"/>
      <w:bookmarkStart w:id="32" w:name="_Toc26667"/>
      <w:r>
        <w:rPr>
          <w:rFonts w:hint="eastAsia" w:ascii="仿宋_GB2312" w:hAnsi="仿宋_GB2312" w:eastAsia="仿宋_GB2312" w:cs="仿宋_GB2312"/>
          <w:b w:val="0"/>
          <w:bCs w:val="0"/>
          <w:color w:val="000000"/>
          <w:kern w:val="2"/>
          <w:sz w:val="32"/>
          <w:szCs w:val="32"/>
          <w:highlight w:val="none"/>
          <w:lang w:val="en-US" w:eastAsia="zh-CN" w:bidi="ar-SA"/>
        </w:rPr>
        <w:t>作为项目负责人未按照设计要求，缺乏安全管理、安全教育、技术交底、现场监管，不具备安全生产条件的情况下盲目组织施工，导致发生安全生产事故。</w:t>
      </w:r>
      <w:bookmarkEnd w:id="31"/>
      <w:bookmarkEnd w:id="32"/>
    </w:p>
    <w:p w14:paraId="26CDAB71">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bCs/>
          <w:color w:val="000000"/>
          <w:kern w:val="2"/>
          <w:sz w:val="32"/>
          <w:szCs w:val="32"/>
          <w:highlight w:val="none"/>
          <w:lang w:val="en-US" w:eastAsia="zh-CN" w:bidi="ar-SA"/>
        </w:rPr>
      </w:pPr>
      <w:r>
        <w:rPr>
          <w:rFonts w:hint="eastAsia" w:ascii="仿宋_GB2312" w:hAnsi="仿宋_GB2312" w:eastAsia="仿宋_GB2312" w:cs="仿宋_GB2312"/>
          <w:b/>
          <w:bCs/>
          <w:color w:val="000000"/>
          <w:kern w:val="2"/>
          <w:sz w:val="32"/>
          <w:szCs w:val="32"/>
          <w:highlight w:val="none"/>
          <w:lang w:val="en-US" w:eastAsia="zh-CN" w:bidi="ar-SA"/>
        </w:rPr>
        <w:t>3.徐X</w:t>
      </w:r>
    </w:p>
    <w:p w14:paraId="1B4513FD">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jc w:val="both"/>
        <w:textAlignment w:val="auto"/>
        <w:rPr>
          <w:rFonts w:hint="default"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作为明X公司工程部生产经理，没有遵守公司制定的安全生产制度，未监管事发项目是否具备安全生产条件，致使事发项目在没有签订合同，未按照设计要求，缺乏安全管理、安全教育、技术交底、现场监管，不具备安全生产条件的情况下盲目施工，导致发生安全生产事故。</w:t>
      </w:r>
    </w:p>
    <w:p w14:paraId="764BD201">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bCs/>
          <w:color w:val="000000"/>
          <w:kern w:val="2"/>
          <w:sz w:val="32"/>
          <w:szCs w:val="32"/>
          <w:highlight w:val="none"/>
          <w:lang w:val="en-US" w:eastAsia="zh-CN" w:bidi="ar-SA"/>
        </w:rPr>
      </w:pPr>
      <w:r>
        <w:rPr>
          <w:rFonts w:hint="eastAsia" w:ascii="仿宋_GB2312" w:hAnsi="仿宋_GB2312" w:eastAsia="仿宋_GB2312" w:cs="仿宋_GB2312"/>
          <w:b/>
          <w:bCs/>
          <w:color w:val="000000"/>
          <w:kern w:val="2"/>
          <w:sz w:val="32"/>
          <w:szCs w:val="32"/>
          <w:highlight w:val="none"/>
          <w:lang w:val="en-US" w:eastAsia="zh-CN" w:bidi="ar-SA"/>
        </w:rPr>
        <w:t>4.住建部门</w:t>
      </w:r>
    </w:p>
    <w:p w14:paraId="621B4901">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jc w:val="both"/>
        <w:textAlignment w:val="auto"/>
        <w:rPr>
          <w:rFonts w:hint="default"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未落实《房屋建筑和市政基础设施工程施工安全监督规定》（建质〔2014〕153号）第二条的有关规定，存在监管责任缺失。</w:t>
      </w:r>
    </w:p>
    <w:bookmarkEnd w:id="29"/>
    <w:p w14:paraId="46DA91ED">
      <w:pPr>
        <w:keepNext w:val="0"/>
        <w:keepLines w:val="0"/>
        <w:pageBreakBefore w:val="0"/>
        <w:widowControl w:val="0"/>
        <w:numPr>
          <w:ilvl w:val="0"/>
          <w:numId w:val="1"/>
        </w:numPr>
        <w:kinsoku/>
        <w:overflowPunct/>
        <w:topLinePunct w:val="0"/>
        <w:autoSpaceDE/>
        <w:autoSpaceDN/>
        <w:bidi w:val="0"/>
        <w:adjustRightInd/>
        <w:snapToGrid/>
        <w:spacing w:line="579" w:lineRule="exact"/>
        <w:ind w:firstLine="640" w:firstLineChars="200"/>
        <w:textAlignment w:val="auto"/>
        <w:rPr>
          <w:rFonts w:hint="default" w:ascii="黑体" w:hAnsi="黑体" w:eastAsia="黑体" w:cs="黑体"/>
          <w:b w:val="0"/>
          <w:bCs w:val="0"/>
          <w:kern w:val="2"/>
          <w:sz w:val="32"/>
          <w:szCs w:val="32"/>
          <w:lang w:val="en-US" w:eastAsia="zh-CN" w:bidi="ar-SA"/>
        </w:rPr>
      </w:pPr>
      <w:bookmarkStart w:id="33" w:name="_Toc5792"/>
      <w:r>
        <w:rPr>
          <w:rFonts w:hint="default" w:ascii="黑体" w:hAnsi="黑体" w:eastAsia="黑体" w:cs="黑体"/>
          <w:b w:val="0"/>
          <w:bCs w:val="0"/>
          <w:kern w:val="2"/>
          <w:sz w:val="32"/>
          <w:szCs w:val="32"/>
          <w:lang w:val="en-US" w:eastAsia="zh-CN" w:bidi="ar-SA"/>
        </w:rPr>
        <w:t>对有关责任人员和责任单位的处理建议</w:t>
      </w:r>
      <w:bookmarkEnd w:id="33"/>
      <w:bookmarkStart w:id="34" w:name="_Toc13917"/>
      <w:bookmarkStart w:id="35" w:name="_Toc17911"/>
    </w:p>
    <w:p w14:paraId="4D86C7B2">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textAlignment w:val="auto"/>
        <w:rPr>
          <w:rFonts w:hint="default" w:ascii="楷体" w:hAnsi="楷体" w:eastAsia="楷体" w:cs="楷体"/>
          <w:b w:val="0"/>
          <w:bCs w:val="0"/>
          <w:kern w:val="2"/>
          <w:sz w:val="32"/>
          <w:szCs w:val="32"/>
          <w:lang w:val="en-US" w:eastAsia="zh-CN" w:bidi="ar-SA"/>
        </w:rPr>
      </w:pPr>
      <w:r>
        <w:rPr>
          <w:rFonts w:hint="eastAsia" w:ascii="楷体" w:hAnsi="楷体" w:eastAsia="楷体" w:cs="楷体"/>
          <w:b w:val="0"/>
          <w:bCs w:val="0"/>
          <w:kern w:val="2"/>
          <w:sz w:val="32"/>
          <w:szCs w:val="32"/>
          <w:lang w:val="en-US" w:eastAsia="zh-CN" w:bidi="ar-SA"/>
        </w:rPr>
        <w:t>（一）对有关责任单位的处理建议</w:t>
      </w:r>
      <w:bookmarkEnd w:id="34"/>
      <w:bookmarkEnd w:id="35"/>
    </w:p>
    <w:p w14:paraId="0E5821A6">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bookmarkStart w:id="36" w:name="_Toc22606"/>
      <w:bookmarkStart w:id="37" w:name="_Toc21935"/>
      <w:r>
        <w:rPr>
          <w:rFonts w:hint="eastAsia" w:ascii="仿宋_GB2312" w:hAnsi="仿宋_GB2312" w:eastAsia="仿宋_GB2312" w:cs="仿宋_GB2312"/>
          <w:b/>
          <w:bCs/>
          <w:color w:val="000000"/>
          <w:kern w:val="2"/>
          <w:sz w:val="32"/>
          <w:szCs w:val="32"/>
          <w:highlight w:val="none"/>
          <w:lang w:val="en-US" w:eastAsia="zh-CN" w:bidi="ar-SA"/>
        </w:rPr>
        <w:t>辽宁明X建设安装有限公司</w:t>
      </w:r>
      <w:bookmarkEnd w:id="36"/>
    </w:p>
    <w:p w14:paraId="6FCCBC2F">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jc w:val="both"/>
        <w:textAlignment w:val="auto"/>
        <w:rPr>
          <w:rFonts w:hint="eastAsia" w:ascii="仿宋" w:hAnsi="仿宋" w:eastAsia="仿宋" w:cs="仿宋"/>
          <w:i w:val="0"/>
          <w:iCs w:val="0"/>
          <w:caps w:val="0"/>
          <w:color w:val="000000"/>
          <w:spacing w:val="0"/>
          <w:sz w:val="32"/>
          <w:szCs w:val="32"/>
          <w:lang w:val="en-US" w:eastAsia="zh-CN"/>
        </w:rPr>
      </w:pPr>
      <w:bookmarkStart w:id="38" w:name="_Toc17230"/>
      <w:bookmarkStart w:id="39" w:name="_Toc1670"/>
      <w:r>
        <w:rPr>
          <w:rFonts w:hint="eastAsia" w:ascii="仿宋_GB2312" w:hAnsi="仿宋_GB2312" w:eastAsia="仿宋_GB2312" w:cs="仿宋_GB2312"/>
          <w:b w:val="0"/>
          <w:bCs w:val="0"/>
          <w:color w:val="000000"/>
          <w:kern w:val="2"/>
          <w:sz w:val="32"/>
          <w:szCs w:val="32"/>
          <w:highlight w:val="none"/>
          <w:lang w:val="en-US" w:eastAsia="zh-CN" w:bidi="ar-SA"/>
        </w:rPr>
        <w:t>本次施工明X公司没有遵守自身制定的安全生产制度</w:t>
      </w:r>
      <w:r>
        <w:rPr>
          <w:rStyle w:val="19"/>
          <w:rFonts w:hint="eastAsia" w:ascii="仿宋" w:hAnsi="仿宋" w:eastAsia="仿宋" w:cs="仿宋"/>
          <w:i w:val="0"/>
          <w:iCs w:val="0"/>
          <w:caps w:val="0"/>
          <w:color w:val="000000"/>
          <w:spacing w:val="0"/>
          <w:sz w:val="32"/>
          <w:szCs w:val="32"/>
          <w:lang w:val="en-US" w:eastAsia="zh-CN"/>
        </w:rPr>
        <w:footnoteReference w:id="0"/>
      </w:r>
      <w:r>
        <w:rPr>
          <w:rFonts w:hint="eastAsia" w:ascii="仿宋_GB2312" w:hAnsi="仿宋_GB2312" w:eastAsia="仿宋_GB2312" w:cs="仿宋_GB2312"/>
          <w:b w:val="0"/>
          <w:bCs w:val="0"/>
          <w:color w:val="000000"/>
          <w:kern w:val="2"/>
          <w:sz w:val="32"/>
          <w:szCs w:val="32"/>
          <w:highlight w:val="none"/>
          <w:lang w:val="en-US" w:eastAsia="zh-CN" w:bidi="ar-SA"/>
        </w:rPr>
        <w:t>。未按照设计要求，缺乏安全管理、安全教育、技术交底、现场监管，不具备安全生产条件的情况下盲目施工，导致发生安全生产事故。对事故发生负有责任，建议由应急管理部门依法依规处理</w:t>
      </w:r>
      <w:r>
        <w:rPr>
          <w:rStyle w:val="19"/>
          <w:rFonts w:hint="eastAsia" w:ascii="仿宋" w:hAnsi="仿宋" w:eastAsia="仿宋" w:cs="仿宋"/>
          <w:i w:val="0"/>
          <w:iCs w:val="0"/>
          <w:caps w:val="0"/>
          <w:color w:val="000000"/>
          <w:spacing w:val="0"/>
          <w:sz w:val="32"/>
          <w:szCs w:val="32"/>
          <w:lang w:val="en-US" w:eastAsia="zh-CN"/>
        </w:rPr>
        <w:footnoteReference w:id="1"/>
      </w:r>
      <w:r>
        <w:rPr>
          <w:rFonts w:hint="eastAsia" w:ascii="仿宋" w:hAnsi="仿宋" w:eastAsia="仿宋" w:cs="仿宋"/>
          <w:i w:val="0"/>
          <w:iCs w:val="0"/>
          <w:caps w:val="0"/>
          <w:color w:val="000000"/>
          <w:spacing w:val="0"/>
          <w:sz w:val="32"/>
          <w:szCs w:val="32"/>
          <w:lang w:val="en-US" w:eastAsia="zh-CN"/>
        </w:rPr>
        <w:t>。</w:t>
      </w:r>
      <w:bookmarkEnd w:id="38"/>
      <w:bookmarkEnd w:id="39"/>
      <w:bookmarkStart w:id="40" w:name="_Toc31878"/>
    </w:p>
    <w:p w14:paraId="17E594C5">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jc w:val="both"/>
        <w:textAlignment w:val="auto"/>
        <w:rPr>
          <w:rFonts w:hint="default" w:ascii="楷体" w:hAnsi="楷体" w:eastAsia="楷体" w:cs="楷体"/>
          <w:b w:val="0"/>
          <w:bCs w:val="0"/>
          <w:kern w:val="2"/>
          <w:sz w:val="32"/>
          <w:szCs w:val="32"/>
          <w:lang w:val="en-US" w:eastAsia="zh-CN" w:bidi="ar-SA"/>
        </w:rPr>
      </w:pPr>
      <w:r>
        <w:rPr>
          <w:rFonts w:hint="eastAsia" w:ascii="楷体" w:hAnsi="楷体" w:eastAsia="楷体" w:cs="楷体"/>
          <w:b w:val="0"/>
          <w:bCs w:val="0"/>
          <w:kern w:val="2"/>
          <w:sz w:val="32"/>
          <w:szCs w:val="32"/>
          <w:lang w:val="en-US" w:eastAsia="zh-CN" w:bidi="ar-SA"/>
        </w:rPr>
        <w:t>（二）</w:t>
      </w:r>
      <w:bookmarkEnd w:id="37"/>
      <w:r>
        <w:rPr>
          <w:rFonts w:hint="default" w:ascii="楷体" w:hAnsi="楷体" w:eastAsia="楷体" w:cs="楷体"/>
          <w:b w:val="0"/>
          <w:bCs w:val="0"/>
          <w:kern w:val="2"/>
          <w:sz w:val="32"/>
          <w:szCs w:val="32"/>
          <w:lang w:val="en-US" w:eastAsia="zh-CN" w:bidi="ar-SA"/>
        </w:rPr>
        <w:t>对有关责任人员的处理建议</w:t>
      </w:r>
      <w:bookmarkEnd w:id="40"/>
    </w:p>
    <w:p w14:paraId="5FC4B5F7">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bookmarkStart w:id="41" w:name="_Toc23596"/>
      <w:r>
        <w:rPr>
          <w:rFonts w:hint="eastAsia" w:ascii="仿宋_GB2312" w:hAnsi="仿宋_GB2312" w:eastAsia="仿宋_GB2312" w:cs="仿宋_GB2312"/>
          <w:b/>
          <w:bCs/>
          <w:color w:val="000000"/>
          <w:kern w:val="2"/>
          <w:sz w:val="32"/>
          <w:szCs w:val="32"/>
          <w:highlight w:val="none"/>
          <w:lang w:val="en-US" w:eastAsia="zh-CN" w:bidi="ar-SA"/>
        </w:rPr>
        <w:t>1.</w:t>
      </w:r>
      <w:bookmarkEnd w:id="41"/>
      <w:r>
        <w:rPr>
          <w:rFonts w:hint="eastAsia" w:ascii="仿宋_GB2312" w:hAnsi="仿宋_GB2312" w:eastAsia="仿宋_GB2312" w:cs="仿宋_GB2312"/>
          <w:b/>
          <w:bCs/>
          <w:color w:val="000000"/>
          <w:kern w:val="2"/>
          <w:sz w:val="32"/>
          <w:szCs w:val="32"/>
          <w:highlight w:val="none"/>
          <w:lang w:val="en-US" w:eastAsia="zh-CN" w:bidi="ar-SA"/>
        </w:rPr>
        <w:t>张XX</w:t>
      </w:r>
    </w:p>
    <w:p w14:paraId="27B2E695">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jc w:val="both"/>
        <w:textAlignment w:val="auto"/>
        <w:rPr>
          <w:rFonts w:hint="default" w:ascii="仿宋_GB2312" w:eastAsia="仿宋_GB2312"/>
          <w:sz w:val="32"/>
          <w:szCs w:val="32"/>
          <w:lang w:val="en-US" w:eastAsia="zh-CN"/>
        </w:rPr>
      </w:pPr>
      <w:r>
        <w:rPr>
          <w:rFonts w:hint="eastAsia" w:ascii="仿宋_GB2312" w:hAnsi="仿宋_GB2312" w:eastAsia="仿宋_GB2312" w:cs="仿宋_GB2312"/>
          <w:b w:val="0"/>
          <w:bCs w:val="0"/>
          <w:color w:val="000000"/>
          <w:kern w:val="2"/>
          <w:sz w:val="32"/>
          <w:szCs w:val="32"/>
          <w:highlight w:val="none"/>
          <w:lang w:val="en-US" w:eastAsia="zh-CN" w:bidi="ar-SA"/>
        </w:rPr>
        <w:t>作为项目负责人未按照设计要求，缺乏安全管理、安全教育、技术交底、现场监管，不具备安全生产条件</w:t>
      </w:r>
      <w:r>
        <w:rPr>
          <w:rStyle w:val="19"/>
          <w:rFonts w:hint="eastAsia" w:ascii="仿宋" w:hAnsi="仿宋" w:eastAsia="仿宋" w:cs="仿宋"/>
          <w:i w:val="0"/>
          <w:iCs w:val="0"/>
          <w:caps w:val="0"/>
          <w:color w:val="000000"/>
          <w:spacing w:val="0"/>
          <w:sz w:val="32"/>
          <w:szCs w:val="32"/>
          <w:lang w:val="en-US" w:eastAsia="zh-CN"/>
        </w:rPr>
        <w:footnoteReference w:id="2"/>
      </w:r>
      <w:r>
        <w:rPr>
          <w:rFonts w:hint="eastAsia" w:ascii="仿宋_GB2312" w:hAnsi="仿宋_GB2312" w:eastAsia="仿宋_GB2312" w:cs="仿宋_GB2312"/>
          <w:b w:val="0"/>
          <w:bCs w:val="0"/>
          <w:color w:val="000000"/>
          <w:kern w:val="2"/>
          <w:sz w:val="32"/>
          <w:szCs w:val="32"/>
          <w:highlight w:val="none"/>
          <w:lang w:val="en-US" w:eastAsia="zh-CN" w:bidi="ar-SA"/>
        </w:rPr>
        <w:t>的情况下盲目组织施工，导致发生安全生产事故。建议由应急管理部门进行处罚</w:t>
      </w:r>
      <w:r>
        <w:rPr>
          <w:rStyle w:val="19"/>
          <w:rFonts w:hint="eastAsia" w:ascii="仿宋" w:hAnsi="仿宋" w:eastAsia="仿宋" w:cs="仿宋"/>
          <w:i w:val="0"/>
          <w:iCs w:val="0"/>
          <w:caps w:val="0"/>
          <w:color w:val="000000"/>
          <w:spacing w:val="0"/>
          <w:sz w:val="32"/>
          <w:szCs w:val="32"/>
          <w:lang w:val="en-US" w:eastAsia="zh-CN"/>
        </w:rPr>
        <w:footnoteReference w:id="3"/>
      </w:r>
      <w:r>
        <w:rPr>
          <w:rFonts w:hint="eastAsia" w:ascii="仿宋_GB2312" w:eastAsia="仿宋_GB2312"/>
          <w:sz w:val="32"/>
          <w:szCs w:val="32"/>
          <w:lang w:val="en-US" w:eastAsia="zh-CN"/>
        </w:rPr>
        <w:t>。</w:t>
      </w:r>
    </w:p>
    <w:p w14:paraId="675EC884">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bookmarkStart w:id="42" w:name="_Toc28028"/>
      <w:r>
        <w:rPr>
          <w:rFonts w:hint="eastAsia" w:ascii="仿宋_GB2312" w:hAnsi="仿宋_GB2312" w:eastAsia="仿宋_GB2312" w:cs="仿宋_GB2312"/>
          <w:b/>
          <w:bCs/>
          <w:color w:val="000000"/>
          <w:kern w:val="2"/>
          <w:sz w:val="32"/>
          <w:szCs w:val="32"/>
          <w:highlight w:val="none"/>
          <w:lang w:val="en-US" w:eastAsia="zh-CN" w:bidi="ar-SA"/>
        </w:rPr>
        <w:t>2.</w:t>
      </w:r>
      <w:bookmarkEnd w:id="42"/>
      <w:r>
        <w:rPr>
          <w:rFonts w:hint="eastAsia" w:ascii="仿宋_GB2312" w:hAnsi="仿宋_GB2312" w:eastAsia="仿宋_GB2312" w:cs="仿宋_GB2312"/>
          <w:b/>
          <w:bCs/>
          <w:color w:val="000000"/>
          <w:kern w:val="2"/>
          <w:sz w:val="32"/>
          <w:szCs w:val="32"/>
          <w:highlight w:val="none"/>
          <w:lang w:val="en-US" w:eastAsia="zh-CN" w:bidi="ar-SA"/>
        </w:rPr>
        <w:t>唐XX</w:t>
      </w:r>
    </w:p>
    <w:p w14:paraId="00A3A663">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bookmarkStart w:id="43" w:name="_Toc30942"/>
      <w:bookmarkStart w:id="44" w:name="_Toc13176"/>
      <w:bookmarkStart w:id="45" w:name="_Toc29234"/>
      <w:r>
        <w:rPr>
          <w:rFonts w:hint="eastAsia" w:ascii="仿宋_GB2312" w:hAnsi="仿宋_GB2312" w:eastAsia="仿宋_GB2312" w:cs="仿宋_GB2312"/>
          <w:b w:val="0"/>
          <w:bCs w:val="0"/>
          <w:color w:val="000000"/>
          <w:kern w:val="2"/>
          <w:sz w:val="32"/>
          <w:szCs w:val="32"/>
          <w:highlight w:val="none"/>
          <w:lang w:val="en-US" w:eastAsia="zh-CN" w:bidi="ar-SA"/>
        </w:rPr>
        <w:t>在明知惠X方面未与明X公司签订合同，通知张XX进场施工，明X公司相关负责人张XX未落实安全生产相关制度，缺少技术交底，安全教育的情况下安排进行施工，违反公司相关规定，导致发生生产安全事故。建议由沈阳惠X热电股份有限公司依据企业管理规定予以处理。</w:t>
      </w:r>
      <w:bookmarkEnd w:id="43"/>
      <w:bookmarkEnd w:id="44"/>
      <w:bookmarkEnd w:id="45"/>
    </w:p>
    <w:p w14:paraId="411BE0BA">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bCs/>
          <w:color w:val="000000"/>
          <w:kern w:val="2"/>
          <w:sz w:val="32"/>
          <w:szCs w:val="32"/>
          <w:highlight w:val="none"/>
          <w:lang w:val="en-US" w:eastAsia="zh-CN" w:bidi="ar-SA"/>
        </w:rPr>
        <w:t>3.徐X</w:t>
      </w:r>
    </w:p>
    <w:p w14:paraId="75F88CAC">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jc w:val="both"/>
        <w:textAlignment w:val="auto"/>
        <w:rPr>
          <w:rFonts w:hint="default" w:ascii="仿宋_GB2312" w:eastAsia="仿宋_GB2312"/>
          <w:sz w:val="32"/>
          <w:szCs w:val="32"/>
          <w:lang w:val="en-US" w:eastAsia="zh-CN"/>
        </w:rPr>
      </w:pPr>
      <w:r>
        <w:rPr>
          <w:rFonts w:hint="eastAsia" w:ascii="仿宋_GB2312" w:hAnsi="仿宋_GB2312" w:eastAsia="仿宋_GB2312" w:cs="仿宋_GB2312"/>
          <w:b w:val="0"/>
          <w:bCs w:val="0"/>
          <w:color w:val="000000"/>
          <w:kern w:val="2"/>
          <w:sz w:val="32"/>
          <w:szCs w:val="32"/>
          <w:highlight w:val="none"/>
          <w:lang w:val="en-US" w:eastAsia="zh-CN" w:bidi="ar-SA"/>
        </w:rPr>
        <w:t>作为明X公司工程部生产经理，没有遵守公司制定的安全生产制度，未监管事发项目是否具备安全生产条件</w:t>
      </w:r>
      <w:r>
        <w:rPr>
          <w:rStyle w:val="19"/>
          <w:rFonts w:hint="eastAsia" w:ascii="仿宋" w:hAnsi="仿宋" w:eastAsia="仿宋" w:cs="仿宋"/>
          <w:i w:val="0"/>
          <w:iCs w:val="0"/>
          <w:caps w:val="0"/>
          <w:color w:val="000000"/>
          <w:spacing w:val="0"/>
          <w:sz w:val="32"/>
          <w:szCs w:val="32"/>
          <w:lang w:val="en-US" w:eastAsia="zh-CN"/>
        </w:rPr>
        <w:footnoteReference w:id="4"/>
      </w:r>
      <w:r>
        <w:rPr>
          <w:rFonts w:hint="eastAsia" w:ascii="仿宋" w:hAnsi="仿宋" w:eastAsia="仿宋" w:cs="仿宋"/>
          <w:i w:val="0"/>
          <w:iCs w:val="0"/>
          <w:caps w:val="0"/>
          <w:color w:val="000000"/>
          <w:spacing w:val="0"/>
          <w:sz w:val="32"/>
          <w:szCs w:val="32"/>
          <w:lang w:val="en-US" w:eastAsia="zh-CN"/>
        </w:rPr>
        <w:t>，</w:t>
      </w:r>
      <w:r>
        <w:rPr>
          <w:rFonts w:hint="eastAsia" w:ascii="仿宋_GB2312" w:hAnsi="仿宋_GB2312" w:eastAsia="仿宋_GB2312" w:cs="仿宋_GB2312"/>
          <w:b w:val="0"/>
          <w:bCs w:val="0"/>
          <w:color w:val="000000"/>
          <w:kern w:val="2"/>
          <w:sz w:val="32"/>
          <w:szCs w:val="32"/>
          <w:highlight w:val="none"/>
          <w:lang w:val="en-US" w:eastAsia="zh-CN" w:bidi="ar-SA"/>
        </w:rPr>
        <w:t>致使事发项目未按照设计要求，缺乏安全管理、安全教育、技术交底、现场监管，不具备安全生产条件的情况下盲目施工，导致发生安全生产事故。建议由应急管理部门进行处罚</w:t>
      </w:r>
      <w:r>
        <w:rPr>
          <w:rStyle w:val="19"/>
          <w:rFonts w:hint="eastAsia" w:ascii="仿宋" w:hAnsi="仿宋" w:eastAsia="仿宋" w:cs="仿宋"/>
          <w:i w:val="0"/>
          <w:iCs w:val="0"/>
          <w:caps w:val="0"/>
          <w:color w:val="000000"/>
          <w:spacing w:val="0"/>
          <w:sz w:val="32"/>
          <w:szCs w:val="32"/>
          <w:lang w:val="en-US" w:eastAsia="zh-CN"/>
        </w:rPr>
        <w:footnoteReference w:id="5"/>
      </w:r>
      <w:r>
        <w:rPr>
          <w:rFonts w:hint="eastAsia" w:ascii="仿宋_GB2312" w:eastAsia="仿宋_GB2312"/>
          <w:sz w:val="32"/>
          <w:szCs w:val="32"/>
          <w:lang w:val="en-US" w:eastAsia="zh-CN"/>
        </w:rPr>
        <w:t>。</w:t>
      </w:r>
    </w:p>
    <w:p w14:paraId="65FE1938">
      <w:pPr>
        <w:keepNext w:val="0"/>
        <w:keepLines w:val="0"/>
        <w:pageBreakBefore w:val="0"/>
        <w:widowControl w:val="0"/>
        <w:kinsoku/>
        <w:overflowPunct/>
        <w:topLinePunct w:val="0"/>
        <w:autoSpaceDE/>
        <w:autoSpaceDN/>
        <w:bidi w:val="0"/>
        <w:adjustRightInd/>
        <w:snapToGrid/>
        <w:spacing w:line="579" w:lineRule="exact"/>
        <w:ind w:firstLine="640" w:firstLineChars="200"/>
        <w:jc w:val="left"/>
        <w:textAlignment w:val="auto"/>
        <w:outlineLvl w:val="0"/>
        <w:rPr>
          <w:rFonts w:hint="eastAsia" w:ascii="仿宋" w:hAnsi="仿宋" w:eastAsia="仿宋" w:cs="仿宋"/>
          <w:b w:val="0"/>
          <w:bCs w:val="0"/>
          <w:sz w:val="32"/>
          <w:szCs w:val="32"/>
          <w:highlight w:val="none"/>
          <w:lang w:val="en-US" w:eastAsia="zh-CN"/>
        </w:rPr>
      </w:pPr>
      <w:bookmarkStart w:id="46" w:name="_Toc24386"/>
      <w:bookmarkStart w:id="47" w:name="_Toc7632"/>
      <w:r>
        <w:rPr>
          <w:rFonts w:hint="eastAsia" w:ascii="黑体" w:hAnsi="黑体" w:eastAsia="黑体" w:cs="黑体"/>
          <w:b w:val="0"/>
          <w:bCs w:val="0"/>
          <w:kern w:val="2"/>
          <w:sz w:val="32"/>
          <w:szCs w:val="32"/>
          <w:highlight w:val="none"/>
          <w:lang w:val="en-US" w:eastAsia="zh-CN" w:bidi="ar-SA"/>
        </w:rPr>
        <w:t>六、</w:t>
      </w:r>
      <w:r>
        <w:rPr>
          <w:rFonts w:hint="default" w:ascii="黑体" w:hAnsi="黑体" w:eastAsia="黑体" w:cs="黑体"/>
          <w:b w:val="0"/>
          <w:bCs w:val="0"/>
          <w:kern w:val="2"/>
          <w:sz w:val="32"/>
          <w:szCs w:val="32"/>
          <w:highlight w:val="none"/>
          <w:lang w:val="en-US" w:eastAsia="zh-CN" w:bidi="ar-SA"/>
        </w:rPr>
        <w:t>事故防范及整改措施</w:t>
      </w:r>
      <w:bookmarkEnd w:id="46"/>
      <w:bookmarkEnd w:id="47"/>
    </w:p>
    <w:p w14:paraId="3A8EA509">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bookmarkStart w:id="48" w:name="_Toc10391"/>
      <w:bookmarkStart w:id="49" w:name="_Toc19565"/>
      <w:r>
        <w:rPr>
          <w:rFonts w:hint="eastAsia" w:ascii="仿宋_GB2312" w:hAnsi="仿宋_GB2312" w:eastAsia="仿宋_GB2312" w:cs="仿宋_GB2312"/>
          <w:b w:val="0"/>
          <w:bCs w:val="0"/>
          <w:color w:val="000000"/>
          <w:kern w:val="2"/>
          <w:sz w:val="32"/>
          <w:szCs w:val="32"/>
          <w:highlight w:val="none"/>
          <w:lang w:val="en-US" w:eastAsia="zh-CN" w:bidi="ar-SA"/>
        </w:rPr>
        <w:t>为防范和杜绝类似生产安全事故的发生，确保生产安全，建议相关单位落实如下整改措施</w:t>
      </w:r>
      <w:bookmarkEnd w:id="48"/>
      <w:bookmarkEnd w:id="49"/>
      <w:r>
        <w:rPr>
          <w:rFonts w:hint="eastAsia" w:ascii="仿宋_GB2312" w:hAnsi="仿宋_GB2312" w:eastAsia="仿宋_GB2312" w:cs="仿宋_GB2312"/>
          <w:b w:val="0"/>
          <w:bCs w:val="0"/>
          <w:color w:val="000000"/>
          <w:kern w:val="2"/>
          <w:sz w:val="32"/>
          <w:szCs w:val="32"/>
          <w:highlight w:val="none"/>
          <w:lang w:val="en-US" w:eastAsia="zh-CN" w:bidi="ar-SA"/>
        </w:rPr>
        <w:t>。</w:t>
      </w:r>
    </w:p>
    <w:p w14:paraId="09B29E2C">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bookmarkStart w:id="50" w:name="_Toc676"/>
      <w:r>
        <w:rPr>
          <w:rFonts w:hint="eastAsia" w:ascii="仿宋_GB2312" w:hAnsi="仿宋_GB2312" w:eastAsia="仿宋_GB2312" w:cs="仿宋_GB2312"/>
          <w:b/>
          <w:bCs/>
          <w:color w:val="000000"/>
          <w:kern w:val="2"/>
          <w:sz w:val="32"/>
          <w:szCs w:val="32"/>
          <w:highlight w:val="none"/>
          <w:lang w:val="en-US" w:eastAsia="zh-CN" w:bidi="ar-SA"/>
        </w:rPr>
        <w:t>1.辽宁明X建设安装有限公司</w:t>
      </w:r>
      <w:bookmarkEnd w:id="50"/>
    </w:p>
    <w:p w14:paraId="23CC0CF4">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要认真吸取事故教训，全面落实企业安全生产主体责任，要认真严格落实本单位全员安全生产责任制，严格审核施工相关手续。依法组织开展从业人员安全生产教育和培训及技能考核工作，如实记录安全生产教育和培训及考核情况。</w:t>
      </w:r>
    </w:p>
    <w:p w14:paraId="272974FF">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bookmarkStart w:id="51" w:name="_Toc7756"/>
      <w:r>
        <w:rPr>
          <w:rFonts w:hint="eastAsia" w:ascii="仿宋_GB2312" w:hAnsi="仿宋_GB2312" w:eastAsia="仿宋_GB2312" w:cs="仿宋_GB2312"/>
          <w:b/>
          <w:bCs/>
          <w:color w:val="000000"/>
          <w:kern w:val="2"/>
          <w:sz w:val="32"/>
          <w:szCs w:val="32"/>
          <w:highlight w:val="none"/>
          <w:lang w:val="en-US" w:eastAsia="zh-CN" w:bidi="ar-SA"/>
        </w:rPr>
        <w:t>2.住建部门</w:t>
      </w:r>
      <w:bookmarkEnd w:id="51"/>
    </w:p>
    <w:p w14:paraId="017B0D93">
      <w:pPr>
        <w:keepNext w:val="0"/>
        <w:keepLines w:val="0"/>
        <w:pageBreakBefore w:val="0"/>
        <w:widowControl w:val="0"/>
        <w:numPr>
          <w:ilvl w:val="0"/>
          <w:numId w:val="0"/>
        </w:numPr>
        <w:kinsoku/>
        <w:overflowPunct/>
        <w:topLinePunct w:val="0"/>
        <w:autoSpaceDE/>
        <w:autoSpaceDN/>
        <w:bidi w:val="0"/>
        <w:adjustRightInd/>
        <w:snapToGrid/>
        <w:spacing w:line="579" w:lineRule="exact"/>
        <w:ind w:firstLine="640" w:firstLineChars="200"/>
        <w:jc w:val="both"/>
        <w:textAlignment w:val="auto"/>
        <w:rPr>
          <w:rFonts w:hint="default" w:ascii="仿宋" w:hAnsi="仿宋" w:eastAsia="仿宋" w:cs="仿宋"/>
          <w:b w:val="0"/>
          <w:bCs w:val="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区城建局要严格贯彻落实“三管三必须”以及相关法律法规要求，提升行业监管能力，指导企业做好安全隐患排查治理工作，严防工程建筑领域事故发生。杜绝监管缺位、不到位的情况发生。</w:t>
      </w:r>
    </w:p>
    <w:sectPr>
      <w:footerReference r:id="rId6" w:type="default"/>
      <w:pgSz w:w="11906" w:h="16838"/>
      <w:pgMar w:top="2211" w:right="1531" w:bottom="1871" w:left="153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6764A">
    <w:pPr>
      <w:pStyle w:val="6"/>
    </w:pPr>
  </w:p>
  <w:p w14:paraId="4F612A20">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77D1B">
    <w:pPr>
      <w:pStyle w:val="6"/>
    </w:pPr>
  </w:p>
  <w:p w14:paraId="67849B91">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F31B4">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E83840">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34E83840">
                    <w:pPr>
                      <w:pStyle w:val="6"/>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B4C099">
                          <w:pPr>
                            <w:pStyle w:val="6"/>
                            <w:rPr>
                              <w:rFonts w:hint="default"/>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0B4C099">
                    <w:pPr>
                      <w:pStyle w:val="6"/>
                      <w:rPr>
                        <w:rFonts w:hint="default"/>
                        <w:lang w:val="en-US" w:eastAsia="zh-CN"/>
                      </w:rPr>
                    </w:pPr>
                  </w:p>
                </w:txbxContent>
              </v:textbox>
            </v:shape>
          </w:pict>
        </mc:Fallback>
      </mc:AlternateContent>
    </w:r>
  </w:p>
  <w:p w14:paraId="5B787F04">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r>
        <w:separator/>
      </w:r>
    </w:p>
  </w:footnote>
  <w:footnote w:type="continuationSeparator" w:id="13">
    <w:p>
      <w:r>
        <w:continuationSeparator/>
      </w:r>
    </w:p>
  </w:footnote>
  <w:footnote w:id="0">
    <w:p w14:paraId="44ED86FD">
      <w:pPr>
        <w:pStyle w:val="9"/>
        <w:snapToGrid w:val="0"/>
        <w:rPr>
          <w:rFonts w:hint="eastAsia"/>
          <w:lang w:val="en-US" w:eastAsia="zh-CN"/>
        </w:rPr>
      </w:pPr>
      <w:r>
        <w:rPr>
          <w:rStyle w:val="19"/>
          <w:rFonts w:hint="eastAsia" w:ascii="Times New Roman" w:hAnsi="Times New Roman" w:eastAsia="宋体" w:cs="Times New Roman"/>
          <w:lang w:val="en-US" w:eastAsia="zh-CN"/>
        </w:rPr>
        <w:footnoteRef/>
      </w:r>
      <w:r>
        <w:rPr>
          <w:rFonts w:hint="eastAsia"/>
          <w:lang w:val="en-US" w:eastAsia="zh-CN"/>
        </w:rPr>
        <w:t xml:space="preserve"> </w:t>
      </w:r>
      <w:r>
        <w:rPr>
          <w:rFonts w:hint="eastAsia"/>
          <w:lang w:eastAsia="zh-CN"/>
        </w:rPr>
        <w:t>《</w:t>
      </w:r>
      <w:r>
        <w:rPr>
          <w:rFonts w:hint="eastAsia"/>
          <w:lang w:val="en-US" w:eastAsia="zh-CN"/>
        </w:rPr>
        <w:t>辽宁明X建设安装有限公司ESC（环境、安全、职业健康）标准化管理方案</w:t>
      </w:r>
      <w:r>
        <w:rPr>
          <w:rFonts w:hint="eastAsia"/>
          <w:lang w:eastAsia="zh-CN"/>
        </w:rPr>
        <w:t>》</w:t>
      </w:r>
      <w:r>
        <w:rPr>
          <w:rFonts w:hint="eastAsia"/>
          <w:lang w:val="en-US" w:eastAsia="zh-CN"/>
        </w:rPr>
        <w:t>4.1基础安全管理制度落实：严格执行三级安全教育、班前安全交底、工序三检制度，新进场人员必须培训考核合格后方可上岗。所有施工方案必须逐级审核、论证后方可施工。落实安全生产专项经费专</w:t>
      </w:r>
      <w:bookmarkStart w:id="52" w:name="_GoBack"/>
      <w:bookmarkEnd w:id="52"/>
      <w:r>
        <w:rPr>
          <w:rFonts w:hint="eastAsia"/>
          <w:lang w:val="en-US" w:eastAsia="zh-CN"/>
        </w:rPr>
        <w:t>款专用，足额投入安全防护、隐患整改、应急物资、设备维保工作。建立施工安全台账，做到施工全程留痕、可查可追溯。</w:t>
      </w:r>
    </w:p>
  </w:footnote>
  <w:footnote w:id="1">
    <w:p w14:paraId="65F55018">
      <w:pPr>
        <w:pStyle w:val="9"/>
        <w:snapToGrid w:val="0"/>
        <w:rPr>
          <w:rFonts w:hint="eastAsia"/>
          <w:lang w:val="en-US" w:eastAsia="zh-CN"/>
        </w:rPr>
      </w:pPr>
      <w:r>
        <w:rPr>
          <w:rStyle w:val="19"/>
          <w:rFonts w:hint="eastAsia" w:ascii="Times New Roman" w:hAnsi="Times New Roman" w:eastAsia="宋体" w:cs="Times New Roman"/>
          <w:lang w:val="en-US" w:eastAsia="zh-CN"/>
        </w:rPr>
        <w:footnoteRef/>
      </w:r>
      <w:r>
        <w:rPr>
          <w:rFonts w:hint="eastAsia"/>
          <w:lang w:val="en-US" w:eastAsia="zh-CN"/>
        </w:rPr>
        <w:t xml:space="preserve"> 《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footnote>
  <w:footnote w:id="2">
    <w:p w14:paraId="51C6C9F9">
      <w:pPr>
        <w:pStyle w:val="9"/>
        <w:snapToGrid w:val="0"/>
        <w:rPr>
          <w:rFonts w:hint="eastAsia"/>
          <w:lang w:val="en-US" w:eastAsia="zh-CN"/>
        </w:rPr>
      </w:pPr>
      <w:r>
        <w:rPr>
          <w:rStyle w:val="19"/>
        </w:rPr>
        <w:footnoteRef/>
      </w:r>
      <w:r>
        <w:t xml:space="preserve"> </w:t>
      </w:r>
      <w:r>
        <w:rPr>
          <w:rFonts w:hint="eastAsia" w:asciiTheme="minorHAnsi" w:hAnsiTheme="minorHAnsi" w:eastAsiaTheme="minorEastAsia" w:cstheme="minorBidi"/>
          <w:kern w:val="2"/>
          <w:sz w:val="18"/>
          <w:szCs w:val="24"/>
          <w:lang w:val="en-US" w:eastAsia="zh-CN" w:bidi="ar-SA"/>
        </w:rPr>
        <w:t>《中华人民共和国安全生产法》</w:t>
      </w:r>
      <w:r>
        <w:rPr>
          <w:rFonts w:hint="eastAsia"/>
          <w:lang w:val="en-US" w:eastAsia="zh-CN"/>
        </w:rPr>
        <w:t>第二十五条：生产经营单位的安全生产管理机构以及安全生产管理人员履行下列职责:</w:t>
      </w:r>
      <w:r>
        <w:rPr>
          <w:rFonts w:hint="eastAsia" w:asciiTheme="minorHAnsi" w:hAnsiTheme="minorHAnsi" w:eastAsiaTheme="minorEastAsia" w:cstheme="minorBidi"/>
          <w:kern w:val="2"/>
          <w:sz w:val="18"/>
          <w:szCs w:val="24"/>
          <w:lang w:val="en-US" w:eastAsia="zh-CN" w:bidi="ar-SA"/>
        </w:rPr>
        <w:t>（六）制止和纠正违章指挥、强令冒险作业、违反操作规程的行为；</w:t>
      </w:r>
    </w:p>
  </w:footnote>
  <w:footnote w:id="3">
    <w:p w14:paraId="5EBF440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Autospacing="0" w:line="240" w:lineRule="auto"/>
        <w:ind w:left="0" w:right="0" w:firstLine="0"/>
        <w:jc w:val="both"/>
        <w:textAlignment w:val="auto"/>
      </w:pPr>
      <w:r>
        <w:rPr>
          <w:rStyle w:val="19"/>
        </w:rPr>
        <w:footnoteRef/>
      </w:r>
      <w:r>
        <w:t xml:space="preserve"> </w:t>
      </w:r>
      <w:r>
        <w:rPr>
          <w:rFonts w:hint="eastAsia" w:asciiTheme="minorHAnsi" w:hAnsiTheme="minorHAnsi" w:eastAsiaTheme="minorEastAsia" w:cstheme="minorBidi"/>
          <w:kern w:val="2"/>
          <w:sz w:val="18"/>
          <w:szCs w:val="24"/>
          <w:lang w:val="en-US" w:eastAsia="zh-CN" w:bidi="ar-SA"/>
        </w:rPr>
        <w:t>《中华人民共和国安全生产法》第九十六条</w:t>
      </w:r>
      <w:r>
        <w:rPr>
          <w:rFonts w:hint="eastAsia" w:cstheme="minorBidi"/>
          <w:kern w:val="2"/>
          <w:sz w:val="18"/>
          <w:szCs w:val="24"/>
          <w:lang w:val="en-US" w:eastAsia="zh-CN" w:bidi="ar-SA"/>
        </w:rPr>
        <w:t>：</w:t>
      </w:r>
      <w:r>
        <w:rPr>
          <w:rFonts w:hint="eastAsia" w:asciiTheme="minorHAnsi" w:hAnsiTheme="minorHAnsi" w:eastAsiaTheme="minorEastAsia" w:cstheme="minorBidi"/>
          <w:kern w:val="2"/>
          <w:sz w:val="18"/>
          <w:szCs w:val="24"/>
          <w:lang w:val="en-US" w:eastAsia="zh-CN" w:bidi="ar-SA"/>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4">
    <w:p w14:paraId="464B0560">
      <w:pPr>
        <w:pStyle w:val="9"/>
        <w:snapToGrid w:val="0"/>
        <w:rPr>
          <w:rFonts w:hint="eastAsia"/>
          <w:lang w:val="en-US" w:eastAsia="zh-CN"/>
        </w:rPr>
      </w:pPr>
      <w:r>
        <w:rPr>
          <w:rStyle w:val="19"/>
        </w:rPr>
        <w:footnoteRef/>
      </w:r>
      <w:r>
        <w:t xml:space="preserve"> </w:t>
      </w:r>
      <w:r>
        <w:rPr>
          <w:rFonts w:hint="eastAsia" w:asciiTheme="minorHAnsi" w:hAnsiTheme="minorHAnsi" w:eastAsiaTheme="minorEastAsia" w:cstheme="minorBidi"/>
          <w:kern w:val="2"/>
          <w:sz w:val="18"/>
          <w:szCs w:val="24"/>
          <w:lang w:val="en-US" w:eastAsia="zh-CN" w:bidi="ar-SA"/>
        </w:rPr>
        <w:t>《中华人民共和国安全生产法》</w:t>
      </w:r>
      <w:r>
        <w:rPr>
          <w:rFonts w:hint="eastAsia"/>
          <w:lang w:val="en-US" w:eastAsia="zh-CN"/>
        </w:rPr>
        <w:t>第二十五条：生产经营单位的安全生产管理机构以及安全生产管理人员履行下列职责:</w:t>
      </w:r>
      <w:r>
        <w:rPr>
          <w:rFonts w:hint="eastAsia" w:asciiTheme="minorHAnsi" w:hAnsiTheme="minorHAnsi" w:eastAsiaTheme="minorEastAsia" w:cstheme="minorBidi"/>
          <w:kern w:val="2"/>
          <w:sz w:val="18"/>
          <w:szCs w:val="24"/>
          <w:lang w:val="en-US" w:eastAsia="zh-CN" w:bidi="ar-SA"/>
        </w:rPr>
        <w:t>（六）制止和纠正违章指挥、强令冒险作业、违反操作规程的行为；</w:t>
      </w:r>
    </w:p>
  </w:footnote>
  <w:footnote w:id="5">
    <w:p w14:paraId="52E67C0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Autospacing="0" w:line="240" w:lineRule="auto"/>
        <w:ind w:left="0" w:right="0" w:firstLine="0"/>
        <w:jc w:val="both"/>
        <w:textAlignment w:val="auto"/>
      </w:pPr>
      <w:r>
        <w:rPr>
          <w:rStyle w:val="19"/>
        </w:rPr>
        <w:footnoteRef/>
      </w:r>
      <w:r>
        <w:t xml:space="preserve"> </w:t>
      </w:r>
      <w:r>
        <w:rPr>
          <w:rFonts w:hint="eastAsia" w:asciiTheme="minorHAnsi" w:hAnsiTheme="minorHAnsi" w:eastAsiaTheme="minorEastAsia" w:cstheme="minorBidi"/>
          <w:kern w:val="2"/>
          <w:sz w:val="18"/>
          <w:szCs w:val="24"/>
          <w:lang w:val="en-US" w:eastAsia="zh-CN" w:bidi="ar-SA"/>
        </w:rPr>
        <w:t>《中华人民共和国安全生产法》第九十六条</w:t>
      </w:r>
      <w:r>
        <w:rPr>
          <w:rFonts w:hint="eastAsia" w:cstheme="minorBidi"/>
          <w:kern w:val="2"/>
          <w:sz w:val="18"/>
          <w:szCs w:val="24"/>
          <w:lang w:val="en-US" w:eastAsia="zh-CN" w:bidi="ar-SA"/>
        </w:rPr>
        <w:t>：</w:t>
      </w:r>
      <w:r>
        <w:rPr>
          <w:rFonts w:hint="eastAsia" w:asciiTheme="minorHAnsi" w:hAnsiTheme="minorHAnsi" w:eastAsiaTheme="minorEastAsia" w:cstheme="minorBidi"/>
          <w:kern w:val="2"/>
          <w:sz w:val="18"/>
          <w:szCs w:val="24"/>
          <w:lang w:val="en-US" w:eastAsia="zh-CN" w:bidi="ar-SA"/>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E7DA3F"/>
    <w:multiLevelType w:val="singleLevel"/>
    <w:tmpl w:val="5BE7DA3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12"/>
    <w:footnote w:id="1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RmMDQ4MTVmNDI5ODFkMWRmNmVjNDgyNWNkYTYyZjUifQ=="/>
  </w:docVars>
  <w:rsids>
    <w:rsidRoot w:val="00172A27"/>
    <w:rsid w:val="00A10993"/>
    <w:rsid w:val="00BE578A"/>
    <w:rsid w:val="010D6A6A"/>
    <w:rsid w:val="013531F3"/>
    <w:rsid w:val="03773C2D"/>
    <w:rsid w:val="03F912A6"/>
    <w:rsid w:val="04D917B8"/>
    <w:rsid w:val="05496999"/>
    <w:rsid w:val="06A0713C"/>
    <w:rsid w:val="06A26EE9"/>
    <w:rsid w:val="074C7FCD"/>
    <w:rsid w:val="07862691"/>
    <w:rsid w:val="083956B8"/>
    <w:rsid w:val="08F828D7"/>
    <w:rsid w:val="09FD644E"/>
    <w:rsid w:val="0D077DD0"/>
    <w:rsid w:val="0E975954"/>
    <w:rsid w:val="0ECF17CB"/>
    <w:rsid w:val="0EEF4FBF"/>
    <w:rsid w:val="101637E3"/>
    <w:rsid w:val="103828F4"/>
    <w:rsid w:val="10D15D3E"/>
    <w:rsid w:val="11212363"/>
    <w:rsid w:val="11256311"/>
    <w:rsid w:val="112F6066"/>
    <w:rsid w:val="11844B5F"/>
    <w:rsid w:val="11C20769"/>
    <w:rsid w:val="12B207DE"/>
    <w:rsid w:val="12D26099"/>
    <w:rsid w:val="133C258F"/>
    <w:rsid w:val="1380268A"/>
    <w:rsid w:val="13877EBC"/>
    <w:rsid w:val="14143437"/>
    <w:rsid w:val="169A3989"/>
    <w:rsid w:val="16DE5596"/>
    <w:rsid w:val="17D963A0"/>
    <w:rsid w:val="18800766"/>
    <w:rsid w:val="18856728"/>
    <w:rsid w:val="19C54E88"/>
    <w:rsid w:val="1B1C4D4A"/>
    <w:rsid w:val="1BF32D91"/>
    <w:rsid w:val="1F4C537C"/>
    <w:rsid w:val="1FFB5C0F"/>
    <w:rsid w:val="20007C97"/>
    <w:rsid w:val="21DF2C72"/>
    <w:rsid w:val="21F04F23"/>
    <w:rsid w:val="25121AF5"/>
    <w:rsid w:val="25C12DBA"/>
    <w:rsid w:val="27BD5803"/>
    <w:rsid w:val="27C8074F"/>
    <w:rsid w:val="29717390"/>
    <w:rsid w:val="2A58171C"/>
    <w:rsid w:val="2BE5530D"/>
    <w:rsid w:val="2D1B54A6"/>
    <w:rsid w:val="2D32459D"/>
    <w:rsid w:val="2DD81595"/>
    <w:rsid w:val="2DF67FA2"/>
    <w:rsid w:val="2E0F2733"/>
    <w:rsid w:val="2E513149"/>
    <w:rsid w:val="2E76495E"/>
    <w:rsid w:val="2EE91630"/>
    <w:rsid w:val="2F800AC2"/>
    <w:rsid w:val="30127571"/>
    <w:rsid w:val="30AF751E"/>
    <w:rsid w:val="31315CD7"/>
    <w:rsid w:val="31D15DAB"/>
    <w:rsid w:val="32B96A15"/>
    <w:rsid w:val="33DD25DA"/>
    <w:rsid w:val="348334BA"/>
    <w:rsid w:val="349B13AB"/>
    <w:rsid w:val="34BE468A"/>
    <w:rsid w:val="351A6043"/>
    <w:rsid w:val="357C0AAC"/>
    <w:rsid w:val="36CD49F8"/>
    <w:rsid w:val="38223824"/>
    <w:rsid w:val="384653A1"/>
    <w:rsid w:val="39096AFA"/>
    <w:rsid w:val="3AAD1707"/>
    <w:rsid w:val="3B7B09F0"/>
    <w:rsid w:val="3BAE3989"/>
    <w:rsid w:val="3C220B04"/>
    <w:rsid w:val="3CD420CF"/>
    <w:rsid w:val="3D7E0892"/>
    <w:rsid w:val="3DA9164D"/>
    <w:rsid w:val="3DF8713D"/>
    <w:rsid w:val="3EBF7D2B"/>
    <w:rsid w:val="3F102BCF"/>
    <w:rsid w:val="3F9D4D99"/>
    <w:rsid w:val="40460B80"/>
    <w:rsid w:val="40577F2C"/>
    <w:rsid w:val="406805AA"/>
    <w:rsid w:val="40C44BC7"/>
    <w:rsid w:val="40C743A6"/>
    <w:rsid w:val="411C6EDE"/>
    <w:rsid w:val="41F14160"/>
    <w:rsid w:val="44C1243E"/>
    <w:rsid w:val="45DA7714"/>
    <w:rsid w:val="45F169B6"/>
    <w:rsid w:val="464C1CE9"/>
    <w:rsid w:val="476747D0"/>
    <w:rsid w:val="4896186D"/>
    <w:rsid w:val="498626AE"/>
    <w:rsid w:val="49DD4CC6"/>
    <w:rsid w:val="4A1E781A"/>
    <w:rsid w:val="4A3A67A3"/>
    <w:rsid w:val="4B5C267A"/>
    <w:rsid w:val="4C1A5C28"/>
    <w:rsid w:val="4CDE36EB"/>
    <w:rsid w:val="4DDF34CD"/>
    <w:rsid w:val="4DFFCC84"/>
    <w:rsid w:val="4F1B712F"/>
    <w:rsid w:val="4FA7690A"/>
    <w:rsid w:val="50A85BF5"/>
    <w:rsid w:val="51265FAA"/>
    <w:rsid w:val="516C1A4B"/>
    <w:rsid w:val="519E00DA"/>
    <w:rsid w:val="51FD1C8F"/>
    <w:rsid w:val="525C7843"/>
    <w:rsid w:val="52A21FA6"/>
    <w:rsid w:val="52BB7BB8"/>
    <w:rsid w:val="53A35923"/>
    <w:rsid w:val="544875D6"/>
    <w:rsid w:val="5463070C"/>
    <w:rsid w:val="54A90C07"/>
    <w:rsid w:val="54A92AE8"/>
    <w:rsid w:val="54D71141"/>
    <w:rsid w:val="551D4268"/>
    <w:rsid w:val="55541392"/>
    <w:rsid w:val="577613A7"/>
    <w:rsid w:val="58D948E2"/>
    <w:rsid w:val="5A48151F"/>
    <w:rsid w:val="5AB54464"/>
    <w:rsid w:val="5AB84569"/>
    <w:rsid w:val="5DD7237A"/>
    <w:rsid w:val="5F0D1529"/>
    <w:rsid w:val="5F3111A5"/>
    <w:rsid w:val="5F4FEBA3"/>
    <w:rsid w:val="5FFBBBDD"/>
    <w:rsid w:val="5FFF6400"/>
    <w:rsid w:val="60303D2C"/>
    <w:rsid w:val="6142054C"/>
    <w:rsid w:val="614B7400"/>
    <w:rsid w:val="61555B7C"/>
    <w:rsid w:val="637F6CFE"/>
    <w:rsid w:val="639C509A"/>
    <w:rsid w:val="63C33BC6"/>
    <w:rsid w:val="66503A49"/>
    <w:rsid w:val="66D02C8D"/>
    <w:rsid w:val="67311E3E"/>
    <w:rsid w:val="674B2164"/>
    <w:rsid w:val="67B81E4D"/>
    <w:rsid w:val="69201173"/>
    <w:rsid w:val="699C32E1"/>
    <w:rsid w:val="6AD00976"/>
    <w:rsid w:val="6B1B6095"/>
    <w:rsid w:val="6B2A1B1C"/>
    <w:rsid w:val="6B4F6E9C"/>
    <w:rsid w:val="6BB46294"/>
    <w:rsid w:val="6C4F4D0C"/>
    <w:rsid w:val="6C5A6ECD"/>
    <w:rsid w:val="6C9854C4"/>
    <w:rsid w:val="6CE348FB"/>
    <w:rsid w:val="6D8D4EE9"/>
    <w:rsid w:val="6D8D7493"/>
    <w:rsid w:val="6DBB7441"/>
    <w:rsid w:val="6DEF4103"/>
    <w:rsid w:val="6DFD6A45"/>
    <w:rsid w:val="6F0E24A8"/>
    <w:rsid w:val="6F7203A6"/>
    <w:rsid w:val="6F8D445C"/>
    <w:rsid w:val="6FDF243E"/>
    <w:rsid w:val="701D64FB"/>
    <w:rsid w:val="708C7D76"/>
    <w:rsid w:val="70ED57D0"/>
    <w:rsid w:val="71096990"/>
    <w:rsid w:val="717C2845"/>
    <w:rsid w:val="71E21AFF"/>
    <w:rsid w:val="721E282A"/>
    <w:rsid w:val="72D50AD1"/>
    <w:rsid w:val="74987115"/>
    <w:rsid w:val="74D80B53"/>
    <w:rsid w:val="74EB6AD9"/>
    <w:rsid w:val="74F51705"/>
    <w:rsid w:val="75023E22"/>
    <w:rsid w:val="75FF1478"/>
    <w:rsid w:val="766A30C6"/>
    <w:rsid w:val="76D07617"/>
    <w:rsid w:val="76E52D88"/>
    <w:rsid w:val="782C7E18"/>
    <w:rsid w:val="786066B8"/>
    <w:rsid w:val="789C6984"/>
    <w:rsid w:val="78F817C4"/>
    <w:rsid w:val="79D403F5"/>
    <w:rsid w:val="79E95AE8"/>
    <w:rsid w:val="7BD43BBE"/>
    <w:rsid w:val="7BE34AC6"/>
    <w:rsid w:val="7C9E08D4"/>
    <w:rsid w:val="7CA75EF6"/>
    <w:rsid w:val="7CCE3D0C"/>
    <w:rsid w:val="7CF24D85"/>
    <w:rsid w:val="7D0D0D66"/>
    <w:rsid w:val="7D6E5E47"/>
    <w:rsid w:val="7D8A0E59"/>
    <w:rsid w:val="7D8E528A"/>
    <w:rsid w:val="7E717535"/>
    <w:rsid w:val="7EBEA202"/>
    <w:rsid w:val="7EFD3223"/>
    <w:rsid w:val="7F7973D7"/>
    <w:rsid w:val="7F967F89"/>
    <w:rsid w:val="7FDB804F"/>
    <w:rsid w:val="7FFAAD07"/>
    <w:rsid w:val="8F7B87F2"/>
    <w:rsid w:val="94FFCAAC"/>
    <w:rsid w:val="BCEF1643"/>
    <w:rsid w:val="BEFED9BC"/>
    <w:rsid w:val="D33B4D72"/>
    <w:rsid w:val="D69FA79E"/>
    <w:rsid w:val="E7FF0111"/>
    <w:rsid w:val="EF5D1D2C"/>
    <w:rsid w:val="F1AD71C9"/>
    <w:rsid w:val="F8D7B050"/>
    <w:rsid w:val="FBAF442C"/>
    <w:rsid w:val="FDEB63CB"/>
    <w:rsid w:val="FEBC499A"/>
    <w:rsid w:val="FEEF02A1"/>
    <w:rsid w:val="FEFFE2F2"/>
    <w:rsid w:val="FFB9A7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ind w:left="420" w:leftChars="200"/>
    </w:pPr>
  </w:style>
  <w:style w:type="paragraph" w:styleId="4">
    <w:name w:val="Normal Indent"/>
    <w:basedOn w:val="1"/>
    <w:next w:val="1"/>
    <w:qFormat/>
    <w:uiPriority w:val="0"/>
    <w:pPr>
      <w:ind w:firstLine="420"/>
    </w:pPr>
  </w:style>
  <w:style w:type="paragraph" w:styleId="5">
    <w:name w:val="toc 3"/>
    <w:basedOn w:val="1"/>
    <w:next w:val="1"/>
    <w:qFormat/>
    <w:uiPriority w:val="0"/>
    <w:pPr>
      <w:ind w:left="840" w:leftChars="4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footnote text"/>
    <w:basedOn w:val="1"/>
    <w:qFormat/>
    <w:uiPriority w:val="0"/>
    <w:pPr>
      <w:snapToGrid w:val="0"/>
      <w:jc w:val="left"/>
    </w:pPr>
    <w:rPr>
      <w:sz w:val="18"/>
    </w:rPr>
  </w:style>
  <w:style w:type="paragraph" w:styleId="10">
    <w:name w:val="toc 2"/>
    <w:basedOn w:val="1"/>
    <w:next w:val="1"/>
    <w:qFormat/>
    <w:uiPriority w:val="0"/>
    <w:pPr>
      <w:ind w:left="420" w:leftChars="200"/>
    </w:p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5">
    <w:name w:val="Strong"/>
    <w:basedOn w:val="14"/>
    <w:qFormat/>
    <w:uiPriority w:val="0"/>
    <w:rPr>
      <w:b/>
    </w:rPr>
  </w:style>
  <w:style w:type="character" w:styleId="16">
    <w:name w:val="FollowedHyperlink"/>
    <w:basedOn w:val="14"/>
    <w:qFormat/>
    <w:uiPriority w:val="0"/>
    <w:rPr>
      <w:color w:val="005C81"/>
      <w:u w:val="none"/>
    </w:rPr>
  </w:style>
  <w:style w:type="character" w:styleId="17">
    <w:name w:val="Emphasis"/>
    <w:basedOn w:val="14"/>
    <w:qFormat/>
    <w:uiPriority w:val="0"/>
  </w:style>
  <w:style w:type="character" w:styleId="18">
    <w:name w:val="Hyperlink"/>
    <w:basedOn w:val="14"/>
    <w:qFormat/>
    <w:uiPriority w:val="0"/>
    <w:rPr>
      <w:color w:val="0000FF"/>
      <w:u w:val="single"/>
    </w:rPr>
  </w:style>
  <w:style w:type="character" w:styleId="19">
    <w:name w:val="footnote reference"/>
    <w:basedOn w:val="14"/>
    <w:qFormat/>
    <w:uiPriority w:val="0"/>
    <w:rPr>
      <w:vertAlign w:val="superscript"/>
    </w:rPr>
  </w:style>
  <w:style w:type="paragraph" w:customStyle="1" w:styleId="20">
    <w:name w:val="列出段落1"/>
    <w:basedOn w:val="1"/>
    <w:qFormat/>
    <w:uiPriority w:val="34"/>
    <w:pPr>
      <w:ind w:firstLine="420" w:firstLineChars="200"/>
    </w:pPr>
  </w:style>
  <w:style w:type="paragraph" w:styleId="21">
    <w:name w:val="List Paragraph"/>
    <w:basedOn w:val="1"/>
    <w:unhideWhenUsed/>
    <w:qFormat/>
    <w:uiPriority w:val="99"/>
    <w:pPr>
      <w:ind w:firstLine="420" w:firstLineChars="200"/>
    </w:pPr>
  </w:style>
  <w:style w:type="paragraph" w:customStyle="1" w:styleId="22">
    <w:name w:val="WPSOffice手动目录 1"/>
    <w:qFormat/>
    <w:uiPriority w:val="0"/>
    <w:pPr>
      <w:ind w:leftChars="0"/>
    </w:pPr>
    <w:rPr>
      <w:rFonts w:ascii="Times New Roman" w:hAnsi="Times New Roman" w:eastAsia="宋体" w:cs="Times New Roman"/>
      <w:sz w:val="20"/>
      <w:szCs w:val="20"/>
    </w:rPr>
  </w:style>
  <w:style w:type="paragraph" w:customStyle="1" w:styleId="23">
    <w:name w:val="WPSOffice手动目录 2"/>
    <w:qFormat/>
    <w:uiPriority w:val="0"/>
    <w:pPr>
      <w:ind w:leftChars="200"/>
    </w:pPr>
    <w:rPr>
      <w:rFonts w:ascii="Times New Roman" w:hAnsi="Times New Roman" w:eastAsia="宋体" w:cs="Times New Roman"/>
      <w:sz w:val="20"/>
      <w:szCs w:val="20"/>
    </w:rPr>
  </w:style>
  <w:style w:type="paragraph" w:customStyle="1" w:styleId="24">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5674</Words>
  <Characters>6068</Characters>
  <Lines>0</Lines>
  <Paragraphs>0</Paragraphs>
  <TotalTime>20</TotalTime>
  <ScaleCrop>false</ScaleCrop>
  <LinksUpToDate>false</LinksUpToDate>
  <CharactersWithSpaces>6136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2023-08-30T17:32:00Z</dcterms:created>
  <dc:creator>WPS_1660046945</dc:creator>
  <cp:lastModifiedBy>Administrator</cp:lastModifiedBy>
  <cp:lastPrinted>2026-06-16T01:16:00Z</cp:lastPrinted>
  <dcterms:modified xsi:type="dcterms:W3CDTF">2026-08-25T07:57:46Z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E61284B79F394A48A37A0EE8EAC94F58_13</vt:lpwstr>
  </property>
  <property fmtid="{D5CDD505-2E9C-101B-9397-08002B2CF9AE}" pid="4" name="KSOTemplateDocerSaveRecord">
    <vt:lpwstr>eyJoZGlkIjoiNTQ5N2Y5YjIxODIwYTIyYmYzNTdlNDY1NWIzOThjODYifQ==</vt:lpwstr>
  </property>
</Properties>
</file>