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82C5E">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ascii="Times New Roman" w:hAnsi="Times New Roman" w:eastAsia="宋体" w:cs="Times New Roman"/>
          <w:b/>
          <w:bCs/>
          <w:sz w:val="44"/>
          <w:szCs w:val="44"/>
        </w:rPr>
      </w:pPr>
      <w:r>
        <w:rPr>
          <w:rFonts w:hint="eastAsia" w:ascii="Times New Roman" w:hAnsi="Times New Roman" w:cs="Times New Roman"/>
          <w:b/>
          <w:bCs/>
          <w:sz w:val="44"/>
          <w:szCs w:val="44"/>
          <w:lang w:val="en-US" w:eastAsia="zh-CN"/>
        </w:rPr>
        <w:t xml:space="preserve"> </w:t>
      </w:r>
      <w:r>
        <w:rPr>
          <w:rFonts w:ascii="Times New Roman" w:hAnsi="Times New Roman" w:eastAsia="宋体" w:cs="Times New Roman"/>
          <w:b/>
          <w:bCs/>
          <w:sz w:val="44"/>
          <w:szCs w:val="44"/>
        </w:rPr>
        <w:tab/>
      </w:r>
    </w:p>
    <w:p w14:paraId="47610052">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cs="Times New Roman"/>
          <w:b/>
          <w:bCs/>
          <w:sz w:val="44"/>
          <w:szCs w:val="44"/>
          <w:lang w:val="en-US" w:eastAsia="zh-CN"/>
        </w:rPr>
      </w:pPr>
    </w:p>
    <w:p w14:paraId="17DF431B">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eastAsia="宋体" w:cs="Times New Roman"/>
          <w:b/>
          <w:bCs/>
          <w:sz w:val="44"/>
          <w:szCs w:val="44"/>
        </w:rPr>
      </w:pPr>
      <w:r>
        <w:rPr>
          <w:rFonts w:hint="eastAsia" w:ascii="Times New Roman" w:hAnsi="Times New Roman" w:cs="Times New Roman"/>
          <w:b/>
          <w:bCs/>
          <w:sz w:val="44"/>
          <w:szCs w:val="44"/>
          <w:lang w:val="en-US" w:eastAsia="zh-CN"/>
        </w:rPr>
        <w:t>沈阳浑南</w:t>
      </w:r>
      <w:r>
        <w:rPr>
          <w:rFonts w:hint="eastAsia" w:ascii="Times New Roman" w:hAnsi="Times New Roman" w:eastAsia="宋体" w:cs="Times New Roman"/>
          <w:b/>
          <w:bCs/>
          <w:sz w:val="44"/>
          <w:szCs w:val="44"/>
        </w:rPr>
        <w:t>沈阳市</w:t>
      </w:r>
      <w:r>
        <w:rPr>
          <w:rFonts w:hint="eastAsia" w:ascii="Times New Roman" w:hAnsi="Times New Roman" w:cs="Times New Roman"/>
          <w:b/>
          <w:bCs/>
          <w:sz w:val="44"/>
          <w:szCs w:val="44"/>
          <w:lang w:eastAsia="zh-CN"/>
        </w:rPr>
        <w:t>懿X</w:t>
      </w:r>
      <w:r>
        <w:rPr>
          <w:rFonts w:hint="eastAsia" w:ascii="Times New Roman" w:hAnsi="Times New Roman" w:eastAsia="宋体" w:cs="Times New Roman"/>
          <w:b/>
          <w:bCs/>
          <w:sz w:val="44"/>
          <w:szCs w:val="44"/>
        </w:rPr>
        <w:t>物流有限公司</w:t>
      </w:r>
    </w:p>
    <w:p w14:paraId="425F0085">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eastAsia="宋体" w:cs="Times New Roman"/>
          <w:b/>
          <w:bCs/>
          <w:sz w:val="44"/>
          <w:szCs w:val="44"/>
        </w:rPr>
      </w:pPr>
      <w:r>
        <w:rPr>
          <w:rFonts w:hint="eastAsia" w:ascii="Times New Roman" w:hAnsi="Times New Roman" w:eastAsia="宋体" w:cs="Times New Roman"/>
          <w:b/>
          <w:bCs/>
          <w:sz w:val="44"/>
          <w:szCs w:val="44"/>
        </w:rPr>
        <w:t>“8·4”一般物体打击事故</w:t>
      </w:r>
    </w:p>
    <w:p w14:paraId="69F1F12C">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default" w:ascii="宋体" w:hAnsi="宋体" w:eastAsia="宋体" w:cs="宋体"/>
          <w:bCs/>
          <w:kern w:val="2"/>
          <w:sz w:val="21"/>
          <w:szCs w:val="44"/>
          <w:lang w:val="en-US" w:eastAsia="zh-CN" w:bidi="ar-SA"/>
        </w:rPr>
      </w:pPr>
      <w:r>
        <w:rPr>
          <w:rFonts w:hint="eastAsia" w:ascii="Times New Roman" w:hAnsi="Times New Roman" w:eastAsia="宋体" w:cs="Times New Roman"/>
          <w:b/>
          <w:bCs/>
          <w:sz w:val="44"/>
          <w:szCs w:val="44"/>
        </w:rPr>
        <w:t>调查报告</w:t>
      </w:r>
    </w:p>
    <w:p w14:paraId="1F04CEA7">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163BB3C7">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52B9C2E1">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180F334C">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2AFDD875">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6FAC3D94">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4B975585">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7011E75E">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5610CDB2">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3DC16A08">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65364B5C">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12CFB3F9">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1ED40888">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455EEB88">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7379B7DC">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7B889CD6">
      <w:pPr>
        <w:spacing w:before="0" w:beforeLines="0" w:after="0" w:afterLines="0" w:line="240" w:lineRule="auto"/>
        <w:ind w:left="0" w:leftChars="0" w:right="0" w:rightChars="0" w:firstLine="0" w:firstLineChars="0"/>
        <w:jc w:val="both"/>
        <w:rPr>
          <w:rFonts w:hint="eastAsia" w:ascii="宋体" w:hAnsi="宋体" w:eastAsia="宋体" w:cs="宋体"/>
          <w:bCs/>
          <w:kern w:val="2"/>
          <w:sz w:val="21"/>
          <w:szCs w:val="44"/>
          <w:lang w:val="en-US" w:eastAsia="zh-CN" w:bidi="ar-SA"/>
        </w:rPr>
      </w:pPr>
    </w:p>
    <w:p w14:paraId="7D52A8A9">
      <w:pPr>
        <w:spacing w:before="0" w:beforeLines="0" w:after="0" w:afterLines="0" w:line="240" w:lineRule="auto"/>
        <w:ind w:left="0" w:leftChars="0" w:right="0" w:rightChars="0" w:firstLine="0" w:firstLineChars="0"/>
        <w:jc w:val="center"/>
        <w:rPr>
          <w:rFonts w:hint="eastAsia" w:ascii="宋体" w:hAnsi="宋体" w:eastAsia="宋体" w:cs="宋体"/>
          <w:bCs/>
          <w:kern w:val="2"/>
          <w:sz w:val="28"/>
          <w:szCs w:val="28"/>
          <w:lang w:val="en-US" w:eastAsia="zh-CN" w:bidi="ar-SA"/>
        </w:rPr>
      </w:pPr>
    </w:p>
    <w:p w14:paraId="5BBD1A52">
      <w:pPr>
        <w:spacing w:before="0" w:beforeLines="0" w:after="0" w:afterLines="0" w:line="240" w:lineRule="auto"/>
        <w:ind w:left="0" w:leftChars="0" w:right="0" w:rightChars="0" w:firstLine="0" w:firstLineChars="0"/>
        <w:jc w:val="center"/>
        <w:rPr>
          <w:rFonts w:hint="eastAsia" w:ascii="楷体" w:hAnsi="楷体" w:eastAsia="楷体" w:cs="楷体"/>
          <w:bCs/>
          <w:kern w:val="2"/>
          <w:sz w:val="30"/>
          <w:szCs w:val="30"/>
          <w:lang w:val="en-US" w:eastAsia="zh-CN" w:bidi="ar-SA"/>
        </w:rPr>
      </w:pPr>
      <w:r>
        <w:rPr>
          <w:rFonts w:hint="eastAsia" w:ascii="楷体" w:hAnsi="楷体" w:eastAsia="楷体" w:cs="楷体"/>
          <w:bCs/>
          <w:kern w:val="2"/>
          <w:sz w:val="30"/>
          <w:szCs w:val="30"/>
          <w:lang w:val="en-US" w:eastAsia="zh-CN" w:bidi="ar-SA"/>
        </w:rPr>
        <w:t>浑南区事故调查组</w:t>
      </w:r>
    </w:p>
    <w:p w14:paraId="49B5602B">
      <w:pPr>
        <w:spacing w:before="0" w:beforeLines="0" w:after="0" w:afterLines="0" w:line="240" w:lineRule="auto"/>
        <w:ind w:left="0" w:leftChars="0" w:right="0" w:rightChars="0" w:firstLine="0" w:firstLineChars="0"/>
        <w:jc w:val="center"/>
        <w:rPr>
          <w:rFonts w:hint="eastAsia" w:ascii="楷体" w:hAnsi="楷体" w:eastAsia="楷体" w:cs="楷体"/>
          <w:bCs/>
          <w:kern w:val="2"/>
          <w:sz w:val="30"/>
          <w:szCs w:val="30"/>
          <w:lang w:val="en-US" w:eastAsia="zh-CN" w:bidi="ar-SA"/>
        </w:rPr>
      </w:pPr>
      <w:r>
        <w:rPr>
          <w:rFonts w:hint="eastAsia" w:ascii="楷体" w:hAnsi="楷体" w:eastAsia="楷体" w:cs="楷体"/>
          <w:bCs/>
          <w:kern w:val="2"/>
          <w:sz w:val="30"/>
          <w:szCs w:val="30"/>
          <w:lang w:val="en-US" w:eastAsia="zh-CN" w:bidi="ar-SA"/>
        </w:rPr>
        <w:t>2026年7月</w:t>
      </w:r>
    </w:p>
    <w:p w14:paraId="715C456A">
      <w:pPr>
        <w:spacing w:before="0" w:beforeLines="0" w:after="0" w:afterLines="0" w:line="240" w:lineRule="auto"/>
        <w:ind w:left="0" w:leftChars="0" w:right="0" w:rightChars="0" w:firstLine="0" w:firstLineChars="0"/>
        <w:jc w:val="both"/>
        <w:rPr>
          <w:rFonts w:hint="default" w:ascii="宋体" w:hAnsi="宋体" w:eastAsia="宋体" w:cs="宋体"/>
          <w:bCs/>
          <w:kern w:val="2"/>
          <w:sz w:val="28"/>
          <w:szCs w:val="28"/>
          <w:lang w:val="en-US" w:eastAsia="zh-CN" w:bidi="ar-SA"/>
        </w:rPr>
        <w:sectPr>
          <w:footerReference r:id="rId4" w:type="default"/>
          <w:pgSz w:w="11906" w:h="16838"/>
          <w:pgMar w:top="1440" w:right="1800" w:bottom="1440" w:left="1800" w:header="851" w:footer="992" w:gutter="0"/>
          <w:cols w:space="425" w:num="1"/>
          <w:docGrid w:type="lines" w:linePitch="312" w:charSpace="0"/>
        </w:sectPr>
      </w:pPr>
    </w:p>
    <w:sdt>
      <w:sdtPr>
        <w:rPr>
          <w:rFonts w:ascii="宋体" w:hAnsi="宋体" w:eastAsia="宋体" w:cs="宋体"/>
          <w:kern w:val="2"/>
          <w:sz w:val="21"/>
          <w:szCs w:val="22"/>
          <w:lang w:val="en-US" w:eastAsia="zh-CN" w:bidi="ar-SA"/>
        </w:rPr>
        <w:id w:val="147457609"/>
        <w15:color w:val="DBDBDB"/>
        <w:docPartObj>
          <w:docPartGallery w:val="Table of Contents"/>
          <w:docPartUnique/>
        </w:docPartObj>
      </w:sdtPr>
      <w:sdtEndPr>
        <w:rPr>
          <w:rFonts w:hint="eastAsia" w:ascii="宋体" w:hAnsi="宋体" w:eastAsia="宋体" w:cs="宋体"/>
          <w:bCs/>
          <w:kern w:val="2"/>
          <w:sz w:val="21"/>
          <w:szCs w:val="44"/>
          <w:lang w:val="en-US" w:eastAsia="zh-CN" w:bidi="ar-SA"/>
        </w:rPr>
      </w:sdtEndPr>
      <w:sdtContent>
        <w:p w14:paraId="6F5AA63E">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AC1AA58">
          <w:pPr>
            <w:pStyle w:val="5"/>
            <w:tabs>
              <w:tab w:val="right" w:leader="dot" w:pos="8306"/>
            </w:tabs>
          </w:pPr>
          <w:r>
            <w:rPr>
              <w:rFonts w:hint="eastAsia" w:ascii="宋体" w:hAnsi="宋体" w:eastAsia="宋体" w:cs="宋体"/>
              <w:bCs/>
              <w:kern w:val="2"/>
              <w:sz w:val="21"/>
              <w:szCs w:val="44"/>
              <w:lang w:val="en-US" w:eastAsia="zh-CN" w:bidi="ar-SA"/>
            </w:rPr>
            <w:fldChar w:fldCharType="begin"/>
          </w:r>
          <w:r>
            <w:rPr>
              <w:rFonts w:hint="eastAsia" w:ascii="宋体" w:hAnsi="宋体" w:eastAsia="宋体" w:cs="宋体"/>
              <w:bCs/>
              <w:kern w:val="2"/>
              <w:sz w:val="21"/>
              <w:szCs w:val="44"/>
              <w:lang w:val="en-US" w:eastAsia="zh-CN" w:bidi="ar-SA"/>
            </w:rPr>
            <w:instrText xml:space="preserve">TOC \o "1-2" \h \u </w:instrText>
          </w:r>
          <w:r>
            <w:rPr>
              <w:rFonts w:hint="eastAsia" w:ascii="宋体" w:hAnsi="宋体" w:eastAsia="宋体" w:cs="宋体"/>
              <w:bCs/>
              <w:kern w:val="2"/>
              <w:sz w:val="21"/>
              <w:szCs w:val="44"/>
              <w:lang w:val="en-US" w:eastAsia="zh-CN" w:bidi="ar-SA"/>
            </w:rPr>
            <w:fldChar w:fldCharType="separate"/>
          </w: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_Toc501 </w:instrText>
          </w:r>
          <w:r>
            <w:rPr>
              <w:rFonts w:hint="eastAsia" w:ascii="宋体" w:hAnsi="宋体" w:eastAsia="宋体" w:cs="宋体"/>
              <w:bCs/>
              <w:kern w:val="2"/>
              <w:szCs w:val="44"/>
              <w:lang w:val="en-US" w:eastAsia="zh-CN" w:bidi="ar-SA"/>
            </w:rPr>
            <w:fldChar w:fldCharType="separate"/>
          </w:r>
          <w:r>
            <w:rPr>
              <w:rFonts w:hint="eastAsia" w:ascii="黑体" w:hAnsi="黑体" w:eastAsia="黑体" w:cs="黑体"/>
              <w:bCs w:val="0"/>
              <w:szCs w:val="32"/>
              <w:lang w:val="en-US" w:eastAsia="zh-CN"/>
            </w:rPr>
            <w:t>一、 基本情况</w:t>
          </w:r>
          <w:r>
            <w:tab/>
          </w:r>
          <w:r>
            <w:fldChar w:fldCharType="begin"/>
          </w:r>
          <w:r>
            <w:instrText xml:space="preserve"> PAGEREF _Toc501 \h </w:instrText>
          </w:r>
          <w:r>
            <w:fldChar w:fldCharType="separate"/>
          </w:r>
          <w:r>
            <w:t>2</w:t>
          </w:r>
          <w:r>
            <w:fldChar w:fldCharType="end"/>
          </w:r>
          <w:r>
            <w:rPr>
              <w:rFonts w:hint="eastAsia" w:ascii="宋体" w:hAnsi="宋体" w:eastAsia="宋体" w:cs="宋体"/>
              <w:bCs/>
              <w:kern w:val="2"/>
              <w:szCs w:val="44"/>
              <w:lang w:val="en-US" w:eastAsia="zh-CN" w:bidi="ar-SA"/>
            </w:rPr>
            <w:fldChar w:fldCharType="end"/>
          </w:r>
        </w:p>
        <w:p w14:paraId="468B5147">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_Toc17067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（一）相关单位基本情况</w:t>
          </w:r>
          <w:r>
            <w:tab/>
          </w:r>
          <w:r>
            <w:fldChar w:fldCharType="begin"/>
          </w:r>
          <w:r>
            <w:instrText xml:space="preserve"> PAGEREF _Toc17067 \h </w:instrText>
          </w:r>
          <w:r>
            <w:fldChar w:fldCharType="separate"/>
          </w:r>
          <w:r>
            <w:t>2</w:t>
          </w:r>
          <w:r>
            <w:fldChar w:fldCharType="end"/>
          </w:r>
          <w:r>
            <w:rPr>
              <w:rFonts w:hint="eastAsia" w:ascii="宋体" w:hAnsi="宋体" w:eastAsia="宋体" w:cs="宋体"/>
              <w:bCs/>
              <w:kern w:val="2"/>
              <w:szCs w:val="44"/>
              <w:lang w:val="en-US" w:eastAsia="zh-CN" w:bidi="ar-SA"/>
            </w:rPr>
            <w:fldChar w:fldCharType="end"/>
          </w:r>
        </w:p>
        <w:p w14:paraId="1373E20D">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_Toc25554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（三）合同及安全生产管理协议情况</w:t>
          </w:r>
          <w:r>
            <w:tab/>
          </w:r>
          <w:r>
            <w:fldChar w:fldCharType="begin"/>
          </w:r>
          <w:r>
            <w:instrText xml:space="preserve"> PAGEREF _Toc25554 \h </w:instrText>
          </w:r>
          <w:r>
            <w:fldChar w:fldCharType="separate"/>
          </w:r>
          <w:r>
            <w:t>4</w:t>
          </w:r>
          <w:r>
            <w:fldChar w:fldCharType="end"/>
          </w:r>
          <w:r>
            <w:rPr>
              <w:rFonts w:hint="eastAsia" w:ascii="宋体" w:hAnsi="宋体" w:eastAsia="宋体" w:cs="宋体"/>
              <w:bCs/>
              <w:kern w:val="2"/>
              <w:szCs w:val="44"/>
              <w:lang w:val="en-US" w:eastAsia="zh-CN" w:bidi="ar-SA"/>
            </w:rPr>
            <w:fldChar w:fldCharType="end"/>
          </w:r>
        </w:p>
        <w:p w14:paraId="20670CF4">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_Toc26354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（四）事故现场基本情况</w:t>
          </w:r>
          <w:r>
            <w:tab/>
          </w:r>
          <w:r>
            <w:fldChar w:fldCharType="begin"/>
          </w:r>
          <w:r>
            <w:instrText xml:space="preserve"> PAGEREF _Toc26354 \h </w:instrText>
          </w:r>
          <w:r>
            <w:fldChar w:fldCharType="separate"/>
          </w:r>
          <w:r>
            <w:t>5</w:t>
          </w:r>
          <w:r>
            <w:fldChar w:fldCharType="end"/>
          </w:r>
          <w:r>
            <w:rPr>
              <w:rFonts w:hint="eastAsia" w:ascii="宋体" w:hAnsi="宋体" w:eastAsia="宋体" w:cs="宋体"/>
              <w:bCs/>
              <w:kern w:val="2"/>
              <w:szCs w:val="44"/>
              <w:lang w:val="en-US" w:eastAsia="zh-CN" w:bidi="ar-SA"/>
            </w:rPr>
            <w:fldChar w:fldCharType="end"/>
          </w:r>
        </w:p>
        <w:p w14:paraId="1CAC35D7">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_Toc14472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（五）事发现场操作平台及进线柜</w:t>
          </w:r>
          <w:r>
            <w:tab/>
          </w:r>
          <w:r>
            <w:fldChar w:fldCharType="begin"/>
          </w:r>
          <w:r>
            <w:instrText xml:space="preserve"> PAGEREF _Toc14472 \h </w:instrText>
          </w:r>
          <w:r>
            <w:fldChar w:fldCharType="separate"/>
          </w:r>
          <w:r>
            <w:t>8</w:t>
          </w:r>
          <w:r>
            <w:fldChar w:fldCharType="end"/>
          </w:r>
          <w:r>
            <w:rPr>
              <w:rFonts w:hint="eastAsia" w:ascii="宋体" w:hAnsi="宋体" w:eastAsia="宋体" w:cs="宋体"/>
              <w:bCs/>
              <w:kern w:val="2"/>
              <w:szCs w:val="44"/>
              <w:lang w:val="en-US" w:eastAsia="zh-CN" w:bidi="ar-SA"/>
            </w:rPr>
            <w:fldChar w:fldCharType="end"/>
          </w:r>
        </w:p>
        <w:p w14:paraId="0DE546ED">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_Toc18137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(六)事故涉及人员情况</w:t>
          </w:r>
          <w:r>
            <w:tab/>
          </w:r>
          <w:r>
            <w:fldChar w:fldCharType="begin"/>
          </w:r>
          <w:r>
            <w:instrText xml:space="preserve"> PAGEREF _Toc18137 \h </w:instrText>
          </w:r>
          <w:r>
            <w:fldChar w:fldCharType="separate"/>
          </w:r>
          <w:r>
            <w:t>9</w:t>
          </w:r>
          <w:r>
            <w:fldChar w:fldCharType="end"/>
          </w:r>
          <w:r>
            <w:rPr>
              <w:rFonts w:hint="eastAsia" w:ascii="宋体" w:hAnsi="宋体" w:eastAsia="宋体" w:cs="宋体"/>
              <w:bCs/>
              <w:kern w:val="2"/>
              <w:szCs w:val="44"/>
              <w:lang w:val="en-US" w:eastAsia="zh-CN" w:bidi="ar-SA"/>
            </w:rPr>
            <w:fldChar w:fldCharType="end"/>
          </w:r>
        </w:p>
        <w:p w14:paraId="0FEBA421">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_Toc5853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（七）外包装作业人员安全教育培训情况</w:t>
          </w:r>
          <w:r>
            <w:tab/>
          </w:r>
          <w:r>
            <w:fldChar w:fldCharType="begin"/>
          </w:r>
          <w:r>
            <w:instrText xml:space="preserve"> PAGEREF _Toc5853 \h </w:instrText>
          </w:r>
          <w:r>
            <w:fldChar w:fldCharType="separate"/>
          </w:r>
          <w:r>
            <w:t>9</w:t>
          </w:r>
          <w:r>
            <w:fldChar w:fldCharType="end"/>
          </w:r>
          <w:r>
            <w:rPr>
              <w:rFonts w:hint="eastAsia" w:ascii="宋体" w:hAnsi="宋体" w:eastAsia="宋体" w:cs="宋体"/>
              <w:bCs/>
              <w:kern w:val="2"/>
              <w:szCs w:val="44"/>
              <w:lang w:val="en-US" w:eastAsia="zh-CN" w:bidi="ar-SA"/>
            </w:rPr>
            <w:fldChar w:fldCharType="end"/>
          </w:r>
        </w:p>
        <w:p w14:paraId="672F26D9">
          <w:pPr>
            <w:pStyle w:val="5"/>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_Toc26974 </w:instrText>
          </w:r>
          <w:r>
            <w:rPr>
              <w:rFonts w:hint="eastAsia" w:ascii="宋体" w:hAnsi="宋体" w:eastAsia="宋体" w:cs="宋体"/>
              <w:bCs/>
              <w:kern w:val="2"/>
              <w:szCs w:val="44"/>
              <w:lang w:val="en-US" w:eastAsia="zh-CN" w:bidi="ar-SA"/>
            </w:rPr>
            <w:fldChar w:fldCharType="separate"/>
          </w:r>
          <w:r>
            <w:rPr>
              <w:rFonts w:hint="eastAsia" w:ascii="黑体" w:hAnsi="黑体" w:eastAsia="黑体" w:cs="黑体"/>
              <w:bCs w:val="0"/>
              <w:kern w:val="2"/>
              <w:szCs w:val="32"/>
              <w:lang w:val="en-US" w:eastAsia="zh-CN" w:bidi="ar-SA"/>
            </w:rPr>
            <w:t>二、 事故经过、应急救援和事故报告情况</w:t>
          </w:r>
          <w:r>
            <w:tab/>
          </w:r>
          <w:r>
            <w:fldChar w:fldCharType="begin"/>
          </w:r>
          <w:r>
            <w:instrText xml:space="preserve"> PAGEREF _Toc26974 \h </w:instrText>
          </w:r>
          <w:r>
            <w:fldChar w:fldCharType="separate"/>
          </w:r>
          <w:r>
            <w:t>9</w:t>
          </w:r>
          <w:r>
            <w:fldChar w:fldCharType="end"/>
          </w:r>
          <w:r>
            <w:rPr>
              <w:rFonts w:hint="eastAsia" w:ascii="宋体" w:hAnsi="宋体" w:eastAsia="宋体" w:cs="宋体"/>
              <w:bCs/>
              <w:kern w:val="2"/>
              <w:szCs w:val="44"/>
              <w:lang w:val="en-US" w:eastAsia="zh-CN" w:bidi="ar-SA"/>
            </w:rPr>
            <w:fldChar w:fldCharType="end"/>
          </w:r>
        </w:p>
        <w:p w14:paraId="3B4032CC">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_Toc20449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（一）事故经过</w:t>
          </w:r>
          <w:r>
            <w:tab/>
          </w:r>
          <w:r>
            <w:fldChar w:fldCharType="begin"/>
          </w:r>
          <w:r>
            <w:instrText xml:space="preserve"> PAGEREF _Toc20449 \h </w:instrText>
          </w:r>
          <w:r>
            <w:fldChar w:fldCharType="separate"/>
          </w:r>
          <w:r>
            <w:t>9</w:t>
          </w:r>
          <w:r>
            <w:fldChar w:fldCharType="end"/>
          </w:r>
          <w:r>
            <w:rPr>
              <w:rFonts w:hint="eastAsia" w:ascii="宋体" w:hAnsi="宋体" w:eastAsia="宋体" w:cs="宋体"/>
              <w:bCs/>
              <w:kern w:val="2"/>
              <w:szCs w:val="44"/>
              <w:lang w:val="en-US" w:eastAsia="zh-CN" w:bidi="ar-SA"/>
            </w:rPr>
            <w:fldChar w:fldCharType="end"/>
          </w:r>
        </w:p>
        <w:p w14:paraId="55C2074F">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_Toc20788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（二）应急救援和事故报告情况</w:t>
          </w:r>
          <w:r>
            <w:tab/>
          </w:r>
          <w:r>
            <w:fldChar w:fldCharType="begin"/>
          </w:r>
          <w:r>
            <w:instrText xml:space="preserve"> PAGEREF _Toc20788 \h </w:instrText>
          </w:r>
          <w:r>
            <w:fldChar w:fldCharType="separate"/>
          </w:r>
          <w:r>
            <w:t>10</w:t>
          </w:r>
          <w:r>
            <w:fldChar w:fldCharType="end"/>
          </w:r>
          <w:r>
            <w:rPr>
              <w:rFonts w:hint="eastAsia" w:ascii="宋体" w:hAnsi="宋体" w:eastAsia="宋体" w:cs="宋体"/>
              <w:bCs/>
              <w:kern w:val="2"/>
              <w:szCs w:val="44"/>
              <w:lang w:val="en-US" w:eastAsia="zh-CN" w:bidi="ar-SA"/>
            </w:rPr>
            <w:fldChar w:fldCharType="end"/>
          </w:r>
        </w:p>
        <w:p w14:paraId="267B96F4">
          <w:pPr>
            <w:pStyle w:val="5"/>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_Toc472 </w:instrText>
          </w:r>
          <w:r>
            <w:rPr>
              <w:rFonts w:hint="eastAsia" w:ascii="宋体" w:hAnsi="宋体" w:eastAsia="宋体" w:cs="宋体"/>
              <w:bCs/>
              <w:kern w:val="2"/>
              <w:szCs w:val="44"/>
              <w:lang w:val="en-US" w:eastAsia="zh-CN" w:bidi="ar-SA"/>
            </w:rPr>
            <w:fldChar w:fldCharType="separate"/>
          </w:r>
          <w:r>
            <w:rPr>
              <w:rFonts w:hint="eastAsia" w:ascii="黑体" w:hAnsi="黑体" w:eastAsia="黑体" w:cs="黑体"/>
              <w:bCs w:val="0"/>
              <w:szCs w:val="32"/>
              <w:lang w:val="en-US" w:eastAsia="zh-CN"/>
            </w:rPr>
            <w:t>三、 事故应急处置情况</w:t>
          </w:r>
          <w:r>
            <w:tab/>
          </w:r>
          <w:r>
            <w:fldChar w:fldCharType="begin"/>
          </w:r>
          <w:r>
            <w:instrText xml:space="preserve"> PAGEREF _Toc472 \h </w:instrText>
          </w:r>
          <w:r>
            <w:fldChar w:fldCharType="separate"/>
          </w:r>
          <w:r>
            <w:t>10</w:t>
          </w:r>
          <w:r>
            <w:fldChar w:fldCharType="end"/>
          </w:r>
          <w:r>
            <w:rPr>
              <w:rFonts w:hint="eastAsia" w:ascii="宋体" w:hAnsi="宋体" w:eastAsia="宋体" w:cs="宋体"/>
              <w:bCs/>
              <w:kern w:val="2"/>
              <w:szCs w:val="44"/>
              <w:lang w:val="en-US" w:eastAsia="zh-CN" w:bidi="ar-SA"/>
            </w:rPr>
            <w:fldChar w:fldCharType="end"/>
          </w:r>
        </w:p>
        <w:p w14:paraId="0A91FAE6">
          <w:pPr>
            <w:pStyle w:val="5"/>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_Toc6271 </w:instrText>
          </w:r>
          <w:r>
            <w:rPr>
              <w:rFonts w:hint="eastAsia" w:ascii="宋体" w:hAnsi="宋体" w:eastAsia="宋体" w:cs="宋体"/>
              <w:bCs/>
              <w:kern w:val="2"/>
              <w:szCs w:val="44"/>
              <w:lang w:val="en-US" w:eastAsia="zh-CN" w:bidi="ar-SA"/>
            </w:rPr>
            <w:fldChar w:fldCharType="separate"/>
          </w:r>
          <w:r>
            <w:rPr>
              <w:rFonts w:hint="eastAsia" w:ascii="黑体" w:hAnsi="黑体" w:eastAsia="黑体" w:cs="黑体"/>
              <w:bCs w:val="0"/>
              <w:szCs w:val="32"/>
              <w:lang w:val="en-US" w:eastAsia="zh-CN"/>
            </w:rPr>
            <w:t>四、 事故原因</w:t>
          </w:r>
          <w:r>
            <w:tab/>
          </w:r>
          <w:r>
            <w:fldChar w:fldCharType="begin"/>
          </w:r>
          <w:r>
            <w:instrText xml:space="preserve"> PAGEREF _Toc6271 \h </w:instrText>
          </w:r>
          <w:r>
            <w:fldChar w:fldCharType="separate"/>
          </w:r>
          <w:r>
            <w:t>11</w:t>
          </w:r>
          <w:r>
            <w:fldChar w:fldCharType="end"/>
          </w:r>
          <w:r>
            <w:rPr>
              <w:rFonts w:hint="eastAsia" w:ascii="宋体" w:hAnsi="宋体" w:eastAsia="宋体" w:cs="宋体"/>
              <w:bCs/>
              <w:kern w:val="2"/>
              <w:szCs w:val="44"/>
              <w:lang w:val="en-US" w:eastAsia="zh-CN" w:bidi="ar-SA"/>
            </w:rPr>
            <w:fldChar w:fldCharType="end"/>
          </w:r>
        </w:p>
        <w:p w14:paraId="1C649525">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_Toc18305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（一）直接原因</w:t>
          </w:r>
          <w:r>
            <w:tab/>
          </w:r>
          <w:r>
            <w:fldChar w:fldCharType="begin"/>
          </w:r>
          <w:r>
            <w:instrText xml:space="preserve"> PAGEREF _Toc18305 \h </w:instrText>
          </w:r>
          <w:r>
            <w:fldChar w:fldCharType="separate"/>
          </w:r>
          <w:r>
            <w:t>11</w:t>
          </w:r>
          <w:r>
            <w:fldChar w:fldCharType="end"/>
          </w:r>
          <w:r>
            <w:rPr>
              <w:rFonts w:hint="eastAsia" w:ascii="宋体" w:hAnsi="宋体" w:eastAsia="宋体" w:cs="宋体"/>
              <w:bCs/>
              <w:kern w:val="2"/>
              <w:szCs w:val="44"/>
              <w:lang w:val="en-US" w:eastAsia="zh-CN" w:bidi="ar-SA"/>
            </w:rPr>
            <w:fldChar w:fldCharType="end"/>
          </w:r>
        </w:p>
        <w:p w14:paraId="4FA03E46">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_Toc23433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（二）间接原因</w:t>
          </w:r>
          <w:r>
            <w:tab/>
          </w:r>
          <w:r>
            <w:fldChar w:fldCharType="begin"/>
          </w:r>
          <w:r>
            <w:instrText xml:space="preserve"> PAGEREF _Toc23433 \h </w:instrText>
          </w:r>
          <w:r>
            <w:fldChar w:fldCharType="separate"/>
          </w:r>
          <w:r>
            <w:t>11</w:t>
          </w:r>
          <w:r>
            <w:fldChar w:fldCharType="end"/>
          </w:r>
          <w:r>
            <w:rPr>
              <w:rFonts w:hint="eastAsia" w:ascii="宋体" w:hAnsi="宋体" w:eastAsia="宋体" w:cs="宋体"/>
              <w:bCs/>
              <w:kern w:val="2"/>
              <w:szCs w:val="44"/>
              <w:lang w:val="en-US" w:eastAsia="zh-CN" w:bidi="ar-SA"/>
            </w:rPr>
            <w:fldChar w:fldCharType="end"/>
          </w:r>
        </w:p>
        <w:p w14:paraId="58FA9777">
          <w:pPr>
            <w:pStyle w:val="5"/>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_Toc3702 </w:instrText>
          </w:r>
          <w:r>
            <w:rPr>
              <w:rFonts w:hint="eastAsia" w:ascii="宋体" w:hAnsi="宋体" w:eastAsia="宋体" w:cs="宋体"/>
              <w:bCs/>
              <w:kern w:val="2"/>
              <w:szCs w:val="44"/>
              <w:lang w:val="en-US" w:eastAsia="zh-CN" w:bidi="ar-SA"/>
            </w:rPr>
            <w:fldChar w:fldCharType="separate"/>
          </w:r>
          <w:r>
            <w:rPr>
              <w:rFonts w:hint="eastAsia" w:ascii="黑体" w:hAnsi="黑体" w:eastAsia="黑体" w:cs="黑体"/>
              <w:bCs w:val="0"/>
              <w:szCs w:val="32"/>
              <w:lang w:val="en-US" w:eastAsia="zh-CN"/>
            </w:rPr>
            <w:t>五、 事故责任分析和处理建议</w:t>
          </w:r>
          <w:r>
            <w:tab/>
          </w:r>
          <w:r>
            <w:fldChar w:fldCharType="begin"/>
          </w:r>
          <w:r>
            <w:instrText xml:space="preserve"> PAGEREF _Toc3702 \h </w:instrText>
          </w:r>
          <w:r>
            <w:fldChar w:fldCharType="separate"/>
          </w:r>
          <w:r>
            <w:t>11</w:t>
          </w:r>
          <w:r>
            <w:fldChar w:fldCharType="end"/>
          </w:r>
          <w:r>
            <w:rPr>
              <w:rFonts w:hint="eastAsia" w:ascii="宋体" w:hAnsi="宋体" w:eastAsia="宋体" w:cs="宋体"/>
              <w:bCs/>
              <w:kern w:val="2"/>
              <w:szCs w:val="44"/>
              <w:lang w:val="en-US" w:eastAsia="zh-CN" w:bidi="ar-SA"/>
            </w:rPr>
            <w:fldChar w:fldCharType="end"/>
          </w:r>
        </w:p>
        <w:p w14:paraId="15A81BC8">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_Toc29203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（一）事故责任分析</w:t>
          </w:r>
          <w:r>
            <w:tab/>
          </w:r>
          <w:r>
            <w:fldChar w:fldCharType="begin"/>
          </w:r>
          <w:r>
            <w:instrText xml:space="preserve"> PAGEREF _Toc29203 \h </w:instrText>
          </w:r>
          <w:r>
            <w:fldChar w:fldCharType="separate"/>
          </w:r>
          <w:r>
            <w:t>11</w:t>
          </w:r>
          <w:r>
            <w:fldChar w:fldCharType="end"/>
          </w:r>
          <w:r>
            <w:rPr>
              <w:rFonts w:hint="eastAsia" w:ascii="宋体" w:hAnsi="宋体" w:eastAsia="宋体" w:cs="宋体"/>
              <w:bCs/>
              <w:kern w:val="2"/>
              <w:szCs w:val="44"/>
              <w:lang w:val="en-US" w:eastAsia="zh-CN" w:bidi="ar-SA"/>
            </w:rPr>
            <w:fldChar w:fldCharType="end"/>
          </w:r>
        </w:p>
        <w:p w14:paraId="4D5E948A">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_Toc13758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（二）建议予以行政处罚的人员</w:t>
          </w:r>
          <w:r>
            <w:tab/>
          </w:r>
          <w:r>
            <w:fldChar w:fldCharType="begin"/>
          </w:r>
          <w:r>
            <w:instrText xml:space="preserve"> PAGEREF _Toc13758 \h </w:instrText>
          </w:r>
          <w:r>
            <w:fldChar w:fldCharType="separate"/>
          </w:r>
          <w:r>
            <w:t>13</w:t>
          </w:r>
          <w:r>
            <w:fldChar w:fldCharType="end"/>
          </w:r>
          <w:r>
            <w:rPr>
              <w:rFonts w:hint="eastAsia" w:ascii="宋体" w:hAnsi="宋体" w:eastAsia="宋体" w:cs="宋体"/>
              <w:bCs/>
              <w:kern w:val="2"/>
              <w:szCs w:val="44"/>
              <w:lang w:val="en-US" w:eastAsia="zh-CN" w:bidi="ar-SA"/>
            </w:rPr>
            <w:fldChar w:fldCharType="end"/>
          </w:r>
        </w:p>
        <w:p w14:paraId="2E71D238">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_Toc13354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（三）建议予以行政处罚的单位</w:t>
          </w:r>
          <w:r>
            <w:tab/>
          </w:r>
          <w:r>
            <w:fldChar w:fldCharType="begin"/>
          </w:r>
          <w:r>
            <w:instrText xml:space="preserve"> PAGEREF _Toc13354 \h </w:instrText>
          </w:r>
          <w:r>
            <w:fldChar w:fldCharType="separate"/>
          </w:r>
          <w:r>
            <w:t>14</w:t>
          </w:r>
          <w:r>
            <w:fldChar w:fldCharType="end"/>
          </w:r>
          <w:r>
            <w:rPr>
              <w:rFonts w:hint="eastAsia" w:ascii="宋体" w:hAnsi="宋体" w:eastAsia="宋体" w:cs="宋体"/>
              <w:bCs/>
              <w:kern w:val="2"/>
              <w:szCs w:val="44"/>
              <w:lang w:val="en-US" w:eastAsia="zh-CN" w:bidi="ar-SA"/>
            </w:rPr>
            <w:fldChar w:fldCharType="end"/>
          </w:r>
        </w:p>
        <w:p w14:paraId="5F60251B">
          <w:pPr>
            <w:pStyle w:val="5"/>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_Toc24011 </w:instrText>
          </w:r>
          <w:r>
            <w:rPr>
              <w:rFonts w:hint="eastAsia" w:ascii="宋体" w:hAnsi="宋体" w:eastAsia="宋体" w:cs="宋体"/>
              <w:bCs/>
              <w:kern w:val="2"/>
              <w:szCs w:val="44"/>
              <w:lang w:val="en-US" w:eastAsia="zh-CN" w:bidi="ar-SA"/>
            </w:rPr>
            <w:fldChar w:fldCharType="separate"/>
          </w:r>
          <w:r>
            <w:rPr>
              <w:rFonts w:hint="eastAsia" w:ascii="黑体" w:hAnsi="黑体" w:eastAsia="黑体" w:cs="黑体"/>
              <w:bCs w:val="0"/>
              <w:szCs w:val="32"/>
              <w:lang w:val="en-US" w:eastAsia="zh-CN"/>
            </w:rPr>
            <w:t>六、 事故整改和防范措施</w:t>
          </w:r>
          <w:r>
            <w:tab/>
          </w:r>
          <w:r>
            <w:fldChar w:fldCharType="begin"/>
          </w:r>
          <w:r>
            <w:instrText xml:space="preserve"> PAGEREF _Toc24011 \h </w:instrText>
          </w:r>
          <w:r>
            <w:fldChar w:fldCharType="separate"/>
          </w:r>
          <w:r>
            <w:t>15</w:t>
          </w:r>
          <w:r>
            <w:fldChar w:fldCharType="end"/>
          </w:r>
          <w:r>
            <w:rPr>
              <w:rFonts w:hint="eastAsia" w:ascii="宋体" w:hAnsi="宋体" w:eastAsia="宋体" w:cs="宋体"/>
              <w:bCs/>
              <w:kern w:val="2"/>
              <w:szCs w:val="44"/>
              <w:lang w:val="en-US" w:eastAsia="zh-CN" w:bidi="ar-SA"/>
            </w:rPr>
            <w:fldChar w:fldCharType="end"/>
          </w:r>
        </w:p>
        <w:p w14:paraId="671B9526">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_Toc11947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（一）沈阳市懿X物流有限公司</w:t>
          </w:r>
          <w:r>
            <w:tab/>
          </w:r>
          <w:r>
            <w:fldChar w:fldCharType="begin"/>
          </w:r>
          <w:r>
            <w:instrText xml:space="preserve"> PAGEREF _Toc11947 \h </w:instrText>
          </w:r>
          <w:r>
            <w:fldChar w:fldCharType="separate"/>
          </w:r>
          <w:r>
            <w:t>15</w:t>
          </w:r>
          <w:r>
            <w:fldChar w:fldCharType="end"/>
          </w:r>
          <w:r>
            <w:rPr>
              <w:rFonts w:hint="eastAsia" w:ascii="宋体" w:hAnsi="宋体" w:eastAsia="宋体" w:cs="宋体"/>
              <w:bCs/>
              <w:kern w:val="2"/>
              <w:szCs w:val="44"/>
              <w:lang w:val="en-US" w:eastAsia="zh-CN" w:bidi="ar-SA"/>
            </w:rPr>
            <w:fldChar w:fldCharType="end"/>
          </w:r>
        </w:p>
        <w:p w14:paraId="50E8E4C0">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_Toc23921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（二）沈阳蓝X工业自动化装备股份有限公司</w:t>
          </w:r>
          <w:r>
            <w:tab/>
          </w:r>
          <w:r>
            <w:fldChar w:fldCharType="begin"/>
          </w:r>
          <w:r>
            <w:instrText xml:space="preserve"> PAGEREF _Toc23921 \h </w:instrText>
          </w:r>
          <w:r>
            <w:fldChar w:fldCharType="separate"/>
          </w:r>
          <w:r>
            <w:t>16</w:t>
          </w:r>
          <w:r>
            <w:fldChar w:fldCharType="end"/>
          </w:r>
          <w:r>
            <w:rPr>
              <w:rFonts w:hint="eastAsia" w:ascii="宋体" w:hAnsi="宋体" w:eastAsia="宋体" w:cs="宋体"/>
              <w:bCs/>
              <w:kern w:val="2"/>
              <w:szCs w:val="44"/>
              <w:lang w:val="en-US" w:eastAsia="zh-CN" w:bidi="ar-SA"/>
            </w:rPr>
            <w:fldChar w:fldCharType="end"/>
          </w:r>
        </w:p>
        <w:p w14:paraId="192C2279">
          <w:pPr>
            <w:pStyle w:val="7"/>
            <w:tabs>
              <w:tab w:val="right" w:leader="dot" w:pos="8306"/>
            </w:tabs>
          </w:pPr>
          <w:r>
            <w:rPr>
              <w:rFonts w:hint="eastAsia" w:ascii="宋体" w:hAnsi="宋体" w:eastAsia="宋体" w:cs="宋体"/>
              <w:bCs/>
              <w:kern w:val="2"/>
              <w:szCs w:val="44"/>
              <w:lang w:val="en-US" w:eastAsia="zh-CN" w:bidi="ar-SA"/>
            </w:rPr>
            <w:fldChar w:fldCharType="begin"/>
          </w:r>
          <w:r>
            <w:rPr>
              <w:rFonts w:hint="eastAsia" w:ascii="宋体" w:hAnsi="宋体" w:eastAsia="宋体" w:cs="宋体"/>
              <w:bCs/>
              <w:kern w:val="2"/>
              <w:szCs w:val="44"/>
              <w:lang w:val="en-US" w:eastAsia="zh-CN" w:bidi="ar-SA"/>
            </w:rPr>
            <w:instrText xml:space="preserve"> HYPERLINK \l _Toc3289 </w:instrText>
          </w:r>
          <w:r>
            <w:rPr>
              <w:rFonts w:hint="eastAsia" w:ascii="宋体" w:hAnsi="宋体" w:eastAsia="宋体" w:cs="宋体"/>
              <w:bCs/>
              <w:kern w:val="2"/>
              <w:szCs w:val="44"/>
              <w:lang w:val="en-US" w:eastAsia="zh-CN" w:bidi="ar-SA"/>
            </w:rPr>
            <w:fldChar w:fldCharType="separate"/>
          </w:r>
          <w:r>
            <w:rPr>
              <w:rFonts w:hint="eastAsia" w:ascii="楷体" w:hAnsi="楷体" w:eastAsia="楷体" w:cs="楷体"/>
              <w:bCs/>
              <w:szCs w:val="32"/>
              <w:lang w:val="en-US" w:eastAsia="zh-CN"/>
            </w:rPr>
            <w:t>（三）浑南区应急管理局</w:t>
          </w:r>
          <w:r>
            <w:tab/>
          </w:r>
          <w:r>
            <w:fldChar w:fldCharType="begin"/>
          </w:r>
          <w:r>
            <w:instrText xml:space="preserve"> PAGEREF _Toc3289 \h </w:instrText>
          </w:r>
          <w:r>
            <w:fldChar w:fldCharType="separate"/>
          </w:r>
          <w:r>
            <w:t>16</w:t>
          </w:r>
          <w:r>
            <w:fldChar w:fldCharType="end"/>
          </w:r>
          <w:r>
            <w:rPr>
              <w:rFonts w:hint="eastAsia" w:ascii="宋体" w:hAnsi="宋体" w:eastAsia="宋体" w:cs="宋体"/>
              <w:bCs/>
              <w:kern w:val="2"/>
              <w:szCs w:val="44"/>
              <w:lang w:val="en-US" w:eastAsia="zh-CN" w:bidi="ar-SA"/>
            </w:rPr>
            <w:fldChar w:fldCharType="end"/>
          </w:r>
        </w:p>
        <w:p w14:paraId="08D18288">
          <w:pPr>
            <w:keepNext w:val="0"/>
            <w:keepLines w:val="0"/>
            <w:pageBreakBefore w:val="0"/>
            <w:widowControl w:val="0"/>
            <w:kinsoku/>
            <w:wordWrap/>
            <w:overflowPunct/>
            <w:topLinePunct w:val="0"/>
            <w:autoSpaceDE/>
            <w:autoSpaceDN/>
            <w:bidi w:val="0"/>
            <w:adjustRightInd/>
            <w:snapToGrid/>
            <w:spacing w:line="560" w:lineRule="exact"/>
            <w:ind w:left="0" w:hanging="210" w:hangingChars="100"/>
            <w:jc w:val="center"/>
            <w:textAlignment w:val="auto"/>
            <w:rPr>
              <w:rFonts w:hint="eastAsia" w:ascii="宋体" w:hAnsi="宋体" w:eastAsia="宋体" w:cs="宋体"/>
              <w:bCs/>
              <w:kern w:val="2"/>
              <w:sz w:val="21"/>
              <w:szCs w:val="44"/>
              <w:lang w:val="en-US" w:eastAsia="zh-CN" w:bidi="ar-SA"/>
            </w:rPr>
          </w:pPr>
          <w:r>
            <w:rPr>
              <w:rFonts w:hint="eastAsia" w:ascii="宋体" w:hAnsi="宋体" w:eastAsia="宋体" w:cs="宋体"/>
              <w:bCs/>
              <w:kern w:val="2"/>
              <w:szCs w:val="44"/>
              <w:lang w:val="en-US" w:eastAsia="zh-CN" w:bidi="ar-SA"/>
            </w:rPr>
            <w:fldChar w:fldCharType="end"/>
          </w:r>
        </w:p>
      </w:sdtContent>
    </w:sdt>
    <w:p w14:paraId="16C8C772">
      <w:pPr>
        <w:keepNext w:val="0"/>
        <w:keepLines w:val="0"/>
        <w:pageBreakBefore w:val="0"/>
        <w:widowControl w:val="0"/>
        <w:kinsoku/>
        <w:wordWrap/>
        <w:overflowPunct/>
        <w:topLinePunct w:val="0"/>
        <w:autoSpaceDE/>
        <w:autoSpaceDN/>
        <w:bidi w:val="0"/>
        <w:adjustRightInd/>
        <w:snapToGrid/>
        <w:spacing w:line="560" w:lineRule="exact"/>
        <w:ind w:left="0" w:hanging="210" w:hangingChars="100"/>
        <w:jc w:val="center"/>
        <w:textAlignment w:val="auto"/>
        <w:rPr>
          <w:rFonts w:hint="eastAsia" w:ascii="宋体" w:hAnsi="宋体" w:eastAsia="宋体" w:cs="宋体"/>
          <w:bCs/>
          <w:kern w:val="2"/>
          <w:sz w:val="21"/>
          <w:szCs w:val="44"/>
          <w:lang w:val="en-US" w:eastAsia="zh-CN" w:bidi="ar-SA"/>
        </w:rPr>
      </w:pPr>
    </w:p>
    <w:p w14:paraId="088DBCEA">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3D60CBF8">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0633B507">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60991E81">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32AA32F0">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654D07EC">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5847A8DF">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4BB30E5F">
      <w:pPr>
        <w:keepNext w:val="0"/>
        <w:keepLines w:val="0"/>
        <w:pageBreakBefore w:val="0"/>
        <w:widowControl w:val="0"/>
        <w:kinsoku/>
        <w:wordWrap/>
        <w:overflowPunct/>
        <w:topLinePunct w:val="0"/>
        <w:autoSpaceDE/>
        <w:autoSpaceDN/>
        <w:bidi w:val="0"/>
        <w:adjustRightInd/>
        <w:snapToGrid/>
        <w:spacing w:line="560" w:lineRule="exact"/>
        <w:ind w:left="0" w:hanging="442" w:hangingChars="100"/>
        <w:jc w:val="center"/>
        <w:textAlignment w:val="auto"/>
        <w:rPr>
          <w:rFonts w:hint="eastAsia" w:ascii="宋体" w:hAnsi="宋体" w:eastAsia="宋体" w:cs="宋体"/>
          <w:b/>
          <w:bCs/>
          <w:sz w:val="44"/>
          <w:szCs w:val="44"/>
        </w:rPr>
      </w:pPr>
    </w:p>
    <w:p w14:paraId="1588EEE0">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hint="eastAsia" w:ascii="宋体" w:hAnsi="宋体" w:eastAsia="宋体" w:cs="宋体"/>
          <w:b/>
          <w:bCs/>
          <w:sz w:val="44"/>
          <w:szCs w:val="44"/>
        </w:rPr>
        <w:sectPr>
          <w:footerReference r:id="rId5" w:type="default"/>
          <w:footnotePr>
            <w:numFmt w:val="decimal"/>
            <w:numRestart w:val="eachSect"/>
          </w:footnotePr>
          <w:pgSz w:w="11906" w:h="16838"/>
          <w:pgMar w:top="1440" w:right="1800" w:bottom="1440" w:left="1800" w:header="851" w:footer="992" w:gutter="0"/>
          <w:cols w:space="425" w:num="1"/>
          <w:docGrid w:type="lines" w:linePitch="312" w:charSpace="0"/>
        </w:sectPr>
      </w:pPr>
    </w:p>
    <w:p w14:paraId="444A8BAB">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eastAsia="宋体" w:cs="Times New Roman"/>
          <w:b/>
          <w:bCs/>
          <w:sz w:val="44"/>
          <w:szCs w:val="44"/>
        </w:rPr>
      </w:pPr>
      <w:r>
        <w:rPr>
          <w:rFonts w:hint="eastAsia" w:ascii="Times New Roman" w:hAnsi="Times New Roman" w:cs="Times New Roman"/>
          <w:b/>
          <w:bCs/>
          <w:sz w:val="44"/>
          <w:szCs w:val="44"/>
          <w:lang w:val="en-US" w:eastAsia="zh-CN"/>
        </w:rPr>
        <w:t>沈阳浑南</w:t>
      </w:r>
      <w:r>
        <w:rPr>
          <w:rFonts w:hint="eastAsia" w:ascii="Times New Roman" w:hAnsi="Times New Roman" w:eastAsia="宋体" w:cs="Times New Roman"/>
          <w:b/>
          <w:bCs/>
          <w:sz w:val="44"/>
          <w:szCs w:val="44"/>
        </w:rPr>
        <w:t>沈阳市</w:t>
      </w:r>
      <w:r>
        <w:rPr>
          <w:rFonts w:hint="eastAsia" w:ascii="Times New Roman" w:hAnsi="Times New Roman" w:cs="Times New Roman"/>
          <w:b/>
          <w:bCs/>
          <w:sz w:val="44"/>
          <w:szCs w:val="44"/>
          <w:lang w:eastAsia="zh-CN"/>
        </w:rPr>
        <w:t>懿X</w:t>
      </w:r>
      <w:r>
        <w:rPr>
          <w:rFonts w:hint="eastAsia" w:ascii="Times New Roman" w:hAnsi="Times New Roman" w:eastAsia="宋体" w:cs="Times New Roman"/>
          <w:b/>
          <w:bCs/>
          <w:sz w:val="44"/>
          <w:szCs w:val="44"/>
        </w:rPr>
        <w:t>物流有限公司</w:t>
      </w:r>
    </w:p>
    <w:p w14:paraId="11992912">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eastAsia="宋体" w:cs="Times New Roman"/>
          <w:b/>
          <w:bCs/>
          <w:sz w:val="44"/>
          <w:szCs w:val="44"/>
        </w:rPr>
      </w:pPr>
      <w:r>
        <w:rPr>
          <w:rFonts w:hint="eastAsia" w:ascii="Times New Roman" w:hAnsi="Times New Roman" w:eastAsia="宋体" w:cs="Times New Roman"/>
          <w:b/>
          <w:bCs/>
          <w:sz w:val="44"/>
          <w:szCs w:val="44"/>
        </w:rPr>
        <w:t>“8·4”一般物体打击事故</w:t>
      </w:r>
    </w:p>
    <w:p w14:paraId="138278CC">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eastAsia="宋体" w:cs="Times New Roman"/>
          <w:b/>
          <w:bCs/>
          <w:sz w:val="44"/>
          <w:szCs w:val="44"/>
        </w:rPr>
      </w:pPr>
      <w:r>
        <w:rPr>
          <w:rFonts w:hint="eastAsia" w:ascii="Times New Roman" w:hAnsi="Times New Roman" w:eastAsia="宋体" w:cs="Times New Roman"/>
          <w:b/>
          <w:bCs/>
          <w:sz w:val="44"/>
          <w:szCs w:val="44"/>
        </w:rPr>
        <w:t>调查报告</w:t>
      </w:r>
    </w:p>
    <w:p w14:paraId="6C2FB65A">
      <w:pPr>
        <w:keepNext w:val="0"/>
        <w:keepLines w:val="0"/>
        <w:pageBreakBefore w:val="0"/>
        <w:widowControl w:val="0"/>
        <w:kinsoku/>
        <w:wordWrap/>
        <w:overflowPunct/>
        <w:topLinePunct w:val="0"/>
        <w:autoSpaceDE/>
        <w:autoSpaceDN/>
        <w:bidi w:val="0"/>
        <w:adjustRightInd/>
        <w:snapToGrid/>
        <w:spacing w:line="560" w:lineRule="exact"/>
        <w:ind w:left="442" w:hanging="442" w:hangingChars="100"/>
        <w:jc w:val="center"/>
        <w:textAlignment w:val="auto"/>
        <w:rPr>
          <w:rFonts w:hint="eastAsia" w:ascii="Times New Roman" w:hAnsi="Times New Roman" w:eastAsia="宋体" w:cs="Times New Roman"/>
          <w:b/>
          <w:bCs/>
          <w:sz w:val="44"/>
          <w:szCs w:val="44"/>
        </w:rPr>
      </w:pPr>
    </w:p>
    <w:p w14:paraId="1FE3ED88">
      <w:pPr>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2022年8月4日15时，在位于浑南</w:t>
      </w:r>
      <w:r>
        <w:rPr>
          <w:rFonts w:hint="eastAsia" w:ascii="仿宋_GB2312" w:hAnsi="仿宋_GB2312" w:eastAsia="仿宋_GB2312" w:cs="仿宋_GB2312"/>
          <w:sz w:val="32"/>
          <w:szCs w:val="32"/>
          <w:highlight w:val="none"/>
        </w:rPr>
        <w:t>产业区东区飞云路</w:t>
      </w:r>
      <w:r>
        <w:rPr>
          <w:rFonts w:hint="eastAsia" w:ascii="仿宋_GB2312" w:hAnsi="仿宋_GB2312" w:eastAsia="仿宋_GB2312" w:cs="仿宋_GB2312"/>
          <w:sz w:val="32"/>
          <w:szCs w:val="32"/>
          <w:highlight w:val="none"/>
          <w:lang w:eastAsia="zh-CN"/>
        </w:rPr>
        <w:t>X</w:t>
      </w:r>
      <w:r>
        <w:rPr>
          <w:rFonts w:hint="eastAsia" w:ascii="仿宋_GB2312" w:hAnsi="仿宋_GB2312" w:eastAsia="仿宋_GB2312" w:cs="仿宋_GB2312"/>
          <w:sz w:val="32"/>
          <w:szCs w:val="32"/>
          <w:highlight w:val="none"/>
        </w:rPr>
        <w:t>号的沈阳</w:t>
      </w:r>
      <w:r>
        <w:rPr>
          <w:rFonts w:hint="eastAsia" w:ascii="仿宋_GB2312" w:hAnsi="仿宋_GB2312" w:eastAsia="仿宋_GB2312" w:cs="仿宋_GB2312"/>
          <w:sz w:val="32"/>
          <w:szCs w:val="32"/>
          <w:highlight w:val="none"/>
          <w:lang w:eastAsia="zh-CN"/>
        </w:rPr>
        <w:t>蓝X</w:t>
      </w:r>
      <w:r>
        <w:rPr>
          <w:rFonts w:hint="eastAsia" w:ascii="仿宋_GB2312" w:hAnsi="仿宋_GB2312" w:eastAsia="仿宋_GB2312" w:cs="仿宋_GB2312"/>
          <w:sz w:val="32"/>
          <w:szCs w:val="32"/>
          <w:highlight w:val="none"/>
        </w:rPr>
        <w:t>工业自动化</w:t>
      </w:r>
      <w:r>
        <w:rPr>
          <w:rFonts w:hint="eastAsia" w:ascii="仿宋_GB2312" w:hAnsi="仿宋_GB2312" w:eastAsia="仿宋_GB2312" w:cs="仿宋_GB2312"/>
          <w:sz w:val="32"/>
          <w:szCs w:val="32"/>
        </w:rPr>
        <w:t>装备股份有限公司</w:t>
      </w:r>
      <w:r>
        <w:rPr>
          <w:rFonts w:hint="eastAsia" w:ascii="仿宋_GB2312" w:hAnsi="仿宋_GB2312" w:eastAsia="仿宋_GB2312" w:cs="仿宋_GB2312"/>
          <w:sz w:val="32"/>
          <w:szCs w:val="32"/>
          <w:lang w:eastAsia="zh-CN"/>
        </w:rPr>
        <w:t>电气</w:t>
      </w:r>
      <w:r>
        <w:rPr>
          <w:rFonts w:hint="eastAsia" w:ascii="仿宋_GB2312" w:hAnsi="仿宋_GB2312" w:eastAsia="仿宋_GB2312" w:cs="仿宋_GB2312"/>
          <w:sz w:val="32"/>
          <w:szCs w:val="32"/>
        </w:rPr>
        <w:t>车间内，发生一起一名工人被砸身亡事</w:t>
      </w:r>
      <w:r>
        <w:rPr>
          <w:rFonts w:hint="eastAsia" w:ascii="仿宋_GB2312" w:hAnsi="仿宋_GB2312" w:eastAsia="仿宋_GB2312" w:cs="仿宋_GB2312"/>
          <w:sz w:val="32"/>
          <w:szCs w:val="32"/>
          <w:lang w:eastAsia="zh-CN"/>
        </w:rPr>
        <w:t>故，直接经济损失约</w:t>
      </w:r>
      <w:r>
        <w:rPr>
          <w:rFonts w:hint="eastAsia" w:ascii="仿宋_GB2312" w:hAnsi="仿宋_GB2312" w:eastAsia="仿宋_GB2312" w:cs="仿宋_GB2312"/>
          <w:sz w:val="32"/>
          <w:szCs w:val="32"/>
          <w:lang w:val="en-US" w:eastAsia="zh-CN"/>
        </w:rPr>
        <w:t>100万元</w:t>
      </w:r>
      <w:r>
        <w:rPr>
          <w:rFonts w:hint="eastAsia" w:ascii="仿宋_GB2312" w:hAnsi="仿宋_GB2312" w:eastAsia="仿宋_GB2312" w:cs="仿宋_GB2312"/>
          <w:sz w:val="32"/>
          <w:szCs w:val="32"/>
        </w:rPr>
        <w:t>。依据《中华人民共和国安全生产法》和《生产安全事故报告和调查处理条例》（国务院第493号令），浑南区政府</w:t>
      </w:r>
      <w:r>
        <w:rPr>
          <w:rFonts w:hint="eastAsia" w:ascii="仿宋_GB2312" w:hAnsi="仿宋_GB2312" w:eastAsia="仿宋_GB2312" w:cs="仿宋_GB2312"/>
          <w:sz w:val="32"/>
          <w:szCs w:val="32"/>
          <w:lang w:val="en-US" w:eastAsia="zh-CN"/>
        </w:rPr>
        <w:t>2022年</w:t>
      </w:r>
      <w:r>
        <w:rPr>
          <w:rFonts w:hint="eastAsia" w:ascii="仿宋_GB2312" w:hAnsi="仿宋_GB2312" w:eastAsia="仿宋_GB2312" w:cs="仿宋_GB2312"/>
          <w:sz w:val="32"/>
          <w:szCs w:val="32"/>
        </w:rPr>
        <w:t>8月5日成立了由区应急局牵头，区人社局、区总工会、区公安分局为成员单位的事故调查组</w:t>
      </w:r>
      <w:r>
        <w:rPr>
          <w:rFonts w:hint="eastAsia" w:ascii="仿宋_GB2312" w:hAnsi="仿宋_GB2312" w:eastAsia="仿宋_GB2312" w:cs="仿宋_GB2312"/>
          <w:sz w:val="32"/>
          <w:szCs w:val="32"/>
          <w:lang w:eastAsia="zh-CN"/>
        </w:rPr>
        <w:t>；于当年</w:t>
      </w:r>
      <w:r>
        <w:rPr>
          <w:rFonts w:hint="eastAsia" w:ascii="仿宋_GB2312" w:hAnsi="仿宋_GB2312" w:eastAsia="仿宋_GB2312" w:cs="仿宋_GB2312"/>
          <w:sz w:val="32"/>
          <w:szCs w:val="32"/>
          <w:lang w:val="en-US" w:eastAsia="zh-CN"/>
        </w:rPr>
        <w:t>9月7日形成调查报告，并由区政府批复同意。后经当事人申请于</w:t>
      </w:r>
      <w:r>
        <w:rPr>
          <w:rFonts w:hint="eastAsia" w:ascii="仿宋_GB2312" w:hAnsi="仿宋_GB2312" w:eastAsia="仿宋_GB2312" w:cs="仿宋_GB2312"/>
          <w:color w:val="000000"/>
          <w:sz w:val="32"/>
          <w:szCs w:val="32"/>
          <w:lang w:val="en-US" w:eastAsia="zh-CN"/>
        </w:rPr>
        <w:t>2023年2月17日区应急管理局组织召开</w:t>
      </w:r>
      <w:r>
        <w:rPr>
          <w:rFonts w:hint="eastAsia" w:ascii="仿宋_GB2312" w:hAnsi="仿宋_GB2312" w:eastAsia="仿宋_GB2312" w:cs="仿宋_GB2312"/>
          <w:color w:val="000000"/>
          <w:sz w:val="32"/>
          <w:szCs w:val="32"/>
          <w:lang w:eastAsia="zh-CN"/>
        </w:rPr>
        <w:t>听证，按照听证会撤销事故调查报告重新调查的结论，于</w:t>
      </w:r>
      <w:r>
        <w:rPr>
          <w:rFonts w:hint="eastAsia" w:ascii="仿宋_GB2312" w:hAnsi="仿宋_GB2312" w:eastAsia="仿宋_GB2312" w:cs="仿宋_GB2312"/>
          <w:color w:val="000000"/>
          <w:sz w:val="32"/>
          <w:szCs w:val="32"/>
          <w:lang w:val="en-US" w:eastAsia="zh-CN"/>
        </w:rPr>
        <w:t>2023年</w:t>
      </w:r>
      <w:r>
        <w:rPr>
          <w:rFonts w:hint="eastAsia" w:ascii="仿宋_GB2312" w:hAnsi="仿宋_GB2312" w:eastAsia="仿宋_GB2312" w:cs="仿宋_GB2312"/>
          <w:b w:val="0"/>
          <w:bCs w:val="0"/>
          <w:sz w:val="32"/>
          <w:szCs w:val="32"/>
          <w:lang w:val="en-US" w:eastAsia="zh-CN"/>
        </w:rPr>
        <w:t>3月17日申请区政府撤销批复，继续调查。2023年7月14日形成二次事故调查报告，</w:t>
      </w:r>
      <w:r>
        <w:rPr>
          <w:rFonts w:hint="eastAsia" w:ascii="仿宋_GB2312" w:hAnsi="仿宋_GB2312" w:eastAsia="仿宋_GB2312" w:cs="仿宋_GB2312"/>
          <w:sz w:val="32"/>
          <w:szCs w:val="32"/>
          <w:lang w:val="en-US" w:eastAsia="zh-CN"/>
        </w:rPr>
        <w:t>并由区政府批复同意。</w:t>
      </w:r>
      <w:r>
        <w:rPr>
          <w:rFonts w:hint="eastAsia" w:ascii="仿宋_GB2312" w:hAnsi="仿宋_GB2312" w:eastAsia="仿宋_GB2312" w:cs="仿宋_GB2312"/>
          <w:sz w:val="32"/>
          <w:szCs w:val="32"/>
          <w:u w:val="none"/>
          <w:lang w:val="en-US" w:eastAsia="zh-CN"/>
        </w:rPr>
        <w:t>2024年12月12日，</w:t>
      </w:r>
      <w:r>
        <w:rPr>
          <w:rFonts w:hint="eastAsia" w:ascii="仿宋_GB2312" w:hAnsi="仿宋_GB2312" w:eastAsia="仿宋_GB2312" w:cs="仿宋_GB2312"/>
          <w:color w:val="000000"/>
          <w:sz w:val="32"/>
          <w:szCs w:val="32"/>
          <w:lang w:val="en-US" w:eastAsia="zh-CN"/>
        </w:rPr>
        <w:t>当事</w:t>
      </w:r>
      <w:r>
        <w:rPr>
          <w:rFonts w:hint="eastAsia" w:ascii="仿宋_GB2312" w:hAnsi="仿宋_GB2312" w:eastAsia="仿宋_GB2312" w:cs="仿宋_GB2312"/>
          <w:color w:val="000000"/>
          <w:sz w:val="32"/>
          <w:szCs w:val="32"/>
        </w:rPr>
        <w:t>公司及其法定代表人</w:t>
      </w:r>
      <w:r>
        <w:rPr>
          <w:rFonts w:hint="eastAsia" w:ascii="仿宋_GB2312" w:hAnsi="仿宋_GB2312" w:eastAsia="仿宋_GB2312" w:cs="仿宋_GB2312"/>
          <w:color w:val="000000"/>
          <w:sz w:val="32"/>
          <w:szCs w:val="32"/>
          <w:lang w:eastAsia="zh-CN"/>
        </w:rPr>
        <w:t>王爱X就二次事故调查报告批复提起行政诉讼，</w:t>
      </w:r>
      <w:r>
        <w:rPr>
          <w:rFonts w:hint="eastAsia" w:ascii="仿宋_GB2312" w:hAnsi="仿宋_GB2312" w:eastAsia="仿宋_GB2312" w:cs="仿宋_GB2312"/>
          <w:color w:val="000000"/>
          <w:sz w:val="32"/>
          <w:szCs w:val="32"/>
          <w:lang w:val="en-US" w:eastAsia="zh-CN"/>
        </w:rPr>
        <w:t>2025年6月11日，市中法作出一审判决撤销批复。区政府不服一审判决提起上诉，2025年11月20日省高院作出终审判决，驳回区政府上诉请求，维持原判。2025年12月2日，浑南区人民政府重新成立事故调查组，于2026年2月11日形成新的事故调查</w:t>
      </w:r>
      <w:r>
        <w:rPr>
          <w:rFonts w:hint="eastAsia" w:ascii="仿宋_GB2312" w:hAnsi="仿宋_GB2312" w:eastAsia="仿宋_GB2312" w:cs="仿宋_GB2312"/>
          <w:b w:val="0"/>
          <w:bCs w:val="0"/>
          <w:color w:val="000000"/>
          <w:sz w:val="32"/>
          <w:szCs w:val="32"/>
          <w:lang w:val="en-US" w:eastAsia="zh-CN"/>
        </w:rPr>
        <w:t>报告，获得区政府批复同意。</w:t>
      </w:r>
      <w:r>
        <w:rPr>
          <w:rFonts w:hint="eastAsia" w:ascii="仿宋_GB2312" w:hAnsi="仿宋_GB2312" w:eastAsia="仿宋_GB2312" w:cs="仿宋_GB2312"/>
          <w:sz w:val="32"/>
          <w:szCs w:val="32"/>
          <w:lang w:val="en-US" w:eastAsia="zh-CN"/>
        </w:rPr>
        <w:t>后经当事人申请于</w:t>
      </w:r>
      <w:r>
        <w:rPr>
          <w:rFonts w:hint="eastAsia" w:ascii="仿宋_GB2312" w:hAnsi="仿宋_GB2312" w:eastAsia="仿宋_GB2312" w:cs="仿宋_GB2312"/>
          <w:b w:val="0"/>
          <w:bCs w:val="0"/>
          <w:color w:val="000000"/>
          <w:sz w:val="32"/>
          <w:szCs w:val="32"/>
          <w:lang w:val="en-US" w:eastAsia="zh-CN"/>
        </w:rPr>
        <w:t>2026年3月13日</w:t>
      </w:r>
      <w:r>
        <w:rPr>
          <w:rFonts w:hint="eastAsia" w:ascii="仿宋_GB2312" w:hAnsi="仿宋_GB2312" w:eastAsia="仿宋_GB2312" w:cs="仿宋_GB2312"/>
          <w:color w:val="000000"/>
          <w:sz w:val="32"/>
          <w:szCs w:val="32"/>
          <w:lang w:val="en-US" w:eastAsia="zh-CN"/>
        </w:rPr>
        <w:t>区应急管理局组织召开</w:t>
      </w:r>
      <w:r>
        <w:rPr>
          <w:rFonts w:hint="eastAsia" w:ascii="仿宋_GB2312" w:hAnsi="仿宋_GB2312" w:eastAsia="仿宋_GB2312" w:cs="仿宋_GB2312"/>
          <w:color w:val="000000"/>
          <w:sz w:val="32"/>
          <w:szCs w:val="32"/>
          <w:lang w:eastAsia="zh-CN"/>
        </w:rPr>
        <w:t>听证，按照听证会撤销事故调查报告重新调查的结论，于</w:t>
      </w:r>
      <w:r>
        <w:rPr>
          <w:rFonts w:hint="eastAsia" w:ascii="仿宋_GB2312" w:hAnsi="仿宋_GB2312" w:eastAsia="仿宋_GB2312" w:cs="仿宋_GB2312"/>
          <w:color w:val="000000"/>
          <w:sz w:val="32"/>
          <w:szCs w:val="32"/>
          <w:lang w:val="en-US" w:eastAsia="zh-CN"/>
        </w:rPr>
        <w:t>2026年4月28日</w:t>
      </w:r>
      <w:r>
        <w:rPr>
          <w:rFonts w:hint="eastAsia" w:ascii="仿宋_GB2312" w:hAnsi="仿宋_GB2312" w:eastAsia="仿宋_GB2312" w:cs="仿宋_GB2312"/>
          <w:b w:val="0"/>
          <w:bCs w:val="0"/>
          <w:sz w:val="32"/>
          <w:szCs w:val="32"/>
          <w:lang w:val="en-US" w:eastAsia="zh-CN"/>
        </w:rPr>
        <w:t>申请区政府撤销批复，补充调查。</w:t>
      </w:r>
    </w:p>
    <w:p w14:paraId="7B50C09A">
      <w:pPr>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现补充调查已经完毕，经调查认定，这是一起一般生产安全责任事故。现将事故调查情况报告如下：</w:t>
      </w:r>
    </w:p>
    <w:p w14:paraId="299BF353">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210" w:leftChars="0" w:firstLine="420" w:firstLineChars="0"/>
        <w:jc w:val="left"/>
        <w:textAlignment w:val="auto"/>
        <w:outlineLvl w:val="0"/>
        <w:rPr>
          <w:rFonts w:hint="eastAsia" w:ascii="黑体" w:hAnsi="黑体" w:eastAsia="黑体" w:cs="黑体"/>
          <w:b w:val="0"/>
          <w:bCs w:val="0"/>
          <w:sz w:val="32"/>
          <w:szCs w:val="32"/>
          <w:lang w:val="en-US" w:eastAsia="zh-CN"/>
        </w:rPr>
      </w:pPr>
      <w:bookmarkStart w:id="0" w:name="_Toc501"/>
      <w:r>
        <w:rPr>
          <w:rFonts w:hint="eastAsia" w:ascii="黑体" w:hAnsi="黑体" w:eastAsia="黑体" w:cs="黑体"/>
          <w:b w:val="0"/>
          <w:bCs w:val="0"/>
          <w:sz w:val="32"/>
          <w:szCs w:val="32"/>
          <w:lang w:val="en-US" w:eastAsia="zh-CN"/>
        </w:rPr>
        <w:t>基本情况</w:t>
      </w:r>
      <w:bookmarkEnd w:id="0"/>
    </w:p>
    <w:p w14:paraId="4B6DCA7D">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default" w:ascii="楷体" w:hAnsi="楷体" w:eastAsia="楷体" w:cs="楷体"/>
          <w:b/>
          <w:bCs/>
          <w:sz w:val="32"/>
          <w:szCs w:val="32"/>
          <w:lang w:val="en-US" w:eastAsia="zh-CN"/>
        </w:rPr>
      </w:pPr>
      <w:bookmarkStart w:id="1" w:name="_Toc17067"/>
      <w:r>
        <w:rPr>
          <w:rFonts w:hint="eastAsia" w:ascii="楷体" w:hAnsi="楷体" w:eastAsia="楷体" w:cs="楷体"/>
          <w:b/>
          <w:bCs/>
          <w:sz w:val="32"/>
          <w:szCs w:val="32"/>
          <w:lang w:val="en-US" w:eastAsia="zh-CN"/>
        </w:rPr>
        <w:t>（一）相关单位基本情况</w:t>
      </w:r>
      <w:bookmarkEnd w:id="1"/>
    </w:p>
    <w:p w14:paraId="3880EA34">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w:t>
      </w:r>
      <w:r>
        <w:rPr>
          <w:rFonts w:hint="eastAsia" w:ascii="仿宋_GB2312" w:hAnsi="仿宋_GB2312" w:eastAsia="仿宋_GB2312" w:cs="仿宋_GB2312"/>
          <w:sz w:val="32"/>
          <w:szCs w:val="32"/>
          <w:lang w:eastAsia="zh-CN"/>
        </w:rPr>
        <w:t>懿X</w:t>
      </w:r>
      <w:r>
        <w:rPr>
          <w:rFonts w:hint="eastAsia" w:ascii="仿宋_GB2312" w:hAnsi="仿宋_GB2312" w:eastAsia="仿宋_GB2312" w:cs="仿宋_GB2312"/>
          <w:sz w:val="32"/>
          <w:szCs w:val="32"/>
        </w:rPr>
        <w:t>物流有限公司</w:t>
      </w:r>
      <w:r>
        <w:rPr>
          <w:rFonts w:hint="eastAsia" w:ascii="仿宋_GB2312" w:hAnsi="仿宋_GB2312" w:eastAsia="仿宋_GB2312" w:cs="仿宋_GB2312"/>
          <w:sz w:val="32"/>
          <w:szCs w:val="32"/>
          <w:lang w:eastAsia="zh-CN"/>
        </w:rPr>
        <w:t>（以下简称懿X公司）</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eastAsia="zh-CN"/>
        </w:rPr>
        <w:t>王爱X</w:t>
      </w:r>
      <w:r>
        <w:rPr>
          <w:rFonts w:hint="eastAsia" w:ascii="仿宋_GB2312" w:hAnsi="仿宋_GB2312" w:eastAsia="仿宋_GB2312" w:cs="仿宋_GB2312"/>
          <w:sz w:val="32"/>
          <w:szCs w:val="32"/>
        </w:rPr>
        <w:t>，成立日期：2018年6月15日，企业类型：有限责任公司，统一社会信用代码：91210</w:t>
      </w:r>
      <w:r>
        <w:rPr>
          <w:rFonts w:hint="eastAsia" w:ascii="仿宋_GB2312" w:hAnsi="仿宋_GB2312" w:eastAsia="仿宋_GB2312" w:cs="仿宋_GB2312"/>
          <w:sz w:val="32"/>
          <w:szCs w:val="32"/>
          <w:lang w:val="en-US" w:eastAsia="zh-CN"/>
        </w:rPr>
        <w:t>XXX</w:t>
      </w:r>
      <w:r>
        <w:rPr>
          <w:rFonts w:hint="eastAsia" w:ascii="仿宋_GB2312" w:hAnsi="仿宋_GB2312" w:eastAsia="仿宋_GB2312" w:cs="仿宋_GB2312"/>
          <w:sz w:val="32"/>
          <w:szCs w:val="32"/>
        </w:rPr>
        <w:t>XUU31X5，所属行业：道路运输业，经营范围：道路普通运输、货运代理、仓储服务、装卸、搬运、包装服务、包装材料、包装箱及托盘加工、制造销售、机械设备销售。登记机关：沈阳市和平区市场监督管理局，地址：辽宁省沈阳市和平区浑河站西街道上</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村。</w:t>
      </w:r>
    </w:p>
    <w:p w14:paraId="710D50A7">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w:t>
      </w:r>
      <w:r>
        <w:rPr>
          <w:rFonts w:hint="eastAsia" w:ascii="仿宋_GB2312" w:hAnsi="仿宋_GB2312" w:eastAsia="仿宋_GB2312" w:cs="仿宋_GB2312"/>
          <w:sz w:val="32"/>
          <w:szCs w:val="32"/>
          <w:lang w:eastAsia="zh-CN"/>
        </w:rPr>
        <w:t>蓝X</w:t>
      </w:r>
      <w:r>
        <w:rPr>
          <w:rFonts w:hint="eastAsia" w:ascii="仿宋_GB2312" w:hAnsi="仿宋_GB2312" w:eastAsia="仿宋_GB2312" w:cs="仿宋_GB2312"/>
          <w:sz w:val="32"/>
          <w:szCs w:val="32"/>
        </w:rPr>
        <w:t>工业自动化装备股份有限公司</w:t>
      </w:r>
      <w:r>
        <w:rPr>
          <w:rFonts w:hint="eastAsia" w:ascii="仿宋_GB2312" w:hAnsi="仿宋_GB2312" w:eastAsia="仿宋_GB2312" w:cs="仿宋_GB2312"/>
          <w:sz w:val="32"/>
          <w:szCs w:val="32"/>
          <w:lang w:eastAsia="zh-CN"/>
        </w:rPr>
        <w:t>（以下简称蓝X公司）</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highlight w:val="none"/>
        </w:rPr>
        <w:t>郭</w:t>
      </w:r>
      <w:r>
        <w:rPr>
          <w:rFonts w:hint="eastAsia" w:ascii="仿宋_GB2312" w:hAnsi="仿宋_GB2312" w:eastAsia="仿宋_GB2312" w:cs="仿宋_GB2312"/>
          <w:sz w:val="32"/>
          <w:szCs w:val="32"/>
          <w:highlight w:val="none"/>
          <w:lang w:val="en-US" w:eastAsia="zh-CN"/>
        </w:rPr>
        <w:t>X</w:t>
      </w:r>
      <w:r>
        <w:rPr>
          <w:rFonts w:hint="eastAsia" w:ascii="仿宋_GB2312" w:hAnsi="仿宋_GB2312" w:eastAsia="仿宋_GB2312" w:cs="仿宋_GB2312"/>
          <w:sz w:val="32"/>
          <w:szCs w:val="32"/>
          <w:highlight w:val="none"/>
        </w:rPr>
        <w:t>涛</w:t>
      </w:r>
      <w:r>
        <w:rPr>
          <w:rFonts w:hint="eastAsia" w:ascii="仿宋_GB2312" w:hAnsi="仿宋_GB2312" w:eastAsia="仿宋_GB2312" w:cs="仿宋_GB2312"/>
          <w:sz w:val="32"/>
          <w:szCs w:val="32"/>
        </w:rPr>
        <w:t>，成立日期：2004年9月29日，企业类型：股份有限公司（台港澳与境内合资、上市），统一社会信用代码：912100</w:t>
      </w:r>
      <w:r>
        <w:rPr>
          <w:rFonts w:hint="eastAsia" w:ascii="仿宋_GB2312" w:hAnsi="仿宋_GB2312" w:eastAsia="仿宋_GB2312" w:cs="仿宋_GB2312"/>
          <w:sz w:val="32"/>
          <w:szCs w:val="32"/>
          <w:lang w:val="en-US" w:eastAsia="zh-CN"/>
        </w:rPr>
        <w:t>XXXX</w:t>
      </w:r>
      <w:r>
        <w:rPr>
          <w:rFonts w:hint="eastAsia" w:ascii="仿宋_GB2312" w:hAnsi="仿宋_GB2312" w:eastAsia="仿宋_GB2312" w:cs="仿宋_GB2312"/>
          <w:sz w:val="32"/>
          <w:szCs w:val="32"/>
        </w:rPr>
        <w:t>43721890，所属行业：专用设备制造业，经营范围：电气自动化控制系统及专业机械设备、机器人与自动化装备、自动化立体仓库及仓储物流设备，自动化系统及生产线、高低压成套开关设备与控制设备、预装箱式变电站、高低压无功补偿装置、激光技术及装备开发、制造、销售、安装；信息技术与网络系统设计、开发、技术咨询、服务、转让；技术进出口；公路、隧道、轨道交通综合监控系统设计、制造及工程安装；送变电工程、机电安装工程、建筑智能化工程、电力工程、电气及自动化工程施工；光电技术及产品开发、制造。（依法须经批准的项目，经相关部门批准后方可开展经营活动）。登记机关：辽宁省市场监督管理局，地址：辽宁省沈阳市浑南产业区东区</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路</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号。</w:t>
      </w:r>
    </w:p>
    <w:p w14:paraId="255B51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（二）相关部门监管情况</w:t>
      </w:r>
    </w:p>
    <w:p w14:paraId="1C265B52">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辽宁省安全生产条例》（2025第三次修正）第七条：省、市、县应急管理部门依法对本行政区域内的安全生产工作实施综合监督管理；依法监督工矿商贸生产经营单位安全生产。公安、工信、商务等部门仅对本行业产业履行行业管理。浑南区应急管理局是浑南区危险化学品、烟花爆竹、非煤矿山等高危企业和规模以上工矿商贸企业的安全生产监管部门。2022年1-8月，区应急局</w:t>
      </w:r>
      <w:r>
        <w:rPr>
          <w:rFonts w:hint="default" w:ascii="仿宋_GB2312" w:hAnsi="仿宋_GB2312" w:eastAsia="仿宋_GB2312" w:cs="仿宋_GB2312"/>
          <w:sz w:val="32"/>
          <w:szCs w:val="32"/>
          <w:lang w:val="en-US" w:eastAsia="zh-CN"/>
        </w:rPr>
        <w:t>持续开展</w:t>
      </w:r>
      <w:r>
        <w:rPr>
          <w:rFonts w:hint="eastAsia" w:ascii="仿宋_GB2312" w:hAnsi="仿宋_GB2312" w:eastAsia="仿宋_GB2312" w:cs="仿宋_GB2312"/>
          <w:sz w:val="32"/>
          <w:szCs w:val="32"/>
          <w:lang w:val="en-US" w:eastAsia="zh-CN"/>
        </w:rPr>
        <w:t>隐患排查</w:t>
      </w:r>
      <w:r>
        <w:rPr>
          <w:rFonts w:hint="default" w:ascii="仿宋_GB2312" w:hAnsi="仿宋_GB2312" w:eastAsia="仿宋_GB2312" w:cs="仿宋_GB2312"/>
          <w:sz w:val="32"/>
          <w:szCs w:val="32"/>
          <w:lang w:val="en-US" w:eastAsia="zh-CN"/>
        </w:rPr>
        <w:t>整治工作</w:t>
      </w:r>
      <w:r>
        <w:rPr>
          <w:rFonts w:hint="eastAsia" w:ascii="仿宋_GB2312" w:hAnsi="仿宋_GB2312" w:eastAsia="仿宋_GB2312" w:cs="仿宋_GB2312"/>
          <w:sz w:val="32"/>
          <w:szCs w:val="32"/>
          <w:lang w:val="en-US" w:eastAsia="zh-CN"/>
        </w:rPr>
        <w:t>，通过企业自查、部门抽查、专家协查、群众举报等多种形式，</w:t>
      </w:r>
      <w:r>
        <w:rPr>
          <w:rFonts w:hint="default" w:ascii="仿宋_GB2312" w:hAnsi="仿宋_GB2312" w:eastAsia="仿宋_GB2312" w:cs="仿宋_GB2312"/>
          <w:sz w:val="32"/>
          <w:szCs w:val="32"/>
          <w:lang w:val="en-US" w:eastAsia="zh-CN"/>
        </w:rPr>
        <w:t>以安全生产专项整治三年行动巩固提升为主线，以全区安全生产大检查为抓手，积极开展百日攻坚、遏制生产安全事故集中攻坚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安全生产大排查大整治、大执法、大督查、大宣传等多项专项整治和执法检查行动</w:t>
      </w:r>
      <w:r>
        <w:rPr>
          <w:rFonts w:hint="eastAsia" w:ascii="仿宋_GB2312" w:hAnsi="仿宋_GB2312" w:eastAsia="仿宋_GB2312" w:cs="仿宋_GB2312"/>
          <w:sz w:val="32"/>
          <w:szCs w:val="32"/>
          <w:lang w:val="en-US" w:eastAsia="zh-CN"/>
        </w:rPr>
        <w:t>。强化企业主体责任落实，</w:t>
      </w:r>
      <w:r>
        <w:rPr>
          <w:rFonts w:hint="default" w:ascii="仿宋_GB2312" w:hAnsi="仿宋_GB2312" w:eastAsia="仿宋_GB2312" w:cs="仿宋_GB2312"/>
          <w:sz w:val="32"/>
          <w:szCs w:val="32"/>
          <w:lang w:val="en-US" w:eastAsia="zh-CN"/>
        </w:rPr>
        <w:t>以动真碰硬的举措，严厉打击违法违规行为，推动三年行动向纵深发展。</w:t>
      </w:r>
    </w:p>
    <w:p w14:paraId="75F72B37">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2" w:name="_Toc25554"/>
      <w:r>
        <w:rPr>
          <w:rFonts w:hint="eastAsia" w:ascii="楷体" w:hAnsi="楷体" w:eastAsia="楷体" w:cs="楷体"/>
          <w:b/>
          <w:bCs/>
          <w:sz w:val="32"/>
          <w:szCs w:val="32"/>
          <w:lang w:val="en-US" w:eastAsia="zh-CN"/>
        </w:rPr>
        <w:t>（三）合同及安全生产管理协议情况</w:t>
      </w:r>
      <w:bookmarkEnd w:id="2"/>
    </w:p>
    <w:p w14:paraId="4AD5457B">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懿X公司法定代表人王爱X从2018年开始承包蓝X公司产品外包装木箱加工业务，一般都是先确定单价，完成包装或运输工作后蓝X公司和懿X公司统计工作量，确定合同金额再签订相应的《包装》或《运输》合同。2022年7月18日蓝X公司通知王爱X，有一批地铁进线柜需要包装，7月19日王爱X组织工人开始进厂作业，8月4日事故发生，由于进线柜包装工作没有全部完成，工作量未完成统计，合同金额待定，故双方还没有签订本次承包合同。</w:t>
      </w:r>
    </w:p>
    <w:p w14:paraId="4D8E964A">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3月1日，蓝X公司与懿X公司签订了租赁（承包）安全生产管理协议，明确甲方应承担的责任和义务为：“（一）为乙方提供符合国家有关安全生产规定的生产场地和设备设施；（二）按照《安全生产法》的规定对乙方的安全生产工作统一协调、管理</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乙方应承担的责任和义务为：“（四）主要负责人对本单位安全生产工作应当履行《安全生产法》规定的七项职责；（七）应当对从业人员进行安全生产教育和培训，保证从业人员具备必要的安全生产知识，熟悉有关的安全生产规章制度和安全操作规程，掌握本岗位的安全操作技能。未经安全生产教育和培训合格的从业人员，不得上岗作业；（八）应当教育和督促从业人员严格执行本单位的安全生产规章制度和安全操作规程；并向从业人员如实告知作业场所和工作岗位存在的危险因素、防范措施、事故应急措施，工作过程可能产生的职业病危害及其后果、职业病预防措施和相关待遇”。</w:t>
      </w:r>
    </w:p>
    <w:p w14:paraId="5C2CA357">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5月11日，当事人王爱X对管理协议的真实性提出质疑，称自己没有与蓝X公司签过这份安全管理协议。事故调查组委托辽宁大学司法鉴定中心对安全管理协议文本的形成方式、印章印文、乙方签名进行检验，2023年6月29日，辽宁大学司法鉴定中心出具鉴定意见：“协议尾页及骑缝处的印文与王爱X提供的印文样本是同一枚印章盖印；协议尾页“乙方”处的“王爱X”三字是王爱X所写。”</w:t>
      </w:r>
    </w:p>
    <w:p w14:paraId="3158D59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3" w:name="_Toc26354"/>
      <w:r>
        <w:rPr>
          <w:rFonts w:hint="eastAsia" w:ascii="楷体" w:hAnsi="楷体" w:eastAsia="楷体" w:cs="楷体"/>
          <w:b/>
          <w:bCs/>
          <w:sz w:val="32"/>
          <w:szCs w:val="32"/>
          <w:lang w:val="en-US" w:eastAsia="zh-CN"/>
        </w:rPr>
        <w:t>（四）事故现场基本情况</w:t>
      </w:r>
      <w:bookmarkEnd w:id="3"/>
    </w:p>
    <w:p w14:paraId="38B8DCF1">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事故发生后，因应急救援需要，原始现场已被破坏。调查组经现场勘查，并结合事发时现场救援人员描述等信息综 合分析，还原事故现场如下：3楼电气车间东西走向，车间东北角有一部运货电梯，北侧由北向南有4排东西向操作平台。事故现场位于最南侧操作平台东侧地面，地面上有一个4Kv进线柜倒向操作平台东侧地面，柜体长105.5厘米、宽79厘米、高226.5厘米。柜体套有塑料布，柜体东北侧有一叉车插入柜体底部。东南侧地面有一具男尸，头朝东、脚朝西呈仰卧位，尸体头面部及上身有大量血迹，柜体下及东侧地面有大量血迹。</w:t>
      </w:r>
    </w:p>
    <w:p w14:paraId="2238EE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0" distR="0">
            <wp:extent cx="5274310" cy="2335530"/>
            <wp:effectExtent l="0" t="0" r="2540" b="7620"/>
            <wp:docPr id="1026" name="图片 3" descr="150d43abb9a8d3645c4ad0979be8016"/>
            <wp:cNvGraphicFramePr/>
            <a:graphic xmlns:a="http://schemas.openxmlformats.org/drawingml/2006/main">
              <a:graphicData uri="http://schemas.openxmlformats.org/drawingml/2006/picture">
                <pic:pic xmlns:pic="http://schemas.openxmlformats.org/drawingml/2006/picture">
                  <pic:nvPicPr>
                    <pic:cNvPr id="1026" name="图片 3" descr="150d43abb9a8d3645c4ad0979be8016"/>
                    <pic:cNvPicPr/>
                  </pic:nvPicPr>
                  <pic:blipFill>
                    <a:blip r:embed="rId8" cstate="print"/>
                    <a:srcRect/>
                    <a:stretch>
                      <a:fillRect/>
                    </a:stretch>
                  </pic:blipFill>
                  <pic:spPr>
                    <a:xfrm>
                      <a:off x="0" y="0"/>
                      <a:ext cx="5274310" cy="2335530"/>
                    </a:xfrm>
                    <a:prstGeom prst="rect">
                      <a:avLst/>
                    </a:prstGeom>
                  </pic:spPr>
                </pic:pic>
              </a:graphicData>
            </a:graphic>
          </wp:inline>
        </w:drawing>
      </w:r>
    </w:p>
    <w:p w14:paraId="122B02B4">
      <w:pPr>
        <w:bidi w:val="0"/>
        <w:jc w:val="center"/>
        <w:rPr>
          <w:rFonts w:hint="eastAsia" w:eastAsia="宋体"/>
          <w:lang w:val="en-US" w:eastAsia="zh-CN"/>
        </w:rPr>
      </w:pPr>
      <w:r>
        <w:rPr>
          <w:rFonts w:hint="eastAsia"/>
          <w:lang w:val="en-US" w:eastAsia="zh-CN"/>
        </w:rPr>
        <w:t>图一</w:t>
      </w:r>
      <w:r>
        <w:rPr>
          <w:rFonts w:hint="eastAsia" w:ascii="宋体" w:hAnsi="宋体" w:eastAsia="宋体" w:cs="宋体"/>
          <w:color w:val="000000"/>
          <w:kern w:val="0"/>
          <w:sz w:val="28"/>
          <w:szCs w:val="28"/>
          <w:lang w:val="en-US" w:eastAsia="zh-CN"/>
        </w:rPr>
        <w:t xml:space="preserve"> 涉事操作平台及进线柜</w:t>
      </w:r>
    </w:p>
    <w:p w14:paraId="476EB467">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31"/>
          <w:szCs w:val="31"/>
          <w:lang w:val="en-US" w:eastAsia="zh-CN"/>
        </w:rPr>
        <w:drawing>
          <wp:inline distT="0" distB="0" distL="0" distR="0">
            <wp:extent cx="5267960" cy="2962910"/>
            <wp:effectExtent l="0" t="0" r="8890" b="8890"/>
            <wp:docPr id="1027" name="图片 3" descr="46f2d0ee2e1b08e88c091e957a16a24"/>
            <wp:cNvGraphicFramePr/>
            <a:graphic xmlns:a="http://schemas.openxmlformats.org/drawingml/2006/main">
              <a:graphicData uri="http://schemas.openxmlformats.org/drawingml/2006/picture">
                <pic:pic xmlns:pic="http://schemas.openxmlformats.org/drawingml/2006/picture">
                  <pic:nvPicPr>
                    <pic:cNvPr id="1027" name="图片 3" descr="46f2d0ee2e1b08e88c091e957a16a24"/>
                    <pic:cNvPicPr/>
                  </pic:nvPicPr>
                  <pic:blipFill>
                    <a:blip r:embed="rId9" cstate="print"/>
                    <a:srcRect/>
                    <a:stretch>
                      <a:fillRect/>
                    </a:stretch>
                  </pic:blipFill>
                  <pic:spPr>
                    <a:xfrm>
                      <a:off x="0" y="0"/>
                      <a:ext cx="5267960" cy="2962910"/>
                    </a:xfrm>
                    <a:prstGeom prst="rect">
                      <a:avLst/>
                    </a:prstGeom>
                  </pic:spPr>
                </pic:pic>
              </a:graphicData>
            </a:graphic>
          </wp:inline>
        </w:drawing>
      </w:r>
    </w:p>
    <w:p w14:paraId="2C1E3D87">
      <w:pPr>
        <w:keepNext w:val="0"/>
        <w:keepLines w:val="0"/>
        <w:widowControl/>
        <w:suppressLineNumbers w:val="0"/>
        <w:ind w:firstLine="2400" w:firstLineChars="1000"/>
        <w:jc w:val="left"/>
        <w:rPr>
          <w:rFonts w:hint="eastAsia" w:ascii="仿宋_GB2312" w:hAnsi="仿宋_GB2312" w:eastAsia="仿宋_GB2312" w:cs="仿宋_GB2312"/>
          <w:color w:val="000000"/>
          <w:kern w:val="0"/>
          <w:sz w:val="24"/>
          <w:szCs w:val="24"/>
          <w:lang w:val="en-US" w:eastAsia="zh-CN"/>
        </w:rPr>
      </w:pPr>
    </w:p>
    <w:p w14:paraId="4BD827BF">
      <w:pPr>
        <w:keepNext w:val="0"/>
        <w:keepLines w:val="0"/>
        <w:widowControl/>
        <w:suppressLineNumbers w:val="0"/>
        <w:jc w:val="center"/>
        <w:rPr>
          <w:rFonts w:hint="default" w:ascii="仿宋_GB2312" w:hAnsi="仿宋_GB2312" w:eastAsia="仿宋_GB2312" w:cs="仿宋_GB2312"/>
          <w:color w:val="000000"/>
          <w:kern w:val="0"/>
          <w:sz w:val="24"/>
          <w:szCs w:val="24"/>
          <w:lang w:val="en-US" w:eastAsia="zh-CN"/>
        </w:rPr>
      </w:pPr>
      <w:r>
        <w:rPr>
          <w:rFonts w:hint="eastAsia" w:ascii="宋体" w:hAnsi="宋体" w:eastAsia="宋体" w:cs="宋体"/>
          <w:color w:val="000000"/>
          <w:kern w:val="0"/>
          <w:sz w:val="28"/>
          <w:szCs w:val="28"/>
          <w:lang w:val="en-US" w:eastAsia="zh-CN"/>
        </w:rPr>
        <w:t>图</w:t>
      </w:r>
      <w:r>
        <w:rPr>
          <w:rFonts w:hint="eastAsia" w:ascii="宋体" w:hAnsi="宋体" w:cs="宋体"/>
          <w:color w:val="000000"/>
          <w:kern w:val="0"/>
          <w:sz w:val="28"/>
          <w:szCs w:val="28"/>
          <w:lang w:val="en-US" w:eastAsia="zh-CN"/>
        </w:rPr>
        <w:t>二</w:t>
      </w:r>
      <w:r>
        <w:rPr>
          <w:rFonts w:hint="eastAsia" w:ascii="宋体" w:hAnsi="宋体" w:eastAsia="宋体" w:cs="宋体"/>
          <w:color w:val="000000"/>
          <w:kern w:val="0"/>
          <w:sz w:val="28"/>
          <w:szCs w:val="28"/>
          <w:lang w:val="en-US" w:eastAsia="zh-CN"/>
        </w:rPr>
        <w:t xml:space="preserve"> 涉事操作平台及进线柜</w:t>
      </w:r>
    </w:p>
    <w:p w14:paraId="40EEB427">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rPr>
      </w:pPr>
    </w:p>
    <w:p w14:paraId="0BA1893E">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rPr>
      </w:pPr>
    </w:p>
    <w:p w14:paraId="186B6F4B">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rPr>
      </w:pPr>
    </w:p>
    <w:p w14:paraId="6B0320AE">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rPr>
      </w:pPr>
      <w:r>
        <w:rPr>
          <w:rFonts w:hint="eastAsia" w:ascii="仿宋_GB2312" w:hAnsi="仿宋_GB2312" w:eastAsia="仿宋_GB2312" w:cs="仿宋_GB2312"/>
          <w:color w:val="000000"/>
          <w:kern w:val="0"/>
          <w:sz w:val="31"/>
          <w:szCs w:val="31"/>
          <w:lang w:val="en-US" w:eastAsia="zh-CN"/>
        </w:rPr>
        <w:drawing>
          <wp:inline distT="0" distB="0" distL="0" distR="0">
            <wp:extent cx="5267960" cy="2962910"/>
            <wp:effectExtent l="0" t="0" r="8890" b="8890"/>
            <wp:docPr id="1028" name="图片 1" descr="6b9a7d499fd23b45a80abb672ad94d7"/>
            <wp:cNvGraphicFramePr/>
            <a:graphic xmlns:a="http://schemas.openxmlformats.org/drawingml/2006/main">
              <a:graphicData uri="http://schemas.openxmlformats.org/drawingml/2006/picture">
                <pic:pic xmlns:pic="http://schemas.openxmlformats.org/drawingml/2006/picture">
                  <pic:nvPicPr>
                    <pic:cNvPr id="1028" name="图片 1" descr="6b9a7d499fd23b45a80abb672ad94d7"/>
                    <pic:cNvPicPr/>
                  </pic:nvPicPr>
                  <pic:blipFill>
                    <a:blip r:embed="rId10" cstate="print"/>
                    <a:srcRect/>
                    <a:stretch>
                      <a:fillRect/>
                    </a:stretch>
                  </pic:blipFill>
                  <pic:spPr>
                    <a:xfrm>
                      <a:off x="0" y="0"/>
                      <a:ext cx="5267960" cy="2962910"/>
                    </a:xfrm>
                    <a:prstGeom prst="rect">
                      <a:avLst/>
                    </a:prstGeom>
                  </pic:spPr>
                </pic:pic>
              </a:graphicData>
            </a:graphic>
          </wp:inline>
        </w:drawing>
      </w:r>
    </w:p>
    <w:p w14:paraId="04E29C76">
      <w:pPr>
        <w:bidi w:val="0"/>
        <w:rPr>
          <w:rFonts w:hint="eastAsia" w:ascii="Calibri" w:hAnsi="Calibri" w:eastAsia="宋体" w:cs="宋体"/>
          <w:kern w:val="2"/>
          <w:sz w:val="21"/>
          <w:szCs w:val="22"/>
          <w:lang w:val="en-US" w:eastAsia="zh-CN" w:bidi="ar-SA"/>
        </w:rPr>
      </w:pPr>
    </w:p>
    <w:p w14:paraId="208E003A">
      <w:pPr>
        <w:keepNext w:val="0"/>
        <w:keepLines w:val="0"/>
        <w:widowControl/>
        <w:suppressLineNumbers w:val="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图</w:t>
      </w:r>
      <w:r>
        <w:rPr>
          <w:rFonts w:hint="eastAsia" w:ascii="宋体" w:hAnsi="宋体" w:cs="宋体"/>
          <w:color w:val="000000"/>
          <w:kern w:val="0"/>
          <w:sz w:val="28"/>
          <w:szCs w:val="28"/>
          <w:lang w:val="en-US" w:eastAsia="zh-CN"/>
        </w:rPr>
        <w:t>三</w:t>
      </w:r>
      <w:r>
        <w:rPr>
          <w:rFonts w:hint="eastAsia" w:ascii="宋体" w:hAnsi="宋体" w:eastAsia="宋体" w:cs="宋体"/>
          <w:color w:val="000000"/>
          <w:kern w:val="0"/>
          <w:sz w:val="28"/>
          <w:szCs w:val="28"/>
          <w:lang w:val="en-US" w:eastAsia="zh-CN"/>
        </w:rPr>
        <w:t>进线柜底面向上凹陷变形、死者事发时位置和身体朝向</w:t>
      </w:r>
    </w:p>
    <w:p w14:paraId="6489CB98">
      <w:pPr>
        <w:bidi w:val="0"/>
        <w:jc w:val="center"/>
        <w:rPr>
          <w:rFonts w:hint="eastAsia"/>
          <w:lang w:val="en-US" w:eastAsia="zh-CN"/>
        </w:rPr>
      </w:pPr>
    </w:p>
    <w:p w14:paraId="5F6ABF85">
      <w:pPr>
        <w:bidi w:val="0"/>
        <w:jc w:val="center"/>
        <w:rPr>
          <w:rFonts w:hint="eastAsia"/>
          <w:lang w:val="en-US" w:eastAsia="zh-CN"/>
        </w:rPr>
      </w:pPr>
    </w:p>
    <w:p w14:paraId="13660C26">
      <w:pPr>
        <w:bidi w:val="0"/>
        <w:jc w:val="center"/>
        <w:rPr>
          <w:rFonts w:hint="eastAsia"/>
          <w:lang w:val="en-US" w:eastAsia="zh-CN"/>
        </w:rPr>
      </w:pPr>
    </w:p>
    <w:p w14:paraId="4D7B4BB3">
      <w:pPr>
        <w:bidi w:val="0"/>
        <w:jc w:val="center"/>
        <w:rPr>
          <w:rFonts w:hint="eastAsia"/>
          <w:lang w:val="en-US" w:eastAsia="zh-CN"/>
        </w:rPr>
      </w:pPr>
    </w:p>
    <w:p w14:paraId="4C7B5684">
      <w:pPr>
        <w:bidi w:val="0"/>
        <w:jc w:val="center"/>
        <w:rPr>
          <w:rFonts w:hint="eastAsia" w:ascii="仿宋_GB2312" w:hAnsi="仿宋_GB2312" w:eastAsia="仿宋_GB2312" w:cs="仿宋_GB2312"/>
          <w:color w:val="000000"/>
          <w:kern w:val="0"/>
          <w:sz w:val="31"/>
          <w:szCs w:val="31"/>
          <w:lang w:val="en-US" w:eastAsia="zh-CN"/>
        </w:rPr>
      </w:pPr>
      <w:r>
        <w:rPr>
          <w:rFonts w:hint="eastAsia" w:ascii="仿宋_GB2312" w:hAnsi="仿宋_GB2312" w:eastAsia="仿宋_GB2312" w:cs="仿宋_GB2312"/>
          <w:color w:val="000000"/>
          <w:kern w:val="0"/>
          <w:sz w:val="31"/>
          <w:szCs w:val="31"/>
          <w:lang w:val="en-US" w:eastAsia="zh-CN"/>
        </w:rPr>
        <w:drawing>
          <wp:inline distT="0" distB="0" distL="0" distR="0">
            <wp:extent cx="5267960" cy="2962910"/>
            <wp:effectExtent l="0" t="0" r="8890" b="8890"/>
            <wp:docPr id="1029" name="图片 6" descr="fb761bbbc5d85645938f30e53f87116"/>
            <wp:cNvGraphicFramePr/>
            <a:graphic xmlns:a="http://schemas.openxmlformats.org/drawingml/2006/main">
              <a:graphicData uri="http://schemas.openxmlformats.org/drawingml/2006/picture">
                <pic:pic xmlns:pic="http://schemas.openxmlformats.org/drawingml/2006/picture">
                  <pic:nvPicPr>
                    <pic:cNvPr id="1029" name="图片 6" descr="fb761bbbc5d85645938f30e53f87116"/>
                    <pic:cNvPicPr/>
                  </pic:nvPicPr>
                  <pic:blipFill>
                    <a:blip r:embed="rId11" cstate="print"/>
                    <a:srcRect/>
                    <a:stretch>
                      <a:fillRect/>
                    </a:stretch>
                  </pic:blipFill>
                  <pic:spPr>
                    <a:xfrm>
                      <a:off x="0" y="0"/>
                      <a:ext cx="5267960" cy="2962910"/>
                    </a:xfrm>
                    <a:prstGeom prst="rect">
                      <a:avLst/>
                    </a:prstGeom>
                  </pic:spPr>
                </pic:pic>
              </a:graphicData>
            </a:graphic>
          </wp:inline>
        </w:drawing>
      </w:r>
    </w:p>
    <w:p w14:paraId="52107784">
      <w:pPr>
        <w:bidi w:val="0"/>
        <w:rPr>
          <w:rFonts w:hint="default"/>
          <w:lang w:val="en-US" w:eastAsia="zh-CN"/>
        </w:rPr>
      </w:pPr>
    </w:p>
    <w:p w14:paraId="77327691">
      <w:pPr>
        <w:keepNext w:val="0"/>
        <w:keepLines w:val="0"/>
        <w:widowControl/>
        <w:suppressLineNumbers w:val="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图</w:t>
      </w:r>
      <w:r>
        <w:rPr>
          <w:rFonts w:hint="eastAsia" w:ascii="宋体" w:hAnsi="宋体" w:cs="宋体"/>
          <w:color w:val="000000"/>
          <w:kern w:val="0"/>
          <w:sz w:val="28"/>
          <w:szCs w:val="28"/>
          <w:lang w:val="en-US" w:eastAsia="zh-CN"/>
        </w:rPr>
        <w:t>四</w:t>
      </w:r>
      <w:r>
        <w:rPr>
          <w:rFonts w:hint="eastAsia" w:ascii="宋体" w:hAnsi="宋体" w:eastAsia="宋体" w:cs="宋体"/>
          <w:color w:val="000000"/>
          <w:kern w:val="0"/>
          <w:sz w:val="28"/>
          <w:szCs w:val="28"/>
          <w:lang w:val="en-US" w:eastAsia="zh-CN"/>
        </w:rPr>
        <w:t xml:space="preserve"> 进线柜翻到后位置</w:t>
      </w:r>
    </w:p>
    <w:p w14:paraId="6D28FC5E">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rPr>
      </w:pPr>
    </w:p>
    <w:p w14:paraId="6C447FB8">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rPr>
      </w:pPr>
    </w:p>
    <w:p w14:paraId="03F98C20">
      <w:pPr>
        <w:keepNext w:val="0"/>
        <w:keepLines w:val="0"/>
        <w:widowControl/>
        <w:suppressLineNumbers w:val="0"/>
        <w:jc w:val="left"/>
        <w:rPr>
          <w:rFonts w:hint="eastAsia"/>
          <w:lang w:val="en-US" w:eastAsia="zh-CN"/>
        </w:rPr>
      </w:pPr>
      <w:r>
        <w:rPr>
          <w:rFonts w:hint="eastAsia"/>
          <w:lang w:val="en-US" w:eastAsia="zh-CN"/>
        </w:rPr>
        <w:drawing>
          <wp:inline distT="0" distB="0" distL="0" distR="0">
            <wp:extent cx="5262245" cy="2693035"/>
            <wp:effectExtent l="0" t="0" r="14605" b="12065"/>
            <wp:docPr id="1030" name="图片 1" descr="bea9386c6ae5de3e7ab778fa44d0665"/>
            <wp:cNvGraphicFramePr/>
            <a:graphic xmlns:a="http://schemas.openxmlformats.org/drawingml/2006/main">
              <a:graphicData uri="http://schemas.openxmlformats.org/drawingml/2006/picture">
                <pic:pic xmlns:pic="http://schemas.openxmlformats.org/drawingml/2006/picture">
                  <pic:nvPicPr>
                    <pic:cNvPr id="1030" name="图片 1" descr="bea9386c6ae5de3e7ab778fa44d0665"/>
                    <pic:cNvPicPr/>
                  </pic:nvPicPr>
                  <pic:blipFill>
                    <a:blip r:embed="rId12" cstate="print"/>
                    <a:srcRect/>
                    <a:stretch>
                      <a:fillRect/>
                    </a:stretch>
                  </pic:blipFill>
                  <pic:spPr>
                    <a:xfrm>
                      <a:off x="0" y="0"/>
                      <a:ext cx="5262245" cy="2693035"/>
                    </a:xfrm>
                    <a:prstGeom prst="rect">
                      <a:avLst/>
                    </a:prstGeom>
                  </pic:spPr>
                </pic:pic>
              </a:graphicData>
            </a:graphic>
          </wp:inline>
        </w:drawing>
      </w:r>
    </w:p>
    <w:p w14:paraId="4B634D11">
      <w:pPr>
        <w:tabs>
          <w:tab w:val="left" w:pos="3441"/>
        </w:tabs>
        <w:bidi w:val="0"/>
        <w:ind w:firstLine="2520" w:firstLineChars="1200"/>
        <w:jc w:val="left"/>
        <w:rPr>
          <w:rFonts w:hint="eastAsia"/>
          <w:lang w:val="en-US" w:eastAsia="zh-CN"/>
        </w:rPr>
      </w:pPr>
    </w:p>
    <w:p w14:paraId="115EE6DE">
      <w:pPr>
        <w:tabs>
          <w:tab w:val="left" w:pos="3441"/>
        </w:tabs>
        <w:bidi w:val="0"/>
        <w:ind w:firstLine="1960" w:firstLineChars="700"/>
        <w:jc w:val="both"/>
        <w:rPr>
          <w:rFonts w:hint="eastAsia"/>
          <w:sz w:val="28"/>
          <w:szCs w:val="28"/>
          <w:lang w:val="en-US" w:eastAsia="zh-CN"/>
        </w:rPr>
      </w:pPr>
      <w:r>
        <w:rPr>
          <w:rFonts w:hint="eastAsia"/>
          <w:sz w:val="28"/>
          <w:szCs w:val="28"/>
          <w:lang w:val="en-US" w:eastAsia="zh-CN"/>
        </w:rPr>
        <w:t>图五 安装在操作平台上的角铁</w:t>
      </w:r>
    </w:p>
    <w:p w14:paraId="20BC8F81">
      <w:pPr>
        <w:tabs>
          <w:tab w:val="left" w:pos="3441"/>
        </w:tabs>
        <w:bidi w:val="0"/>
        <w:jc w:val="both"/>
        <w:rPr>
          <w:rFonts w:hint="default" w:ascii="宋体" w:hAnsi="宋体" w:eastAsia="宋体" w:cs="宋体"/>
          <w:color w:val="000000"/>
          <w:kern w:val="0"/>
          <w:sz w:val="28"/>
          <w:szCs w:val="28"/>
          <w:lang w:val="en-US" w:eastAsia="zh-CN"/>
        </w:rPr>
      </w:pPr>
    </w:p>
    <w:p w14:paraId="37ED99C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4" w:name="_Toc14472"/>
      <w:r>
        <w:rPr>
          <w:rFonts w:hint="eastAsia" w:ascii="楷体" w:hAnsi="楷体" w:eastAsia="楷体" w:cs="楷体"/>
          <w:b/>
          <w:bCs/>
          <w:sz w:val="32"/>
          <w:szCs w:val="32"/>
          <w:lang w:val="en-US" w:eastAsia="zh-CN"/>
        </w:rPr>
        <w:t>（五）事发现场操作平台及进线柜</w:t>
      </w:r>
      <w:bookmarkEnd w:id="4"/>
    </w:p>
    <w:p w14:paraId="7CB542E4">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发现场操作平台是蓝X公司根据其特殊工艺要求自行安装的，用于校正摆放在平台上工件的水平状态。操作平台无动力驱动装置，为人力传送设备，由两条金属支架及圆柱形辊筒组成，辊筒位于两条支架之间，其上端高于支架上表面，具有平整下表面的固体物置于操作平台上时，在支架延展方向施加作用力时可使固体物沿支架延展方向运动，实现物体传送。操作平台宽86cm，距离地面16cm，平台东端设有2个宽14cm、高5cm、厚0.4cm的可拆卸式角铁片</w:t>
      </w:r>
      <w:r>
        <w:rPr>
          <w:rFonts w:hint="default" w:ascii="仿宋_GB2312" w:hAnsi="仿宋_GB2312" w:eastAsia="仿宋_GB2312" w:cs="仿宋_GB2312"/>
          <w:sz w:val="32"/>
          <w:szCs w:val="32"/>
          <w:lang w:val="en-US" w:eastAsia="zh-CN"/>
        </w:rPr>
        <w:t>。</w:t>
      </w:r>
    </w:p>
    <w:p w14:paraId="0A8374FD">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现场倾倒的进线柜规格为79×105.5×226.5cm，重约400kg。进线柜为框架结构，前面为操控面板，左右及后侧为平面围板，上部为盖板，底部为0.2cm底板，底板固定在底部框架的上表面、没有支撑作用。</w:t>
      </w:r>
    </w:p>
    <w:p w14:paraId="0CF49489">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5" w:name="_Toc18137"/>
      <w:r>
        <w:rPr>
          <w:rFonts w:hint="eastAsia" w:ascii="楷体" w:hAnsi="楷体" w:eastAsia="楷体" w:cs="楷体"/>
          <w:b/>
          <w:bCs/>
          <w:sz w:val="32"/>
          <w:szCs w:val="32"/>
          <w:lang w:val="en-US" w:eastAsia="zh-CN"/>
        </w:rPr>
        <w:t>（六）事故涉及人员情况</w:t>
      </w:r>
      <w:bookmarkEnd w:id="5"/>
    </w:p>
    <w:p w14:paraId="085E39C8">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王爱X，男，56岁，沈阳市懿X物流有限公司法定代表人。</w:t>
      </w:r>
    </w:p>
    <w:p w14:paraId="41377171">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周XX，男，43岁，沈阳蓝X工业自动化装备股份有限公司电气车间负责人。</w:t>
      </w:r>
    </w:p>
    <w:p w14:paraId="378A363A">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付XX，男，53岁，辽宁省彰武县人，公民身份证号码：</w:t>
      </w:r>
      <w:r>
        <w:rPr>
          <w:rFonts w:hint="eastAsia" w:ascii="仿宋_GB2312" w:hAnsi="仿宋_GB2312" w:eastAsia="仿宋_GB2312" w:cs="仿宋_GB2312"/>
          <w:sz w:val="32"/>
          <w:szCs w:val="32"/>
          <w:highlight w:val="none"/>
          <w:lang w:val="en-US" w:eastAsia="zh-CN"/>
        </w:rPr>
        <w:t>2109221969XXXX0914</w:t>
      </w:r>
      <w:r>
        <w:rPr>
          <w:rFonts w:hint="eastAsia" w:ascii="仿宋_GB2312" w:hAnsi="仿宋_GB2312" w:eastAsia="仿宋_GB2312" w:cs="仿宋_GB2312"/>
          <w:sz w:val="32"/>
          <w:szCs w:val="32"/>
          <w:lang w:val="en-US" w:eastAsia="zh-CN"/>
        </w:rPr>
        <w:t>，系沈阳市懿X物流有限公司工人,在事故中死亡。</w:t>
      </w:r>
    </w:p>
    <w:p w14:paraId="3449A10A">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6" w:name="_Toc5853"/>
      <w:r>
        <w:rPr>
          <w:rFonts w:hint="eastAsia" w:ascii="楷体" w:hAnsi="楷体" w:eastAsia="楷体" w:cs="楷体"/>
          <w:b/>
          <w:bCs/>
          <w:sz w:val="32"/>
          <w:szCs w:val="32"/>
          <w:lang w:val="en-US" w:eastAsia="zh-CN"/>
        </w:rPr>
        <w:t>（七）外包装作业人员安全教育培训情况</w:t>
      </w:r>
      <w:bookmarkEnd w:id="6"/>
    </w:p>
    <w:p w14:paraId="1FFB03A4">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XX、陈XX为沈阳市懿X物流有限公司法定代表人王爱X雇用的临时工，未签订劳动合同，付XX负责外包装作业，陈XX负责包装箱加工、制作。2022年7月,二人被王爱X安排到沈阳蓝X工业自动化装备股份有限公司进行进线柜外包装作业。经调查，沈阳市懿X物流有限公司未按照《中华人民共和国安全生产法》《生产经营单位安全培训规定》 等有关规定对付XX、陈XX进行安全生产教育和培训并考核合格即安排二人上岗作业。</w:t>
      </w:r>
    </w:p>
    <w:p w14:paraId="2BCE88D5">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210" w:leftChars="0" w:firstLine="420" w:firstLineChars="0"/>
        <w:jc w:val="left"/>
        <w:textAlignment w:val="auto"/>
        <w:outlineLvl w:val="0"/>
        <w:rPr>
          <w:rFonts w:hint="default" w:ascii="黑体" w:hAnsi="黑体" w:eastAsia="黑体" w:cs="黑体"/>
          <w:b w:val="0"/>
          <w:bCs w:val="0"/>
          <w:kern w:val="2"/>
          <w:sz w:val="32"/>
          <w:szCs w:val="32"/>
          <w:lang w:val="en-US" w:eastAsia="zh-CN" w:bidi="ar-SA"/>
        </w:rPr>
      </w:pPr>
      <w:bookmarkStart w:id="7" w:name="_Toc26974"/>
      <w:r>
        <w:rPr>
          <w:rFonts w:hint="eastAsia" w:ascii="黑体" w:hAnsi="黑体" w:eastAsia="黑体" w:cs="黑体"/>
          <w:b w:val="0"/>
          <w:bCs w:val="0"/>
          <w:kern w:val="2"/>
          <w:sz w:val="32"/>
          <w:szCs w:val="32"/>
          <w:lang w:val="en-US" w:eastAsia="zh-CN" w:bidi="ar-SA"/>
        </w:rPr>
        <w:t>事故经过、应急救援和事故报告情况</w:t>
      </w:r>
      <w:bookmarkEnd w:id="7"/>
    </w:p>
    <w:p w14:paraId="6A054438">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8" w:name="_Toc20449"/>
      <w:r>
        <w:rPr>
          <w:rFonts w:hint="eastAsia" w:ascii="楷体" w:hAnsi="楷体" w:eastAsia="楷体" w:cs="楷体"/>
          <w:b/>
          <w:bCs/>
          <w:sz w:val="32"/>
          <w:szCs w:val="32"/>
          <w:lang w:val="en-US" w:eastAsia="zh-CN"/>
        </w:rPr>
        <w:t>（一）事故经过</w:t>
      </w:r>
      <w:bookmarkEnd w:id="8"/>
    </w:p>
    <w:p w14:paraId="0456C6A5">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查组经现场勘查并结合事发时在场人员的描述等信息综合分析，还原事故经过如下：2022年8月4日15时许，在沈阳蓝X工业自动化装备股份有限公司三楼电气车间内，完成进线柜组装、调试工作的蓝X公司工人撤离了操作平台，组装、调试完毕待包装的进线柜都摆放在操作平台上。沈阳市懿X物流有限公司3名工人付XX、陈XX、徐XX开始对操作平台上的进线柜进行外包装作业，操作平台是东西走向。付XX、陈XX在包装到最东侧的进线柜时，由于进线柜与西侧进线柜距离过小无法进行包装，于是付XX和陈XX一起将进线柜由西向东推，柜体将操作平台东侧角铁片挤下操作平台,部分柜体探出平台东端,陈XX转身去取包装纸壳时，柜体失去平衡后向东倾斜翻倒，将进入进线柜东侧的付XX砸倒。</w:t>
      </w:r>
    </w:p>
    <w:p w14:paraId="1435417D">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9" w:name="_Toc20788"/>
      <w:r>
        <w:rPr>
          <w:rFonts w:hint="eastAsia" w:ascii="楷体" w:hAnsi="楷体" w:eastAsia="楷体" w:cs="楷体"/>
          <w:b/>
          <w:bCs/>
          <w:sz w:val="32"/>
          <w:szCs w:val="32"/>
          <w:lang w:val="en-US" w:eastAsia="zh-CN"/>
        </w:rPr>
        <w:t>（二）应急救援和事故报告情况</w:t>
      </w:r>
      <w:bookmarkEnd w:id="9"/>
    </w:p>
    <w:p w14:paraId="76DFC044">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XX赶紧叫来在别处作业的工人徐XX帮忙救援，但是两人没抬动进线柜，蓝X公司工人邢XX开来电动叉车把柜移开，蓝X公司工人金生凯拨打了120，工人徐XX通知了沈阳市懿X物流有限公司负责人王爱X。大约20多分钟后120救护车赶到现场，医护人员抢救了半个多小时后宣布付XX死亡。王爱X拨打110报警，公安机关经现场调查，排除刑事案件。</w:t>
      </w:r>
    </w:p>
    <w:p w14:paraId="2FA9CCC2">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210" w:leftChars="0" w:firstLine="420" w:firstLineChars="0"/>
        <w:jc w:val="left"/>
        <w:textAlignment w:val="auto"/>
        <w:outlineLvl w:val="0"/>
        <w:rPr>
          <w:rFonts w:hint="eastAsia" w:ascii="黑体" w:hAnsi="黑体" w:eastAsia="黑体" w:cs="黑体"/>
          <w:b w:val="0"/>
          <w:bCs w:val="0"/>
          <w:sz w:val="32"/>
          <w:szCs w:val="32"/>
          <w:lang w:val="en-US" w:eastAsia="zh-CN"/>
        </w:rPr>
      </w:pPr>
      <w:bookmarkStart w:id="10" w:name="_Toc472"/>
      <w:r>
        <w:rPr>
          <w:rFonts w:hint="eastAsia" w:ascii="黑体" w:hAnsi="黑体" w:eastAsia="黑体" w:cs="黑体"/>
          <w:b w:val="0"/>
          <w:bCs w:val="0"/>
          <w:sz w:val="32"/>
          <w:szCs w:val="32"/>
          <w:lang w:val="en-US" w:eastAsia="zh-CN"/>
        </w:rPr>
        <w:t>事故应急处置情况</w:t>
      </w:r>
      <w:bookmarkEnd w:id="10"/>
    </w:p>
    <w:p w14:paraId="7573A4D7">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事故发生后，接到报告的公安机关和区应急局的工作人员第一时间赶到事发现场，对事故现场进行了勘察并拍照取证，同时责成事故发生单位及时对死者家属进行善后处理及赔偿工作。</w:t>
      </w:r>
    </w:p>
    <w:p w14:paraId="4B4A02AF">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210" w:leftChars="0" w:firstLine="420" w:firstLineChars="0"/>
        <w:jc w:val="left"/>
        <w:textAlignment w:val="auto"/>
        <w:outlineLvl w:val="0"/>
        <w:rPr>
          <w:rFonts w:hint="eastAsia" w:ascii="黑体" w:hAnsi="黑体" w:eastAsia="黑体" w:cs="黑体"/>
          <w:b w:val="0"/>
          <w:bCs w:val="0"/>
          <w:sz w:val="32"/>
          <w:szCs w:val="32"/>
          <w:lang w:val="en-US" w:eastAsia="zh-CN"/>
        </w:rPr>
      </w:pPr>
      <w:bookmarkStart w:id="11" w:name="_Toc6271"/>
      <w:r>
        <w:rPr>
          <w:rFonts w:hint="eastAsia" w:ascii="黑体" w:hAnsi="黑体" w:eastAsia="黑体" w:cs="黑体"/>
          <w:b w:val="0"/>
          <w:bCs w:val="0"/>
          <w:sz w:val="32"/>
          <w:szCs w:val="32"/>
          <w:lang w:val="en-US" w:eastAsia="zh-CN"/>
        </w:rPr>
        <w:t>事故原因</w:t>
      </w:r>
      <w:bookmarkEnd w:id="11"/>
    </w:p>
    <w:p w14:paraId="64198AD4">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12" w:name="_Toc18305"/>
      <w:r>
        <w:rPr>
          <w:rFonts w:hint="eastAsia" w:ascii="楷体" w:hAnsi="楷体" w:eastAsia="楷体" w:cs="楷体"/>
          <w:b/>
          <w:bCs/>
          <w:sz w:val="32"/>
          <w:szCs w:val="32"/>
          <w:lang w:val="en-US" w:eastAsia="zh-CN"/>
        </w:rPr>
        <w:t>（一）直接原因</w:t>
      </w:r>
      <w:bookmarkEnd w:id="12"/>
    </w:p>
    <w:p w14:paraId="3A881E2D">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XX、陈XX在发现待包装进线柜与西侧进线柜距离过小无法进行包装作业后，未辨识向平台东端推动进线柜可能存在的安全风险，将进线柜向平台东端推动，推动进线柜时没有控制好力度，使部分柜体探出平台东端,二人处置失当，未立即停止作业紧急避险，陈XX转身去取包装纸壳，付XX则进入进线柜东侧准备继续包装，此时，由于柜体左侧底部承重框架已脱离平台支撑，受力点移至底板，柜体底板与平台东端北侧支架端点接触后向上凹陷变形，柜体左侧下沉翻倒将付XX砸倒。</w:t>
      </w:r>
    </w:p>
    <w:p w14:paraId="49F8D972">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13" w:name="_Toc23433"/>
      <w:r>
        <w:rPr>
          <w:rFonts w:hint="eastAsia" w:ascii="楷体" w:hAnsi="楷体" w:eastAsia="楷体" w:cs="楷体"/>
          <w:b/>
          <w:bCs/>
          <w:sz w:val="32"/>
          <w:szCs w:val="32"/>
          <w:lang w:val="en-US" w:eastAsia="zh-CN"/>
        </w:rPr>
        <w:t>（二）间接原因</w:t>
      </w:r>
      <w:bookmarkEnd w:id="13"/>
    </w:p>
    <w:p w14:paraId="3C086A06">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1.付XX、陈XX缺乏安全操作技能，安全意识淡薄。</w:t>
      </w:r>
    </w:p>
    <w:p w14:paraId="49E68E7E">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沈阳市懿X物流有限公司安全生产规章制度严重缺失，安全管理薄弱；未按规定对付XX、陈XX进行安全生产教育和培训并考核合格就安排二人上岗作业；未制定外包装岗位操作规程，从业人员现场作业无章可循；安全管理人员长期未到岗，作业现场无人进行安全管理，致使付XX、陈XX的不安全行为没有得到及时制止。</w:t>
      </w:r>
    </w:p>
    <w:p w14:paraId="3937944B">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210" w:leftChars="0" w:firstLine="420" w:firstLineChars="0"/>
        <w:jc w:val="left"/>
        <w:textAlignment w:val="auto"/>
        <w:outlineLvl w:val="0"/>
        <w:rPr>
          <w:rFonts w:hint="eastAsia" w:ascii="黑体" w:hAnsi="黑体" w:eastAsia="黑体" w:cs="黑体"/>
          <w:b w:val="0"/>
          <w:bCs w:val="0"/>
          <w:sz w:val="32"/>
          <w:szCs w:val="32"/>
          <w:lang w:val="en-US" w:eastAsia="zh-CN"/>
        </w:rPr>
      </w:pPr>
      <w:bookmarkStart w:id="14" w:name="_Toc3702"/>
      <w:r>
        <w:rPr>
          <w:rFonts w:hint="eastAsia" w:ascii="黑体" w:hAnsi="黑体" w:eastAsia="黑体" w:cs="黑体"/>
          <w:b w:val="0"/>
          <w:bCs w:val="0"/>
          <w:sz w:val="32"/>
          <w:szCs w:val="32"/>
          <w:lang w:val="en-US" w:eastAsia="zh-CN"/>
        </w:rPr>
        <w:t>事故责任分析和处理建议</w:t>
      </w:r>
      <w:bookmarkEnd w:id="14"/>
    </w:p>
    <w:p w14:paraId="72484DDE">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15" w:name="_Toc29203"/>
      <w:r>
        <w:rPr>
          <w:rFonts w:hint="eastAsia" w:ascii="楷体" w:hAnsi="楷体" w:eastAsia="楷体" w:cs="楷体"/>
          <w:b/>
          <w:bCs/>
          <w:sz w:val="32"/>
          <w:szCs w:val="32"/>
          <w:lang w:val="en-US" w:eastAsia="zh-CN"/>
        </w:rPr>
        <w:t>（一）事故责任分析</w:t>
      </w:r>
      <w:bookmarkEnd w:id="15"/>
    </w:p>
    <w:p w14:paraId="3C6B00CA">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2018年7月起，沈阳蓝X工业自动化装备股份有限公司委托沈阳市懿X物流有限公司提供产品外包装和运输服务，两公司约定在完成包装服务后，双方确认数量和金额后，再签订合同，两公司为事实承包合同关系。本起事故是沈阳市懿X物流有限公司法定代表人王爱X，雇佣付XX、陈XX两人在完成沈阳市懿X物流有限公司承包的产品外包装业务时发生的，具体工作由沈阳市懿X物流有限公司法定代表人王爱X指派。</w:t>
      </w:r>
    </w:p>
    <w:p w14:paraId="29715FB2">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阳市懿X物流有限公司未履行企业安全生产主体责任，未建立全员安全生产责任制，规章制度和操作规程严重缺失；未建立安全风险分级管控和隐患排查治理双重预防机制，未及时发现并消除事故隐患；未按规定对从业人员进行安全生产教育和培训，违法使用未经安全生产教育和培训合格的从业人员上岗作业；作业现场无人进行安全管理，对事故发生负有责任。</w:t>
      </w:r>
    </w:p>
    <w:p w14:paraId="6E313665">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阳市懿X物流有限公司法定代表人王爱X未履行企业主要负责人安全管理职责，未建立企业全员安全生产责任制；未组织制定本单位安全生产教育和培训计划；未组织建立安全风险分级管控和隐患排查治理双重预防工作机制，对事故发生负有领导责任。</w:t>
      </w:r>
    </w:p>
    <w:p w14:paraId="6FA1FC2C">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事故发生后，事故调查组通过询问有关人员、查阅档案 </w:t>
      </w:r>
    </w:p>
    <w:p w14:paraId="17452A83">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对蓝X公司的安全生产履职情况进行检查，该公司为安全生 </w:t>
      </w:r>
    </w:p>
    <w:p w14:paraId="09EB0BAB">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产标准化三级企业，已建立全员安全生产责任制；制定了安 全生产规章制度和操作规程；制定了年度安全生产教育和培 训计划并对从业人员开展安全生产教育培训；建立并落实了 安全风险分级管控和隐患排查治理工作机制。作为发包方，与懿X公司签订了安全生产管理协议，明确了双方的安全生产管理责任，定期进行安全检查。</w:t>
      </w:r>
    </w:p>
    <w:p w14:paraId="7D9072F3">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依据《安全生产法》第 49 条，发包方的法定义务为：签订</w:t>
      </w:r>
      <w:r>
        <w:rPr>
          <w:rFonts w:hint="default" w:ascii="仿宋_GB2312" w:hAnsi="仿宋_GB2312" w:eastAsia="仿宋_GB2312" w:cs="仿宋_GB2312"/>
          <w:sz w:val="32"/>
          <w:szCs w:val="32"/>
          <w:lang w:val="en-US" w:eastAsia="zh-CN"/>
        </w:rPr>
        <w:t>安全生产管理协议、明确双方职责、统一协调管理、定期安全检查、发现隐患及时督促整改。</w:t>
      </w:r>
      <w:r>
        <w:rPr>
          <w:rFonts w:hint="eastAsia" w:ascii="仿宋_GB2312" w:hAnsi="仿宋_GB2312" w:eastAsia="仿宋_GB2312" w:cs="仿宋_GB2312"/>
          <w:sz w:val="32"/>
          <w:szCs w:val="32"/>
          <w:lang w:val="en-US" w:eastAsia="zh-CN"/>
        </w:rPr>
        <w:t>蓝X公司</w:t>
      </w:r>
      <w:r>
        <w:rPr>
          <w:rFonts w:hint="default" w:ascii="仿宋_GB2312" w:hAnsi="仿宋_GB2312" w:eastAsia="仿宋_GB2312" w:cs="仿宋_GB2312"/>
          <w:sz w:val="32"/>
          <w:szCs w:val="32"/>
          <w:lang w:val="en-US" w:eastAsia="zh-CN"/>
        </w:rPr>
        <w:t xml:space="preserve">已履行上述义务，具体如下： </w:t>
      </w:r>
    </w:p>
    <w:p w14:paraId="24AD511D">
      <w:pPr>
        <w:ind w:firstLine="640" w:firstLineChars="200"/>
        <w:jc w:val="left"/>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1.制度建设完备：已依法建立并落实《安全生产责任制》《相关方安全管理规定》，制度覆盖全员、全岗位、全流程，已公示并组织学习，执行留痕完整； </w:t>
      </w:r>
    </w:p>
    <w:p w14:paraId="1C2B019A">
      <w:pPr>
        <w:ind w:firstLine="640" w:firstLineChars="200"/>
        <w:jc w:val="left"/>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2.协议权责清晰：已与承包方签订正式《安全生产管理协议》，明确约定——承包方自主行使安全生产管理工作；承包方承担：现场人员培训、现场安全管理的直接主体责任</w:t>
      </w:r>
      <w:r>
        <w:rPr>
          <w:rFonts w:hint="eastAsia" w:ascii="仿宋_GB2312" w:hAnsi="仿宋_GB2312" w:eastAsia="仿宋_GB2312" w:cs="仿宋_GB2312"/>
          <w:sz w:val="32"/>
          <w:szCs w:val="32"/>
          <w:lang w:val="en-US" w:eastAsia="zh-CN"/>
        </w:rPr>
        <w:t>。</w:t>
      </w:r>
    </w:p>
    <w:p w14:paraId="5FE8294D">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故本次事故蓝X公司无责任。</w:t>
      </w:r>
    </w:p>
    <w:p w14:paraId="4AB208AF">
      <w:pPr>
        <w:ind w:firstLine="640" w:firstLineChars="200"/>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电气车间负责人</w:t>
      </w:r>
      <w:r>
        <w:rPr>
          <w:rFonts w:hint="eastAsia" w:ascii="仿宋_GB2312" w:hAnsi="仿宋_GB2312" w:eastAsia="仿宋_GB2312" w:cs="仿宋_GB2312"/>
          <w:sz w:val="32"/>
          <w:szCs w:val="32"/>
          <w:lang w:val="en-US" w:eastAsia="zh-CN"/>
        </w:rPr>
        <w:t>周XX</w:t>
      </w:r>
      <w:r>
        <w:rPr>
          <w:rFonts w:hint="default" w:ascii="仿宋_GB2312" w:hAnsi="仿宋_GB2312" w:eastAsia="仿宋_GB2312" w:cs="仿宋_GB2312"/>
          <w:sz w:val="32"/>
          <w:szCs w:val="32"/>
          <w:lang w:val="en-US" w:eastAsia="zh-CN"/>
        </w:rPr>
        <w:t>未履行</w:t>
      </w:r>
      <w:r>
        <w:rPr>
          <w:rFonts w:hint="eastAsia" w:ascii="仿宋_GB2312" w:hAnsi="仿宋_GB2312" w:eastAsia="仿宋_GB2312" w:cs="仿宋_GB2312"/>
          <w:sz w:val="32"/>
          <w:szCs w:val="32"/>
          <w:lang w:val="en-US" w:eastAsia="zh-CN"/>
        </w:rPr>
        <w:t>蓝X</w:t>
      </w:r>
      <w:r>
        <w:rPr>
          <w:rFonts w:hint="default" w:ascii="仿宋_GB2312" w:hAnsi="仿宋_GB2312" w:eastAsia="仿宋_GB2312" w:cs="仿宋_GB2312"/>
          <w:sz w:val="32"/>
          <w:szCs w:val="32"/>
          <w:lang w:val="en-US" w:eastAsia="zh-CN"/>
        </w:rPr>
        <w:t xml:space="preserve">公司《安全生产责任 </w:t>
      </w:r>
    </w:p>
    <w:p w14:paraId="1B67F7AE">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制》规定的岗位安全职责，未组织对进入本公司电气车间装 </w:t>
      </w:r>
    </w:p>
    <w:p w14:paraId="4F1E251D">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配线上进行外包装作业的承包单位工人付XX、陈XX进行 </w:t>
      </w:r>
    </w:p>
    <w:p w14:paraId="456EEBA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安全生产教育和培训，对事故发生负有责任。</w:t>
      </w:r>
    </w:p>
    <w:p w14:paraId="616C562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16" w:name="_Toc13758"/>
      <w:r>
        <w:rPr>
          <w:rFonts w:hint="eastAsia" w:ascii="楷体" w:hAnsi="楷体" w:eastAsia="楷体" w:cs="楷体"/>
          <w:b/>
          <w:bCs/>
          <w:sz w:val="32"/>
          <w:szCs w:val="32"/>
          <w:lang w:val="en-US" w:eastAsia="zh-CN"/>
        </w:rPr>
        <w:t>（二）建议予以行政处罚的人员</w:t>
      </w:r>
      <w:bookmarkEnd w:id="16"/>
    </w:p>
    <w:p w14:paraId="11540F2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1.王爱X  沈阳市懿X物流有限公司法定代表人</w:t>
      </w:r>
    </w:p>
    <w:p w14:paraId="5F4E72C4">
      <w:pPr>
        <w:keepNext w:val="0"/>
        <w:keepLines w:val="0"/>
        <w:pageBreakBefore w:val="0"/>
        <w:kinsoku/>
        <w:wordWrap/>
        <w:overflowPunct/>
        <w:topLinePunct w:val="0"/>
        <w:autoSpaceDE/>
        <w:autoSpaceDN/>
        <w:bidi w:val="0"/>
        <w:adjustRightInd/>
        <w:snapToGrid/>
        <w:spacing w:line="560" w:lineRule="exact"/>
        <w:ind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履行企业主要负责人安全管理职责，未建立企业全员安全生产责任制；未组织制定本单位安全生产教育和培训计划；未组织建立安全风险分级管控和隐患排查治理双重预防工作机制，未及时消除生产安全事故隐患</w:t>
      </w:r>
      <w:r>
        <w:rPr>
          <w:rStyle w:val="11"/>
          <w:rFonts w:hint="eastAsia" w:ascii="仿宋_GB2312" w:hAnsi="仿宋_GB2312" w:eastAsia="仿宋_GB2312" w:cs="仿宋_GB2312"/>
          <w:sz w:val="32"/>
          <w:szCs w:val="32"/>
          <w:lang w:val="en-US" w:eastAsia="zh-CN"/>
        </w:rPr>
        <w:t>[</w:t>
      </w:r>
      <w:r>
        <w:rPr>
          <w:rStyle w:val="11"/>
          <w:rFonts w:hint="eastAsia" w:ascii="仿宋_GB2312" w:hAnsi="仿宋_GB2312" w:eastAsia="仿宋_GB2312" w:cs="仿宋_GB2312"/>
          <w:sz w:val="32"/>
          <w:szCs w:val="32"/>
          <w:lang w:val="en-US" w:eastAsia="zh-CN"/>
        </w:rPr>
        <w:footnoteReference w:id="0"/>
      </w:r>
      <w:r>
        <w:rPr>
          <w:rStyle w:val="11"/>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，导致发生生产安全事故，建议由区应急管理局按照《中华人民共和国安全生产法》的有关规定</w:t>
      </w:r>
      <w:r>
        <w:rPr>
          <w:rStyle w:val="11"/>
          <w:rFonts w:hint="eastAsia" w:ascii="仿宋_GB2312" w:hAnsi="仿宋_GB2312" w:eastAsia="仿宋_GB2312" w:cs="仿宋_GB2312"/>
          <w:sz w:val="32"/>
          <w:szCs w:val="32"/>
          <w:lang w:val="en-US" w:eastAsia="zh-CN"/>
        </w:rPr>
        <w:t>[</w:t>
      </w:r>
      <w:r>
        <w:rPr>
          <w:rStyle w:val="11"/>
          <w:rFonts w:hint="eastAsia" w:ascii="仿宋_GB2312" w:hAnsi="仿宋_GB2312" w:eastAsia="仿宋_GB2312" w:cs="仿宋_GB2312"/>
          <w:sz w:val="32"/>
          <w:szCs w:val="32"/>
          <w:lang w:val="en-US" w:eastAsia="zh-CN"/>
        </w:rPr>
        <w:footnoteReference w:id="1"/>
      </w:r>
      <w:r>
        <w:rPr>
          <w:rStyle w:val="11"/>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依法处理。</w:t>
      </w:r>
    </w:p>
    <w:p w14:paraId="6B7B207B">
      <w:pPr>
        <w:keepNext w:val="0"/>
        <w:keepLines w:val="0"/>
        <w:pageBreakBefore w:val="0"/>
        <w:widowControl w:val="0"/>
        <w:numPr>
          <w:ilvl w:val="0"/>
          <w:numId w:val="0"/>
        </w:numPr>
        <w:tabs>
          <w:tab w:val="left" w:pos="8190"/>
        </w:tabs>
        <w:kinsoku/>
        <w:wordWrap/>
        <w:overflowPunct/>
        <w:topLinePunct w:val="0"/>
        <w:autoSpaceDE/>
        <w:autoSpaceDN/>
        <w:bidi w:val="0"/>
        <w:adjustRightInd/>
        <w:snapToGrid/>
        <w:spacing w:line="560" w:lineRule="exact"/>
        <w:ind w:left="0" w:leftChars="0" w:right="-210" w:rightChars="-100" w:firstLine="643"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2.周XX  沈阳蓝X工业自动化装备股份有限公司电气车间负责人</w:t>
      </w:r>
    </w:p>
    <w:p w14:paraId="1599E3E0">
      <w:pPr>
        <w:keepNext w:val="0"/>
        <w:keepLines w:val="0"/>
        <w:widowControl/>
        <w:suppressLineNumbers w:val="0"/>
        <w:ind w:firstLine="620" w:firstLineChars="200"/>
        <w:jc w:val="left"/>
      </w:pPr>
      <w:r>
        <w:rPr>
          <w:rFonts w:ascii="仿宋_GB2312" w:hAnsi="宋体" w:eastAsia="仿宋_GB2312" w:cs="仿宋_GB2312"/>
          <w:color w:val="000000"/>
          <w:kern w:val="0"/>
          <w:sz w:val="31"/>
          <w:szCs w:val="31"/>
          <w:lang w:val="en-US" w:eastAsia="zh-CN" w:bidi="ar"/>
        </w:rPr>
        <w:t>未依法履行安全生产管理职责，未组织对进入本公司电</w:t>
      </w:r>
      <w:r>
        <w:rPr>
          <w:rFonts w:hint="eastAsia" w:ascii="仿宋_GB2312" w:hAnsi="宋体" w:eastAsia="仿宋_GB2312" w:cs="仿宋_GB2312"/>
          <w:color w:val="000000"/>
          <w:kern w:val="0"/>
          <w:sz w:val="31"/>
          <w:szCs w:val="31"/>
          <w:lang w:val="en-US" w:eastAsia="zh-CN" w:bidi="ar"/>
        </w:rPr>
        <w:t>气车间装配线上进行外包装作业的承包单位工人付XX、陈XX进行安全生产教育和培训，导致发生生产安全事故。建议由区应急管理局依据《中华人民共和国安全生产法》第九十六条</w:t>
      </w:r>
      <w:r>
        <w:rPr>
          <w:rStyle w:val="11"/>
          <w:rFonts w:hint="eastAsia" w:ascii="仿宋_GB2312" w:hAnsi="宋体" w:eastAsia="仿宋_GB2312" w:cs="仿宋_GB2312"/>
          <w:color w:val="000000"/>
          <w:kern w:val="0"/>
          <w:sz w:val="31"/>
          <w:szCs w:val="31"/>
          <w:lang w:val="en-US" w:eastAsia="zh-CN" w:bidi="ar"/>
        </w:rPr>
        <w:t>[</w:t>
      </w:r>
      <w:r>
        <w:rPr>
          <w:rStyle w:val="11"/>
          <w:rFonts w:hint="eastAsia" w:ascii="仿宋_GB2312" w:hAnsi="宋体" w:eastAsia="仿宋_GB2312" w:cs="仿宋_GB2312"/>
          <w:color w:val="000000"/>
          <w:kern w:val="0"/>
          <w:sz w:val="31"/>
          <w:szCs w:val="31"/>
          <w:lang w:val="en-US" w:eastAsia="zh-CN" w:bidi="ar"/>
        </w:rPr>
        <w:footnoteReference w:id="2"/>
      </w:r>
      <w:r>
        <w:rPr>
          <w:rStyle w:val="11"/>
          <w:rFonts w:hint="eastAsia"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之规定</w:t>
      </w:r>
      <w:bookmarkStart w:id="23" w:name="_GoBack"/>
      <w:bookmarkEnd w:id="23"/>
      <w:r>
        <w:rPr>
          <w:rFonts w:hint="eastAsia" w:ascii="仿宋_GB2312" w:hAnsi="宋体" w:eastAsia="仿宋_GB2312" w:cs="仿宋_GB2312"/>
          <w:color w:val="000000"/>
          <w:kern w:val="0"/>
          <w:sz w:val="31"/>
          <w:szCs w:val="31"/>
          <w:lang w:val="en-US" w:eastAsia="zh-CN" w:bidi="ar"/>
        </w:rPr>
        <w:t>给予其行政处罚。</w:t>
      </w:r>
    </w:p>
    <w:p w14:paraId="762D385F">
      <w:pPr>
        <w:keepNext w:val="0"/>
        <w:keepLines w:val="0"/>
        <w:pageBreakBefore w:val="0"/>
        <w:kinsoku/>
        <w:wordWrap/>
        <w:overflowPunct/>
        <w:topLinePunct w:val="0"/>
        <w:autoSpaceDE/>
        <w:autoSpaceDN/>
        <w:bidi w:val="0"/>
        <w:adjustRightInd/>
        <w:snapToGrid/>
        <w:spacing w:line="560" w:lineRule="exact"/>
        <w:ind w:firstLineChars="200"/>
        <w:jc w:val="both"/>
        <w:textAlignment w:val="auto"/>
        <w:rPr>
          <w:rFonts w:hint="default" w:ascii="仿宋_GB2312" w:hAnsi="仿宋_GB2312" w:eastAsia="仿宋_GB2312" w:cs="仿宋_GB2312"/>
          <w:sz w:val="32"/>
          <w:szCs w:val="32"/>
          <w:lang w:val="en-US" w:eastAsia="zh-CN"/>
        </w:rPr>
      </w:pPr>
    </w:p>
    <w:p w14:paraId="680C72D9">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17" w:name="_Toc13354"/>
      <w:r>
        <w:rPr>
          <w:rFonts w:hint="eastAsia" w:ascii="楷体" w:hAnsi="楷体" w:eastAsia="楷体" w:cs="楷体"/>
          <w:b/>
          <w:bCs/>
          <w:sz w:val="32"/>
          <w:szCs w:val="32"/>
          <w:lang w:val="en-US" w:eastAsia="zh-CN"/>
        </w:rPr>
        <w:t>（三）建议予以行政处罚的单位</w:t>
      </w:r>
      <w:bookmarkEnd w:id="17"/>
    </w:p>
    <w:p w14:paraId="2426A91D">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1.沈阳市懿X物流有限公司</w:t>
      </w:r>
    </w:p>
    <w:p w14:paraId="1EB823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18"/>
          <w:szCs w:val="18"/>
          <w:lang w:val="en-US" w:eastAsia="zh-CN"/>
        </w:rPr>
      </w:pP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未按规定对付XX、陈XX进行安全生产教育和培训，未保证二人具备必要的安全生产知识、熟悉岗位操作规程、掌握安全操作技能、了解事故应急措施并考核合格就安排上岗作业</w:t>
      </w:r>
      <w:r>
        <w:rPr>
          <w:rStyle w:val="11"/>
          <w:rFonts w:hint="eastAsia" w:ascii="仿宋_GB2312" w:hAnsi="仿宋_GB2312" w:eastAsia="仿宋_GB2312" w:cs="仿宋_GB2312"/>
          <w:b w:val="0"/>
          <w:bCs w:val="0"/>
          <w:i w:val="0"/>
          <w:iCs w:val="0"/>
          <w:color w:val="auto"/>
          <w:kern w:val="2"/>
          <w:sz w:val="32"/>
          <w:szCs w:val="32"/>
          <w:highlight w:val="none"/>
          <w:lang w:val="en-US" w:eastAsia="zh-CN" w:bidi="ar-SA"/>
        </w:rPr>
        <w:t>[</w:t>
      </w:r>
      <w:r>
        <w:rPr>
          <w:rStyle w:val="11"/>
          <w:rFonts w:hint="eastAsia" w:ascii="仿宋_GB2312" w:hAnsi="仿宋_GB2312" w:eastAsia="仿宋_GB2312" w:cs="仿宋_GB2312"/>
          <w:b w:val="0"/>
          <w:bCs w:val="0"/>
          <w:i w:val="0"/>
          <w:iCs w:val="0"/>
          <w:color w:val="auto"/>
          <w:kern w:val="2"/>
          <w:sz w:val="32"/>
          <w:szCs w:val="32"/>
          <w:highlight w:val="none"/>
          <w:lang w:val="en-US" w:eastAsia="zh-CN" w:bidi="ar-SA"/>
        </w:rPr>
        <w:footnoteReference w:id="3"/>
      </w:r>
      <w:r>
        <w:rPr>
          <w:rStyle w:val="11"/>
          <w:rFonts w:hint="eastAsia" w:ascii="仿宋_GB2312" w:hAnsi="仿宋_GB2312" w:eastAsia="仿宋_GB2312" w:cs="仿宋_GB2312"/>
          <w:b w:val="0"/>
          <w:bCs w:val="0"/>
          <w:i w:val="0"/>
          <w:iCs w:val="0"/>
          <w:color w:val="auto"/>
          <w:kern w:val="2"/>
          <w:sz w:val="32"/>
          <w:szCs w:val="32"/>
          <w:highlight w:val="none"/>
          <w:lang w:val="en-US" w:eastAsia="zh-CN" w:bidi="ar-SA"/>
        </w:rPr>
        <w:t>]</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w:t>
      </w:r>
      <w:r>
        <w:rPr>
          <w:rFonts w:hint="eastAsia" w:ascii="仿宋_GB2312" w:hAnsi="仿宋_GB2312" w:eastAsia="仿宋_GB2312" w:cs="仿宋_GB2312"/>
          <w:sz w:val="32"/>
          <w:szCs w:val="32"/>
          <w:lang w:val="en-US" w:eastAsia="zh-CN"/>
        </w:rPr>
        <w:t>未制定生产安全事故隐患排查治理制度，未采取技术、管理措施，及时发现并消除外包装岗位的事故隐患</w:t>
      </w:r>
      <w:r>
        <w:rPr>
          <w:rStyle w:val="11"/>
          <w:rFonts w:hint="eastAsia" w:ascii="仿宋_GB2312" w:hAnsi="仿宋_GB2312" w:eastAsia="仿宋_GB2312" w:cs="仿宋_GB2312"/>
          <w:sz w:val="32"/>
          <w:szCs w:val="32"/>
          <w:lang w:val="en-US" w:eastAsia="zh-CN"/>
        </w:rPr>
        <w:t>[</w:t>
      </w:r>
      <w:r>
        <w:rPr>
          <w:rStyle w:val="11"/>
          <w:rFonts w:hint="eastAsia" w:ascii="仿宋_GB2312" w:hAnsi="仿宋_GB2312" w:eastAsia="仿宋_GB2312" w:cs="仿宋_GB2312"/>
          <w:sz w:val="32"/>
          <w:szCs w:val="32"/>
          <w:lang w:val="en-US" w:eastAsia="zh-CN"/>
        </w:rPr>
        <w:footnoteReference w:id="4"/>
      </w:r>
      <w:r>
        <w:rPr>
          <w:rStyle w:val="11"/>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，对事故发生负有</w:t>
      </w:r>
      <w:r>
        <w:rPr>
          <w:rFonts w:hint="eastAsia" w:ascii="仿宋_GB2312" w:hAnsi="仿宋_GB2312" w:eastAsia="仿宋_GB2312" w:cs="仿宋_GB2312"/>
          <w:color w:val="auto"/>
          <w:sz w:val="32"/>
          <w:szCs w:val="32"/>
          <w:lang w:val="en-US" w:eastAsia="zh-CN"/>
        </w:rPr>
        <w:t>责任</w:t>
      </w:r>
      <w:r>
        <w:rPr>
          <w:rFonts w:hint="eastAsia" w:ascii="仿宋_GB2312" w:hAnsi="仿宋_GB2312" w:eastAsia="仿宋_GB2312" w:cs="仿宋_GB2312"/>
          <w:sz w:val="32"/>
          <w:szCs w:val="32"/>
          <w:lang w:val="en-US" w:eastAsia="zh-CN"/>
        </w:rPr>
        <w:t>，建议由区应急管理局按照《中华人民共和国安全生产法》的有关规定</w:t>
      </w:r>
      <w:r>
        <w:rPr>
          <w:rStyle w:val="11"/>
          <w:rFonts w:hint="eastAsia" w:ascii="仿宋_GB2312" w:hAnsi="仿宋_GB2312" w:eastAsia="仿宋_GB2312" w:cs="仿宋_GB2312"/>
          <w:sz w:val="32"/>
          <w:szCs w:val="32"/>
          <w:lang w:val="en-US" w:eastAsia="zh-CN"/>
        </w:rPr>
        <w:t>[</w:t>
      </w:r>
      <w:r>
        <w:rPr>
          <w:rStyle w:val="11"/>
          <w:rFonts w:hint="eastAsia" w:ascii="仿宋_GB2312" w:hAnsi="仿宋_GB2312" w:eastAsia="仿宋_GB2312" w:cs="仿宋_GB2312"/>
          <w:sz w:val="32"/>
          <w:szCs w:val="32"/>
          <w:lang w:val="en-US" w:eastAsia="zh-CN"/>
        </w:rPr>
        <w:footnoteReference w:id="5"/>
      </w:r>
      <w:r>
        <w:rPr>
          <w:rStyle w:val="11"/>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依法处理。</w:t>
      </w:r>
    </w:p>
    <w:p w14:paraId="55839697">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210" w:leftChars="0" w:firstLine="420" w:firstLineChars="0"/>
        <w:jc w:val="left"/>
        <w:textAlignment w:val="auto"/>
        <w:outlineLvl w:val="0"/>
        <w:rPr>
          <w:rFonts w:hint="eastAsia" w:ascii="黑体" w:hAnsi="黑体" w:eastAsia="黑体" w:cs="黑体"/>
          <w:b w:val="0"/>
          <w:bCs w:val="0"/>
          <w:sz w:val="32"/>
          <w:szCs w:val="32"/>
          <w:lang w:val="en-US" w:eastAsia="zh-CN"/>
        </w:rPr>
      </w:pPr>
      <w:bookmarkStart w:id="18" w:name="_Toc24011"/>
      <w:r>
        <w:rPr>
          <w:rFonts w:hint="eastAsia" w:ascii="黑体" w:hAnsi="黑体" w:eastAsia="黑体" w:cs="黑体"/>
          <w:b w:val="0"/>
          <w:bCs w:val="0"/>
          <w:sz w:val="32"/>
          <w:szCs w:val="32"/>
          <w:lang w:val="en-US" w:eastAsia="zh-CN"/>
        </w:rPr>
        <w:t>事故整改和防范措施</w:t>
      </w:r>
      <w:bookmarkEnd w:id="18"/>
    </w:p>
    <w:p w14:paraId="303BE7CE">
      <w:pPr>
        <w:keepNext w:val="0"/>
        <w:keepLines w:val="0"/>
        <w:pageBreakBefore w:val="0"/>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为防范和杜绝类似生产安全事故的发生，确保生产安全，建议相关单位落实如下整改措施：</w:t>
      </w:r>
    </w:p>
    <w:p w14:paraId="69D427D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19" w:name="_Toc11947"/>
      <w:r>
        <w:rPr>
          <w:rFonts w:hint="eastAsia" w:ascii="楷体" w:hAnsi="楷体" w:eastAsia="楷体" w:cs="楷体"/>
          <w:b/>
          <w:bCs/>
          <w:sz w:val="32"/>
          <w:szCs w:val="32"/>
          <w:lang w:val="en-US" w:eastAsia="zh-CN"/>
        </w:rPr>
        <w:t>（一）沈阳市懿X物流有限公司</w:t>
      </w:r>
      <w:bookmarkEnd w:id="19"/>
    </w:p>
    <w:p w14:paraId="568564F8">
      <w:pPr>
        <w:keepNext w:val="0"/>
        <w:keepLines w:val="0"/>
        <w:pageBreakBefore w:val="0"/>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要认真吸取事故教训，全面落实企业安全生产主体责任，建立健全并落实全员安全生产责任制，健全完善安全生产规章制度、操作规程，确保现场安全管理有章可循，有据可依。要</w:t>
      </w:r>
      <w:r>
        <w:rPr>
          <w:rFonts w:hint="default" w:ascii="仿宋_GB2312" w:hAnsi="仿宋_GB2312" w:eastAsia="仿宋_GB2312" w:cs="仿宋_GB2312"/>
          <w:sz w:val="32"/>
          <w:szCs w:val="32"/>
          <w:lang w:val="en-US" w:eastAsia="zh-CN"/>
        </w:rPr>
        <w:t>建立并落实安全风险分级管控和隐患排查治理工作机制</w:t>
      </w:r>
      <w:r>
        <w:rPr>
          <w:rFonts w:hint="eastAsia" w:ascii="仿宋_GB2312" w:hAnsi="仿宋_GB2312" w:eastAsia="仿宋_GB2312" w:cs="仿宋_GB2312"/>
          <w:sz w:val="32"/>
          <w:szCs w:val="32"/>
          <w:lang w:val="en-US" w:eastAsia="zh-CN"/>
        </w:rPr>
        <w:t>，</w:t>
      </w:r>
    </w:p>
    <w:p w14:paraId="4A2D5688">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结合本单位生产经营特点</w:t>
      </w:r>
      <w:r>
        <w:rPr>
          <w:rFonts w:hint="eastAsia" w:ascii="仿宋_GB2312" w:hAnsi="仿宋_GB2312" w:eastAsia="仿宋_GB2312" w:cs="仿宋_GB2312"/>
          <w:sz w:val="32"/>
          <w:szCs w:val="32"/>
          <w:lang w:val="en-US" w:eastAsia="zh-CN"/>
        </w:rPr>
        <w:t>对承包作业现场进行风险辨识，并对辨识出的安全风险采取相应的管控措施。要积极开展隐患排查治理工作，</w:t>
      </w:r>
      <w:r>
        <w:rPr>
          <w:rFonts w:hint="default" w:ascii="仿宋_GB2312" w:hAnsi="仿宋_GB2312" w:eastAsia="仿宋_GB2312" w:cs="仿宋_GB2312"/>
          <w:sz w:val="32"/>
          <w:szCs w:val="32"/>
          <w:lang w:val="en-US" w:eastAsia="zh-CN"/>
        </w:rPr>
        <w:t>对作业现场进行经常性检查，及时发现并消除事故隐患。</w:t>
      </w:r>
      <w:r>
        <w:rPr>
          <w:rFonts w:hint="eastAsia" w:ascii="仿宋_GB2312" w:hAnsi="仿宋_GB2312" w:eastAsia="仿宋_GB2312" w:cs="仿宋_GB2312"/>
          <w:sz w:val="32"/>
          <w:szCs w:val="32"/>
          <w:lang w:val="en-US" w:eastAsia="zh-CN"/>
        </w:rPr>
        <w:t>要依法组织开展从业人员安全生产教育和培训工作，如实记录安全生产教育和培训情况。</w:t>
      </w:r>
    </w:p>
    <w:p w14:paraId="13D9331B">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20" w:name="_Toc30868"/>
      <w:bookmarkStart w:id="21" w:name="_Toc23921"/>
      <w:r>
        <w:rPr>
          <w:rFonts w:hint="eastAsia" w:ascii="楷体" w:hAnsi="楷体" w:eastAsia="楷体" w:cs="楷体"/>
          <w:b/>
          <w:bCs/>
          <w:sz w:val="32"/>
          <w:szCs w:val="32"/>
          <w:lang w:val="en-US" w:eastAsia="zh-CN"/>
        </w:rPr>
        <w:t>（二）沈阳蓝X工业自动化装备股份有限公司</w:t>
      </w:r>
      <w:bookmarkEnd w:id="20"/>
      <w:bookmarkEnd w:id="21"/>
    </w:p>
    <w:p w14:paraId="14EF2458">
      <w:pPr>
        <w:keepNext w:val="0"/>
        <w:keepLines w:val="0"/>
        <w:pageBreakBefore w:val="0"/>
        <w:kinsoku/>
        <w:wordWrap/>
        <w:overflowPunct/>
        <w:topLinePunct w:val="0"/>
        <w:autoSpaceDE/>
        <w:autoSpaceDN/>
        <w:bidi w:val="0"/>
        <w:adjustRightInd/>
        <w:snapToGrid/>
        <w:spacing w:line="560" w:lineRule="exact"/>
        <w:ind w:firstLine="56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强化对承包单位的安全管理，严格审查承包单位的安全生产条件或者相应资质，不得将生产经营项目发包给不具备安全生产条件或者相应资质的单位或个人。要将承包单位安全生产工作纳入本单位统一管理，督促承包单位依法履行安全生产职责，定期检查承包单位安全生产状况，发现问题及时督促整改。</w:t>
      </w:r>
    </w:p>
    <w:p w14:paraId="16D43462">
      <w:pPr>
        <w:keepNext w:val="0"/>
        <w:keepLines w:val="0"/>
        <w:pageBreakBefore w:val="0"/>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要强化对安全生产规章制度落实情况的监督考核，教育和督促从业人员严格执行本单位的安全生产规章制度，确保全员安全生产责任制的落实。</w:t>
      </w:r>
    </w:p>
    <w:p w14:paraId="1214E89D">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1"/>
        <w:rPr>
          <w:rFonts w:hint="eastAsia" w:ascii="楷体" w:hAnsi="楷体" w:eastAsia="楷体" w:cs="楷体"/>
          <w:b/>
          <w:bCs/>
          <w:sz w:val="32"/>
          <w:szCs w:val="32"/>
          <w:lang w:val="en-US" w:eastAsia="zh-CN"/>
        </w:rPr>
      </w:pPr>
      <w:bookmarkStart w:id="22" w:name="_Toc3289"/>
      <w:r>
        <w:rPr>
          <w:rFonts w:hint="eastAsia" w:ascii="楷体" w:hAnsi="楷体" w:eastAsia="楷体" w:cs="楷体"/>
          <w:b/>
          <w:bCs/>
          <w:sz w:val="32"/>
          <w:szCs w:val="32"/>
          <w:lang w:val="en-US" w:eastAsia="zh-CN"/>
        </w:rPr>
        <w:t>（三）浑南区应急管理局</w:t>
      </w:r>
      <w:bookmarkEnd w:id="22"/>
    </w:p>
    <w:p w14:paraId="194D07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浑南区应急管理局作为行业主管部门，要加强对行业的指导、协调和监督管理工作，继续推动落实“三管三必须”行业管理责任。</w:t>
      </w:r>
    </w:p>
    <w:p w14:paraId="7B68E64A">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ascii="仿宋" w:hAnsi="仿宋" w:eastAsia="仿宋" w:cs="仿宋"/>
          <w:sz w:val="32"/>
          <w:szCs w:val="32"/>
        </w:rPr>
      </w:pPr>
      <w:r>
        <w:rPr>
          <w:rFonts w:hint="eastAsia" w:ascii="仿宋" w:hAnsi="仿宋" w:eastAsia="仿宋" w:cs="仿宋"/>
          <w:sz w:val="32"/>
          <w:szCs w:val="32"/>
          <w:lang w:eastAsia="zh-CN"/>
        </w:rPr>
        <w:t xml:space="preserve">   </w:t>
      </w:r>
    </w:p>
    <w:p w14:paraId="6154FA4F">
      <w:pPr>
        <w:pStyle w:val="6"/>
        <w:snapToGrid w:val="0"/>
        <w:rPr>
          <w:rFonts w:hint="eastAsia" w:ascii="宋体" w:hAnsi="宋体" w:eastAsia="宋体" w:cs="宋体"/>
          <w:sz w:val="18"/>
          <w:szCs w:val="18"/>
          <w:lang w:val="en-US" w:eastAsia="zh-CN"/>
        </w:rPr>
      </w:pPr>
    </w:p>
    <w:sectPr>
      <w:footerReference r:id="rId6" w:type="default"/>
      <w:footnotePr>
        <w:numFmt w:val="decimal"/>
        <w:numRestart w:val="eachSect"/>
      </w:footnote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6764A">
    <w:pPr>
      <w:pStyle w:val="3"/>
    </w:pPr>
  </w:p>
  <w:p w14:paraId="4F612A2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30B25">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BAA18">
    <w:pPr>
      <w:pStyle w:val="3"/>
      <w:jc w:val="center"/>
      <w:rPr>
        <w:lang w:val="zh-CN"/>
      </w:rPr>
    </w:pPr>
    <w:r>
      <w:fldChar w:fldCharType="begin"/>
    </w:r>
    <w:r>
      <w:instrText xml:space="preserve"> PAGE   \* MERGEFORMAT </w:instrText>
    </w:r>
    <w:r>
      <w:fldChar w:fldCharType="separate"/>
    </w:r>
    <w:r>
      <w:rPr>
        <w:lang w:val="zh-CN"/>
      </w:rPr>
      <w:t>5</w:t>
    </w:r>
    <w:r>
      <w:rPr>
        <w:lang w:val="zh-CN"/>
      </w:rPr>
      <w:fldChar w:fldCharType="end"/>
    </w:r>
  </w:p>
  <w:p w14:paraId="0188389F">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71344069">
      <w:pPr>
        <w:pStyle w:val="6"/>
        <w:snapToGrid w:val="0"/>
      </w:pPr>
      <w:r>
        <w:rPr>
          <w:rFonts w:hint="eastAsia" w:ascii="宋体" w:hAnsi="宋体" w:cs="宋体"/>
          <w:sz w:val="18"/>
          <w:szCs w:val="18"/>
          <w:lang w:val="en-US" w:eastAsia="zh-CN"/>
        </w:rPr>
        <w:t>[1]</w:t>
      </w:r>
      <w:r>
        <w:t xml:space="preserve"> </w:t>
      </w:r>
      <w:r>
        <w:rPr>
          <w:rFonts w:hint="eastAsia" w:ascii="宋体" w:hAnsi="宋体" w:eastAsia="宋体" w:cs="宋体"/>
          <w:sz w:val="18"/>
          <w:szCs w:val="18"/>
          <w:lang w:val="en-US" w:eastAsia="zh-CN"/>
        </w:rPr>
        <w:t>《中华人民共和国安全生产法》第二十一条第一项</w:t>
      </w:r>
      <w:r>
        <w:rPr>
          <w:rFonts w:hint="eastAsia" w:ascii="宋体" w:hAnsi="宋体" w:cs="宋体"/>
          <w:sz w:val="18"/>
          <w:szCs w:val="18"/>
          <w:lang w:val="en-US" w:eastAsia="zh-CN"/>
        </w:rPr>
        <w:t>、第三项、第五项</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生产经营单位的主要负责人对本单位安全生产工作负有下列职责：（一）建立健全并落实本单位全员安全生产责任制，加强安全生产标准化建设</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（三）组织制定并实施本单位安全生产教育和培训计划</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（五）组织建立并落实安全风险分级管控和隐患排查治理双重预防工作机制，督促、检查本单位的安全生产工作，及时消除生产安全事故隐患。</w:t>
      </w:r>
    </w:p>
  </w:footnote>
  <w:footnote w:id="1">
    <w:p w14:paraId="41FD20C6">
      <w:pPr>
        <w:pStyle w:val="6"/>
        <w:snapToGrid w:val="0"/>
        <w:rPr>
          <w:rFonts w:hint="eastAsia"/>
          <w:lang w:val="en-US" w:eastAsia="zh-CN"/>
        </w:rPr>
      </w:pPr>
      <w:r>
        <w:rPr>
          <w:rFonts w:hint="eastAsia" w:ascii="宋体" w:hAnsi="宋体" w:cs="宋体"/>
          <w:sz w:val="18"/>
          <w:szCs w:val="18"/>
          <w:lang w:val="en-US" w:eastAsia="zh-CN"/>
        </w:rPr>
        <w:t xml:space="preserve">[2] </w:t>
      </w:r>
      <w:r>
        <w:rPr>
          <w:rFonts w:hint="eastAsia"/>
          <w:lang w:val="en-US" w:eastAsia="zh-CN"/>
        </w:rPr>
        <w:t>《中华人民共和国安全生产法》第九十五条第一项：生产经营单位的主要负责人未履行本法规定的安全生产管理职责， 导致发生生产安全事故的，由应急管理部门依照下列规定处以罚款：（一）发生一般事故的，处上一年年收入百分之四十的罚款。</w:t>
      </w:r>
    </w:p>
    <w:p w14:paraId="118740C7">
      <w:pPr>
        <w:pStyle w:val="6"/>
        <w:snapToGrid w:val="0"/>
      </w:pPr>
      <w:r>
        <w:rPr>
          <w:rFonts w:hint="eastAsia" w:ascii="宋体" w:hAnsi="宋体" w:eastAsia="宋体" w:cs="宋体"/>
          <w:sz w:val="18"/>
          <w:szCs w:val="18"/>
          <w:lang w:val="en-US" w:eastAsia="zh-CN"/>
        </w:rPr>
        <w:t>[</w:t>
      </w:r>
      <w:r>
        <w:rPr>
          <w:rFonts w:hint="eastAsia" w:ascii="宋体" w:hAnsi="宋体" w:cs="宋体"/>
          <w:sz w:val="18"/>
          <w:szCs w:val="18"/>
          <w:lang w:val="en-US" w:eastAsia="zh-CN"/>
        </w:rPr>
        <w:t>3</w:t>
      </w:r>
      <w:r>
        <w:rPr>
          <w:rFonts w:hint="eastAsia" w:ascii="宋体" w:hAnsi="宋体" w:eastAsia="宋体" w:cs="宋体"/>
          <w:sz w:val="18"/>
          <w:szCs w:val="18"/>
          <w:lang w:val="en-US" w:eastAsia="zh-CN"/>
        </w:rPr>
        <w:t>]</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《中华人民共和国安全生产法》第二十八条第一款：生产经营单位应当对从业人员进行安全生产教育和培训，保证从业人员具备必要的安全生产知识，熟悉有关的安全生产规章制度和安全操作规程，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w:t>
      </w:r>
      <w:r>
        <w:rPr>
          <w:rFonts w:hint="eastAsia" w:ascii="宋体" w:hAnsi="宋体" w:cs="宋体"/>
          <w:sz w:val="18"/>
          <w:szCs w:val="18"/>
          <w:lang w:val="en-US" w:eastAsia="zh-CN"/>
        </w:rPr>
        <w:t>未经安全生产教育和培训合格的从业人员，不得上岗作业。</w:t>
      </w:r>
    </w:p>
    <w:p w14:paraId="5FC57620">
      <w:pPr>
        <w:pStyle w:val="6"/>
        <w:snapToGrid w:val="0"/>
      </w:pPr>
      <w:r>
        <w:rPr>
          <w:rFonts w:hint="eastAsia" w:ascii="宋体" w:hAnsi="宋体" w:cs="宋体"/>
          <w:sz w:val="18"/>
          <w:szCs w:val="18"/>
          <w:lang w:val="en-US" w:eastAsia="zh-CN"/>
        </w:rPr>
        <w:t xml:space="preserve">[4] </w:t>
      </w:r>
      <w:r>
        <w:rPr>
          <w:rFonts w:hint="eastAsia" w:ascii="宋体" w:hAnsi="宋体" w:eastAsia="宋体" w:cs="宋体"/>
          <w:sz w:val="18"/>
          <w:szCs w:val="18"/>
          <w:lang w:val="en-US" w:eastAsia="zh-CN"/>
        </w:rPr>
        <w:t>《中华人民共和国安全生产法》第四十一条第二款：生产经营单位应当建立健全并落实生产安全事故隐患排查治理制度，采取技术、管理措施，及时发现并消除事故隐患。</w:t>
      </w:r>
    </w:p>
  </w:footnote>
  <w:footnote w:id="2">
    <w:p w14:paraId="2E22A37E">
      <w:pPr>
        <w:keepNext w:val="0"/>
        <w:keepLines w:val="0"/>
        <w:widowControl/>
        <w:suppressLineNumbers w:val="0"/>
        <w:jc w:val="left"/>
      </w:pPr>
      <w:r>
        <w:rPr>
          <w:rStyle w:val="11"/>
        </w:rPr>
        <w:t>[</w:t>
      </w:r>
      <w:r>
        <w:rPr>
          <w:rStyle w:val="11"/>
        </w:rPr>
        <w:footnoteRef/>
      </w:r>
      <w:r>
        <w:rPr>
          <w:rStyle w:val="11"/>
        </w:rPr>
        <w:t>]</w:t>
      </w:r>
      <w:r>
        <w:t xml:space="preserve"> </w:t>
      </w:r>
      <w:r>
        <w:rPr>
          <w:rFonts w:hint="eastAsia" w:ascii="宋体" w:hAnsi="宋体" w:eastAsia="宋体" w:cs="宋体"/>
          <w:color w:val="000000"/>
          <w:kern w:val="0"/>
          <w:sz w:val="18"/>
          <w:szCs w:val="18"/>
          <w:lang w:val="en-US" w:eastAsia="zh-CN" w:bidi="ar"/>
        </w:rPr>
        <w:t xml:space="preserve">《中华人民共和国安全生产法》第九十六条：生产经营单位的其他负责人和安全生产管理人员未履行本 </w:t>
      </w:r>
    </w:p>
    <w:p w14:paraId="3A6A18F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法规定的安全生产管理职责的， 导致发生生产安全事故的，暂停或者吊销其与安全生产有关的资格，并处 </w:t>
      </w:r>
    </w:p>
    <w:p w14:paraId="48C2BE0D">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上一年年收入百分之二十以上百分之五十以下的罚款。</w:t>
      </w:r>
    </w:p>
  </w:footnote>
  <w:footnote w:id="3">
    <w:p w14:paraId="121F1BB5">
      <w:pPr>
        <w:pStyle w:val="6"/>
        <w:snapToGrid w:val="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r>
        <w:rPr>
          <w:rFonts w:hint="eastAsia" w:ascii="宋体" w:hAnsi="宋体" w:cs="宋体"/>
          <w:sz w:val="18"/>
          <w:szCs w:val="18"/>
          <w:lang w:val="en-US" w:eastAsia="zh-CN"/>
        </w:rPr>
        <w:t>5</w:t>
      </w:r>
      <w:r>
        <w:rPr>
          <w:rFonts w:hint="eastAsia" w:ascii="宋体" w:hAnsi="宋体" w:eastAsia="宋体" w:cs="宋体"/>
          <w:sz w:val="18"/>
          <w:szCs w:val="18"/>
          <w:lang w:val="en-US" w:eastAsia="zh-CN"/>
        </w:rPr>
        <w:t>]</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中华人民共和国安全生产法》第一百一十四条第一项：发生生产安全事故，对负有责任的生产经营单位除要求其依法承担相应的赔偿等责任外，由应急管理部门依照下列规定处以罚款：（一）发生一般事故的，处三十万元以上一百万元以下的罚款。</w:t>
      </w:r>
    </w:p>
    <w:p w14:paraId="4393E0EB">
      <w:pPr>
        <w:pStyle w:val="6"/>
        <w:snapToGrid w:val="0"/>
      </w:pPr>
    </w:p>
  </w:footnote>
  <w:footnote w:id="4">
    <w:p w14:paraId="612FD550">
      <w:pPr>
        <w:pStyle w:val="6"/>
        <w:snapToGrid w:val="0"/>
      </w:pPr>
    </w:p>
  </w:footnote>
  <w:footnote w:id="5">
    <w:p w14:paraId="59F56043">
      <w:pPr>
        <w:pStyle w:val="6"/>
        <w:snapToGri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8C5D39"/>
    <w:multiLevelType w:val="singleLevel"/>
    <w:tmpl w:val="2D8C5D39"/>
    <w:lvl w:ilvl="0" w:tentative="0">
      <w:start w:val="1"/>
      <w:numFmt w:val="chineseCounting"/>
      <w:suff w:val="nothing"/>
      <w:lvlText w:val="%1、"/>
      <w:lvlJc w:val="left"/>
      <w:pPr>
        <w:ind w:left="210" w:firstLine="420"/>
      </w:pPr>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2"/>
    <w:footnote w:id="1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053CA"/>
    <w:rsid w:val="056F02F5"/>
    <w:rsid w:val="07591FC8"/>
    <w:rsid w:val="0E7771D7"/>
    <w:rsid w:val="1D0A1567"/>
    <w:rsid w:val="1D880AB9"/>
    <w:rsid w:val="21470E42"/>
    <w:rsid w:val="226D4721"/>
    <w:rsid w:val="249F329C"/>
    <w:rsid w:val="27141D09"/>
    <w:rsid w:val="27851C74"/>
    <w:rsid w:val="27CC7B26"/>
    <w:rsid w:val="2944250C"/>
    <w:rsid w:val="2A952A67"/>
    <w:rsid w:val="32272ACB"/>
    <w:rsid w:val="32BA72E5"/>
    <w:rsid w:val="333B4D6B"/>
    <w:rsid w:val="34014CC9"/>
    <w:rsid w:val="357D3976"/>
    <w:rsid w:val="40AD2461"/>
    <w:rsid w:val="40E63B32"/>
    <w:rsid w:val="419B043D"/>
    <w:rsid w:val="48A01684"/>
    <w:rsid w:val="49C04561"/>
    <w:rsid w:val="4CC525BB"/>
    <w:rsid w:val="4E0F6509"/>
    <w:rsid w:val="4F6E1CD3"/>
    <w:rsid w:val="51954F96"/>
    <w:rsid w:val="5B6EA94D"/>
    <w:rsid w:val="5BFFDF6A"/>
    <w:rsid w:val="5CB84210"/>
    <w:rsid w:val="5DDD2C67"/>
    <w:rsid w:val="61EB53EA"/>
    <w:rsid w:val="6A343B3C"/>
    <w:rsid w:val="6AFCEC69"/>
    <w:rsid w:val="6B405AF4"/>
    <w:rsid w:val="72966166"/>
    <w:rsid w:val="79FE2507"/>
    <w:rsid w:val="7B553603"/>
    <w:rsid w:val="7FDA6379"/>
    <w:rsid w:val="8F59699D"/>
    <w:rsid w:val="EDB9DCE4"/>
    <w:rsid w:val="FDEB8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qFormat/>
    <w:uiPriority w:val="1"/>
  </w:style>
  <w:style w:type="table" w:default="1" w:styleId="8">
    <w:name w:val="Normal Table"/>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footnote text"/>
    <w:basedOn w:val="1"/>
    <w:qFormat/>
    <w:uiPriority w:val="0"/>
    <w:pPr>
      <w:snapToGrid w:val="0"/>
      <w:jc w:val="left"/>
    </w:pPr>
    <w:rPr>
      <w:sz w:val="18"/>
    </w:rPr>
  </w:style>
  <w:style w:type="paragraph" w:styleId="7">
    <w:name w:val="toc 2"/>
    <w:basedOn w:val="1"/>
    <w:next w:val="1"/>
    <w:qFormat/>
    <w:uiPriority w:val="0"/>
    <w:pPr>
      <w:ind w:left="420" w:leftChars="200"/>
    </w:pPr>
  </w:style>
  <w:style w:type="character" w:styleId="10">
    <w:name w:val="annotation reference"/>
    <w:qFormat/>
    <w:uiPriority w:val="0"/>
    <w:rPr>
      <w:sz w:val="21"/>
      <w:szCs w:val="21"/>
    </w:rPr>
  </w:style>
  <w:style w:type="character" w:styleId="11">
    <w:name w:val="footnote reference"/>
    <w:basedOn w:val="9"/>
    <w:qFormat/>
    <w:uiPriority w:val="0"/>
    <w:rPr>
      <w:vertAlign w:val="superscript"/>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styleId="14">
    <w:name w:val="No Spacing"/>
    <w:link w:val="15"/>
    <w:qFormat/>
    <w:uiPriority w:val="1"/>
    <w:rPr>
      <w:rFonts w:ascii="Calibri" w:hAnsi="Calibri" w:eastAsia="宋体" w:cs="宋体"/>
      <w:kern w:val="0"/>
      <w:sz w:val="22"/>
      <w:szCs w:val="22"/>
      <w:lang w:val="en-US" w:eastAsia="zh-CN" w:bidi="ar-SA"/>
    </w:rPr>
  </w:style>
  <w:style w:type="character" w:customStyle="1" w:styleId="15">
    <w:name w:val="无间隔 Char"/>
    <w:basedOn w:val="9"/>
    <w:link w:val="14"/>
    <w:qFormat/>
    <w:uiPriority w:val="1"/>
    <w:rPr>
      <w:kern w:val="0"/>
      <w:sz w:val="22"/>
    </w:rPr>
  </w:style>
  <w:style w:type="character" w:customStyle="1" w:styleId="16">
    <w:name w:val="UserStyle_7"/>
    <w:qFormat/>
    <w:uiPriority w:val="0"/>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paragraph" w:customStyle="1" w:styleId="19">
    <w:name w:val="WPSOffice手动目录 3"/>
    <w:qFormat/>
    <w:uiPriority w:val="0"/>
    <w:pPr>
      <w:ind w:leftChars="400"/>
    </w:pPr>
    <w:rPr>
      <w:rFonts w:ascii="Times New Roman" w:hAnsi="Times New Roman" w:eastAsia="宋体" w:cs="Times New Roman"/>
      <w:sz w:val="20"/>
      <w:szCs w:val="20"/>
    </w:rPr>
  </w:style>
  <w:style w:type="paragraph" w:customStyle="1" w:styleId="20">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902B4-065C-41C2-AA11-26F0B3C64998}">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6639</Words>
  <Characters>6908</Characters>
  <Paragraphs>118</Paragraphs>
  <TotalTime>6</TotalTime>
  <ScaleCrop>false</ScaleCrop>
  <LinksUpToDate>false</LinksUpToDate>
  <CharactersWithSpaces>7008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2022-08-30T01:06:00Z</dcterms:created>
  <dc:creator>Windows 用户</dc:creator>
  <cp:lastModifiedBy>Administrator</cp:lastModifiedBy>
  <cp:lastPrinted>2026-08-21T18:14:00Z</cp:lastPrinted>
  <dcterms:modified xsi:type="dcterms:W3CDTF">2026-09-10T08:04:59Z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DC2459AD947788C74C1C476AFB8741B7_43</vt:lpwstr>
  </property>
  <property fmtid="{D5CDD505-2E9C-101B-9397-08002B2CF9AE}" pid="4" name="KSOTemplateDocerSaveRecord">
    <vt:lpwstr>eyJoZGlkIjoiNTQ5N2Y5YjIxODIwYTIyYmYzNTdlNDY1NWIzOThjODYifQ==</vt:lpwstr>
  </property>
</Properties>
</file>