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color w:val="auto"/>
          <w:sz w:val="32"/>
        </w:rPr>
      </w:pPr>
      <w:r>
        <w:rPr>
          <w:rFonts w:ascii="黑体" w:eastAsia="黑体"/>
          <w:color w:val="auto"/>
          <w:sz w:val="32"/>
        </w:rPr>
        <w:t>附件2</w:t>
      </w:r>
    </w:p>
    <w:p>
      <w:pPr>
        <w:pStyle w:val="6"/>
        <w:rPr>
          <w:rFonts w:hint="default"/>
          <w:b/>
          <w:color w:val="auto"/>
          <w:sz w:val="44"/>
        </w:rPr>
      </w:pPr>
    </w:p>
    <w:p>
      <w:pPr>
        <w:pStyle w:val="6"/>
        <w:rPr>
          <w:rFonts w:hint="default"/>
          <w:b/>
          <w:color w:val="auto"/>
          <w:sz w:val="44"/>
        </w:rPr>
      </w:pPr>
    </w:p>
    <w:p>
      <w:pPr>
        <w:pStyle w:val="6"/>
        <w:rPr>
          <w:rFonts w:hint="default"/>
          <w:b/>
          <w:color w:val="auto"/>
          <w:sz w:val="44"/>
        </w:rPr>
      </w:pPr>
    </w:p>
    <w:p>
      <w:pPr>
        <w:pStyle w:val="6"/>
        <w:rPr>
          <w:rFonts w:hint="default"/>
          <w:b/>
          <w:color w:val="auto"/>
          <w:sz w:val="44"/>
        </w:rPr>
      </w:pPr>
    </w:p>
    <w:p>
      <w:pPr>
        <w:pStyle w:val="6"/>
        <w:bidi w:val="0"/>
        <w:rPr>
          <w:rFonts w:hint="default"/>
          <w:color w:val="auto"/>
        </w:rPr>
      </w:pPr>
    </w:p>
    <w:p>
      <w:pPr>
        <w:pStyle w:val="6"/>
        <w:rPr>
          <w:rFonts w:hint="default"/>
          <w:b/>
          <w:color w:val="auto"/>
          <w:sz w:val="44"/>
        </w:rPr>
      </w:pPr>
    </w:p>
    <w:p>
      <w:pPr>
        <w:spacing w:line="540" w:lineRule="exact"/>
        <w:jc w:val="center"/>
        <w:rPr>
          <w:rFonts w:hint="eastAsia" w:ascii="宋体" w:hAnsi="宋体"/>
          <w:b/>
          <w:color w:val="auto"/>
          <w:sz w:val="52"/>
          <w:szCs w:val="52"/>
          <w:lang w:eastAsia="zh-CN"/>
        </w:rPr>
      </w:pPr>
      <w:r>
        <w:rPr>
          <w:rFonts w:hint="eastAsia" w:ascii="宋体" w:hAnsi="宋体"/>
          <w:b/>
          <w:color w:val="auto"/>
          <w:sz w:val="52"/>
          <w:szCs w:val="52"/>
          <w:lang w:eastAsia="zh-CN"/>
        </w:rPr>
        <w:t>沈阳市公安局浑南分局</w:t>
      </w:r>
    </w:p>
    <w:p>
      <w:pPr>
        <w:spacing w:line="540" w:lineRule="exact"/>
        <w:jc w:val="center"/>
        <w:rPr>
          <w:rFonts w:hint="default" w:ascii="仿宋_GB2312" w:eastAsia="仿宋_GB2312"/>
          <w:b/>
          <w:color w:val="auto"/>
          <w:sz w:val="52"/>
        </w:rPr>
      </w:pPr>
      <w:r>
        <w:rPr>
          <w:rFonts w:hint="eastAsia" w:ascii="宋体" w:hAnsi="宋体"/>
          <w:b/>
          <w:color w:val="auto"/>
          <w:sz w:val="52"/>
          <w:szCs w:val="52"/>
          <w:lang w:eastAsia="zh-CN"/>
        </w:rPr>
        <w:t>202</w:t>
      </w:r>
      <w:r>
        <w:rPr>
          <w:rFonts w:hint="eastAsia" w:ascii="宋体" w:hAnsi="宋体"/>
          <w:b/>
          <w:color w:val="auto"/>
          <w:sz w:val="52"/>
          <w:szCs w:val="52"/>
          <w:lang w:val="en-US" w:eastAsia="zh-CN"/>
        </w:rPr>
        <w:t>2</w:t>
      </w:r>
      <w:r>
        <w:rPr>
          <w:rFonts w:hint="eastAsia" w:ascii="宋体" w:hAnsi="宋体"/>
          <w:b/>
          <w:color w:val="auto"/>
          <w:sz w:val="52"/>
          <w:szCs w:val="52"/>
        </w:rPr>
        <w:t>决算</w:t>
      </w:r>
      <w:r>
        <w:rPr>
          <w:rFonts w:hint="eastAsia" w:ascii="宋体" w:hAnsi="宋体"/>
          <w:b/>
          <w:color w:val="auto"/>
          <w:sz w:val="52"/>
          <w:szCs w:val="52"/>
          <w:lang w:eastAsia="zh-CN"/>
        </w:rPr>
        <w:t>说明</w:t>
      </w:r>
    </w:p>
    <w:p>
      <w:pPr>
        <w:pStyle w:val="6"/>
        <w:jc w:val="center"/>
        <w:rPr>
          <w:rFonts w:hint="default" w:ascii="仿宋_GB2312" w:eastAsia="仿宋_GB2312"/>
          <w:b/>
          <w:color w:val="auto"/>
          <w:sz w:val="52"/>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jc w:val="center"/>
        <w:rPr>
          <w:rFonts w:hint="default" w:ascii="Times New Roman" w:eastAsia="Times New Roman"/>
          <w:b/>
          <w:color w:val="auto"/>
          <w:sz w:val="44"/>
          <w:u w:val="single"/>
        </w:rPr>
      </w:pPr>
    </w:p>
    <w:p>
      <w:pPr>
        <w:pStyle w:val="6"/>
        <w:spacing w:line="560" w:lineRule="exact"/>
        <w:jc w:val="center"/>
        <w:rPr>
          <w:b/>
          <w:color w:val="auto"/>
          <w:sz w:val="44"/>
        </w:rPr>
      </w:pPr>
    </w:p>
    <w:p>
      <w:pPr>
        <w:pStyle w:val="6"/>
        <w:spacing w:line="560" w:lineRule="exact"/>
        <w:jc w:val="center"/>
        <w:rPr>
          <w:rFonts w:hint="default" w:ascii="Times New Roman" w:eastAsia="Times New Roman"/>
          <w:b/>
          <w:color w:val="auto"/>
          <w:sz w:val="44"/>
        </w:rPr>
      </w:pPr>
      <w:r>
        <w:rPr>
          <w:b/>
          <w:color w:val="auto"/>
          <w:sz w:val="44"/>
        </w:rPr>
        <w:t>目</w:t>
      </w:r>
      <w:r>
        <w:rPr>
          <w:rFonts w:hint="default" w:ascii="Times New Roman" w:hAnsi="Times New Roman"/>
          <w:b/>
          <w:color w:val="auto"/>
          <w:sz w:val="44"/>
        </w:rPr>
        <w:t xml:space="preserve">    </w:t>
      </w:r>
      <w:r>
        <w:rPr>
          <w:b/>
          <w:color w:val="auto"/>
          <w:sz w:val="44"/>
        </w:rPr>
        <w:t>录</w:t>
      </w:r>
    </w:p>
    <w:p>
      <w:pPr>
        <w:pStyle w:val="6"/>
        <w:spacing w:line="560" w:lineRule="exact"/>
        <w:rPr>
          <w:rFonts w:hint="default" w:ascii="Times New Roman" w:eastAsia="Times New Roman"/>
          <w:b/>
          <w:color w:val="auto"/>
          <w:sz w:val="44"/>
          <w:u w:val="single"/>
        </w:rPr>
      </w:pPr>
    </w:p>
    <w:p>
      <w:pPr>
        <w:pStyle w:val="6"/>
        <w:spacing w:line="560" w:lineRule="exact"/>
        <w:rPr>
          <w:rFonts w:hint="default" w:ascii="黑体" w:eastAsia="黑体"/>
          <w:color w:val="auto"/>
          <w:sz w:val="32"/>
        </w:rPr>
      </w:pPr>
      <w:r>
        <w:rPr>
          <w:rFonts w:ascii="黑体" w:eastAsia="黑体"/>
          <w:color w:val="auto"/>
          <w:sz w:val="32"/>
        </w:rPr>
        <w:t xml:space="preserve">第一部分   </w:t>
      </w:r>
      <w:r>
        <w:rPr>
          <w:rFonts w:hint="eastAsia" w:ascii="黑体" w:eastAsia="黑体"/>
          <w:color w:val="auto"/>
          <w:sz w:val="32"/>
          <w:lang w:val="en-US" w:eastAsia="zh-CN"/>
        </w:rPr>
        <w:t>沈阳市公安局浑南分局</w:t>
      </w:r>
      <w:r>
        <w:rPr>
          <w:rFonts w:ascii="黑体" w:eastAsia="黑体"/>
          <w:color w:val="auto"/>
          <w:sz w:val="32"/>
        </w:rPr>
        <w:t>概况</w:t>
      </w:r>
    </w:p>
    <w:p>
      <w:pPr>
        <w:pStyle w:val="6"/>
        <w:spacing w:line="560" w:lineRule="exact"/>
        <w:ind w:left="720" w:hanging="720"/>
        <w:rPr>
          <w:rFonts w:hint="default" w:ascii="仿宋_GB2312" w:eastAsia="仿宋_GB2312"/>
          <w:color w:val="auto"/>
          <w:sz w:val="32"/>
        </w:rPr>
      </w:pPr>
      <w:r>
        <w:rPr>
          <w:rFonts w:ascii="Times New Roman" w:hAnsi="Times New Roman"/>
          <w:color w:val="auto"/>
          <w:sz w:val="32"/>
        </w:rPr>
        <w:t>一、</w:t>
      </w:r>
      <w:r>
        <w:rPr>
          <w:rFonts w:ascii="仿宋_GB2312" w:eastAsia="仿宋_GB2312"/>
          <w:color w:val="auto"/>
          <w:sz w:val="32"/>
        </w:rPr>
        <w:t>主要职责</w:t>
      </w:r>
    </w:p>
    <w:p>
      <w:pPr>
        <w:pStyle w:val="6"/>
        <w:spacing w:line="560" w:lineRule="exact"/>
        <w:rPr>
          <w:rFonts w:hint="default" w:ascii="仿宋_GB2312" w:eastAsia="仿宋_GB2312"/>
          <w:color w:val="auto"/>
          <w:sz w:val="32"/>
        </w:rPr>
      </w:pPr>
      <w:r>
        <w:rPr>
          <w:rFonts w:ascii="仿宋_GB2312" w:eastAsia="仿宋_GB2312"/>
          <w:color w:val="auto"/>
          <w:sz w:val="32"/>
        </w:rPr>
        <w:t>二、决算单位构成</w:t>
      </w:r>
    </w:p>
    <w:p>
      <w:pPr>
        <w:pStyle w:val="6"/>
        <w:spacing w:line="560" w:lineRule="exact"/>
        <w:rPr>
          <w:rFonts w:hint="default" w:ascii="黑体" w:eastAsia="黑体"/>
          <w:color w:val="auto"/>
          <w:sz w:val="32"/>
        </w:rPr>
      </w:pPr>
      <w:r>
        <w:rPr>
          <w:rFonts w:ascii="黑体" w:eastAsia="黑体"/>
          <w:color w:val="auto"/>
          <w:sz w:val="32"/>
        </w:rPr>
        <w:t xml:space="preserve">第二部分   </w:t>
      </w:r>
      <w:r>
        <w:rPr>
          <w:rFonts w:hint="eastAsia" w:ascii="黑体" w:eastAsia="黑体"/>
          <w:color w:val="auto"/>
          <w:sz w:val="32"/>
          <w:lang w:val="en-US" w:eastAsia="zh-CN"/>
        </w:rPr>
        <w:t>沈阳市公安局浑南分局</w:t>
      </w:r>
      <w:r>
        <w:rPr>
          <w:rFonts w:hint="eastAsia" w:ascii="黑体" w:eastAsia="黑体"/>
          <w:color w:val="auto"/>
          <w:sz w:val="32"/>
          <w:lang w:eastAsia="zh-CN"/>
        </w:rPr>
        <w:t>2022</w:t>
      </w:r>
      <w:r>
        <w:rPr>
          <w:rFonts w:ascii="黑体" w:eastAsia="黑体"/>
          <w:color w:val="auto"/>
          <w:sz w:val="32"/>
        </w:rPr>
        <w:t>年决算情况说明</w:t>
      </w:r>
    </w:p>
    <w:p>
      <w:pPr>
        <w:pStyle w:val="6"/>
        <w:spacing w:line="560" w:lineRule="exact"/>
        <w:rPr>
          <w:rFonts w:hint="default" w:ascii="仿宋_GB2312" w:eastAsia="仿宋_GB2312"/>
          <w:color w:val="auto"/>
          <w:sz w:val="32"/>
        </w:rPr>
      </w:pPr>
      <w:r>
        <w:rPr>
          <w:rFonts w:ascii="仿宋_GB2312" w:eastAsia="仿宋_GB2312"/>
          <w:color w:val="auto"/>
          <w:sz w:val="32"/>
        </w:rPr>
        <w:t>一、收入支出决算总体情况说明</w:t>
      </w:r>
    </w:p>
    <w:p>
      <w:pPr>
        <w:pStyle w:val="6"/>
        <w:spacing w:line="560" w:lineRule="exact"/>
        <w:rPr>
          <w:rFonts w:hint="default" w:ascii="仿宋_GB2312" w:eastAsia="仿宋_GB2312"/>
          <w:color w:val="auto"/>
          <w:sz w:val="32"/>
        </w:rPr>
      </w:pPr>
      <w:r>
        <w:rPr>
          <w:rFonts w:ascii="仿宋_GB2312" w:eastAsia="仿宋_GB2312"/>
          <w:color w:val="auto"/>
          <w:sz w:val="32"/>
        </w:rPr>
        <w:t>二、财政拨款收入支出决算情况说明</w:t>
      </w:r>
    </w:p>
    <w:p>
      <w:pPr>
        <w:pStyle w:val="6"/>
        <w:spacing w:line="560" w:lineRule="exact"/>
        <w:rPr>
          <w:rFonts w:hint="default" w:ascii="仿宋_GB2312" w:eastAsia="仿宋_GB2312"/>
          <w:color w:val="auto"/>
          <w:sz w:val="32"/>
        </w:rPr>
      </w:pPr>
      <w:r>
        <w:rPr>
          <w:rFonts w:ascii="仿宋_GB2312" w:eastAsia="仿宋_GB2312"/>
          <w:color w:val="auto"/>
          <w:sz w:val="32"/>
        </w:rPr>
        <w:t>三、一般公共预算财政拨款“三公”经费支出决算情况说明</w:t>
      </w:r>
    </w:p>
    <w:p>
      <w:pPr>
        <w:pStyle w:val="6"/>
        <w:spacing w:line="560" w:lineRule="exact"/>
        <w:rPr>
          <w:rFonts w:hint="default" w:ascii="仿宋_GB2312" w:eastAsia="仿宋_GB2312"/>
          <w:color w:val="auto"/>
          <w:sz w:val="32"/>
        </w:rPr>
      </w:pPr>
      <w:r>
        <w:rPr>
          <w:rFonts w:ascii="仿宋_GB2312" w:eastAsia="仿宋_GB2312"/>
          <w:color w:val="auto"/>
          <w:sz w:val="32"/>
        </w:rPr>
        <w:t>四、一般公共预算财政拨款基本支出决算情况说明</w:t>
      </w:r>
    </w:p>
    <w:p>
      <w:pPr>
        <w:pStyle w:val="6"/>
        <w:spacing w:line="560" w:lineRule="exact"/>
        <w:rPr>
          <w:rFonts w:hint="default" w:ascii="黑体" w:eastAsia="黑体"/>
          <w:color w:val="auto"/>
          <w:sz w:val="32"/>
        </w:rPr>
      </w:pPr>
      <w:r>
        <w:rPr>
          <w:rFonts w:ascii="仿宋_GB2312" w:eastAsia="仿宋_GB2312"/>
          <w:color w:val="auto"/>
          <w:sz w:val="32"/>
        </w:rPr>
        <w:t>五、其他重要事项的情况说明</w:t>
      </w:r>
    </w:p>
    <w:p>
      <w:pPr>
        <w:pStyle w:val="6"/>
        <w:spacing w:line="560" w:lineRule="exact"/>
        <w:rPr>
          <w:rFonts w:hint="default" w:ascii="黑体" w:eastAsia="黑体"/>
          <w:color w:val="auto"/>
          <w:sz w:val="32"/>
        </w:rPr>
      </w:pPr>
      <w:r>
        <w:rPr>
          <w:rFonts w:ascii="黑体" w:eastAsia="黑体"/>
          <w:color w:val="auto"/>
          <w:sz w:val="32"/>
        </w:rPr>
        <w:t>第三部分   名词解释</w:t>
      </w:r>
    </w:p>
    <w:p>
      <w:pPr>
        <w:pStyle w:val="6"/>
        <w:spacing w:line="560" w:lineRule="exact"/>
        <w:rPr>
          <w:rFonts w:ascii="黑体" w:eastAsia="黑体"/>
          <w:color w:val="auto"/>
          <w:sz w:val="32"/>
        </w:rPr>
      </w:pPr>
      <w:r>
        <w:rPr>
          <w:rFonts w:ascii="黑体" w:eastAsia="黑体"/>
          <w:color w:val="auto"/>
          <w:sz w:val="32"/>
        </w:rPr>
        <w:t xml:space="preserve">第四部分   </w:t>
      </w:r>
      <w:r>
        <w:rPr>
          <w:rFonts w:hint="eastAsia" w:ascii="黑体" w:eastAsia="黑体"/>
          <w:color w:val="auto"/>
          <w:sz w:val="32"/>
          <w:lang w:val="en-US" w:eastAsia="zh-CN"/>
        </w:rPr>
        <w:t>沈阳市公安局浑南分局</w:t>
      </w:r>
      <w:r>
        <w:rPr>
          <w:rFonts w:hint="eastAsia" w:ascii="黑体" w:eastAsia="黑体"/>
          <w:color w:val="auto"/>
          <w:sz w:val="32"/>
          <w:lang w:eastAsia="zh-CN"/>
        </w:rPr>
        <w:t>2022</w:t>
      </w:r>
      <w:r>
        <w:rPr>
          <w:rFonts w:ascii="黑体" w:eastAsia="黑体"/>
          <w:color w:val="auto"/>
          <w:sz w:val="32"/>
        </w:rPr>
        <w:t>年决算报表</w:t>
      </w:r>
    </w:p>
    <w:p>
      <w:pPr>
        <w:pStyle w:val="6"/>
        <w:spacing w:line="560" w:lineRule="exact"/>
        <w:rPr>
          <w:rFonts w:hint="default" w:ascii="仿宋_GB2312" w:eastAsia="仿宋_GB2312"/>
          <w:color w:val="auto"/>
          <w:sz w:val="32"/>
        </w:rPr>
      </w:pPr>
      <w:r>
        <w:rPr>
          <w:rFonts w:ascii="仿宋_GB2312" w:eastAsia="仿宋_GB2312"/>
          <w:color w:val="auto"/>
          <w:sz w:val="32"/>
        </w:rPr>
        <w:t>一、收入支出决算总表</w:t>
      </w:r>
    </w:p>
    <w:p>
      <w:pPr>
        <w:pStyle w:val="6"/>
        <w:spacing w:line="560" w:lineRule="exact"/>
        <w:rPr>
          <w:rFonts w:hint="default" w:ascii="仿宋_GB2312" w:eastAsia="仿宋_GB2312"/>
          <w:color w:val="auto"/>
          <w:sz w:val="32"/>
        </w:rPr>
      </w:pPr>
      <w:r>
        <w:rPr>
          <w:rFonts w:ascii="仿宋_GB2312" w:eastAsia="仿宋_GB2312"/>
          <w:color w:val="auto"/>
          <w:sz w:val="32"/>
        </w:rPr>
        <w:t>二、收入决算表</w:t>
      </w:r>
    </w:p>
    <w:p>
      <w:pPr>
        <w:pStyle w:val="6"/>
        <w:spacing w:line="560" w:lineRule="exact"/>
        <w:rPr>
          <w:rFonts w:hint="default" w:ascii="仿宋_GB2312" w:eastAsia="仿宋_GB2312"/>
          <w:color w:val="auto"/>
          <w:sz w:val="32"/>
        </w:rPr>
      </w:pPr>
      <w:r>
        <w:rPr>
          <w:rFonts w:ascii="仿宋_GB2312" w:eastAsia="仿宋_GB2312"/>
          <w:color w:val="auto"/>
          <w:sz w:val="32"/>
        </w:rPr>
        <w:t>三、支出决算表</w:t>
      </w:r>
    </w:p>
    <w:p>
      <w:pPr>
        <w:pStyle w:val="6"/>
        <w:spacing w:line="560" w:lineRule="exact"/>
        <w:rPr>
          <w:rFonts w:hint="default" w:ascii="仿宋_GB2312" w:eastAsia="仿宋_GB2312"/>
          <w:color w:val="auto"/>
          <w:sz w:val="32"/>
        </w:rPr>
      </w:pPr>
      <w:r>
        <w:rPr>
          <w:rFonts w:ascii="仿宋_GB2312" w:eastAsia="仿宋_GB2312"/>
          <w:color w:val="auto"/>
          <w:sz w:val="32"/>
        </w:rPr>
        <w:t>四、财政拨款收入支出决算总表</w:t>
      </w:r>
    </w:p>
    <w:p>
      <w:pPr>
        <w:pStyle w:val="6"/>
        <w:spacing w:line="560" w:lineRule="exact"/>
        <w:rPr>
          <w:rFonts w:hint="default" w:ascii="仿宋_GB2312" w:eastAsia="仿宋_GB2312"/>
          <w:color w:val="auto"/>
          <w:sz w:val="32"/>
        </w:rPr>
      </w:pPr>
      <w:r>
        <w:rPr>
          <w:rFonts w:ascii="仿宋_GB2312" w:eastAsia="仿宋_GB2312"/>
          <w:color w:val="auto"/>
          <w:sz w:val="32"/>
        </w:rPr>
        <w:t>五、一般公共预算财政拨款支出决算表</w:t>
      </w:r>
    </w:p>
    <w:p>
      <w:pPr>
        <w:pStyle w:val="6"/>
        <w:spacing w:line="560" w:lineRule="exact"/>
        <w:rPr>
          <w:rFonts w:hint="default" w:ascii="仿宋_GB2312" w:eastAsia="仿宋_GB2312"/>
          <w:color w:val="auto"/>
          <w:sz w:val="32"/>
        </w:rPr>
      </w:pPr>
      <w:r>
        <w:rPr>
          <w:rFonts w:ascii="仿宋_GB2312" w:eastAsia="仿宋_GB2312"/>
          <w:color w:val="auto"/>
          <w:sz w:val="32"/>
        </w:rPr>
        <w:t>六、一般公共预算财政拨款基本支出决算表</w:t>
      </w:r>
    </w:p>
    <w:p>
      <w:pPr>
        <w:pStyle w:val="6"/>
        <w:spacing w:line="560" w:lineRule="exact"/>
        <w:rPr>
          <w:rFonts w:hint="default" w:ascii="仿宋_GB2312" w:eastAsia="仿宋_GB2312"/>
          <w:color w:val="auto"/>
          <w:sz w:val="32"/>
        </w:rPr>
      </w:pPr>
      <w:r>
        <w:rPr>
          <w:rFonts w:ascii="仿宋_GB2312" w:eastAsia="仿宋_GB2312"/>
          <w:color w:val="auto"/>
          <w:sz w:val="32"/>
        </w:rPr>
        <w:t>七、政府性基金预算财政拨款收入支出决算表</w:t>
      </w:r>
    </w:p>
    <w:p>
      <w:pPr>
        <w:pStyle w:val="6"/>
        <w:spacing w:line="560" w:lineRule="exact"/>
        <w:rPr>
          <w:rFonts w:hint="default" w:ascii="仿宋_GB2312" w:eastAsia="仿宋_GB2312"/>
          <w:color w:val="auto"/>
          <w:sz w:val="32"/>
        </w:rPr>
      </w:pPr>
      <w:r>
        <w:rPr>
          <w:rFonts w:ascii="仿宋_GB2312" w:eastAsia="仿宋_GB2312"/>
          <w:color w:val="auto"/>
          <w:sz w:val="32"/>
        </w:rPr>
        <w:t>八、一般公共预算财政拨款“三公”经费支出决算表</w:t>
      </w:r>
    </w:p>
    <w:p>
      <w:pPr>
        <w:pStyle w:val="6"/>
        <w:spacing w:line="560" w:lineRule="exact"/>
        <w:rPr>
          <w:rFonts w:ascii="仿宋_GB2312" w:eastAsia="仿宋_GB2312"/>
          <w:color w:val="auto"/>
          <w:sz w:val="32"/>
        </w:rPr>
      </w:pPr>
      <w:r>
        <w:rPr>
          <w:rFonts w:ascii="仿宋_GB2312" w:eastAsia="仿宋_GB2312"/>
          <w:color w:val="auto"/>
          <w:sz w:val="32"/>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rPr>
          <w:rFonts w:hint="default" w:ascii="仿宋_GB2312" w:eastAsia="仿宋_GB2312"/>
          <w:color w:val="auto"/>
          <w:sz w:val="32"/>
        </w:rPr>
      </w:pPr>
    </w:p>
    <w:p>
      <w:pPr>
        <w:pStyle w:val="6"/>
        <w:spacing w:line="560" w:lineRule="exact"/>
        <w:jc w:val="center"/>
        <w:rPr>
          <w:rFonts w:hint="default"/>
          <w:b/>
          <w:color w:val="auto"/>
          <w:sz w:val="36"/>
        </w:rPr>
      </w:pPr>
    </w:p>
    <w:p>
      <w:pPr>
        <w:pStyle w:val="6"/>
        <w:spacing w:line="560" w:lineRule="exact"/>
        <w:jc w:val="center"/>
        <w:rPr>
          <w:rFonts w:hint="default"/>
          <w:b/>
          <w:color w:val="auto"/>
          <w:sz w:val="36"/>
        </w:rPr>
      </w:pPr>
      <w:r>
        <w:rPr>
          <w:b/>
          <w:color w:val="auto"/>
          <w:sz w:val="36"/>
        </w:rPr>
        <w:t xml:space="preserve">第一部分 </w:t>
      </w:r>
      <w:r>
        <w:rPr>
          <w:rFonts w:hint="eastAsia"/>
          <w:b/>
          <w:color w:val="auto"/>
          <w:sz w:val="36"/>
          <w:lang w:val="en-US" w:eastAsia="zh-CN"/>
        </w:rPr>
        <w:t>沈阳市公安局浑南分局</w:t>
      </w:r>
      <w:r>
        <w:rPr>
          <w:b/>
          <w:color w:val="auto"/>
          <w:sz w:val="36"/>
        </w:rPr>
        <w:t>概况</w:t>
      </w:r>
    </w:p>
    <w:p>
      <w:pPr>
        <w:pStyle w:val="6"/>
        <w:spacing w:line="560" w:lineRule="exact"/>
        <w:ind w:firstLine="640"/>
        <w:rPr>
          <w:rFonts w:hint="default" w:ascii="黑体" w:eastAsia="黑体"/>
          <w:color w:val="auto"/>
          <w:sz w:val="32"/>
        </w:rPr>
      </w:pPr>
    </w:p>
    <w:p>
      <w:pPr>
        <w:pStyle w:val="6"/>
        <w:spacing w:line="560" w:lineRule="exact"/>
        <w:ind w:firstLine="640"/>
        <w:rPr>
          <w:rFonts w:hint="default" w:ascii="黑体" w:eastAsia="黑体"/>
          <w:color w:val="auto"/>
          <w:sz w:val="32"/>
        </w:rPr>
      </w:pPr>
      <w:r>
        <w:rPr>
          <w:rFonts w:ascii="黑体" w:eastAsia="黑体"/>
          <w:color w:val="auto"/>
          <w:sz w:val="32"/>
        </w:rPr>
        <w:t>一、主要职责</w:t>
      </w:r>
    </w:p>
    <w:p>
      <w:pPr>
        <w:ind w:firstLine="640" w:firstLineChars="200"/>
        <w:rPr>
          <w:rFonts w:ascii="仿宋_GB2312" w:eastAsia="仿宋_GB2312"/>
          <w:color w:val="auto"/>
          <w:sz w:val="32"/>
          <w:szCs w:val="32"/>
        </w:rPr>
      </w:pPr>
      <w:r>
        <w:rPr>
          <w:rFonts w:ascii="仿宋_GB2312" w:eastAsia="仿宋_GB2312"/>
          <w:color w:val="auto"/>
          <w:sz w:val="32"/>
          <w:szCs w:val="32"/>
        </w:rPr>
        <w:t>（一）贯彻执行国家有关公安工作的方针、政策、法律、法规，研究部署本区的公安工作，指导检查本局内各部门的贯彻执法情况，维护本区的政治及社会治安稳定。</w:t>
      </w:r>
    </w:p>
    <w:p>
      <w:pPr>
        <w:ind w:firstLine="640" w:firstLineChars="200"/>
        <w:rPr>
          <w:rFonts w:ascii="仿宋_GB2312" w:eastAsia="仿宋_GB2312"/>
          <w:color w:val="auto"/>
          <w:sz w:val="32"/>
          <w:szCs w:val="32"/>
        </w:rPr>
      </w:pPr>
      <w:r>
        <w:rPr>
          <w:rFonts w:ascii="仿宋_GB2312" w:eastAsia="仿宋_GB2312"/>
          <w:color w:val="auto"/>
          <w:sz w:val="32"/>
          <w:szCs w:val="32"/>
        </w:rPr>
        <w:t>（二）负责本区“110”报警服务台的接处警，收集信息、分析研究本区的敌情和社会治安情况，向区委、区政府及上级公安机关报告社会治安方面的重要信息，并研究提出对策和措施。</w:t>
      </w:r>
    </w:p>
    <w:p>
      <w:pPr>
        <w:ind w:firstLine="640" w:firstLineChars="200"/>
        <w:rPr>
          <w:rFonts w:ascii="仿宋_GB2312" w:eastAsia="仿宋_GB2312"/>
          <w:color w:val="auto"/>
          <w:sz w:val="32"/>
          <w:szCs w:val="32"/>
        </w:rPr>
      </w:pPr>
      <w:r>
        <w:rPr>
          <w:rFonts w:ascii="仿宋_GB2312" w:eastAsia="仿宋_GB2312"/>
          <w:color w:val="auto"/>
          <w:sz w:val="32"/>
          <w:szCs w:val="32"/>
        </w:rPr>
        <w:t>（三）负责组织开展全区维护稳定工作。针对可能发生的群体性事件，协调组织制定和完善处置工作预案。对发生的群体性事件，及时协调有关部门妥善处置。负责协调组织有关部门做好敏感期、国家重大政治活动和重大节庆、以及国内外重大事件期间的维护稳定工作。</w:t>
      </w:r>
    </w:p>
    <w:p>
      <w:pPr>
        <w:ind w:firstLine="640" w:firstLineChars="200"/>
        <w:rPr>
          <w:rFonts w:ascii="仿宋_GB2312" w:eastAsia="仿宋_GB2312"/>
          <w:color w:val="auto"/>
          <w:sz w:val="32"/>
          <w:szCs w:val="32"/>
        </w:rPr>
      </w:pPr>
      <w:r>
        <w:rPr>
          <w:rFonts w:ascii="仿宋_GB2312" w:eastAsia="仿宋_GB2312"/>
          <w:color w:val="auto"/>
          <w:sz w:val="32"/>
          <w:szCs w:val="32"/>
        </w:rPr>
        <w:t>（四）负责本区内的各种刑事案件的侦破工作，组织全区重大行动，处置各类危害社会治安的事件和重大治安事故。负责辖区内经济案件和涉税案件的侦破工作；负责办理辖区内涉毒违法犯罪案件；对辖区内食品、药品及其他相关领域涉假违法犯罪活动进行侦破。</w:t>
      </w:r>
    </w:p>
    <w:p>
      <w:pPr>
        <w:ind w:firstLine="640" w:firstLineChars="200"/>
        <w:rPr>
          <w:rFonts w:ascii="仿宋_GB2312" w:eastAsia="仿宋_GB2312"/>
          <w:color w:val="auto"/>
          <w:sz w:val="32"/>
          <w:szCs w:val="32"/>
        </w:rPr>
      </w:pPr>
      <w:r>
        <w:rPr>
          <w:rFonts w:ascii="仿宋_GB2312" w:eastAsia="仿宋_GB2312"/>
          <w:color w:val="auto"/>
          <w:sz w:val="32"/>
          <w:szCs w:val="32"/>
        </w:rPr>
        <w:t>（五）负责辖区内的人口管理、安全防范、户口审批、居民身份证管理、人口信息微机管理、自行车管理、保安管理、公民出入境管理，公安外事工作及三资企业管理工作。</w:t>
      </w:r>
    </w:p>
    <w:p>
      <w:pPr>
        <w:ind w:firstLine="640" w:firstLineChars="200"/>
        <w:rPr>
          <w:rFonts w:ascii="仿宋_GB2312" w:eastAsia="仿宋_GB2312"/>
          <w:color w:val="auto"/>
          <w:sz w:val="32"/>
          <w:szCs w:val="32"/>
        </w:rPr>
      </w:pPr>
      <w:r>
        <w:rPr>
          <w:rFonts w:ascii="仿宋_GB2312" w:eastAsia="仿宋_GB2312"/>
          <w:color w:val="auto"/>
          <w:sz w:val="32"/>
          <w:szCs w:val="32"/>
        </w:rPr>
        <w:t>（六）负责辖区内娱乐服务场所和特种行业以及枪支弹药，危险品的管理。负责大型活动的安全保卫和集会游行示威活动的受理和上报以及控犬、音像制品、枪支弹药、危险品及特种行业管理等工作。</w:t>
      </w:r>
    </w:p>
    <w:p>
      <w:pPr>
        <w:ind w:firstLine="640" w:firstLineChars="200"/>
        <w:rPr>
          <w:rFonts w:ascii="仿宋_GB2312" w:eastAsia="仿宋_GB2312"/>
          <w:color w:val="auto"/>
          <w:sz w:val="32"/>
          <w:szCs w:val="32"/>
        </w:rPr>
      </w:pPr>
      <w:r>
        <w:rPr>
          <w:rFonts w:ascii="仿宋_GB2312" w:eastAsia="仿宋_GB2312"/>
          <w:color w:val="auto"/>
          <w:sz w:val="32"/>
          <w:szCs w:val="32"/>
        </w:rPr>
        <w:t>（七）负责指导检查本区内各级机关，团体、学校、企事业单位的内部安全保卫工作。办理企事业单位内部发生的影响生产、科研、经营活动的刑事案件及治安案件等工作。</w:t>
      </w:r>
    </w:p>
    <w:p>
      <w:pPr>
        <w:ind w:firstLine="640" w:firstLineChars="200"/>
        <w:rPr>
          <w:rFonts w:ascii="仿宋_GB2312" w:eastAsia="仿宋_GB2312"/>
          <w:color w:val="auto"/>
          <w:sz w:val="32"/>
          <w:szCs w:val="32"/>
        </w:rPr>
      </w:pPr>
      <w:r>
        <w:rPr>
          <w:rFonts w:eastAsia="仿宋_GB2312"/>
          <w:color w:val="auto"/>
          <w:sz w:val="32"/>
        </w:rPr>
        <w:t>（八）负责指导全区公安法制建设总体规划工作；组织、协调、起草、复核地方性公安法规、规章和规范性文件起草；对公安机关执法情况进行监督检查；组织、指导和办理行政复议、听证、诉讼和国家赔偿工作；负责全区办理的各种行政、刑事案件损失赔偿的裁定；承办刑事案件审核工作。</w:t>
      </w:r>
    </w:p>
    <w:p>
      <w:pPr>
        <w:ind w:firstLine="640" w:firstLineChars="200"/>
        <w:rPr>
          <w:rFonts w:ascii="仿宋_GB2312" w:eastAsia="仿宋_GB2312"/>
          <w:color w:val="auto"/>
          <w:sz w:val="32"/>
          <w:szCs w:val="32"/>
        </w:rPr>
      </w:pPr>
      <w:r>
        <w:rPr>
          <w:rFonts w:ascii="仿宋_GB2312" w:eastAsia="仿宋_GB2312"/>
          <w:color w:val="auto"/>
          <w:sz w:val="32"/>
          <w:szCs w:val="32"/>
        </w:rPr>
        <w:t>（九）负责组织警力参与党和国家领导人，重要外宾的安全警卫工作，以及全区性大型活动的安全保卫工作。</w:t>
      </w:r>
    </w:p>
    <w:p>
      <w:pPr>
        <w:ind w:firstLine="640" w:firstLineChars="200"/>
        <w:rPr>
          <w:rFonts w:ascii="仿宋_GB2312" w:eastAsia="仿宋_GB2312"/>
          <w:color w:val="auto"/>
          <w:sz w:val="32"/>
          <w:szCs w:val="32"/>
        </w:rPr>
      </w:pPr>
      <w:r>
        <w:rPr>
          <w:rFonts w:ascii="仿宋_GB2312" w:eastAsia="仿宋_GB2312"/>
          <w:color w:val="auto"/>
          <w:sz w:val="32"/>
          <w:szCs w:val="32"/>
        </w:rPr>
        <w:t>（十）负责本区内在押人犯的收押、管理、教育工作及监所管理建设工作。</w:t>
      </w:r>
    </w:p>
    <w:p>
      <w:pPr>
        <w:ind w:firstLine="640" w:firstLineChars="200"/>
        <w:rPr>
          <w:rFonts w:ascii="仿宋_GB2312" w:eastAsia="仿宋_GB2312"/>
          <w:color w:val="auto"/>
          <w:sz w:val="32"/>
          <w:szCs w:val="32"/>
        </w:rPr>
      </w:pPr>
      <w:r>
        <w:rPr>
          <w:rFonts w:ascii="仿宋_GB2312" w:eastAsia="仿宋_GB2312"/>
          <w:color w:val="auto"/>
          <w:sz w:val="32"/>
          <w:szCs w:val="32"/>
        </w:rPr>
        <w:t>（十一）负责本区内公共信息网络安全监察管理工作。受理并办理“110”举报信箱的举报件，办理“民心网”交办的市民投诉。</w:t>
      </w:r>
    </w:p>
    <w:p>
      <w:pPr>
        <w:ind w:firstLine="640" w:firstLineChars="200"/>
        <w:rPr>
          <w:rFonts w:ascii="仿宋_GB2312" w:eastAsia="仿宋_GB2312"/>
          <w:color w:val="auto"/>
          <w:sz w:val="32"/>
          <w:szCs w:val="32"/>
        </w:rPr>
      </w:pPr>
      <w:r>
        <w:rPr>
          <w:rFonts w:eastAsia="仿宋_GB2312"/>
          <w:color w:val="auto"/>
          <w:sz w:val="32"/>
        </w:rPr>
        <w:t>（十二）负责指导本局的信访工作，协调各单位处理疑难信访案件；负责受理群众来信来访；负责收集、整理信访信息和信访统计、信访调研工作。</w:t>
      </w:r>
    </w:p>
    <w:p>
      <w:pPr>
        <w:ind w:firstLine="640" w:firstLineChars="200"/>
        <w:rPr>
          <w:rFonts w:ascii="仿宋_GB2312" w:eastAsia="仿宋_GB2312"/>
          <w:color w:val="auto"/>
          <w:sz w:val="32"/>
          <w:szCs w:val="32"/>
        </w:rPr>
      </w:pPr>
      <w:r>
        <w:rPr>
          <w:rFonts w:ascii="仿宋_GB2312" w:eastAsia="仿宋_GB2312"/>
          <w:color w:val="auto"/>
          <w:sz w:val="32"/>
          <w:szCs w:val="32"/>
        </w:rPr>
        <w:t>（十三）负责本区内民警的思想政治教育及队伍建设工作，负责受理群众投诉民警违法违纪并组织调查处理、维护民警正当执法权益工作、开展廉政建设教育，组织本局内各单位的审计、督察工作。</w:t>
      </w:r>
    </w:p>
    <w:p>
      <w:pPr>
        <w:adjustRightInd w:val="0"/>
        <w:spacing w:line="300" w:lineRule="auto"/>
        <w:ind w:firstLine="645"/>
        <w:jc w:val="left"/>
        <w:rPr>
          <w:rFonts w:hint="eastAsia" w:ascii="仿宋_GB2312" w:eastAsia="仿宋_GB2312"/>
          <w:color w:val="auto"/>
          <w:sz w:val="32"/>
          <w:szCs w:val="32"/>
          <w:lang w:eastAsia="zh-CN"/>
        </w:rPr>
      </w:pPr>
      <w:r>
        <w:rPr>
          <w:rFonts w:ascii="仿宋_GB2312" w:eastAsia="仿宋_GB2312"/>
          <w:color w:val="auto"/>
          <w:sz w:val="32"/>
          <w:szCs w:val="32"/>
        </w:rPr>
        <w:t xml:space="preserve">（十四）承办区委、区政府及上级公安机关交办的其他工作。 </w:t>
      </w:r>
    </w:p>
    <w:p>
      <w:pPr>
        <w:pStyle w:val="6"/>
        <w:spacing w:line="560" w:lineRule="exact"/>
        <w:ind w:firstLine="640"/>
        <w:rPr>
          <w:rFonts w:ascii="黑体" w:eastAsia="黑体"/>
          <w:color w:val="auto"/>
          <w:sz w:val="32"/>
        </w:rPr>
      </w:pPr>
      <w:r>
        <w:rPr>
          <w:rFonts w:ascii="黑体" w:eastAsia="黑体"/>
          <w:color w:val="auto"/>
          <w:sz w:val="32"/>
        </w:rPr>
        <w:t>二、决算单位构成</w:t>
      </w:r>
    </w:p>
    <w:p>
      <w:pPr>
        <w:spacing w:line="560" w:lineRule="exact"/>
        <w:ind w:left="840"/>
        <w:rPr>
          <w:rFonts w:ascii="仿宋_GB2312" w:eastAsia="仿宋_GB2312"/>
          <w:color w:val="auto"/>
          <w:sz w:val="32"/>
        </w:rPr>
      </w:pPr>
      <w:r>
        <w:rPr>
          <w:rFonts w:ascii="仿宋_GB2312" w:eastAsia="仿宋_GB2312"/>
          <w:color w:val="auto"/>
          <w:sz w:val="32"/>
        </w:rPr>
        <w:t>本单位无下设机构</w:t>
      </w:r>
    </w:p>
    <w:p>
      <w:pPr>
        <w:pStyle w:val="6"/>
        <w:spacing w:line="560" w:lineRule="exact"/>
        <w:jc w:val="center"/>
        <w:rPr>
          <w:rFonts w:hint="default"/>
          <w:b/>
          <w:color w:val="auto"/>
          <w:sz w:val="36"/>
        </w:rPr>
      </w:pPr>
    </w:p>
    <w:p>
      <w:pPr>
        <w:pStyle w:val="6"/>
        <w:numPr>
          <w:ilvl w:val="0"/>
          <w:numId w:val="1"/>
        </w:numPr>
        <w:spacing w:line="560" w:lineRule="exact"/>
        <w:jc w:val="center"/>
        <w:rPr>
          <w:b/>
          <w:color w:val="auto"/>
          <w:sz w:val="36"/>
        </w:rPr>
      </w:pPr>
      <w:r>
        <w:rPr>
          <w:rFonts w:hint="eastAsia"/>
          <w:b/>
          <w:color w:val="auto"/>
          <w:sz w:val="36"/>
          <w:lang w:val="en-US" w:eastAsia="zh-CN"/>
        </w:rPr>
        <w:t xml:space="preserve"> 沈阳市公安局浑南分局</w:t>
      </w:r>
      <w:r>
        <w:rPr>
          <w:rFonts w:hint="eastAsia"/>
          <w:b/>
          <w:color w:val="auto"/>
          <w:sz w:val="36"/>
          <w:lang w:eastAsia="zh-CN"/>
        </w:rPr>
        <w:t>2022</w:t>
      </w:r>
      <w:r>
        <w:rPr>
          <w:b/>
          <w:color w:val="auto"/>
          <w:sz w:val="36"/>
        </w:rPr>
        <w:t>年决算</w:t>
      </w:r>
    </w:p>
    <w:p>
      <w:pPr>
        <w:pStyle w:val="6"/>
        <w:numPr>
          <w:ilvl w:val="0"/>
          <w:numId w:val="0"/>
        </w:numPr>
        <w:spacing w:line="560" w:lineRule="exact"/>
        <w:ind w:firstLine="3975" w:firstLineChars="1100"/>
        <w:jc w:val="both"/>
        <w:rPr>
          <w:rFonts w:hint="eastAsia" w:eastAsia="宋体"/>
          <w:b/>
          <w:color w:val="auto"/>
          <w:sz w:val="36"/>
          <w:lang w:eastAsia="zh-CN"/>
        </w:rPr>
      </w:pPr>
      <w:r>
        <w:rPr>
          <w:b/>
          <w:color w:val="auto"/>
          <w:sz w:val="36"/>
        </w:rPr>
        <w:t>情况</w:t>
      </w:r>
      <w:r>
        <w:rPr>
          <w:rFonts w:hint="eastAsia"/>
          <w:b/>
          <w:color w:val="auto"/>
          <w:sz w:val="36"/>
          <w:lang w:eastAsia="zh-CN"/>
        </w:rPr>
        <w:t>说明</w:t>
      </w:r>
    </w:p>
    <w:p>
      <w:pPr>
        <w:pStyle w:val="6"/>
        <w:spacing w:line="560" w:lineRule="exact"/>
        <w:ind w:firstLine="640" w:firstLineChars="200"/>
        <w:rPr>
          <w:rFonts w:hint="default" w:ascii="黑体" w:eastAsia="黑体"/>
          <w:color w:val="auto"/>
          <w:sz w:val="32"/>
        </w:rPr>
      </w:pPr>
    </w:p>
    <w:p>
      <w:pPr>
        <w:spacing w:line="540" w:lineRule="exact"/>
        <w:ind w:firstLine="627" w:firstLineChars="196"/>
        <w:rPr>
          <w:rFonts w:hint="eastAsia" w:ascii="黑体" w:hAnsi="黑体" w:eastAsia="黑体"/>
          <w:b/>
          <w:bCs/>
          <w:color w:val="auto"/>
          <w:sz w:val="32"/>
          <w:szCs w:val="32"/>
          <w:lang w:eastAsia="zh-CN"/>
        </w:rPr>
      </w:pPr>
      <w:r>
        <w:rPr>
          <w:rFonts w:ascii="黑体" w:eastAsia="黑体"/>
          <w:color w:val="auto"/>
          <w:sz w:val="32"/>
        </w:rPr>
        <w:t>一、收入支出决算总体情况说明</w:t>
      </w:r>
    </w:p>
    <w:p>
      <w:pPr>
        <w:spacing w:line="540" w:lineRule="exact"/>
        <w:ind w:firstLine="630" w:firstLineChars="196"/>
        <w:rPr>
          <w:rFonts w:hint="default" w:ascii="楷体_GB2312" w:eastAsia="楷体_GB2312"/>
          <w:b/>
          <w:color w:val="auto"/>
          <w:sz w:val="32"/>
        </w:rPr>
      </w:pPr>
      <w:r>
        <w:rPr>
          <w:rFonts w:ascii="楷体_GB2312" w:eastAsia="楷体_GB2312"/>
          <w:b/>
          <w:color w:val="auto"/>
          <w:sz w:val="32"/>
        </w:rPr>
        <w:t>（一）收入总计</w:t>
      </w:r>
      <w:r>
        <w:rPr>
          <w:rFonts w:hint="eastAsia" w:ascii="楷体_GB2312" w:eastAsia="楷体_GB2312"/>
          <w:b/>
          <w:color w:val="auto"/>
          <w:sz w:val="32"/>
          <w:lang w:val="en-US" w:eastAsia="zh-CN"/>
        </w:rPr>
        <w:t>2937.11</w:t>
      </w:r>
      <w:r>
        <w:rPr>
          <w:rFonts w:ascii="楷体_GB2312" w:eastAsia="楷体_GB2312"/>
          <w:b/>
          <w:color w:val="auto"/>
          <w:sz w:val="32"/>
        </w:rPr>
        <w:t>万元，包括：</w:t>
      </w:r>
    </w:p>
    <w:p>
      <w:pPr>
        <w:pStyle w:val="6"/>
        <w:spacing w:line="560" w:lineRule="exact"/>
        <w:ind w:firstLine="660"/>
        <w:rPr>
          <w:rFonts w:hint="eastAsia" w:ascii="仿宋_GB2312" w:eastAsia="仿宋_GB2312"/>
          <w:color w:val="auto"/>
          <w:sz w:val="32"/>
          <w:lang w:eastAsia="zh-CN"/>
        </w:rPr>
      </w:pPr>
      <w:r>
        <w:rPr>
          <w:rFonts w:ascii="仿宋_GB2312" w:eastAsia="仿宋_GB2312"/>
          <w:color w:val="auto"/>
          <w:sz w:val="32"/>
        </w:rPr>
        <w:t>1.财政拨款收入</w:t>
      </w:r>
      <w:r>
        <w:rPr>
          <w:rFonts w:hint="eastAsia" w:ascii="仿宋_GB2312" w:eastAsia="仿宋_GB2312"/>
          <w:color w:val="auto"/>
          <w:sz w:val="32"/>
          <w:lang w:val="en-US" w:eastAsia="zh-CN"/>
        </w:rPr>
        <w:t>2897.26</w:t>
      </w:r>
      <w:r>
        <w:rPr>
          <w:rFonts w:ascii="仿宋_GB2312" w:eastAsia="仿宋_GB2312"/>
          <w:color w:val="auto"/>
          <w:sz w:val="32"/>
        </w:rPr>
        <w:t>万元，占收入总计的</w:t>
      </w:r>
      <w:r>
        <w:rPr>
          <w:rFonts w:hint="eastAsia" w:ascii="仿宋_GB2312" w:eastAsia="仿宋_GB2312"/>
          <w:color w:val="auto"/>
          <w:sz w:val="32"/>
          <w:lang w:val="en-US" w:eastAsia="zh-CN"/>
        </w:rPr>
        <w:t>98.64</w:t>
      </w:r>
      <w:r>
        <w:rPr>
          <w:rFonts w:ascii="仿宋_GB2312" w:eastAsia="仿宋_GB2312"/>
          <w:color w:val="auto"/>
          <w:sz w:val="32"/>
        </w:rPr>
        <w:t>%。</w:t>
      </w:r>
      <w:r>
        <w:rPr>
          <w:rFonts w:hint="eastAsia" w:ascii="仿宋_GB2312" w:eastAsia="仿宋_GB2312"/>
          <w:color w:val="auto"/>
          <w:sz w:val="32"/>
          <w:lang w:eastAsia="zh-CN"/>
        </w:rPr>
        <w:t>均为</w:t>
      </w:r>
      <w:r>
        <w:rPr>
          <w:rFonts w:ascii="仿宋_GB2312" w:eastAsia="仿宋_GB2312"/>
          <w:color w:val="auto"/>
          <w:sz w:val="32"/>
        </w:rPr>
        <w:t>一般公共预算财政拨款收入</w:t>
      </w:r>
      <w:r>
        <w:rPr>
          <w:rFonts w:hint="eastAsia" w:ascii="仿宋_GB2312" w:eastAsia="仿宋_GB2312"/>
          <w:color w:val="auto"/>
          <w:sz w:val="32"/>
          <w:lang w:eastAsia="zh-CN"/>
        </w:rPr>
        <w:t>。</w:t>
      </w:r>
    </w:p>
    <w:p>
      <w:pPr>
        <w:pStyle w:val="6"/>
        <w:spacing w:line="560" w:lineRule="exact"/>
        <w:ind w:firstLine="660"/>
        <w:rPr>
          <w:rFonts w:hint="eastAsia" w:ascii="仿宋_GB2312" w:eastAsia="仿宋_GB2312"/>
          <w:color w:val="auto"/>
          <w:sz w:val="32"/>
          <w:lang w:eastAsia="zh-CN"/>
        </w:rPr>
      </w:pPr>
      <w:r>
        <w:rPr>
          <w:rFonts w:hint="eastAsia" w:ascii="仿宋_GB2312" w:eastAsia="仿宋_GB2312"/>
          <w:color w:val="auto"/>
          <w:sz w:val="32"/>
          <w:lang w:val="en-US" w:eastAsia="zh-CN"/>
        </w:rPr>
        <w:t>2</w:t>
      </w:r>
      <w:r>
        <w:rPr>
          <w:rFonts w:ascii="仿宋_GB2312" w:eastAsia="仿宋_GB2312"/>
          <w:color w:val="auto"/>
          <w:sz w:val="32"/>
        </w:rPr>
        <w:t>.其他收入</w:t>
      </w:r>
      <w:r>
        <w:rPr>
          <w:rFonts w:hint="eastAsia" w:ascii="仿宋_GB2312" w:eastAsia="仿宋_GB2312"/>
          <w:color w:val="auto"/>
          <w:sz w:val="32"/>
          <w:lang w:val="en-US" w:eastAsia="zh-CN"/>
        </w:rPr>
        <w:t>13.72</w:t>
      </w:r>
      <w:r>
        <w:rPr>
          <w:rFonts w:ascii="仿宋_GB2312" w:eastAsia="仿宋_GB2312"/>
          <w:color w:val="auto"/>
          <w:sz w:val="32"/>
        </w:rPr>
        <w:t>万元，占收入总计的</w:t>
      </w:r>
      <w:r>
        <w:rPr>
          <w:rFonts w:hint="eastAsia" w:ascii="仿宋_GB2312" w:eastAsia="仿宋_GB2312"/>
          <w:color w:val="auto"/>
          <w:sz w:val="32"/>
          <w:lang w:val="en-US" w:eastAsia="zh-CN"/>
        </w:rPr>
        <w:t>0.47</w:t>
      </w:r>
      <w:r>
        <w:rPr>
          <w:rFonts w:ascii="仿宋_GB2312" w:eastAsia="仿宋_GB2312"/>
          <w:color w:val="auto"/>
          <w:sz w:val="32"/>
        </w:rPr>
        <w:t>%。主要是</w:t>
      </w:r>
      <w:r>
        <w:rPr>
          <w:rFonts w:hint="eastAsia" w:ascii="仿宋_GB2312" w:eastAsia="仿宋_GB2312"/>
          <w:color w:val="auto"/>
          <w:sz w:val="32"/>
        </w:rPr>
        <w:t>浑南区机关工委拨入疫情防控党费1</w:t>
      </w:r>
      <w:r>
        <w:rPr>
          <w:rFonts w:hint="eastAsia" w:ascii="仿宋_GB2312" w:eastAsia="仿宋_GB2312"/>
          <w:color w:val="auto"/>
          <w:sz w:val="32"/>
          <w:lang w:eastAsia="zh-CN"/>
        </w:rPr>
        <w:t>万</w:t>
      </w:r>
      <w:r>
        <w:rPr>
          <w:rFonts w:hint="eastAsia" w:ascii="仿宋_GB2312" w:eastAsia="仿宋_GB2312"/>
          <w:color w:val="auto"/>
          <w:sz w:val="32"/>
        </w:rPr>
        <w:t>元</w:t>
      </w:r>
      <w:r>
        <w:rPr>
          <w:rFonts w:hint="eastAsia" w:ascii="仿宋_GB2312" w:eastAsia="仿宋_GB2312"/>
          <w:color w:val="auto"/>
          <w:sz w:val="32"/>
          <w:lang w:eastAsia="zh-CN"/>
        </w:rPr>
        <w:t>，沈阳市公安局拨入疫情防控党费1</w:t>
      </w:r>
      <w:r>
        <w:rPr>
          <w:rFonts w:hint="eastAsia" w:ascii="仿宋_GB2312" w:eastAsia="仿宋_GB2312"/>
          <w:color w:val="auto"/>
          <w:sz w:val="32"/>
          <w:lang w:val="en-US" w:eastAsia="zh-CN"/>
        </w:rPr>
        <w:t>.</w:t>
      </w:r>
      <w:r>
        <w:rPr>
          <w:rFonts w:hint="eastAsia" w:ascii="仿宋_GB2312" w:eastAsia="仿宋_GB2312"/>
          <w:color w:val="auto"/>
          <w:sz w:val="32"/>
          <w:lang w:eastAsia="zh-CN"/>
        </w:rPr>
        <w:t>1万元，沈阳市公安局以前年度拨入伙食费，本年列收支11</w:t>
      </w:r>
      <w:r>
        <w:rPr>
          <w:rFonts w:hint="eastAsia" w:ascii="仿宋_GB2312" w:eastAsia="仿宋_GB2312"/>
          <w:color w:val="auto"/>
          <w:sz w:val="32"/>
          <w:lang w:val="en-US" w:eastAsia="zh-CN"/>
        </w:rPr>
        <w:t>.</w:t>
      </w:r>
      <w:r>
        <w:rPr>
          <w:rFonts w:hint="eastAsia" w:ascii="仿宋_GB2312" w:eastAsia="仿宋_GB2312"/>
          <w:color w:val="auto"/>
          <w:sz w:val="32"/>
          <w:lang w:eastAsia="zh-CN"/>
        </w:rPr>
        <w:t>6</w:t>
      </w:r>
      <w:r>
        <w:rPr>
          <w:rFonts w:hint="eastAsia" w:ascii="仿宋_GB2312" w:eastAsia="仿宋_GB2312"/>
          <w:color w:val="auto"/>
          <w:sz w:val="32"/>
          <w:lang w:val="en-US" w:eastAsia="zh-CN"/>
        </w:rPr>
        <w:t>2万</w:t>
      </w:r>
      <w:r>
        <w:rPr>
          <w:rFonts w:hint="eastAsia" w:ascii="仿宋_GB2312" w:eastAsia="仿宋_GB2312"/>
          <w:color w:val="auto"/>
          <w:sz w:val="32"/>
          <w:lang w:eastAsia="zh-CN"/>
        </w:rPr>
        <w:t>元。</w:t>
      </w:r>
    </w:p>
    <w:p>
      <w:pPr>
        <w:pStyle w:val="6"/>
        <w:spacing w:line="560" w:lineRule="exact"/>
        <w:ind w:firstLine="660"/>
        <w:rPr>
          <w:rFonts w:hint="eastAsia" w:ascii="仿宋_GB2312" w:eastAsia="仿宋_GB2312"/>
          <w:color w:val="auto"/>
          <w:sz w:val="32"/>
          <w:lang w:eastAsia="zh-CN"/>
        </w:rPr>
      </w:pPr>
      <w:r>
        <w:rPr>
          <w:rFonts w:hint="eastAsia" w:ascii="仿宋_GB2312" w:eastAsia="仿宋_GB2312"/>
          <w:color w:val="auto"/>
          <w:sz w:val="32"/>
          <w:lang w:val="en-US" w:eastAsia="zh-CN"/>
        </w:rPr>
        <w:t>3</w:t>
      </w:r>
      <w:r>
        <w:rPr>
          <w:rFonts w:ascii="仿宋_GB2312" w:eastAsia="仿宋_GB2312"/>
          <w:color w:val="auto"/>
          <w:sz w:val="32"/>
        </w:rPr>
        <w:t>.上年结转和结余</w:t>
      </w:r>
      <w:r>
        <w:rPr>
          <w:rFonts w:hint="eastAsia" w:ascii="仿宋_GB2312" w:eastAsia="仿宋_GB2312"/>
          <w:color w:val="auto"/>
          <w:sz w:val="32"/>
          <w:lang w:val="en-US" w:eastAsia="zh-CN"/>
        </w:rPr>
        <w:t>26.14</w:t>
      </w:r>
      <w:r>
        <w:rPr>
          <w:rFonts w:ascii="仿宋_GB2312" w:eastAsia="仿宋_GB2312"/>
          <w:color w:val="auto"/>
          <w:sz w:val="32"/>
        </w:rPr>
        <w:t>万元，占收入总计的</w:t>
      </w:r>
      <w:r>
        <w:rPr>
          <w:rFonts w:hint="eastAsia" w:ascii="仿宋_GB2312" w:eastAsia="仿宋_GB2312"/>
          <w:color w:val="auto"/>
          <w:sz w:val="32"/>
          <w:lang w:val="en-US" w:eastAsia="zh-CN"/>
        </w:rPr>
        <w:t>0.89</w:t>
      </w:r>
      <w:r>
        <w:rPr>
          <w:rFonts w:ascii="仿宋_GB2312" w:eastAsia="仿宋_GB2312"/>
          <w:color w:val="auto"/>
          <w:sz w:val="32"/>
        </w:rPr>
        <w:t>%。主要是</w:t>
      </w:r>
      <w:r>
        <w:rPr>
          <w:rFonts w:hint="eastAsia" w:ascii="仿宋_GB2312" w:eastAsia="仿宋_GB2312"/>
          <w:color w:val="auto"/>
          <w:sz w:val="32"/>
          <w:lang w:val="en-US" w:eastAsia="zh-CN"/>
        </w:rPr>
        <w:t>2021年度结余</w:t>
      </w:r>
      <w:r>
        <w:rPr>
          <w:rFonts w:hint="eastAsia" w:ascii="仿宋_GB2312" w:eastAsia="仿宋_GB2312"/>
          <w:color w:val="auto"/>
          <w:sz w:val="32"/>
        </w:rPr>
        <w:t>人社局退生育津贴发放整治及上缴资金</w:t>
      </w:r>
      <w:r>
        <w:rPr>
          <w:rFonts w:hint="eastAsia" w:ascii="仿宋_GB2312" w:eastAsia="仿宋_GB2312"/>
          <w:color w:val="auto"/>
          <w:sz w:val="32"/>
          <w:lang w:eastAsia="zh-CN"/>
        </w:rPr>
        <w:t>。</w:t>
      </w:r>
    </w:p>
    <w:p>
      <w:pPr>
        <w:pStyle w:val="6"/>
        <w:spacing w:line="560" w:lineRule="exact"/>
        <w:ind w:firstLine="660"/>
        <w:rPr>
          <w:rFonts w:hint="default" w:ascii="楷体_GB2312" w:eastAsia="楷体_GB2312"/>
          <w:b/>
          <w:color w:val="auto"/>
          <w:sz w:val="32"/>
        </w:rPr>
      </w:pPr>
      <w:r>
        <w:rPr>
          <w:rFonts w:ascii="楷体_GB2312" w:eastAsia="楷体_GB2312"/>
          <w:b/>
          <w:color w:val="auto"/>
          <w:sz w:val="32"/>
        </w:rPr>
        <w:t>（二）支出总计</w:t>
      </w:r>
      <w:r>
        <w:rPr>
          <w:rFonts w:hint="eastAsia" w:ascii="楷体_GB2312" w:eastAsia="楷体_GB2312"/>
          <w:b/>
          <w:color w:val="auto"/>
          <w:sz w:val="32"/>
          <w:lang w:val="en-US" w:eastAsia="zh-CN"/>
        </w:rPr>
        <w:t>2912.03</w:t>
      </w:r>
      <w:r>
        <w:rPr>
          <w:rFonts w:ascii="楷体_GB2312" w:eastAsia="楷体_GB2312"/>
          <w:b/>
          <w:color w:val="auto"/>
          <w:sz w:val="32"/>
        </w:rPr>
        <w:t>万元，包括：</w:t>
      </w:r>
    </w:p>
    <w:p>
      <w:pPr>
        <w:pStyle w:val="6"/>
        <w:spacing w:line="560" w:lineRule="atLeast"/>
        <w:ind w:firstLine="660"/>
        <w:rPr>
          <w:rFonts w:hint="eastAsia" w:ascii="仿宋_GB2312" w:eastAsia="仿宋_GB2312"/>
          <w:color w:val="auto"/>
          <w:sz w:val="32"/>
          <w:szCs w:val="32"/>
          <w:lang w:eastAsia="zh-CN"/>
        </w:rPr>
      </w:pPr>
      <w:r>
        <w:rPr>
          <w:rFonts w:hint="eastAsia" w:ascii="仿宋_GB2312" w:eastAsia="仿宋_GB2312"/>
          <w:color w:val="auto"/>
          <w:sz w:val="32"/>
          <w:szCs w:val="32"/>
        </w:rPr>
        <w:t>1.基本支出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Fonts w:hint="eastAsia" w:ascii="仿宋_GB2312" w:eastAsia="仿宋_GB2312"/>
          <w:color w:val="auto"/>
          <w:sz w:val="32"/>
          <w:szCs w:val="32"/>
          <w:lang w:eastAsia="zh-CN"/>
        </w:rPr>
        <w:t>。没形成该笔资金。</w:t>
      </w:r>
    </w:p>
    <w:p>
      <w:pPr>
        <w:pStyle w:val="6"/>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2.项目支出</w:t>
      </w:r>
      <w:r>
        <w:rPr>
          <w:rFonts w:hint="eastAsia" w:ascii="仿宋_GB2312" w:eastAsia="仿宋_GB2312"/>
          <w:color w:val="auto"/>
          <w:sz w:val="32"/>
          <w:szCs w:val="32"/>
          <w:lang w:val="en-US" w:eastAsia="zh-CN"/>
        </w:rPr>
        <w:t>2912.03</w:t>
      </w:r>
      <w:r>
        <w:rPr>
          <w:rFonts w:hint="eastAsia" w:ascii="仿宋_GB2312" w:eastAsia="仿宋_GB2312"/>
          <w:color w:val="auto"/>
          <w:sz w:val="32"/>
          <w:szCs w:val="32"/>
        </w:rPr>
        <w:t>万元，</w:t>
      </w:r>
      <w:r>
        <w:rPr>
          <w:rFonts w:ascii="仿宋_GB2312" w:eastAsia="仿宋_GB2312"/>
          <w:color w:val="auto"/>
          <w:sz w:val="32"/>
        </w:rPr>
        <w:t>占支出总计的</w:t>
      </w:r>
      <w:r>
        <w:rPr>
          <w:rFonts w:hint="eastAsia" w:ascii="仿宋_GB2312" w:eastAsia="仿宋_GB2312"/>
          <w:color w:val="auto"/>
          <w:sz w:val="32"/>
          <w:lang w:val="en-US" w:eastAsia="zh-CN"/>
        </w:rPr>
        <w:t>100</w:t>
      </w:r>
      <w:r>
        <w:rPr>
          <w:rFonts w:ascii="仿宋_GB2312" w:eastAsia="仿宋_GB2312"/>
          <w:color w:val="auto"/>
          <w:sz w:val="32"/>
        </w:rPr>
        <w:t>%。</w:t>
      </w:r>
      <w:r>
        <w:rPr>
          <w:rFonts w:hint="eastAsia" w:ascii="仿宋_GB2312" w:eastAsia="仿宋_GB2312"/>
          <w:color w:val="auto"/>
          <w:sz w:val="32"/>
          <w:szCs w:val="32"/>
        </w:rPr>
        <w:t>主要包括</w:t>
      </w:r>
      <w:r>
        <w:rPr>
          <w:rFonts w:hint="eastAsia" w:ascii="仿宋_GB2312" w:eastAsia="仿宋_GB2312"/>
          <w:color w:val="auto"/>
          <w:sz w:val="32"/>
          <w:szCs w:val="32"/>
          <w:lang w:eastAsia="zh-CN"/>
        </w:rPr>
        <w:t>重大公共卫生服务、基层政权建设和社区治理、</w:t>
      </w:r>
      <w:r>
        <w:rPr>
          <w:rFonts w:ascii="仿宋_GB2312" w:eastAsia="仿宋_GB2312"/>
          <w:color w:val="auto"/>
          <w:sz w:val="32"/>
          <w:szCs w:val="32"/>
        </w:rPr>
        <w:t>一般行政管理事务</w:t>
      </w:r>
      <w:r>
        <w:rPr>
          <w:rFonts w:hint="eastAsia" w:ascii="仿宋_GB2312" w:eastAsia="仿宋_GB2312"/>
          <w:color w:val="auto"/>
          <w:sz w:val="32"/>
          <w:szCs w:val="32"/>
        </w:rPr>
        <w:t>、</w:t>
      </w:r>
      <w:r>
        <w:rPr>
          <w:rFonts w:hint="eastAsia" w:ascii="仿宋_GB2312" w:eastAsia="仿宋_GB2312"/>
          <w:color w:val="auto"/>
          <w:sz w:val="32"/>
          <w:szCs w:val="32"/>
          <w:lang w:eastAsia="zh-CN"/>
        </w:rPr>
        <w:t>公共安全支出、</w:t>
      </w:r>
      <w:r>
        <w:rPr>
          <w:rFonts w:ascii="仿宋_GB2312" w:eastAsia="仿宋_GB2312"/>
          <w:color w:val="auto"/>
          <w:sz w:val="32"/>
          <w:szCs w:val="32"/>
        </w:rPr>
        <w:t>其他公安支出</w:t>
      </w:r>
      <w:r>
        <w:rPr>
          <w:rFonts w:hint="eastAsia" w:ascii="仿宋_GB2312" w:eastAsia="仿宋_GB2312"/>
          <w:color w:val="auto"/>
          <w:sz w:val="32"/>
          <w:szCs w:val="32"/>
        </w:rPr>
        <w:t>、</w:t>
      </w:r>
      <w:r>
        <w:rPr>
          <w:rFonts w:hint="eastAsia" w:ascii="仿宋_GB2312" w:eastAsia="仿宋_GB2312"/>
          <w:color w:val="auto"/>
          <w:sz w:val="32"/>
          <w:szCs w:val="32"/>
          <w:lang w:eastAsia="zh-CN"/>
        </w:rPr>
        <w:t>社会保障和就业支出、卫生健康</w:t>
      </w:r>
      <w:r>
        <w:rPr>
          <w:rFonts w:hint="eastAsia" w:ascii="仿宋_GB2312" w:eastAsia="仿宋_GB2312"/>
          <w:color w:val="auto"/>
          <w:sz w:val="32"/>
          <w:szCs w:val="32"/>
        </w:rPr>
        <w:t>等业务支出。</w:t>
      </w:r>
    </w:p>
    <w:p>
      <w:pPr>
        <w:pStyle w:val="6"/>
        <w:spacing w:line="560" w:lineRule="exact"/>
        <w:ind w:firstLine="660"/>
        <w:rPr>
          <w:rFonts w:hint="default" w:ascii="楷体_GB2312" w:eastAsia="楷体_GB2312"/>
          <w:b/>
          <w:color w:val="auto"/>
          <w:sz w:val="32"/>
        </w:rPr>
      </w:pPr>
      <w:r>
        <w:rPr>
          <w:rFonts w:ascii="楷体_GB2312" w:eastAsia="楷体_GB2312"/>
          <w:b/>
          <w:color w:val="auto"/>
          <w:sz w:val="32"/>
        </w:rPr>
        <w:t>（三）年末结转和结余</w:t>
      </w:r>
      <w:r>
        <w:rPr>
          <w:rFonts w:hint="eastAsia" w:ascii="楷体_GB2312" w:eastAsia="楷体_GB2312"/>
          <w:b/>
          <w:color w:val="auto"/>
          <w:sz w:val="32"/>
          <w:lang w:val="en-US" w:eastAsia="zh-CN"/>
        </w:rPr>
        <w:t>25.08</w:t>
      </w:r>
      <w:r>
        <w:rPr>
          <w:rFonts w:ascii="楷体_GB2312" w:eastAsia="楷体_GB2312"/>
          <w:b/>
          <w:color w:val="auto"/>
          <w:sz w:val="32"/>
        </w:rPr>
        <w:t>万元</w:t>
      </w:r>
    </w:p>
    <w:p>
      <w:pPr>
        <w:pStyle w:val="6"/>
        <w:spacing w:line="560" w:lineRule="exact"/>
        <w:ind w:firstLine="660"/>
        <w:rPr>
          <w:rFonts w:hint="eastAsia" w:ascii="仿宋" w:hAnsi="仿宋" w:eastAsia="仿宋" w:cs="仿宋"/>
          <w:color w:val="auto"/>
          <w:sz w:val="32"/>
          <w:lang w:eastAsia="zh-CN"/>
        </w:rPr>
      </w:pPr>
      <w:r>
        <w:rPr>
          <w:rFonts w:hint="eastAsia" w:ascii="仿宋" w:hAnsi="仿宋" w:eastAsia="仿宋" w:cs="仿宋"/>
          <w:color w:val="auto"/>
          <w:sz w:val="32"/>
          <w:lang w:eastAsia="zh-CN"/>
        </w:rPr>
        <w:t>主要是军转干部培训费、禁毒社工经费、十九大安保奖励市局转伙食费，与上年相比，今年结转结余减少</w:t>
      </w:r>
      <w:r>
        <w:rPr>
          <w:rFonts w:hint="eastAsia" w:ascii="仿宋" w:hAnsi="仿宋" w:eastAsia="仿宋" w:cs="仿宋"/>
          <w:color w:val="auto"/>
          <w:sz w:val="32"/>
          <w:lang w:val="en-US" w:eastAsia="zh-CN"/>
        </w:rPr>
        <w:t>1.06万元，减少4.06%，主要原因是，市局转伙食费减少。</w:t>
      </w:r>
    </w:p>
    <w:p>
      <w:pPr>
        <w:pStyle w:val="6"/>
        <w:numPr>
          <w:ilvl w:val="0"/>
          <w:numId w:val="2"/>
        </w:numPr>
        <w:spacing w:line="560" w:lineRule="exact"/>
        <w:ind w:firstLine="660"/>
        <w:rPr>
          <w:rFonts w:ascii="黑体" w:eastAsia="黑体"/>
          <w:color w:val="auto"/>
          <w:sz w:val="32"/>
        </w:rPr>
      </w:pPr>
      <w:r>
        <w:rPr>
          <w:rFonts w:ascii="黑体" w:eastAsia="黑体"/>
          <w:color w:val="auto"/>
          <w:sz w:val="32"/>
        </w:rPr>
        <w:t>财政拨款收入支出决算情况说明</w:t>
      </w:r>
    </w:p>
    <w:p>
      <w:pPr>
        <w:pStyle w:val="6"/>
        <w:numPr>
          <w:ilvl w:val="0"/>
          <w:numId w:val="0"/>
        </w:numPr>
        <w:spacing w:line="560" w:lineRule="exact"/>
        <w:ind w:firstLine="643" w:firstLineChars="200"/>
        <w:rPr>
          <w:rFonts w:hint="default" w:ascii="楷体_GB2312" w:eastAsia="楷体_GB2312"/>
          <w:b/>
          <w:color w:val="auto"/>
          <w:sz w:val="32"/>
        </w:rPr>
      </w:pPr>
      <w:r>
        <w:rPr>
          <w:rFonts w:ascii="楷体_GB2312" w:eastAsia="楷体_GB2312"/>
          <w:b/>
          <w:color w:val="auto"/>
          <w:sz w:val="32"/>
        </w:rPr>
        <w:t>（一）总体情况</w:t>
      </w:r>
    </w:p>
    <w:p>
      <w:pPr>
        <w:pStyle w:val="6"/>
        <w:spacing w:line="560" w:lineRule="exact"/>
        <w:ind w:firstLine="660"/>
        <w:rPr>
          <w:rFonts w:hint="default" w:ascii="仿宋_GB2312" w:eastAsia="仿宋_GB2312"/>
          <w:color w:val="auto"/>
          <w:sz w:val="32"/>
        </w:rPr>
      </w:pPr>
      <w:r>
        <w:rPr>
          <w:rFonts w:hint="eastAsia" w:ascii="仿宋_GB2312" w:eastAsia="仿宋_GB2312"/>
          <w:color w:val="auto"/>
          <w:sz w:val="32"/>
          <w:lang w:eastAsia="zh-CN"/>
        </w:rPr>
        <w:t>2022</w:t>
      </w:r>
      <w:r>
        <w:rPr>
          <w:rFonts w:ascii="仿宋_GB2312" w:eastAsia="仿宋_GB2312"/>
          <w:color w:val="auto"/>
          <w:sz w:val="32"/>
        </w:rPr>
        <w:t>年度财政拨款支出</w:t>
      </w:r>
      <w:r>
        <w:rPr>
          <w:rFonts w:hint="eastAsia" w:ascii="仿宋_GB2312" w:eastAsia="仿宋_GB2312"/>
          <w:color w:val="auto"/>
          <w:sz w:val="32"/>
          <w:lang w:val="en-US" w:eastAsia="zh-CN"/>
        </w:rPr>
        <w:t>2912.03</w:t>
      </w:r>
      <w:r>
        <w:rPr>
          <w:rFonts w:ascii="仿宋_GB2312" w:eastAsia="仿宋_GB2312"/>
          <w:color w:val="auto"/>
          <w:sz w:val="32"/>
        </w:rPr>
        <w:t>万元，其中：基本支出</w:t>
      </w:r>
      <w:r>
        <w:rPr>
          <w:rFonts w:hint="eastAsia" w:ascii="仿宋_GB2312" w:eastAsia="仿宋_GB2312"/>
          <w:color w:val="auto"/>
          <w:sz w:val="32"/>
          <w:lang w:val="en-US" w:eastAsia="zh-CN"/>
        </w:rPr>
        <w:t>0</w:t>
      </w:r>
      <w:r>
        <w:rPr>
          <w:rFonts w:ascii="仿宋_GB2312" w:eastAsia="仿宋_GB2312"/>
          <w:color w:val="auto"/>
          <w:sz w:val="32"/>
        </w:rPr>
        <w:t>万元，项目支出</w:t>
      </w:r>
      <w:r>
        <w:rPr>
          <w:rFonts w:hint="eastAsia" w:ascii="仿宋_GB2312" w:eastAsia="仿宋_GB2312"/>
          <w:color w:val="auto"/>
          <w:sz w:val="32"/>
          <w:lang w:val="en-US" w:eastAsia="zh-CN"/>
        </w:rPr>
        <w:t>2912.03</w:t>
      </w:r>
      <w:r>
        <w:rPr>
          <w:rFonts w:ascii="仿宋_GB2312" w:eastAsia="仿宋_GB2312"/>
          <w:color w:val="auto"/>
          <w:sz w:val="32"/>
        </w:rPr>
        <w:t>万元。</w:t>
      </w:r>
      <w:r>
        <w:rPr>
          <w:rFonts w:hint="eastAsia" w:ascii="仿宋_GB2312" w:eastAsia="仿宋_GB2312"/>
          <w:color w:val="auto"/>
          <w:sz w:val="32"/>
          <w:lang w:eastAsia="zh-CN"/>
        </w:rPr>
        <w:t>与上年相比，财政拨款支出减少</w:t>
      </w:r>
      <w:r>
        <w:rPr>
          <w:rFonts w:hint="eastAsia" w:ascii="仿宋_GB2312" w:eastAsia="仿宋_GB2312"/>
          <w:color w:val="auto"/>
          <w:sz w:val="32"/>
          <w:lang w:val="en-US" w:eastAsia="zh-CN"/>
        </w:rPr>
        <w:t>2091.53万元，降低41.8%，主要原因：一是本年无基本支出，二是缩减开支，预算减少。</w:t>
      </w:r>
      <w:r>
        <w:rPr>
          <w:rFonts w:ascii="仿宋_GB2312" w:eastAsia="仿宋_GB2312"/>
          <w:color w:val="auto"/>
          <w:sz w:val="32"/>
        </w:rPr>
        <w:t>与年初预算相比，</w:t>
      </w:r>
      <w:r>
        <w:rPr>
          <w:rFonts w:hint="eastAsia" w:ascii="仿宋_GB2312" w:eastAsia="仿宋_GB2312"/>
          <w:color w:val="auto"/>
          <w:sz w:val="32"/>
          <w:lang w:eastAsia="zh-CN"/>
        </w:rPr>
        <w:t>2022</w:t>
      </w:r>
      <w:r>
        <w:rPr>
          <w:rFonts w:ascii="仿宋_GB2312" w:eastAsia="仿宋_GB2312"/>
          <w:color w:val="auto"/>
          <w:sz w:val="32"/>
        </w:rPr>
        <w:t>年度财政拨款支出完成年初预算的</w:t>
      </w:r>
      <w:r>
        <w:rPr>
          <w:rFonts w:hint="eastAsia" w:ascii="仿宋_GB2312" w:eastAsia="仿宋_GB2312"/>
          <w:color w:val="auto"/>
          <w:sz w:val="32"/>
          <w:lang w:val="en-US" w:eastAsia="zh-CN"/>
        </w:rPr>
        <w:t>100</w:t>
      </w:r>
      <w:r>
        <w:rPr>
          <w:rFonts w:ascii="仿宋_GB2312" w:eastAsia="仿宋_GB2312"/>
          <w:color w:val="auto"/>
          <w:sz w:val="32"/>
        </w:rPr>
        <w:t>%，其中：</w:t>
      </w:r>
      <w:r>
        <w:rPr>
          <w:rFonts w:hint="eastAsia" w:ascii="仿宋_GB2312" w:eastAsia="仿宋_GB2312"/>
          <w:color w:val="auto"/>
          <w:sz w:val="32"/>
          <w:lang w:eastAsia="zh-CN"/>
        </w:rPr>
        <w:t>由于</w:t>
      </w:r>
      <w:r>
        <w:rPr>
          <w:rFonts w:hint="eastAsia" w:ascii="仿宋_GB2312" w:eastAsia="仿宋_GB2312"/>
          <w:color w:val="auto"/>
          <w:sz w:val="32"/>
          <w:lang w:val="en-US" w:eastAsia="zh-CN"/>
        </w:rPr>
        <w:t>2020年由市局垂管，故2022年没有基本支出预算</w:t>
      </w:r>
      <w:r>
        <w:rPr>
          <w:rFonts w:ascii="仿宋_GB2312" w:eastAsia="仿宋_GB2312"/>
          <w:color w:val="auto"/>
          <w:sz w:val="32"/>
        </w:rPr>
        <w:t>，项目支出完成年初预算的</w:t>
      </w:r>
      <w:r>
        <w:rPr>
          <w:rFonts w:hint="eastAsia" w:ascii="仿宋_GB2312" w:eastAsia="仿宋_GB2312"/>
          <w:color w:val="auto"/>
          <w:sz w:val="32"/>
          <w:lang w:val="en-US" w:eastAsia="zh-CN"/>
        </w:rPr>
        <w:t>100</w:t>
      </w:r>
      <w:r>
        <w:rPr>
          <w:rFonts w:ascii="仿宋_GB2312" w:eastAsia="仿宋_GB2312"/>
          <w:color w:val="auto"/>
          <w:sz w:val="32"/>
        </w:rPr>
        <w:t>%。</w:t>
      </w:r>
    </w:p>
    <w:p>
      <w:pPr>
        <w:numPr>
          <w:ilvl w:val="0"/>
          <w:numId w:val="3"/>
        </w:numPr>
        <w:spacing w:line="560" w:lineRule="exact"/>
        <w:ind w:firstLine="660"/>
        <w:rPr>
          <w:rFonts w:ascii="楷体_GB2312" w:hAnsi="宋体" w:eastAsia="楷体_GB2312"/>
          <w:b/>
          <w:color w:val="auto"/>
          <w:sz w:val="32"/>
          <w:szCs w:val="32"/>
        </w:rPr>
      </w:pPr>
      <w:r>
        <w:rPr>
          <w:rFonts w:ascii="楷体_GB2312" w:hAnsi="宋体" w:eastAsia="楷体_GB2312"/>
          <w:b/>
          <w:color w:val="auto"/>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color w:val="auto"/>
          <w:sz w:val="32"/>
          <w:szCs w:val="32"/>
          <w:lang w:val="en-US"/>
        </w:rPr>
      </w:pPr>
      <w:r>
        <w:rPr>
          <w:rFonts w:hint="eastAsia" w:ascii="仿宋_GB2312" w:hAnsi="宋体" w:eastAsia="仿宋_GB2312"/>
          <w:color w:val="auto"/>
          <w:sz w:val="32"/>
          <w:szCs w:val="32"/>
          <w:lang w:eastAsia="zh-CN"/>
        </w:rPr>
        <w:t>2022</w:t>
      </w:r>
      <w:r>
        <w:rPr>
          <w:rFonts w:ascii="仿宋_GB2312" w:hAnsi="宋体" w:eastAsia="仿宋_GB2312"/>
          <w:color w:val="auto"/>
          <w:sz w:val="32"/>
          <w:szCs w:val="32"/>
        </w:rPr>
        <w:t>年度一般公共预算财政拨款支出</w:t>
      </w:r>
      <w:r>
        <w:rPr>
          <w:rFonts w:hint="eastAsia" w:ascii="仿宋_GB2312" w:hAnsi="宋体" w:eastAsia="仿宋_GB2312"/>
          <w:color w:val="auto"/>
          <w:sz w:val="32"/>
          <w:szCs w:val="32"/>
          <w:lang w:val="en-US" w:eastAsia="zh-CN"/>
        </w:rPr>
        <w:t>2897.26</w:t>
      </w:r>
      <w:r>
        <w:rPr>
          <w:rFonts w:ascii="仿宋_GB2312" w:hAnsi="宋体" w:eastAsia="仿宋_GB2312"/>
          <w:color w:val="auto"/>
          <w:sz w:val="32"/>
          <w:szCs w:val="32"/>
        </w:rPr>
        <w:t>万元，按支出功能分类科目分，包括：</w:t>
      </w:r>
      <w:r>
        <w:rPr>
          <w:rFonts w:hint="eastAsia" w:ascii="仿宋_GB2312" w:hAnsi="宋体" w:eastAsia="仿宋_GB2312"/>
          <w:color w:val="auto"/>
          <w:sz w:val="32"/>
          <w:szCs w:val="32"/>
          <w:lang w:eastAsia="zh-CN"/>
        </w:rPr>
        <w:t>公共安全支出</w:t>
      </w:r>
      <w:r>
        <w:rPr>
          <w:rFonts w:hint="eastAsia" w:ascii="仿宋_GB2312" w:hAnsi="宋体" w:eastAsia="仿宋_GB2312"/>
          <w:color w:val="auto"/>
          <w:sz w:val="32"/>
          <w:szCs w:val="32"/>
          <w:lang w:val="en-US" w:eastAsia="zh-CN"/>
        </w:rPr>
        <w:t>2308.30万元，占79.68%；社会保障和就业支出7.05万元，占0.24%；卫生健康支出581.91万元，占20.08%。</w:t>
      </w:r>
    </w:p>
    <w:p>
      <w:pPr>
        <w:pStyle w:val="6"/>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rPr>
        <w:t>.公共安全支出</w:t>
      </w:r>
      <w:r>
        <w:rPr>
          <w:rFonts w:hint="eastAsia" w:ascii="仿宋_GB2312" w:eastAsia="仿宋_GB2312"/>
          <w:color w:val="auto"/>
          <w:sz w:val="32"/>
          <w:szCs w:val="32"/>
          <w:lang w:val="en-US" w:eastAsia="zh-CN"/>
        </w:rPr>
        <w:t>2308.30</w:t>
      </w:r>
      <w:r>
        <w:rPr>
          <w:rFonts w:hint="eastAsia" w:ascii="仿宋_GB2312" w:eastAsia="仿宋_GB2312"/>
          <w:color w:val="auto"/>
          <w:sz w:val="32"/>
          <w:szCs w:val="32"/>
        </w:rPr>
        <w:t>万元，包括：</w:t>
      </w:r>
    </w:p>
    <w:p>
      <w:pPr>
        <w:pStyle w:val="6"/>
        <w:spacing w:line="560" w:lineRule="atLeast"/>
        <w:ind w:firstLine="660"/>
        <w:rPr>
          <w:rFonts w:hint="default" w:ascii="仿宋_GB2312" w:eastAsia="仿宋_GB2312"/>
          <w:b w:val="0"/>
          <w:bCs/>
          <w:color w:val="auto"/>
          <w:sz w:val="32"/>
          <w:szCs w:val="32"/>
          <w:lang w:val="en-US"/>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）一般行政管理事务</w:t>
      </w:r>
      <w:r>
        <w:rPr>
          <w:rFonts w:hint="eastAsia" w:ascii="仿宋_GB2312" w:eastAsia="仿宋_GB2312"/>
          <w:color w:val="auto"/>
          <w:sz w:val="32"/>
          <w:szCs w:val="32"/>
          <w:lang w:val="en-US" w:eastAsia="zh-CN"/>
        </w:rPr>
        <w:t>2190.04</w:t>
      </w:r>
      <w:r>
        <w:rPr>
          <w:rFonts w:hint="eastAsia" w:ascii="仿宋_GB2312" w:eastAsia="仿宋_GB2312"/>
          <w:color w:val="auto"/>
          <w:sz w:val="32"/>
          <w:szCs w:val="32"/>
        </w:rPr>
        <w:t>万元，主要是公安一般行政管理事务等支出。</w:t>
      </w:r>
      <w:r>
        <w:rPr>
          <w:rFonts w:hint="eastAsia" w:ascii="仿宋_GB2312" w:hAnsi="仿宋_GB2312" w:eastAsia="仿宋_GB2312" w:cs="仿宋_GB2312"/>
          <w:b w:val="0"/>
          <w:bCs/>
          <w:color w:val="auto"/>
          <w:sz w:val="32"/>
          <w:szCs w:val="32"/>
        </w:rPr>
        <w:t>完成年初预算的</w:t>
      </w:r>
      <w:r>
        <w:rPr>
          <w:rFonts w:hint="eastAsia" w:ascii="仿宋_GB2312" w:hAnsi="仿宋_GB2312" w:eastAsia="仿宋_GB2312" w:cs="仿宋_GB2312"/>
          <w:b w:val="0"/>
          <w:bCs/>
          <w:color w:val="auto"/>
          <w:sz w:val="32"/>
          <w:szCs w:val="32"/>
          <w:lang w:val="en-US" w:eastAsia="zh-CN"/>
        </w:rPr>
        <w:t>67.64</w:t>
      </w:r>
      <w:r>
        <w:rPr>
          <w:rFonts w:hint="eastAsia" w:ascii="仿宋_GB2312" w:hAnsi="仿宋_GB2312" w:eastAsia="仿宋_GB2312" w:cs="仿宋_GB2312"/>
          <w:b w:val="0"/>
          <w:bCs/>
          <w:color w:val="auto"/>
          <w:sz w:val="32"/>
          <w:szCs w:val="32"/>
        </w:rPr>
        <w:t>%，决算数</w:t>
      </w:r>
      <w:r>
        <w:rPr>
          <w:rFonts w:hint="eastAsia" w:ascii="仿宋_GB2312" w:hAnsi="仿宋_GB2312" w:eastAsia="仿宋_GB2312" w:cs="仿宋_GB2312"/>
          <w:b w:val="0"/>
          <w:bCs/>
          <w:color w:val="auto"/>
          <w:sz w:val="32"/>
          <w:szCs w:val="32"/>
          <w:lang w:eastAsia="zh-CN"/>
        </w:rPr>
        <w:t>小于</w:t>
      </w:r>
      <w:r>
        <w:rPr>
          <w:rFonts w:hint="eastAsia" w:ascii="仿宋_GB2312" w:hAnsi="仿宋_GB2312" w:eastAsia="仿宋_GB2312" w:cs="仿宋_GB2312"/>
          <w:b w:val="0"/>
          <w:bCs/>
          <w:color w:val="auto"/>
          <w:sz w:val="32"/>
          <w:szCs w:val="32"/>
        </w:rPr>
        <w:t>年初预算数的原因主要是</w:t>
      </w:r>
      <w:r>
        <w:rPr>
          <w:rFonts w:hint="eastAsia" w:ascii="仿宋_GB2312" w:hAnsi="仿宋_GB2312" w:eastAsia="仿宋_GB2312" w:cs="仿宋_GB2312"/>
          <w:b w:val="0"/>
          <w:bCs/>
          <w:color w:val="auto"/>
          <w:sz w:val="32"/>
          <w:szCs w:val="32"/>
          <w:lang w:eastAsia="zh-CN"/>
        </w:rPr>
        <w:t>财政压缩资金，未下达。</w:t>
      </w:r>
    </w:p>
    <w:p>
      <w:pPr>
        <w:pStyle w:val="6"/>
        <w:spacing w:line="560" w:lineRule="atLeast"/>
        <w:ind w:firstLine="660"/>
        <w:rPr>
          <w:rFonts w:hint="eastAsia" w:ascii="仿宋_GB2312" w:eastAsia="仿宋_GB2312"/>
          <w:b w:val="0"/>
          <w:bCs/>
          <w:color w:val="auto"/>
          <w:sz w:val="32"/>
          <w:szCs w:val="32"/>
          <w:lang w:eastAsia="zh-CN"/>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）其他公安支出</w:t>
      </w:r>
      <w:r>
        <w:rPr>
          <w:rFonts w:hint="eastAsia" w:ascii="仿宋_GB2312" w:eastAsia="仿宋_GB2312"/>
          <w:color w:val="auto"/>
          <w:sz w:val="32"/>
          <w:szCs w:val="32"/>
          <w:lang w:val="en-US" w:eastAsia="zh-CN"/>
        </w:rPr>
        <w:t>118.26</w:t>
      </w:r>
      <w:r>
        <w:rPr>
          <w:rFonts w:hint="eastAsia" w:ascii="仿宋_GB2312" w:eastAsia="仿宋_GB2312"/>
          <w:color w:val="auto"/>
          <w:sz w:val="32"/>
          <w:szCs w:val="32"/>
        </w:rPr>
        <w:t>万元，主要是公安部门其他支出。</w:t>
      </w:r>
      <w:r>
        <w:rPr>
          <w:rFonts w:hint="eastAsia" w:ascii="仿宋_GB2312" w:hAnsi="仿宋_GB2312" w:eastAsia="仿宋_GB2312" w:cs="仿宋_GB2312"/>
          <w:b w:val="0"/>
          <w:bCs/>
          <w:color w:val="auto"/>
          <w:sz w:val="32"/>
          <w:szCs w:val="32"/>
        </w:rPr>
        <w:t>完成年初预算的</w:t>
      </w:r>
      <w:r>
        <w:rPr>
          <w:rFonts w:hint="eastAsia" w:ascii="仿宋_GB2312" w:hAnsi="仿宋_GB2312" w:eastAsia="仿宋_GB2312" w:cs="仿宋_GB2312"/>
          <w:b w:val="0"/>
          <w:bCs/>
          <w:color w:val="auto"/>
          <w:sz w:val="32"/>
          <w:szCs w:val="32"/>
          <w:lang w:val="en-US" w:eastAsia="zh-CN"/>
        </w:rPr>
        <w:t>32.07</w:t>
      </w:r>
      <w:r>
        <w:rPr>
          <w:rFonts w:hint="eastAsia" w:ascii="仿宋_GB2312" w:hAnsi="仿宋_GB2312" w:eastAsia="仿宋_GB2312" w:cs="仿宋_GB2312"/>
          <w:b w:val="0"/>
          <w:bCs/>
          <w:color w:val="auto"/>
          <w:sz w:val="32"/>
          <w:szCs w:val="32"/>
        </w:rPr>
        <w:t>%，决算数</w:t>
      </w:r>
      <w:r>
        <w:rPr>
          <w:rFonts w:hint="eastAsia" w:ascii="仿宋_GB2312" w:hAnsi="仿宋_GB2312" w:eastAsia="仿宋_GB2312" w:cs="仿宋_GB2312"/>
          <w:b w:val="0"/>
          <w:bCs/>
          <w:color w:val="auto"/>
          <w:sz w:val="32"/>
          <w:szCs w:val="32"/>
          <w:lang w:eastAsia="zh-CN"/>
        </w:rPr>
        <w:t>小</w:t>
      </w:r>
      <w:r>
        <w:rPr>
          <w:rFonts w:hint="eastAsia" w:ascii="仿宋_GB2312" w:hAnsi="仿宋_GB2312" w:eastAsia="仿宋_GB2312" w:cs="仿宋_GB2312"/>
          <w:b w:val="0"/>
          <w:bCs/>
          <w:color w:val="auto"/>
          <w:sz w:val="32"/>
          <w:szCs w:val="32"/>
        </w:rPr>
        <w:t>于年初预算数的原因主要是</w:t>
      </w:r>
      <w:r>
        <w:rPr>
          <w:rFonts w:hint="eastAsia" w:ascii="仿宋_GB2312" w:hAnsi="仿宋_GB2312" w:eastAsia="仿宋_GB2312" w:cs="仿宋_GB2312"/>
          <w:b w:val="0"/>
          <w:bCs/>
          <w:color w:val="auto"/>
          <w:sz w:val="32"/>
          <w:szCs w:val="32"/>
          <w:lang w:eastAsia="zh-CN"/>
        </w:rPr>
        <w:t>财政压缩资金，未下达。</w:t>
      </w:r>
    </w:p>
    <w:p>
      <w:pPr>
        <w:pStyle w:val="6"/>
        <w:spacing w:line="560" w:lineRule="atLeast"/>
        <w:ind w:firstLine="660"/>
        <w:rPr>
          <w:rFonts w:hint="eastAsia" w:ascii="仿宋_GB2312" w:eastAsia="仿宋_GB2312"/>
          <w:b w:val="0"/>
          <w:bCs/>
          <w:color w:val="auto"/>
          <w:sz w:val="32"/>
          <w:szCs w:val="32"/>
          <w:lang w:val="en-US" w:eastAsia="zh-CN"/>
        </w:rPr>
      </w:pPr>
      <w:r>
        <w:rPr>
          <w:rFonts w:hint="eastAsia" w:ascii="仿宋_GB2312" w:eastAsia="仿宋_GB2312"/>
          <w:b w:val="0"/>
          <w:bCs/>
          <w:color w:val="auto"/>
          <w:sz w:val="32"/>
          <w:szCs w:val="32"/>
          <w:lang w:val="en-US" w:eastAsia="zh-CN"/>
        </w:rPr>
        <w:t>2.社会保障和就业支出7.05万元，包括：</w:t>
      </w:r>
    </w:p>
    <w:p>
      <w:pPr>
        <w:pStyle w:val="6"/>
        <w:spacing w:line="560" w:lineRule="atLeast"/>
        <w:ind w:firstLine="660"/>
        <w:rPr>
          <w:rFonts w:hint="default" w:ascii="仿宋_GB2312" w:eastAsia="仿宋_GB2312"/>
          <w:b w:val="0"/>
          <w:bCs/>
          <w:color w:val="auto"/>
          <w:sz w:val="32"/>
          <w:szCs w:val="32"/>
          <w:lang w:val="en-US" w:eastAsia="zh-CN"/>
        </w:rPr>
      </w:pPr>
      <w:r>
        <w:rPr>
          <w:rFonts w:hint="eastAsia" w:ascii="仿宋_GB2312" w:eastAsia="仿宋_GB2312"/>
          <w:b w:val="0"/>
          <w:bCs/>
          <w:color w:val="auto"/>
          <w:sz w:val="32"/>
          <w:szCs w:val="32"/>
          <w:lang w:val="en-US" w:eastAsia="zh-CN"/>
        </w:rPr>
        <w:t>（1）基层政权建设和社区治理7.05万元，主要是禁毒社工疫情期间加班补助。</w:t>
      </w:r>
      <w:r>
        <w:rPr>
          <w:rFonts w:hint="eastAsia" w:ascii="仿宋_GB2312" w:eastAsia="仿宋_GB2312"/>
          <w:b w:val="0"/>
          <w:bCs/>
          <w:color w:val="auto"/>
          <w:sz w:val="32"/>
          <w:szCs w:val="32"/>
        </w:rPr>
        <w:t>完成年初预算的100%，</w:t>
      </w:r>
      <w:r>
        <w:rPr>
          <w:rFonts w:hint="eastAsia" w:ascii="仿宋_GB2312" w:eastAsia="仿宋_GB2312"/>
          <w:b w:val="0"/>
          <w:bCs/>
          <w:color w:val="auto"/>
          <w:sz w:val="32"/>
          <w:szCs w:val="32"/>
          <w:lang w:eastAsia="zh-CN"/>
        </w:rPr>
        <w:t>由于疫情原因</w:t>
      </w:r>
      <w:r>
        <w:rPr>
          <w:rFonts w:hint="eastAsia" w:ascii="仿宋_GB2312" w:eastAsia="仿宋_GB2312"/>
          <w:b w:val="0"/>
          <w:bCs/>
          <w:color w:val="auto"/>
          <w:sz w:val="32"/>
          <w:szCs w:val="32"/>
        </w:rPr>
        <w:t>，年初未安排此预算，因此100%完成。</w:t>
      </w:r>
    </w:p>
    <w:p>
      <w:pPr>
        <w:spacing w:line="56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color w:val="auto"/>
          <w:sz w:val="32"/>
          <w:szCs w:val="32"/>
          <w:lang w:eastAsia="zh-CN"/>
        </w:rPr>
        <w:t>卫生健康支出</w:t>
      </w:r>
      <w:r>
        <w:rPr>
          <w:rFonts w:hint="eastAsia" w:ascii="仿宋_GB2312" w:hAnsi="宋体" w:eastAsia="仿宋_GB2312"/>
          <w:color w:val="auto"/>
          <w:sz w:val="32"/>
          <w:szCs w:val="32"/>
          <w:lang w:val="en-US" w:eastAsia="zh-CN"/>
        </w:rPr>
        <w:t>581.91万元，包括：</w:t>
      </w:r>
    </w:p>
    <w:p>
      <w:pPr>
        <w:pStyle w:val="6"/>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eastAsia="zh-CN"/>
        </w:rPr>
        <w:t>重大公共卫生服务</w:t>
      </w:r>
      <w:r>
        <w:rPr>
          <w:rFonts w:hint="eastAsia" w:ascii="仿宋_GB2312" w:eastAsia="仿宋_GB2312"/>
          <w:color w:val="auto"/>
          <w:sz w:val="32"/>
          <w:szCs w:val="32"/>
          <w:lang w:val="en-US" w:eastAsia="zh-CN"/>
        </w:rPr>
        <w:t>581.91</w:t>
      </w:r>
      <w:r>
        <w:rPr>
          <w:rFonts w:hint="eastAsia" w:ascii="仿宋_GB2312" w:eastAsia="仿宋_GB2312"/>
          <w:color w:val="auto"/>
          <w:sz w:val="32"/>
          <w:szCs w:val="32"/>
        </w:rPr>
        <w:t>万元，主要是</w:t>
      </w:r>
      <w:r>
        <w:rPr>
          <w:rFonts w:hint="eastAsia" w:ascii="仿宋_GB2312" w:eastAsia="仿宋_GB2312"/>
          <w:color w:val="auto"/>
          <w:sz w:val="32"/>
          <w:szCs w:val="32"/>
          <w:lang w:eastAsia="zh-CN"/>
        </w:rPr>
        <w:t>2022</w:t>
      </w:r>
      <w:r>
        <w:rPr>
          <w:rFonts w:hint="eastAsia" w:ascii="仿宋_GB2312" w:eastAsia="仿宋_GB2312"/>
          <w:color w:val="auto"/>
          <w:sz w:val="32"/>
          <w:szCs w:val="32"/>
        </w:rPr>
        <w:t>年防疫辅助保安人员服务费。</w:t>
      </w:r>
      <w:r>
        <w:rPr>
          <w:rFonts w:hint="eastAsia" w:ascii="仿宋_GB2312" w:eastAsia="仿宋_GB2312"/>
          <w:b w:val="0"/>
          <w:bCs/>
          <w:color w:val="auto"/>
          <w:sz w:val="32"/>
          <w:szCs w:val="32"/>
        </w:rPr>
        <w:t>完成年初预算的100%，</w:t>
      </w:r>
      <w:r>
        <w:rPr>
          <w:rFonts w:hint="eastAsia" w:ascii="仿宋_GB2312" w:eastAsia="仿宋_GB2312"/>
          <w:b w:val="0"/>
          <w:bCs/>
          <w:color w:val="auto"/>
          <w:sz w:val="32"/>
          <w:szCs w:val="32"/>
          <w:lang w:eastAsia="zh-CN"/>
        </w:rPr>
        <w:t>由于疫情原因</w:t>
      </w:r>
      <w:r>
        <w:rPr>
          <w:rFonts w:hint="eastAsia" w:ascii="仿宋_GB2312" w:eastAsia="仿宋_GB2312"/>
          <w:b w:val="0"/>
          <w:bCs/>
          <w:color w:val="auto"/>
          <w:sz w:val="32"/>
          <w:szCs w:val="32"/>
        </w:rPr>
        <w:t>，年初未安排此预算，因此100%完成。</w:t>
      </w:r>
    </w:p>
    <w:p>
      <w:pPr>
        <w:numPr>
          <w:ilvl w:val="0"/>
          <w:numId w:val="0"/>
        </w:numPr>
        <w:spacing w:line="540" w:lineRule="exact"/>
        <w:ind w:firstLine="643" w:firstLineChars="200"/>
        <w:outlineLvl w:val="2"/>
        <w:rPr>
          <w:rFonts w:ascii="楷体_GB2312" w:hAnsi="宋体" w:eastAsia="楷体_GB2312"/>
          <w:b/>
          <w:color w:val="auto"/>
          <w:sz w:val="32"/>
          <w:szCs w:val="32"/>
        </w:rPr>
      </w:pPr>
      <w:r>
        <w:rPr>
          <w:rFonts w:ascii="楷体_GB2312" w:hAnsi="宋体" w:eastAsia="楷体_GB2312"/>
          <w:b/>
          <w:color w:val="auto"/>
          <w:sz w:val="32"/>
          <w:szCs w:val="32"/>
        </w:rPr>
        <w:t>（三）政府性基金预算财政拨款支出情况。</w:t>
      </w:r>
    </w:p>
    <w:p>
      <w:pPr>
        <w:spacing w:line="560" w:lineRule="exact"/>
        <w:ind w:firstLine="660"/>
        <w:rPr>
          <w:rFonts w:hint="eastAsia" w:ascii="楷体_GB2312" w:hAnsi="宋体" w:eastAsia="楷体_GB2312"/>
          <w:b/>
          <w:color w:val="auto"/>
          <w:sz w:val="32"/>
          <w:szCs w:val="32"/>
          <w:lang w:val="en-US" w:eastAsia="zh-CN"/>
        </w:rPr>
      </w:pPr>
      <w:r>
        <w:rPr>
          <w:rFonts w:hint="eastAsia" w:ascii="仿宋" w:hAnsi="仿宋" w:eastAsia="仿宋" w:cs="仿宋"/>
          <w:b w:val="0"/>
          <w:bCs/>
          <w:color w:val="auto"/>
          <w:sz w:val="32"/>
          <w:szCs w:val="32"/>
          <w:lang w:val="en-US" w:eastAsia="zh-CN"/>
        </w:rPr>
        <w:t>本年未发生此项资金</w:t>
      </w:r>
    </w:p>
    <w:p>
      <w:pPr>
        <w:spacing w:line="560" w:lineRule="exact"/>
        <w:ind w:firstLine="660"/>
        <w:rPr>
          <w:rFonts w:ascii="楷体_GB2312" w:hAnsi="宋体" w:eastAsia="楷体_GB2312"/>
          <w:b/>
          <w:color w:val="auto"/>
          <w:sz w:val="32"/>
          <w:szCs w:val="32"/>
        </w:rPr>
      </w:pPr>
      <w:r>
        <w:rPr>
          <w:rFonts w:ascii="楷体_GB2312" w:hAnsi="宋体" w:eastAsia="楷体_GB2312"/>
          <w:b/>
          <w:color w:val="auto"/>
          <w:sz w:val="32"/>
          <w:szCs w:val="32"/>
        </w:rPr>
        <w:t>（四）国有资本经营预算财政拨款支出情况。</w:t>
      </w:r>
    </w:p>
    <w:p>
      <w:pPr>
        <w:spacing w:line="560" w:lineRule="exact"/>
        <w:ind w:firstLine="66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本年未发生此项资金</w:t>
      </w:r>
    </w:p>
    <w:p>
      <w:pPr>
        <w:pStyle w:val="6"/>
        <w:spacing w:line="560" w:lineRule="exact"/>
        <w:ind w:firstLine="660"/>
        <w:rPr>
          <w:rFonts w:hint="default" w:ascii="黑体" w:eastAsia="黑体"/>
          <w:color w:val="auto"/>
          <w:sz w:val="32"/>
        </w:rPr>
      </w:pPr>
      <w:r>
        <w:rPr>
          <w:rFonts w:ascii="黑体" w:eastAsia="黑体"/>
          <w:color w:val="auto"/>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0" w:firstLineChars="200"/>
        <w:rPr>
          <w:rFonts w:hint="default" w:ascii="Times New Roman" w:hAnsi="Times New Roman" w:eastAsia="仿宋_GB2312" w:cs="Times New Roman"/>
          <w:color w:val="auto"/>
          <w:kern w:val="0"/>
          <w:szCs w:val="21"/>
          <w:lang w:val="en-US"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Times New Roman" w:eastAsia="仿宋_GB2312" w:cs="Times New Roman"/>
          <w:color w:val="auto"/>
          <w:kern w:val="0"/>
          <w:sz w:val="32"/>
          <w:szCs w:val="32"/>
          <w:lang w:val="en-US" w:eastAsia="zh-CN"/>
        </w:rPr>
        <w:t>。</w:t>
      </w:r>
    </w:p>
    <w:p>
      <w:pPr>
        <w:pStyle w:val="6"/>
        <w:spacing w:line="560" w:lineRule="exact"/>
        <w:ind w:firstLine="645"/>
        <w:rPr>
          <w:rFonts w:hint="default" w:ascii="黑体" w:eastAsia="黑体"/>
          <w:color w:val="auto"/>
          <w:sz w:val="32"/>
        </w:rPr>
      </w:pPr>
      <w:r>
        <w:rPr>
          <w:rFonts w:ascii="黑体" w:eastAsia="黑体"/>
          <w:color w:val="auto"/>
          <w:sz w:val="32"/>
        </w:rPr>
        <w:t>四、一般公共预算财政拨款基本支出决算情况说明</w:t>
      </w:r>
    </w:p>
    <w:p>
      <w:pPr>
        <w:pStyle w:val="6"/>
        <w:spacing w:line="560" w:lineRule="exact"/>
        <w:ind w:firstLine="64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本年未发生此项资金</w:t>
      </w:r>
    </w:p>
    <w:p>
      <w:pPr>
        <w:pStyle w:val="6"/>
        <w:spacing w:line="560" w:lineRule="exact"/>
        <w:ind w:firstLine="640"/>
        <w:rPr>
          <w:rFonts w:hint="default" w:ascii="黑体" w:eastAsia="黑体"/>
          <w:color w:val="auto"/>
          <w:sz w:val="32"/>
        </w:rPr>
      </w:pPr>
      <w:r>
        <w:rPr>
          <w:rFonts w:ascii="黑体" w:eastAsia="黑体"/>
          <w:color w:val="auto"/>
          <w:sz w:val="32"/>
        </w:rPr>
        <w:t>五、其他重要事项的情况说明</w:t>
      </w:r>
    </w:p>
    <w:p>
      <w:pPr>
        <w:pStyle w:val="6"/>
        <w:spacing w:line="560" w:lineRule="exact"/>
        <w:ind w:firstLine="640"/>
        <w:rPr>
          <w:rFonts w:hint="default" w:ascii="楷体_GB2312" w:eastAsia="楷体_GB2312"/>
          <w:b/>
          <w:color w:val="auto"/>
          <w:sz w:val="32"/>
        </w:rPr>
      </w:pPr>
      <w:r>
        <w:rPr>
          <w:rFonts w:ascii="楷体_GB2312" w:eastAsia="楷体_GB2312"/>
          <w:b/>
          <w:color w:val="auto"/>
          <w:sz w:val="32"/>
        </w:rPr>
        <w:t>（一）机关运行经费支出情况。</w:t>
      </w:r>
    </w:p>
    <w:p>
      <w:pPr>
        <w:spacing w:line="560" w:lineRule="exact"/>
        <w:ind w:firstLine="640" w:firstLineChars="200"/>
        <w:rPr>
          <w:rFonts w:hint="default" w:ascii="仿宋_GB2312" w:hAnsi="仿宋_GB2312" w:eastAsia="仿宋_GB2312"/>
          <w:color w:val="auto"/>
          <w:sz w:val="32"/>
          <w:lang w:val="en-US" w:eastAsia="zh-CN"/>
        </w:rPr>
      </w:pPr>
      <w:r>
        <w:rPr>
          <w:rFonts w:hint="eastAsia" w:ascii="仿宋_GB2312" w:hAnsi="宋体" w:eastAsia="仿宋_GB2312"/>
          <w:color w:val="auto"/>
          <w:sz w:val="32"/>
          <w:szCs w:val="32"/>
          <w:highlight w:val="none"/>
        </w:rPr>
        <w:t>由于2019年10月沈阳市公安局浑南分局由沈阳市公安</w:t>
      </w:r>
      <w:r>
        <w:rPr>
          <w:rFonts w:hint="eastAsia" w:ascii="仿宋_GB2312" w:hAnsi="宋体" w:eastAsia="仿宋_GB2312"/>
          <w:b w:val="0"/>
          <w:bCs w:val="0"/>
          <w:color w:val="auto"/>
          <w:sz w:val="32"/>
          <w:szCs w:val="32"/>
          <w:highlight w:val="none"/>
        </w:rPr>
        <w:t>局垂直管理，</w:t>
      </w:r>
      <w:r>
        <w:rPr>
          <w:rFonts w:hint="eastAsia" w:ascii="仿宋_GB2312" w:hAnsi="宋体" w:eastAsia="仿宋_GB2312"/>
          <w:b w:val="0"/>
          <w:bCs w:val="0"/>
          <w:color w:val="auto"/>
          <w:sz w:val="32"/>
          <w:szCs w:val="32"/>
          <w:highlight w:val="none"/>
          <w:lang w:val="en-US" w:eastAsia="zh-CN"/>
        </w:rPr>
        <w:t>2020年后</w:t>
      </w:r>
      <w:r>
        <w:rPr>
          <w:rFonts w:ascii="仿宋_GB2312" w:hAnsi="黑体" w:eastAsia="仿宋_GB2312"/>
          <w:b w:val="0"/>
          <w:bCs w:val="0"/>
          <w:color w:val="auto"/>
          <w:sz w:val="32"/>
        </w:rPr>
        <w:t>分局机关各部门及各派出单位公用经费</w:t>
      </w:r>
      <w:r>
        <w:rPr>
          <w:rFonts w:hint="eastAsia" w:ascii="仿宋_GB2312" w:hAnsi="黑体" w:eastAsia="仿宋_GB2312"/>
          <w:b w:val="0"/>
          <w:bCs w:val="0"/>
          <w:color w:val="auto"/>
          <w:sz w:val="32"/>
          <w:lang w:eastAsia="zh-CN"/>
        </w:rPr>
        <w:t>均在市局列支。</w:t>
      </w:r>
    </w:p>
    <w:p>
      <w:pPr>
        <w:pStyle w:val="6"/>
        <w:spacing w:line="560" w:lineRule="exact"/>
        <w:ind w:firstLine="640"/>
        <w:rPr>
          <w:rFonts w:ascii="楷体_GB2312" w:eastAsia="楷体_GB2312"/>
          <w:b/>
          <w:color w:val="auto"/>
          <w:sz w:val="32"/>
        </w:rPr>
      </w:pPr>
      <w:r>
        <w:rPr>
          <w:rFonts w:ascii="楷体_GB2312" w:eastAsia="楷体_GB2312"/>
          <w:b/>
          <w:color w:val="auto"/>
          <w:sz w:val="32"/>
        </w:rPr>
        <w:t>（二）政府采购支出情况。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145.3119</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59.4519</w:t>
      </w:r>
      <w:r>
        <w:rPr>
          <w:rFonts w:ascii="仿宋_GB2312" w:eastAsia="仿宋_GB2312"/>
          <w:sz w:val="32"/>
        </w:rPr>
        <w:t>万元，政府采购服务支出</w:t>
      </w:r>
      <w:r>
        <w:rPr>
          <w:rFonts w:hint="eastAsia" w:ascii="仿宋_GB2312" w:eastAsia="仿宋_GB2312"/>
          <w:sz w:val="32"/>
          <w:lang w:val="en-US" w:eastAsia="zh-CN"/>
        </w:rPr>
        <w:t>85.86</w:t>
      </w:r>
      <w:r>
        <w:rPr>
          <w:rFonts w:ascii="仿宋_GB2312" w:eastAsia="仿宋_GB2312"/>
          <w:sz w:val="32"/>
        </w:rPr>
        <w:t>万元。授予中小企业合同金额</w:t>
      </w:r>
      <w:r>
        <w:rPr>
          <w:rFonts w:hint="eastAsia" w:ascii="仿宋_GB2312" w:eastAsia="仿宋_GB2312"/>
          <w:sz w:val="32"/>
          <w:lang w:val="en-US" w:eastAsia="zh-CN"/>
        </w:rPr>
        <w:t>145.3119</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w:t>
      </w:r>
    </w:p>
    <w:p>
      <w:pPr>
        <w:pStyle w:val="6"/>
        <w:spacing w:line="560" w:lineRule="exact"/>
        <w:ind w:firstLine="640"/>
        <w:rPr>
          <w:rFonts w:hint="default" w:ascii="楷体_GB2312" w:eastAsia="楷体_GB2312"/>
          <w:b/>
          <w:color w:val="auto"/>
          <w:sz w:val="32"/>
        </w:rPr>
      </w:pPr>
      <w:r>
        <w:rPr>
          <w:rFonts w:ascii="楷体_GB2312" w:eastAsia="楷体_GB2312"/>
          <w:b/>
          <w:color w:val="auto"/>
          <w:sz w:val="32"/>
        </w:rPr>
        <w:t>（三）国有资产占用情况。</w:t>
      </w:r>
    </w:p>
    <w:p>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仿宋_GB2312" w:eastAsia="仿宋_GB2312" w:cs="仿宋_GB2312"/>
          <w:b/>
          <w:bCs/>
          <w:color w:val="auto"/>
          <w:sz w:val="32"/>
          <w:szCs w:val="32"/>
          <w:lang w:eastAsia="zh-CN"/>
        </w:rPr>
      </w:pPr>
      <w:r>
        <w:rPr>
          <w:rFonts w:ascii="仿宋_GB2312" w:hAnsi="黑体" w:eastAsia="仿宋_GB2312"/>
          <w:b w:val="0"/>
          <w:bCs w:val="0"/>
          <w:color w:val="auto"/>
          <w:sz w:val="32"/>
        </w:rPr>
        <w:t>截至</w:t>
      </w:r>
      <w:r>
        <w:rPr>
          <w:rFonts w:hint="eastAsia" w:ascii="仿宋_GB2312" w:hAnsi="黑体" w:eastAsia="仿宋_GB2312"/>
          <w:b w:val="0"/>
          <w:bCs w:val="0"/>
          <w:color w:val="auto"/>
          <w:sz w:val="32"/>
          <w:lang w:eastAsia="zh-CN"/>
        </w:rPr>
        <w:t>2022</w:t>
      </w:r>
      <w:r>
        <w:rPr>
          <w:rFonts w:ascii="仿宋_GB2312" w:hAnsi="黑体" w:eastAsia="仿宋_GB2312"/>
          <w:b w:val="0"/>
          <w:bCs w:val="0"/>
          <w:color w:val="auto"/>
          <w:sz w:val="32"/>
        </w:rPr>
        <w:t>年12月31日，</w:t>
      </w:r>
      <w:r>
        <w:rPr>
          <w:rFonts w:hint="eastAsia" w:ascii="仿宋_GB2312" w:hAnsi="黑体" w:eastAsia="仿宋_GB2312"/>
          <w:b w:val="0"/>
          <w:bCs w:val="0"/>
          <w:color w:val="auto"/>
          <w:sz w:val="32"/>
          <w:lang w:eastAsia="zh-CN"/>
        </w:rPr>
        <w:t>共有</w:t>
      </w:r>
      <w:r>
        <w:rPr>
          <w:rFonts w:ascii="仿宋_GB2312" w:hAnsi="黑体" w:eastAsia="仿宋_GB2312"/>
          <w:b w:val="0"/>
          <w:bCs w:val="0"/>
          <w:color w:val="auto"/>
          <w:sz w:val="32"/>
        </w:rPr>
        <w:t>车辆0辆</w:t>
      </w:r>
      <w:r>
        <w:rPr>
          <w:rFonts w:ascii="仿宋_GB2312" w:hAnsi="仿宋_GB2312" w:eastAsia="仿宋_GB2312" w:cs="仿宋_GB2312"/>
          <w:b w:val="0"/>
          <w:bCs w:val="0"/>
          <w:color w:val="auto"/>
          <w:sz w:val="32"/>
          <w:szCs w:val="32"/>
        </w:rPr>
        <w:t>；单位价值50万元以上通用设备0台（套），单价100万元以上专用设备0台（套）</w:t>
      </w:r>
      <w:r>
        <w:rPr>
          <w:rFonts w:hint="eastAsia" w:ascii="仿宋_GB2312" w:hAnsi="仿宋_GB2312" w:eastAsia="仿宋_GB2312" w:cs="仿宋_GB2312"/>
          <w:b/>
          <w:bCs/>
          <w:color w:val="auto"/>
          <w:sz w:val="32"/>
          <w:szCs w:val="32"/>
          <w:lang w:eastAsia="zh-CN"/>
        </w:rPr>
        <w:t>。</w:t>
      </w:r>
    </w:p>
    <w:p>
      <w:pPr>
        <w:keepNext w:val="0"/>
        <w:keepLines w:val="0"/>
        <w:widowControl/>
        <w:suppressLineNumbers w:val="0"/>
        <w:spacing w:before="0" w:beforeAutospacing="0" w:after="0" w:afterAutospacing="0" w:line="540" w:lineRule="exact"/>
        <w:ind w:left="0" w:right="0" w:firstLine="643" w:firstLineChars="200"/>
        <w:jc w:val="left"/>
        <w:rPr>
          <w:b/>
          <w:bCs w:val="0"/>
          <w:color w:val="auto"/>
          <w:highlight w:val="none"/>
          <w:shd w:val="clear" w:color="auto" w:fill="auto"/>
        </w:rPr>
      </w:pPr>
      <w:r>
        <w:rPr>
          <w:rFonts w:ascii="楷体_GB2312" w:eastAsia="楷体_GB2312"/>
          <w:b/>
          <w:color w:val="auto"/>
          <w:sz w:val="32"/>
        </w:rPr>
        <w:t>（四）预算绩效管理工作开展情况。</w:t>
      </w:r>
    </w:p>
    <w:p>
      <w:pPr>
        <w:widowControl/>
        <w:spacing w:line="560" w:lineRule="exact"/>
        <w:ind w:firstLine="643" w:firstLineChars="200"/>
        <w:rPr>
          <w:rFonts w:hint="default" w:ascii="仿宋_GB2312" w:eastAsia="仿宋_GB2312"/>
          <w:color w:val="auto"/>
          <w:sz w:val="32"/>
        </w:rPr>
      </w:pPr>
      <w:r>
        <w:rPr>
          <w:rFonts w:hint="default" w:ascii="仿宋_GB2312" w:eastAsia="仿宋_GB2312"/>
          <w:b/>
          <w:bCs/>
          <w:color w:val="auto"/>
          <w:sz w:val="32"/>
        </w:rPr>
        <w:t>1.整体绩效自评情况</w:t>
      </w:r>
      <w:r>
        <w:rPr>
          <w:rFonts w:hint="default" w:ascii="仿宋_GB2312" w:eastAsia="仿宋_GB2312"/>
          <w:color w:val="auto"/>
          <w:sz w:val="32"/>
        </w:rPr>
        <w:t>（附部门整体绩效自评表）。组织对</w:t>
      </w:r>
      <w:r>
        <w:rPr>
          <w:rFonts w:hint="eastAsia" w:ascii="仿宋_GB2312" w:eastAsia="仿宋_GB2312"/>
          <w:color w:val="auto"/>
          <w:sz w:val="32"/>
          <w:lang w:eastAsia="zh-CN"/>
        </w:rPr>
        <w:t>本部门</w:t>
      </w:r>
      <w:r>
        <w:rPr>
          <w:rFonts w:hint="default" w:ascii="仿宋_GB2312" w:eastAsia="仿宋_GB2312"/>
          <w:color w:val="auto"/>
          <w:sz w:val="32"/>
        </w:rPr>
        <w:t>开展整体绩效自评，涉及资金</w:t>
      </w:r>
      <w:r>
        <w:rPr>
          <w:rFonts w:hint="eastAsia" w:ascii="仿宋_GB2312" w:eastAsia="仿宋_GB2312"/>
          <w:color w:val="auto"/>
          <w:sz w:val="32"/>
          <w:lang w:val="en-US" w:eastAsia="zh-CN"/>
        </w:rPr>
        <w:t>632.4</w:t>
      </w:r>
      <w:r>
        <w:rPr>
          <w:rFonts w:hint="default" w:ascii="仿宋_GB2312" w:eastAsia="仿宋_GB2312"/>
          <w:color w:val="auto"/>
          <w:sz w:val="32"/>
        </w:rPr>
        <w:t>万元。</w:t>
      </w:r>
    </w:p>
    <w:p>
      <w:pPr>
        <w:pStyle w:val="6"/>
        <w:spacing w:line="560" w:lineRule="atLeast"/>
        <w:ind w:firstLine="640"/>
        <w:rPr>
          <w:rFonts w:hint="eastAsia" w:ascii="仿宋_GB2312" w:eastAsia="仿宋_GB2312"/>
          <w:color w:val="auto"/>
          <w:sz w:val="32"/>
          <w:lang w:eastAsia="zh-CN"/>
        </w:rPr>
      </w:pPr>
      <w:r>
        <w:rPr>
          <w:rFonts w:hint="eastAsia" w:ascii="仿宋_GB2312" w:eastAsia="仿宋_GB2312"/>
          <w:b/>
          <w:bCs/>
          <w:color w:val="auto"/>
          <w:sz w:val="32"/>
          <w:lang w:val="en-US" w:eastAsia="zh-CN"/>
        </w:rPr>
        <w:t>2.</w:t>
      </w:r>
      <w:r>
        <w:rPr>
          <w:rFonts w:hint="default" w:ascii="仿宋_GB2312" w:eastAsia="仿宋_GB2312"/>
          <w:b/>
          <w:bCs/>
          <w:color w:val="auto"/>
          <w:sz w:val="32"/>
        </w:rPr>
        <w:t>项目绩效自评情况</w:t>
      </w:r>
      <w:r>
        <w:rPr>
          <w:rFonts w:hint="default" w:ascii="仿宋_GB2312" w:eastAsia="仿宋_GB2312"/>
          <w:color w:val="auto"/>
          <w:sz w:val="32"/>
        </w:rPr>
        <w:t>（附预算项目绩效自评表）</w:t>
      </w:r>
      <w:r>
        <w:rPr>
          <w:rFonts w:hint="eastAsia" w:ascii="仿宋_GB2312" w:eastAsia="仿宋_GB2312"/>
          <w:color w:val="auto"/>
          <w:sz w:val="32"/>
          <w:lang w:eastAsia="zh-CN"/>
        </w:rPr>
        <w:t>。</w:t>
      </w:r>
    </w:p>
    <w:p>
      <w:pPr>
        <w:pStyle w:val="6"/>
        <w:spacing w:line="560" w:lineRule="atLeast"/>
        <w:ind w:firstLine="640"/>
        <w:rPr>
          <w:rFonts w:hint="default" w:ascii="仿宋_GB2312" w:eastAsia="仿宋_GB2312"/>
          <w:color w:val="auto"/>
          <w:sz w:val="32"/>
        </w:rPr>
      </w:pPr>
      <w:r>
        <w:rPr>
          <w:rFonts w:hint="default" w:ascii="仿宋_GB2312" w:eastAsia="仿宋_GB2312"/>
          <w:color w:val="auto"/>
          <w:sz w:val="32"/>
        </w:rPr>
        <w:t>根据预算绩效管理要求，</w:t>
      </w:r>
      <w:r>
        <w:rPr>
          <w:rFonts w:hint="eastAsia" w:ascii="仿宋_GB2312" w:eastAsia="仿宋_GB2312"/>
          <w:color w:val="auto"/>
          <w:sz w:val="32"/>
          <w:szCs w:val="32"/>
        </w:rPr>
        <w:t>我</w:t>
      </w:r>
      <w:r>
        <w:rPr>
          <w:rFonts w:hint="eastAsia" w:ascii="仿宋_GB2312" w:eastAsia="仿宋_GB2312"/>
          <w:color w:val="auto"/>
          <w:sz w:val="32"/>
          <w:szCs w:val="32"/>
          <w:lang w:eastAsia="zh-CN"/>
        </w:rPr>
        <w:t>部门</w:t>
      </w:r>
      <w:r>
        <w:rPr>
          <w:rFonts w:hint="eastAsia" w:ascii="仿宋_GB2312" w:eastAsia="仿宋_GB2312"/>
          <w:color w:val="auto"/>
          <w:sz w:val="32"/>
          <w:szCs w:val="32"/>
        </w:rPr>
        <w:t>组织对</w:t>
      </w:r>
      <w:r>
        <w:rPr>
          <w:rFonts w:hint="eastAsia" w:ascii="仿宋_GB2312" w:eastAsia="仿宋_GB2312"/>
          <w:color w:val="auto"/>
          <w:sz w:val="32"/>
          <w:szCs w:val="32"/>
          <w:lang w:val="en-US" w:eastAsia="zh-CN"/>
        </w:rPr>
        <w:t>2022</w:t>
      </w:r>
      <w:r>
        <w:rPr>
          <w:rFonts w:hint="eastAsia" w:ascii="仿宋_GB2312" w:eastAsia="仿宋_GB2312"/>
          <w:color w:val="auto"/>
          <w:sz w:val="32"/>
          <w:szCs w:val="32"/>
        </w:rPr>
        <w:t>年度预算项目支出全面开展绩效自评，共涉及预算支出项目</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个，涉及资金</w:t>
      </w:r>
      <w:r>
        <w:rPr>
          <w:rFonts w:hint="eastAsia" w:ascii="仿宋_GB2312" w:eastAsia="仿宋_GB2312"/>
          <w:color w:val="auto"/>
          <w:sz w:val="32"/>
          <w:szCs w:val="32"/>
          <w:lang w:val="en-US" w:eastAsia="zh-CN"/>
        </w:rPr>
        <w:t>2912.03</w:t>
      </w:r>
      <w:r>
        <w:rPr>
          <w:rFonts w:hint="eastAsia" w:ascii="仿宋_GB2312" w:eastAsia="仿宋_GB2312"/>
          <w:color w:val="auto"/>
          <w:sz w:val="32"/>
          <w:szCs w:val="32"/>
        </w:rPr>
        <w:t>万元，</w:t>
      </w:r>
      <w:r>
        <w:rPr>
          <w:rFonts w:hint="default" w:ascii="仿宋_GB2312" w:eastAsia="仿宋_GB2312"/>
          <w:color w:val="auto"/>
          <w:sz w:val="32"/>
        </w:rPr>
        <w:t>自评覆盖率达到</w:t>
      </w:r>
      <w:r>
        <w:rPr>
          <w:rFonts w:hint="eastAsia" w:ascii="仿宋_GB2312" w:eastAsia="仿宋_GB2312"/>
          <w:color w:val="auto"/>
          <w:sz w:val="32"/>
          <w:lang w:val="en-US" w:eastAsia="zh-CN"/>
        </w:rPr>
        <w:t>100</w:t>
      </w:r>
      <w:r>
        <w:rPr>
          <w:rFonts w:hint="default" w:ascii="仿宋_GB2312" w:eastAsia="仿宋_GB2312"/>
          <w:color w:val="auto"/>
          <w:sz w:val="32"/>
        </w:rPr>
        <w:t>%，自评平均分</w:t>
      </w:r>
      <w:r>
        <w:rPr>
          <w:rFonts w:hint="eastAsia" w:ascii="仿宋_GB2312" w:eastAsia="仿宋_GB2312"/>
          <w:color w:val="auto"/>
          <w:sz w:val="32"/>
          <w:lang w:val="en-US" w:eastAsia="zh-CN"/>
        </w:rPr>
        <w:t>88</w:t>
      </w:r>
      <w:r>
        <w:rPr>
          <w:rFonts w:hint="default" w:ascii="仿宋_GB2312" w:eastAsia="仿宋_GB2312"/>
          <w:color w:val="auto"/>
          <w:sz w:val="32"/>
        </w:rPr>
        <w:t>分。</w:t>
      </w:r>
    </w:p>
    <w:p>
      <w:pPr>
        <w:widowControl/>
        <w:spacing w:line="560" w:lineRule="exact"/>
        <w:ind w:firstLine="640" w:firstLineChars="200"/>
        <w:rPr>
          <w:rFonts w:ascii="仿宋_GB2312" w:eastAsia="仿宋_GB2312"/>
          <w:color w:val="auto"/>
          <w:sz w:val="32"/>
          <w:szCs w:val="32"/>
        </w:rPr>
      </w:pPr>
      <w:r>
        <w:rPr>
          <w:rFonts w:ascii="仿宋_GB2312" w:hAnsi="宋体" w:eastAsia="仿宋_GB2312" w:cs="宋体"/>
          <w:color w:val="auto"/>
          <w:sz w:val="32"/>
          <w:szCs w:val="32"/>
        </w:rPr>
        <w:t>通过绩效自评发现预算项目管理主要存在以下问题：对</w:t>
      </w:r>
      <w:r>
        <w:rPr>
          <w:rFonts w:ascii="仿宋_GB2312" w:hAnsi="黑体" w:eastAsia="仿宋_GB2312"/>
          <w:color w:val="auto"/>
          <w:sz w:val="32"/>
          <w:szCs w:val="32"/>
        </w:rPr>
        <w:t>预算绩效管理工作没有深入学习，缺乏量化分析，对预算编制阶段、执行阶段等执行力度不够强。</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widowControl/>
        <w:spacing w:line="560" w:lineRule="exact"/>
        <w:ind w:firstLine="640" w:firstLineChars="200"/>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 xml:space="preserve"> </w:t>
      </w:r>
      <w:r>
        <w:rPr>
          <w:rFonts w:ascii="仿宋_GB2312" w:hAnsi="宋体" w:eastAsia="仿宋_GB2312" w:cs="宋体"/>
          <w:color w:val="auto"/>
          <w:sz w:val="32"/>
          <w:szCs w:val="32"/>
        </w:rPr>
        <w:t>下一步将采取以下措施加以改进：</w:t>
      </w:r>
      <w:r>
        <w:rPr>
          <w:rFonts w:ascii="仿宋_GB2312" w:hAnsi="黑体" w:eastAsia="仿宋_GB2312"/>
          <w:color w:val="auto"/>
          <w:sz w:val="32"/>
          <w:szCs w:val="32"/>
        </w:rPr>
        <w:t>加强</w:t>
      </w:r>
      <w:r>
        <w:rPr>
          <w:rFonts w:hint="eastAsia" w:ascii="仿宋_GB2312" w:hAnsi="黑体" w:eastAsia="仿宋_GB2312"/>
          <w:color w:val="auto"/>
          <w:sz w:val="32"/>
          <w:szCs w:val="32"/>
          <w:lang w:eastAsia="zh-CN"/>
        </w:rPr>
        <w:t>对</w:t>
      </w:r>
      <w:r>
        <w:rPr>
          <w:rFonts w:ascii="仿宋_GB2312" w:hAnsi="黑体" w:eastAsia="仿宋_GB2312"/>
          <w:color w:val="auto"/>
          <w:sz w:val="32"/>
          <w:szCs w:val="32"/>
        </w:rPr>
        <w:t>各部门对预算编制绩效目标的明确化程度，严格按照预算目标阶段化执行，对预算编制更加严谨化、科学化</w:t>
      </w:r>
      <w:r>
        <w:rPr>
          <w:rFonts w:hint="eastAsia" w:ascii="仿宋_GB2312" w:hAnsi="黑体" w:eastAsia="仿宋_GB2312"/>
          <w:color w:val="auto"/>
          <w:sz w:val="32"/>
          <w:szCs w:val="32"/>
          <w:lang w:eastAsia="zh-CN"/>
        </w:rPr>
        <w:t>，</w:t>
      </w:r>
      <w:r>
        <w:rPr>
          <w:rFonts w:hint="eastAsia" w:ascii="仿宋_GB2312" w:eastAsia="仿宋_GB2312"/>
          <w:color w:val="auto"/>
          <w:sz w:val="32"/>
          <w:szCs w:val="32"/>
        </w:rPr>
        <w:t>保证</w:t>
      </w:r>
      <w:r>
        <w:rPr>
          <w:rFonts w:ascii="仿宋_GB2312" w:eastAsia="仿宋_GB2312"/>
          <w:color w:val="auto"/>
          <w:sz w:val="32"/>
          <w:szCs w:val="32"/>
        </w:rPr>
        <w:t>按</w:t>
      </w:r>
      <w:r>
        <w:rPr>
          <w:rFonts w:hint="eastAsia" w:ascii="仿宋_GB2312" w:eastAsia="仿宋_GB2312"/>
          <w:color w:val="auto"/>
          <w:sz w:val="32"/>
          <w:szCs w:val="32"/>
        </w:rPr>
        <w:t>预</w:t>
      </w:r>
      <w:r>
        <w:rPr>
          <w:rFonts w:ascii="仿宋_GB2312" w:eastAsia="仿宋_GB2312"/>
          <w:color w:val="auto"/>
          <w:sz w:val="32"/>
          <w:szCs w:val="32"/>
        </w:rPr>
        <w:t>算绩效</w:t>
      </w:r>
      <w:r>
        <w:rPr>
          <w:rFonts w:hint="eastAsia" w:ascii="仿宋_GB2312" w:eastAsia="仿宋_GB2312"/>
          <w:color w:val="auto"/>
          <w:sz w:val="32"/>
          <w:szCs w:val="32"/>
        </w:rPr>
        <w:t>管</w:t>
      </w:r>
      <w:r>
        <w:rPr>
          <w:rFonts w:ascii="仿宋_GB2312" w:eastAsia="仿宋_GB2312"/>
          <w:color w:val="auto"/>
          <w:sz w:val="32"/>
          <w:szCs w:val="32"/>
        </w:rPr>
        <w:t>理目标</w:t>
      </w:r>
      <w:r>
        <w:rPr>
          <w:rFonts w:hint="eastAsia" w:ascii="仿宋_GB2312" w:eastAsia="仿宋_GB2312"/>
          <w:color w:val="auto"/>
          <w:sz w:val="32"/>
          <w:szCs w:val="32"/>
        </w:rPr>
        <w:t>，</w:t>
      </w:r>
      <w:r>
        <w:rPr>
          <w:rFonts w:ascii="仿宋_GB2312" w:eastAsia="仿宋_GB2312"/>
          <w:color w:val="auto"/>
          <w:sz w:val="32"/>
          <w:szCs w:val="32"/>
        </w:rPr>
        <w:t>对每</w:t>
      </w:r>
      <w:r>
        <w:rPr>
          <w:rFonts w:hint="eastAsia" w:ascii="仿宋_GB2312" w:eastAsia="仿宋_GB2312"/>
          <w:color w:val="auto"/>
          <w:sz w:val="32"/>
          <w:szCs w:val="32"/>
        </w:rPr>
        <w:t>项</w:t>
      </w:r>
      <w:r>
        <w:rPr>
          <w:rFonts w:ascii="仿宋_GB2312" w:eastAsia="仿宋_GB2312"/>
          <w:color w:val="auto"/>
          <w:sz w:val="32"/>
          <w:szCs w:val="32"/>
        </w:rPr>
        <w:t>资金使用进行跟踪，保</w:t>
      </w:r>
      <w:r>
        <w:rPr>
          <w:rFonts w:hint="eastAsia" w:ascii="仿宋_GB2312" w:eastAsia="仿宋_GB2312"/>
          <w:color w:val="auto"/>
          <w:sz w:val="32"/>
          <w:szCs w:val="32"/>
        </w:rPr>
        <w:t>证公安</w:t>
      </w:r>
      <w:r>
        <w:rPr>
          <w:rFonts w:ascii="仿宋_GB2312" w:eastAsia="仿宋_GB2312"/>
          <w:color w:val="auto"/>
          <w:sz w:val="32"/>
          <w:szCs w:val="32"/>
        </w:rPr>
        <w:t>工作顺利完成。</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 xml:space="preserve">   该部门整体绩效自评效果较好，望你单位继续加强资金管理，发挥资金效益。         </w:t>
      </w:r>
    </w:p>
    <w:p>
      <w:pPr>
        <w:widowControl/>
        <w:spacing w:line="560" w:lineRule="exact"/>
        <w:ind w:firstLine="640" w:firstLineChars="200"/>
        <w:rPr>
          <w:rFonts w:ascii="仿宋_GB2312" w:eastAsia="仿宋_GB2312"/>
          <w:color w:val="auto"/>
          <w:sz w:val="32"/>
          <w:szCs w:val="32"/>
        </w:rPr>
      </w:pPr>
    </w:p>
    <w:p>
      <w:pPr>
        <w:pStyle w:val="9"/>
        <w:autoSpaceDN w:val="0"/>
        <w:spacing w:line="560" w:lineRule="exact"/>
        <w:ind w:firstLine="2530" w:firstLineChars="700"/>
        <w:rPr>
          <w:b/>
          <w:bCs/>
          <w:color w:val="auto"/>
          <w:sz w:val="36"/>
          <w:szCs w:val="36"/>
        </w:rPr>
      </w:pPr>
      <w:r>
        <w:rPr>
          <w:rFonts w:hint="eastAsia"/>
          <w:b/>
          <w:bCs/>
          <w:color w:val="auto"/>
          <w:sz w:val="36"/>
          <w:szCs w:val="36"/>
        </w:rPr>
        <w:t>第三部分 名词解释</w:t>
      </w:r>
    </w:p>
    <w:p>
      <w:pPr>
        <w:pStyle w:val="6"/>
        <w:spacing w:line="560" w:lineRule="exact"/>
        <w:ind w:firstLine="627"/>
        <w:rPr>
          <w:rFonts w:hint="default" w:ascii="仿宋_GB2312" w:eastAsia="仿宋_GB2312"/>
          <w:b/>
          <w:color w:val="auto"/>
          <w:sz w:val="32"/>
        </w:rPr>
      </w:pPr>
      <w:r>
        <w:rPr>
          <w:rFonts w:ascii="仿宋_GB2312" w:eastAsia="仿宋_GB2312"/>
          <w:b/>
          <w:color w:val="auto"/>
          <w:sz w:val="32"/>
        </w:rPr>
        <w:t>1.财政拨款收入：</w:t>
      </w:r>
      <w:r>
        <w:rPr>
          <w:rFonts w:ascii="仿宋_GB2312" w:eastAsia="仿宋_GB2312"/>
          <w:color w:val="auto"/>
          <w:sz w:val="32"/>
        </w:rPr>
        <w:t>指单位从同级财政部门取得的财政预算资金。</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2.上级补助收入：</w:t>
      </w:r>
      <w:r>
        <w:rPr>
          <w:rFonts w:ascii="仿宋_GB2312" w:eastAsia="仿宋_GB2312"/>
          <w:color w:val="auto"/>
          <w:sz w:val="32"/>
        </w:rPr>
        <w:t>指单位从主管部门和上级单位取得的非财政性补助收入。</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3.事业收入：</w:t>
      </w:r>
      <w:r>
        <w:rPr>
          <w:rFonts w:ascii="仿宋_GB2312" w:eastAsia="仿宋_GB2312"/>
          <w:color w:val="auto"/>
          <w:sz w:val="32"/>
        </w:rPr>
        <w:t>指事业单位开展专业业务活动及辅助活动所取得的收入。</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4.经营收入：</w:t>
      </w:r>
      <w:r>
        <w:rPr>
          <w:rFonts w:ascii="仿宋_GB2312" w:eastAsia="仿宋_GB2312"/>
          <w:color w:val="auto"/>
          <w:sz w:val="32"/>
        </w:rPr>
        <w:t>指事业单位在专业业务活动及辅助活动之外开展非独立核算经营活动取得的收入。</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5.附属单位上缴收入：</w:t>
      </w:r>
      <w:r>
        <w:rPr>
          <w:rFonts w:ascii="仿宋_GB2312" w:eastAsia="仿宋_GB2312"/>
          <w:color w:val="auto"/>
          <w:sz w:val="32"/>
        </w:rPr>
        <w:t>指单位附属的独立核算单位按照规定上缴的收入。</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6.其他收入：</w:t>
      </w:r>
      <w:r>
        <w:rPr>
          <w:rFonts w:ascii="仿宋_GB2312" w:eastAsia="仿宋_GB2312"/>
          <w:color w:val="auto"/>
          <w:sz w:val="32"/>
        </w:rPr>
        <w:t>指除上述“财政拨款收入”、</w:t>
      </w:r>
      <w:r>
        <w:rPr>
          <w:rFonts w:ascii="仿宋_GB2312" w:eastAsia="仿宋_GB2312"/>
          <w:b/>
          <w:color w:val="auto"/>
          <w:sz w:val="32"/>
        </w:rPr>
        <w:t xml:space="preserve"> </w:t>
      </w:r>
      <w:r>
        <w:rPr>
          <w:rFonts w:ascii="仿宋_GB2312" w:eastAsia="仿宋_GB2312"/>
          <w:color w:val="auto"/>
          <w:sz w:val="32"/>
        </w:rPr>
        <w:t>“上级补助收入”、“事业收入”、“经营收入”、“附属单位上缴收入”等以外的收入。</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7.使用非财政拨款结余：</w:t>
      </w:r>
      <w:r>
        <w:rPr>
          <w:rFonts w:ascii="仿宋_GB2312" w:eastAsia="仿宋_GB2312"/>
          <w:color w:val="auto"/>
          <w:sz w:val="32"/>
        </w:rPr>
        <w:t>指事业单位按照预算管理要求使用非财政拨款结余弥补收支差额的金额。。</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8.上年结转和结余：</w:t>
      </w:r>
      <w:r>
        <w:rPr>
          <w:rFonts w:ascii="仿宋_GB2312" w:eastAsia="仿宋_GB2312"/>
          <w:color w:val="auto"/>
          <w:sz w:val="32"/>
        </w:rPr>
        <w:t>指以前年度尚未完成、结转到本年按有关规定继续使用的资金。</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9.基本支出：</w:t>
      </w:r>
      <w:r>
        <w:rPr>
          <w:rFonts w:ascii="仿宋_GB2312" w:eastAsia="仿宋_GB2312"/>
          <w:color w:val="auto"/>
          <w:sz w:val="32"/>
        </w:rPr>
        <w:t>指保障机构正常运转、完成日常工作任务而发生的人员支出和公用支出。</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10.项目支出：</w:t>
      </w:r>
      <w:r>
        <w:rPr>
          <w:rFonts w:ascii="仿宋_GB2312" w:eastAsia="仿宋_GB2312"/>
          <w:color w:val="auto"/>
          <w:sz w:val="32"/>
        </w:rPr>
        <w:t>指在基本支出之外为完成特定行政任务和事业发展目标所发生的支出。</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11.上缴上级支出：</w:t>
      </w:r>
      <w:r>
        <w:rPr>
          <w:rFonts w:ascii="仿宋_GB2312" w:eastAsia="仿宋_GB2312"/>
          <w:color w:val="auto"/>
          <w:sz w:val="32"/>
        </w:rPr>
        <w:t>指事业单位按照财政部门和主管部门的规定上缴上级单位的支出。</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12.经营支出：</w:t>
      </w:r>
      <w:r>
        <w:rPr>
          <w:rFonts w:ascii="仿宋_GB2312" w:eastAsia="仿宋_GB2312"/>
          <w:color w:val="auto"/>
          <w:sz w:val="32"/>
        </w:rPr>
        <w:t>指事业单位在专业活动及辅助活动之外开展非独立核算经营活动发生的支出。</w:t>
      </w:r>
    </w:p>
    <w:p>
      <w:pPr>
        <w:pStyle w:val="6"/>
        <w:spacing w:line="560" w:lineRule="exact"/>
        <w:ind w:firstLine="640"/>
        <w:rPr>
          <w:rFonts w:hint="default" w:ascii="仿宋_GB2312" w:eastAsia="仿宋_GB2312"/>
          <w:b/>
          <w:color w:val="auto"/>
          <w:sz w:val="32"/>
        </w:rPr>
      </w:pPr>
      <w:r>
        <w:rPr>
          <w:rFonts w:ascii="仿宋_GB2312" w:eastAsia="仿宋_GB2312"/>
          <w:b/>
          <w:color w:val="auto"/>
          <w:sz w:val="32"/>
        </w:rPr>
        <w:t>13.对附属单位补助支出：</w:t>
      </w:r>
      <w:r>
        <w:rPr>
          <w:rFonts w:ascii="仿宋_GB2312" w:eastAsia="仿宋_GB2312"/>
          <w:color w:val="auto"/>
          <w:sz w:val="32"/>
        </w:rPr>
        <w:t>指事业单位用财政补助收入之外的收入对附属单位补助发生的支出。</w:t>
      </w:r>
    </w:p>
    <w:p>
      <w:pPr>
        <w:pStyle w:val="6"/>
        <w:spacing w:line="560" w:lineRule="exact"/>
        <w:ind w:firstLine="640"/>
        <w:rPr>
          <w:rFonts w:hint="default" w:ascii="仿宋_GB2312" w:eastAsia="仿宋_GB2312"/>
          <w:color w:val="auto"/>
          <w:sz w:val="32"/>
        </w:rPr>
      </w:pPr>
      <w:r>
        <w:rPr>
          <w:rFonts w:ascii="仿宋_GB2312" w:eastAsia="仿宋_GB2312"/>
          <w:b/>
          <w:color w:val="auto"/>
          <w:sz w:val="32"/>
        </w:rPr>
        <w:t>14.“三公”经费：</w:t>
      </w:r>
      <w:r>
        <w:rPr>
          <w:rFonts w:ascii="仿宋_GB2312" w:eastAsia="仿宋_GB2312"/>
          <w:color w:val="auto"/>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color w:val="auto"/>
          <w:sz w:val="32"/>
          <w:szCs w:val="32"/>
        </w:rPr>
      </w:pPr>
      <w:r>
        <w:rPr>
          <w:rFonts w:ascii="仿宋_GB2312" w:eastAsia="仿宋_GB2312"/>
          <w:b/>
          <w:bCs/>
          <w:color w:val="auto"/>
          <w:sz w:val="32"/>
        </w:rPr>
        <w:t>15.机关运行经费：</w:t>
      </w:r>
      <w:r>
        <w:rPr>
          <w:rFonts w:ascii="仿宋_GB2312" w:eastAsia="仿宋_GB2312"/>
          <w:color w:val="auto"/>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color w:val="auto"/>
          <w:sz w:val="32"/>
        </w:rPr>
      </w:pPr>
      <w:r>
        <w:rPr>
          <w:rFonts w:ascii="仿宋_GB2312" w:eastAsia="仿宋_GB2312"/>
          <w:b/>
          <w:color w:val="auto"/>
          <w:sz w:val="32"/>
        </w:rPr>
        <w:t>16.一般公共服务（类）财政事务（款）行政运行（项）：</w:t>
      </w:r>
      <w:r>
        <w:rPr>
          <w:rFonts w:ascii="仿宋_GB2312" w:eastAsia="仿宋_GB2312"/>
          <w:color w:val="auto"/>
          <w:sz w:val="32"/>
        </w:rPr>
        <w:t>反映行政单位（包括实行公务员管理的事业单位）的基本支出。</w:t>
      </w:r>
    </w:p>
    <w:p>
      <w:pPr>
        <w:pStyle w:val="6"/>
        <w:spacing w:line="560" w:lineRule="exact"/>
        <w:ind w:firstLine="640"/>
        <w:rPr>
          <w:rFonts w:hint="default" w:ascii="仿宋_GB2312" w:eastAsia="仿宋_GB2312"/>
          <w:i/>
          <w:color w:val="auto"/>
          <w:sz w:val="32"/>
          <w:u w:val="single"/>
        </w:rPr>
      </w:pPr>
    </w:p>
    <w:p>
      <w:pPr>
        <w:pStyle w:val="6"/>
        <w:spacing w:line="560" w:lineRule="atLeast"/>
        <w:jc w:val="left"/>
        <w:rPr>
          <w:rFonts w:hint="default" w:ascii="仿宋_GB2312" w:hAnsi="仿宋_GB2312" w:eastAsia="仿宋_GB2312" w:cs="仿宋_GB2312"/>
          <w:b/>
          <w:color w:val="auto"/>
          <w:sz w:val="52"/>
          <w:szCs w:val="52"/>
        </w:rPr>
      </w:pPr>
    </w:p>
    <w:p>
      <w:pPr>
        <w:pStyle w:val="6"/>
        <w:spacing w:line="560" w:lineRule="atLeast"/>
        <w:jc w:val="left"/>
        <w:rPr>
          <w:rFonts w:hint="default" w:ascii="仿宋_GB2312" w:hAnsi="仿宋_GB2312" w:eastAsia="仿宋_GB2312" w:cs="仿宋_GB2312"/>
          <w:b/>
          <w:color w:val="auto"/>
          <w:sz w:val="52"/>
          <w:szCs w:val="52"/>
        </w:rPr>
      </w:pPr>
    </w:p>
    <w:p>
      <w:pPr>
        <w:pStyle w:val="6"/>
        <w:spacing w:line="560" w:lineRule="atLeast"/>
        <w:jc w:val="both"/>
        <w:rPr>
          <w:rFonts w:hint="default" w:ascii="仿宋_GB2312" w:hAnsi="仿宋_GB2312" w:eastAsia="仿宋_GB2312" w:cs="仿宋_GB2312"/>
          <w:b/>
          <w:color w:val="auto"/>
          <w:sz w:val="52"/>
          <w:szCs w:val="52"/>
        </w:rPr>
      </w:pPr>
    </w:p>
    <w:p>
      <w:pPr>
        <w:pStyle w:val="6"/>
        <w:spacing w:line="560" w:lineRule="atLeast"/>
        <w:jc w:val="center"/>
        <w:rPr>
          <w:rFonts w:ascii="仿宋_GB2312" w:hAnsi="仿宋_GB2312" w:eastAsia="仿宋_GB2312" w:cs="仿宋_GB2312"/>
          <w:b/>
          <w:color w:val="auto"/>
          <w:sz w:val="52"/>
          <w:szCs w:val="52"/>
        </w:rPr>
      </w:pPr>
    </w:p>
    <w:p>
      <w:pPr>
        <w:pStyle w:val="6"/>
        <w:spacing w:line="560" w:lineRule="atLeast"/>
        <w:jc w:val="center"/>
        <w:rPr>
          <w:rFonts w:ascii="仿宋_GB2312" w:hAnsi="仿宋_GB2312" w:eastAsia="仿宋_GB2312" w:cs="仿宋_GB2312"/>
          <w:b/>
          <w:color w:val="auto"/>
          <w:sz w:val="52"/>
          <w:szCs w:val="52"/>
        </w:rPr>
      </w:pPr>
    </w:p>
    <w:p>
      <w:pPr>
        <w:pStyle w:val="6"/>
        <w:spacing w:line="560" w:lineRule="atLeast"/>
        <w:jc w:val="both"/>
        <w:rPr>
          <w:rFonts w:ascii="仿宋_GB2312" w:hAnsi="仿宋_GB2312" w:eastAsia="仿宋_GB2312" w:cs="仿宋_GB2312"/>
          <w:b/>
          <w:color w:val="auto"/>
          <w:sz w:val="52"/>
          <w:szCs w:val="52"/>
        </w:rPr>
      </w:pPr>
    </w:p>
    <w:p>
      <w:pPr>
        <w:pStyle w:val="6"/>
        <w:spacing w:line="560" w:lineRule="atLeast"/>
        <w:jc w:val="center"/>
        <w:rPr>
          <w:rFonts w:ascii="仿宋_GB2312" w:hAnsi="仿宋_GB2312" w:eastAsia="仿宋_GB2312" w:cs="仿宋_GB2312"/>
          <w:b/>
          <w:color w:val="auto"/>
          <w:sz w:val="52"/>
          <w:szCs w:val="52"/>
        </w:rPr>
      </w:pPr>
    </w:p>
    <w:p>
      <w:pPr>
        <w:pStyle w:val="6"/>
        <w:spacing w:line="560" w:lineRule="atLeast"/>
        <w:jc w:val="center"/>
        <w:rPr>
          <w:rFonts w:ascii="仿宋_GB2312" w:hAnsi="仿宋_GB2312" w:eastAsia="仿宋_GB2312" w:cs="仿宋_GB2312"/>
          <w:b/>
          <w:color w:val="auto"/>
          <w:sz w:val="52"/>
          <w:szCs w:val="52"/>
        </w:rPr>
      </w:pPr>
    </w:p>
    <w:p>
      <w:pPr>
        <w:pStyle w:val="6"/>
        <w:spacing w:line="560" w:lineRule="atLeast"/>
        <w:jc w:val="center"/>
        <w:rPr>
          <w:rFonts w:ascii="仿宋_GB2312" w:hAnsi="仿宋_GB2312" w:eastAsia="仿宋_GB2312" w:cs="仿宋_GB2312"/>
          <w:b/>
          <w:color w:val="auto"/>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6"/>
        <w:spacing w:line="560" w:lineRule="atLeast"/>
        <w:jc w:val="center"/>
        <w:rPr>
          <w:rFonts w:ascii="仿宋_GB2312" w:hAnsi="仿宋_GB2312" w:eastAsia="仿宋_GB2312" w:cs="仿宋_GB2312"/>
          <w:b/>
          <w:color w:val="auto"/>
          <w:sz w:val="52"/>
          <w:szCs w:val="52"/>
        </w:rPr>
      </w:pPr>
    </w:p>
    <w:p>
      <w:pPr>
        <w:pStyle w:val="6"/>
        <w:spacing w:line="560" w:lineRule="atLeast"/>
        <w:jc w:val="center"/>
        <w:rPr>
          <w:rFonts w:ascii="仿宋_GB2312" w:hAnsi="仿宋_GB2312" w:eastAsia="仿宋_GB2312" w:cs="仿宋_GB2312"/>
          <w:b/>
          <w:color w:val="auto"/>
          <w:sz w:val="52"/>
          <w:szCs w:val="52"/>
        </w:rPr>
      </w:pPr>
    </w:p>
    <w:p>
      <w:pPr>
        <w:pStyle w:val="6"/>
        <w:spacing w:line="560" w:lineRule="atLeast"/>
        <w:jc w:val="center"/>
        <w:rPr>
          <w:rFonts w:ascii="仿宋_GB2312" w:hAnsi="仿宋_GB2312" w:eastAsia="仿宋_GB2312" w:cs="仿宋_GB2312"/>
          <w:b/>
          <w:color w:val="auto"/>
          <w:sz w:val="52"/>
          <w:szCs w:val="52"/>
        </w:rPr>
      </w:pPr>
    </w:p>
    <w:p>
      <w:pPr>
        <w:pStyle w:val="6"/>
        <w:spacing w:line="560" w:lineRule="atLeast"/>
        <w:jc w:val="center"/>
        <w:rPr>
          <w:rFonts w:ascii="仿宋_GB2312" w:hAnsi="仿宋_GB2312" w:eastAsia="仿宋_GB2312" w:cs="仿宋_GB2312"/>
          <w:b/>
          <w:color w:val="auto"/>
          <w:sz w:val="52"/>
          <w:szCs w:val="52"/>
        </w:rPr>
      </w:pPr>
    </w:p>
    <w:p>
      <w:pPr>
        <w:pStyle w:val="6"/>
        <w:spacing w:line="560" w:lineRule="atLeast"/>
        <w:jc w:val="center"/>
        <w:rPr>
          <w:rFonts w:hint="default"/>
          <w:b/>
          <w:color w:val="auto"/>
          <w:sz w:val="36"/>
        </w:rPr>
      </w:pPr>
      <w:r>
        <w:rPr>
          <w:rFonts w:ascii="仿宋_GB2312" w:hAnsi="仿宋_GB2312" w:eastAsia="仿宋_GB2312" w:cs="仿宋_GB2312"/>
          <w:b/>
          <w:color w:val="auto"/>
          <w:sz w:val="52"/>
          <w:szCs w:val="52"/>
        </w:rPr>
        <w:t xml:space="preserve">第四部分 </w:t>
      </w:r>
      <w:r>
        <w:rPr>
          <w:rFonts w:hint="eastAsia" w:ascii="仿宋_GB2312" w:hAnsi="仿宋_GB2312" w:eastAsia="仿宋_GB2312" w:cs="仿宋_GB2312"/>
          <w:b/>
          <w:color w:val="auto"/>
          <w:sz w:val="52"/>
          <w:szCs w:val="52"/>
          <w:lang w:val="en-US" w:eastAsia="zh-CN"/>
        </w:rPr>
        <w:t>沈阳市公安局浑南分局</w:t>
      </w:r>
      <w:r>
        <w:rPr>
          <w:rFonts w:hint="eastAsia" w:ascii="仿宋_GB2312" w:hAnsi="仿宋_GB2312" w:eastAsia="仿宋_GB2312" w:cs="仿宋_GB2312"/>
          <w:b/>
          <w:color w:val="auto"/>
          <w:sz w:val="52"/>
          <w:szCs w:val="52"/>
          <w:lang w:eastAsia="zh-CN"/>
        </w:rPr>
        <w:t>2022</w:t>
      </w:r>
      <w:r>
        <w:rPr>
          <w:rFonts w:ascii="仿宋_GB2312" w:hAnsi="仿宋_GB2312" w:eastAsia="仿宋_GB2312" w:cs="仿宋_GB2312"/>
          <w:b/>
          <w:color w:val="auto"/>
          <w:sz w:val="52"/>
          <w:szCs w:val="52"/>
        </w:rPr>
        <w:t>年度决算表</w:t>
      </w:r>
    </w:p>
    <w:p>
      <w:pPr>
        <w:jc w:val="center"/>
        <w:rPr>
          <w:rFonts w:hint="default" w:ascii="仿宋_GB2312" w:hAnsi="宋体" w:eastAsia="仿宋_GB2312"/>
          <w:color w:val="auto"/>
          <w:kern w:val="0"/>
          <w:sz w:val="32"/>
        </w:rPr>
      </w:pPr>
    </w:p>
    <w:p>
      <w:pPr>
        <w:jc w:val="center"/>
        <w:rPr>
          <w:rFonts w:hint="default" w:ascii="仿宋_GB2312" w:hAnsi="宋体" w:eastAsia="仿宋_GB2312"/>
          <w:color w:val="auto"/>
          <w:kern w:val="0"/>
          <w:sz w:val="32"/>
        </w:rPr>
      </w:pPr>
    </w:p>
    <w:p>
      <w:pPr>
        <w:rPr>
          <w:rFonts w:hint="default" w:ascii="仿宋_GB2312" w:hAnsi="宋体" w:eastAsia="仿宋_GB2312"/>
          <w:color w:val="auto"/>
          <w:kern w:val="0"/>
          <w:sz w:val="32"/>
        </w:rPr>
      </w:pPr>
    </w:p>
    <w:p>
      <w:pPr>
        <w:rPr>
          <w:rFonts w:hint="default" w:ascii="仿宋_GB2312" w:hAnsi="宋体" w:eastAsia="仿宋_GB2312"/>
          <w:color w:val="auto"/>
          <w:kern w:val="0"/>
          <w:sz w:val="32"/>
        </w:rPr>
      </w:pPr>
    </w:p>
    <w:p>
      <w:pPr>
        <w:rPr>
          <w:rFonts w:hint="default" w:ascii="仿宋_GB2312" w:hAnsi="宋体" w:eastAsia="仿宋_GB2312"/>
          <w:color w:val="auto"/>
          <w:kern w:val="0"/>
          <w:sz w:val="32"/>
        </w:rPr>
      </w:pPr>
    </w:p>
    <w:p>
      <w:pPr>
        <w:rPr>
          <w:rFonts w:hint="default" w:ascii="仿宋_GB2312" w:hAnsi="宋体" w:eastAsia="仿宋_GB2312"/>
          <w:color w:val="auto"/>
          <w:kern w:val="0"/>
          <w:sz w:val="32"/>
        </w:rPr>
      </w:pPr>
    </w:p>
    <w:p>
      <w:pPr>
        <w:rPr>
          <w:rFonts w:hint="default" w:ascii="仿宋_GB2312" w:hAnsi="宋体" w:eastAsia="仿宋_GB2312"/>
          <w:color w:val="auto"/>
          <w:kern w:val="0"/>
          <w:sz w:val="32"/>
        </w:rPr>
      </w:pPr>
    </w:p>
    <w:p>
      <w:pPr>
        <w:rPr>
          <w:rFonts w:hint="default" w:ascii="仿宋_GB2312" w:hAnsi="宋体" w:eastAsia="仿宋_GB2312"/>
          <w:color w:val="auto"/>
          <w:kern w:val="0"/>
          <w:sz w:val="32"/>
        </w:rPr>
      </w:pPr>
    </w:p>
    <w:p>
      <w:pPr>
        <w:rPr>
          <w:rFonts w:hint="default" w:ascii="仿宋_GB2312" w:hAnsi="宋体" w:eastAsia="仿宋_GB2312"/>
          <w:color w:val="auto"/>
          <w:kern w:val="0"/>
          <w:sz w:val="32"/>
        </w:rPr>
      </w:pPr>
      <w:bookmarkStart w:id="0" w:name="_GoBack"/>
      <w:bookmarkEnd w:id="0"/>
    </w:p>
    <w:p>
      <w:pPr>
        <w:rPr>
          <w:rFonts w:hint="default" w:ascii="仿宋_GB2312" w:hAnsi="宋体" w:eastAsia="仿宋_GB2312"/>
          <w:color w:val="auto"/>
          <w:kern w:val="0"/>
          <w:sz w:val="32"/>
        </w:rPr>
      </w:pPr>
    </w:p>
    <w:p>
      <w:pPr>
        <w:rPr>
          <w:rFonts w:hint="default" w:ascii="仿宋_GB2312" w:hAnsi="宋体" w:eastAsia="仿宋_GB2312"/>
          <w:color w:val="auto"/>
          <w:kern w:val="0"/>
          <w:sz w:val="32"/>
        </w:rPr>
      </w:pPr>
    </w:p>
    <w:p>
      <w:pPr>
        <w:rPr>
          <w:rFonts w:hint="default" w:ascii="仿宋_GB2312" w:hAnsi="宋体" w:eastAsia="仿宋_GB2312"/>
          <w:color w:val="auto"/>
          <w:kern w:val="0"/>
          <w:sz w:val="32"/>
        </w:rPr>
      </w:pPr>
    </w:p>
    <w:p>
      <w:pPr>
        <w:numPr>
          <w:ilvl w:val="0"/>
          <w:numId w:val="5"/>
        </w:numPr>
        <w:jc w:val="center"/>
        <w:rPr>
          <w:rFonts w:hint="eastAsia" w:ascii="宋体" w:hAnsi="宋体"/>
          <w:b/>
          <w:bCs w:val="0"/>
          <w:sz w:val="52"/>
          <w:szCs w:val="52"/>
          <w:lang w:eastAsia="zh-CN"/>
        </w:rPr>
      </w:pPr>
      <w:r>
        <w:rPr>
          <w:rFonts w:hint="eastAsia" w:ascii="宋体" w:hAnsi="宋体"/>
          <w:b/>
          <w:bCs w:val="0"/>
          <w:sz w:val="52"/>
          <w:szCs w:val="52"/>
          <w:lang w:val="en-US" w:eastAsia="zh-CN"/>
        </w:rPr>
        <w:t xml:space="preserve"> </w:t>
      </w:r>
      <w:r>
        <w:rPr>
          <w:rFonts w:hint="eastAsia" w:ascii="宋体" w:hAnsi="宋体"/>
          <w:b/>
          <w:bCs w:val="0"/>
          <w:sz w:val="52"/>
          <w:szCs w:val="52"/>
        </w:rPr>
        <w:t xml:space="preserve"> </w:t>
      </w:r>
      <w:r>
        <w:rPr>
          <w:rFonts w:hint="eastAsia" w:ascii="宋体" w:hAnsi="宋体"/>
          <w:b/>
          <w:bCs w:val="0"/>
          <w:sz w:val="52"/>
          <w:szCs w:val="52"/>
          <w:lang w:eastAsia="zh-CN"/>
        </w:rPr>
        <w:t>附件</w:t>
      </w:r>
    </w:p>
    <w:p>
      <w:pPr>
        <w:rPr>
          <w:rFonts w:hint="default" w:ascii="仿宋_GB2312" w:hAnsi="宋体" w:eastAsia="仿宋_GB2312"/>
          <w:color w:val="auto"/>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CDE52"/>
    <w:multiLevelType w:val="singleLevel"/>
    <w:tmpl w:val="807CDE52"/>
    <w:lvl w:ilvl="0" w:tentative="0">
      <w:start w:val="2"/>
      <w:numFmt w:val="chineseCounting"/>
      <w:suff w:val="nothing"/>
      <w:lvlText w:val="%1、"/>
      <w:lvlJc w:val="left"/>
      <w:rPr>
        <w:rFonts w:hint="eastAsia"/>
      </w:rPr>
    </w:lvl>
  </w:abstractNum>
  <w:abstractNum w:abstractNumId="1">
    <w:nsid w:val="E249AF47"/>
    <w:multiLevelType w:val="singleLevel"/>
    <w:tmpl w:val="E249AF47"/>
    <w:lvl w:ilvl="0" w:tentative="0">
      <w:start w:val="2"/>
      <w:numFmt w:val="chineseCounting"/>
      <w:suff w:val="space"/>
      <w:lvlText w:val="第%1部分"/>
      <w:lvlJc w:val="left"/>
      <w:rPr>
        <w:rFonts w:hint="eastAsia"/>
      </w:rPr>
    </w:lvl>
  </w:abstractNum>
  <w:abstractNum w:abstractNumId="2">
    <w:nsid w:val="FCC72072"/>
    <w:multiLevelType w:val="singleLevel"/>
    <w:tmpl w:val="FCC72072"/>
    <w:lvl w:ilvl="0" w:tentative="0">
      <w:start w:val="3"/>
      <w:numFmt w:val="decimal"/>
      <w:lvlText w:val="%1."/>
      <w:lvlJc w:val="left"/>
      <w:pPr>
        <w:tabs>
          <w:tab w:val="left" w:pos="312"/>
        </w:tabs>
      </w:pPr>
    </w:lvl>
  </w:abstractNum>
  <w:abstractNum w:abstractNumId="3">
    <w:nsid w:val="FEDB2E75"/>
    <w:multiLevelType w:val="singleLevel"/>
    <w:tmpl w:val="FEDB2E75"/>
    <w:lvl w:ilvl="0" w:tentative="0">
      <w:start w:val="2"/>
      <w:numFmt w:val="chineseCounting"/>
      <w:suff w:val="nothing"/>
      <w:lvlText w:val="（%1）"/>
      <w:lvlJc w:val="left"/>
      <w:rPr>
        <w:rFonts w:hint="eastAsia"/>
      </w:r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ED3BD8"/>
    <w:rsid w:val="00F16B2B"/>
    <w:rsid w:val="00F67249"/>
    <w:rsid w:val="00F724E9"/>
    <w:rsid w:val="01971EF4"/>
    <w:rsid w:val="01DB6127"/>
    <w:rsid w:val="033120CB"/>
    <w:rsid w:val="04983E5B"/>
    <w:rsid w:val="0545478A"/>
    <w:rsid w:val="05CF1AFF"/>
    <w:rsid w:val="08320061"/>
    <w:rsid w:val="08EF38B5"/>
    <w:rsid w:val="096128B0"/>
    <w:rsid w:val="0978425B"/>
    <w:rsid w:val="09B741D7"/>
    <w:rsid w:val="09C4782E"/>
    <w:rsid w:val="09EB277C"/>
    <w:rsid w:val="0A1F0F7D"/>
    <w:rsid w:val="0A4D7496"/>
    <w:rsid w:val="0AC64AEA"/>
    <w:rsid w:val="0BA87886"/>
    <w:rsid w:val="0C85560D"/>
    <w:rsid w:val="0CAF0F6A"/>
    <w:rsid w:val="0CCE4795"/>
    <w:rsid w:val="0D786235"/>
    <w:rsid w:val="0E4806A0"/>
    <w:rsid w:val="0E825725"/>
    <w:rsid w:val="0ECB7368"/>
    <w:rsid w:val="0F1306A2"/>
    <w:rsid w:val="11612EA5"/>
    <w:rsid w:val="11E2701D"/>
    <w:rsid w:val="125A172D"/>
    <w:rsid w:val="12D0379E"/>
    <w:rsid w:val="13C80B59"/>
    <w:rsid w:val="14D95B1F"/>
    <w:rsid w:val="15765A17"/>
    <w:rsid w:val="15D46CBD"/>
    <w:rsid w:val="17AA520F"/>
    <w:rsid w:val="181E2472"/>
    <w:rsid w:val="18B0076C"/>
    <w:rsid w:val="19602878"/>
    <w:rsid w:val="19EA1203"/>
    <w:rsid w:val="19F51F53"/>
    <w:rsid w:val="1A293A7B"/>
    <w:rsid w:val="1A2E00C1"/>
    <w:rsid w:val="1B445E45"/>
    <w:rsid w:val="1BB95FA5"/>
    <w:rsid w:val="1C366946"/>
    <w:rsid w:val="1C635C29"/>
    <w:rsid w:val="1CC47A8B"/>
    <w:rsid w:val="1D7E7FEF"/>
    <w:rsid w:val="1D905BC0"/>
    <w:rsid w:val="1EB61976"/>
    <w:rsid w:val="1F4A1482"/>
    <w:rsid w:val="1F50309A"/>
    <w:rsid w:val="20927709"/>
    <w:rsid w:val="20B00359"/>
    <w:rsid w:val="22735A47"/>
    <w:rsid w:val="23775858"/>
    <w:rsid w:val="23AA0BDB"/>
    <w:rsid w:val="24A3267C"/>
    <w:rsid w:val="252A5172"/>
    <w:rsid w:val="253D03DB"/>
    <w:rsid w:val="2671662B"/>
    <w:rsid w:val="26CB4062"/>
    <w:rsid w:val="26D43ACB"/>
    <w:rsid w:val="2717648B"/>
    <w:rsid w:val="27FB5CF2"/>
    <w:rsid w:val="28296239"/>
    <w:rsid w:val="287149C6"/>
    <w:rsid w:val="28920A3E"/>
    <w:rsid w:val="28CF1706"/>
    <w:rsid w:val="2AF94DA4"/>
    <w:rsid w:val="2B23343B"/>
    <w:rsid w:val="2E0D2197"/>
    <w:rsid w:val="2E2C1B8B"/>
    <w:rsid w:val="2E4F6256"/>
    <w:rsid w:val="2ED3590C"/>
    <w:rsid w:val="2F66408A"/>
    <w:rsid w:val="3133145E"/>
    <w:rsid w:val="31B25CAD"/>
    <w:rsid w:val="32026C34"/>
    <w:rsid w:val="3276440C"/>
    <w:rsid w:val="333B4135"/>
    <w:rsid w:val="344529CD"/>
    <w:rsid w:val="34512836"/>
    <w:rsid w:val="34F14D3E"/>
    <w:rsid w:val="34F91CBD"/>
    <w:rsid w:val="3589712D"/>
    <w:rsid w:val="358B5193"/>
    <w:rsid w:val="35E33EF2"/>
    <w:rsid w:val="36230505"/>
    <w:rsid w:val="37A97B52"/>
    <w:rsid w:val="37AB05F1"/>
    <w:rsid w:val="38AC5992"/>
    <w:rsid w:val="38C02141"/>
    <w:rsid w:val="38FE0339"/>
    <w:rsid w:val="39445032"/>
    <w:rsid w:val="39661FCD"/>
    <w:rsid w:val="3B1D4ADF"/>
    <w:rsid w:val="3BAD25BA"/>
    <w:rsid w:val="3BCD34EB"/>
    <w:rsid w:val="3C3F0DDF"/>
    <w:rsid w:val="3C6E30AF"/>
    <w:rsid w:val="3DF44CC0"/>
    <w:rsid w:val="44004F9E"/>
    <w:rsid w:val="441B2154"/>
    <w:rsid w:val="4437569C"/>
    <w:rsid w:val="4487121B"/>
    <w:rsid w:val="46220094"/>
    <w:rsid w:val="46886736"/>
    <w:rsid w:val="486A50DB"/>
    <w:rsid w:val="49F50407"/>
    <w:rsid w:val="4AFB049E"/>
    <w:rsid w:val="4B296D88"/>
    <w:rsid w:val="4C453E95"/>
    <w:rsid w:val="4CA13CE1"/>
    <w:rsid w:val="4CFC60F0"/>
    <w:rsid w:val="4EA604F0"/>
    <w:rsid w:val="4F193510"/>
    <w:rsid w:val="518B68B4"/>
    <w:rsid w:val="51A33376"/>
    <w:rsid w:val="51C55131"/>
    <w:rsid w:val="52742DDF"/>
    <w:rsid w:val="528E7D93"/>
    <w:rsid w:val="54A87573"/>
    <w:rsid w:val="54F6469B"/>
    <w:rsid w:val="55200FFC"/>
    <w:rsid w:val="5572737D"/>
    <w:rsid w:val="561623FF"/>
    <w:rsid w:val="56BC500F"/>
    <w:rsid w:val="57FF37F4"/>
    <w:rsid w:val="59C00335"/>
    <w:rsid w:val="59C30CC7"/>
    <w:rsid w:val="59FB2037"/>
    <w:rsid w:val="5A353F8C"/>
    <w:rsid w:val="5B697371"/>
    <w:rsid w:val="5C346795"/>
    <w:rsid w:val="5D133C49"/>
    <w:rsid w:val="5D332D98"/>
    <w:rsid w:val="5E212756"/>
    <w:rsid w:val="5FC0745B"/>
    <w:rsid w:val="60542A5A"/>
    <w:rsid w:val="607048EA"/>
    <w:rsid w:val="61D513C0"/>
    <w:rsid w:val="62403BCC"/>
    <w:rsid w:val="649A6DBF"/>
    <w:rsid w:val="667E3825"/>
    <w:rsid w:val="67095D94"/>
    <w:rsid w:val="673C6F2C"/>
    <w:rsid w:val="68BC67E4"/>
    <w:rsid w:val="69344C1E"/>
    <w:rsid w:val="6975655B"/>
    <w:rsid w:val="6C85442C"/>
    <w:rsid w:val="6DCC3677"/>
    <w:rsid w:val="6EE6606F"/>
    <w:rsid w:val="70CC398E"/>
    <w:rsid w:val="71213CDA"/>
    <w:rsid w:val="71902C0D"/>
    <w:rsid w:val="724179B2"/>
    <w:rsid w:val="72B868C0"/>
    <w:rsid w:val="72CE1C3F"/>
    <w:rsid w:val="73716E5A"/>
    <w:rsid w:val="738C2885"/>
    <w:rsid w:val="73EA50BC"/>
    <w:rsid w:val="76C40501"/>
    <w:rsid w:val="76FB321F"/>
    <w:rsid w:val="7731279D"/>
    <w:rsid w:val="77601C23"/>
    <w:rsid w:val="777F5BFE"/>
    <w:rsid w:val="77957996"/>
    <w:rsid w:val="77C47AB5"/>
    <w:rsid w:val="7A441DF9"/>
    <w:rsid w:val="7A995229"/>
    <w:rsid w:val="7B024B7C"/>
    <w:rsid w:val="7B0C718E"/>
    <w:rsid w:val="7B551150"/>
    <w:rsid w:val="7B931C78"/>
    <w:rsid w:val="7C0611DC"/>
    <w:rsid w:val="7C3871FF"/>
    <w:rsid w:val="7D024843"/>
    <w:rsid w:val="7D0955D0"/>
    <w:rsid w:val="7E662C36"/>
    <w:rsid w:val="7E7B3A68"/>
    <w:rsid w:val="7F6110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4515</Words>
  <Characters>4853</Characters>
  <Lines>37</Lines>
  <Paragraphs>10</Paragraphs>
  <TotalTime>5</TotalTime>
  <ScaleCrop>false</ScaleCrop>
  <LinksUpToDate>false</LinksUpToDate>
  <CharactersWithSpaces>4899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2023-09-04T00:41:00Z</cp:lastPrinted>
  <dcterms:modified xsi:type="dcterms:W3CDTF">2023-09-12T09:04:25Z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