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辽宁省沈阳市公安局浑南分局</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辽宁省沈阳市公安局浑南分局概况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辽宁省沈阳市公安局浑南分局决算单位构成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年度辽宁省沈阳市公安局浑南分局部门决算情况说明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年度辽宁省沈阳市公安局浑南分局部门决算表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辽宁省沈阳市公安局浑南分局概况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（一）贯彻执行国家有关公安工作的方针、政策、法律、法规，研究部署本区的公安工作，指导检查本局内各部门的贯彻执法情况，维护本区的政治及社会治安稳定。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（二）负责本区“110”报警服务台的接处警，收集信息、分析研究本区的敌情和社会治安情况，向区委、区政府及上级公安机关报告社会治安方面的重要信息，并研究提出对策和措施。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组织开展全区维护稳定工作。针对可能发生的群体性事件，协调组织制定和完善处置工作预案。对发生的群体性事件，及时协调有关部门妥善处置。负责协调组织有关部门做好敏感期、国家重大政治活动和重大节庆、以及国内外重大事件期间的维护稳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本区内的各种刑事案件的侦破工作，组织全区重大行动，处置各类危害社会治安的事件和重大治安事故。负责辖区内经济案件和涉税案件的侦破工作；负责办理辖区内涉毒违法犯罪案件；对辖区内食品、药品及其他相关领域涉假违法犯罪活动进行侦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（五）负责辖区内的人口管理、安全防范、户口审批、居民身份证管理、人口信息微机管理、自行车管理、保安管理、公民出入境管理，公安外事工作及三资企业管理工作。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（六）负责辖区内娱乐服务场所和特种行业以及枪支弹药，危险品的管理。负责大型活动的安全保卫和集会游行示威活动的受理和上报以及控犬、音像制品、枪支弹药、危险品及特种行业管理等工作。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（七）负责指导检查本区内各级机关，团体、学校、企事业单位的内部安全保卫工作。办理企事业单位内部发生的影响生产、科研、经营活动的刑事案件及治安案件等工作。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指导全区公安法制建设总体规划工作；组织、协调、起草、复核地方性公安法规、规章和规范性文件起草；对公安机关执法情况进行监督检查；组织、指导和办理行政复议、听证、诉讼和国家赔偿工作；负责全区办理的各种行政、刑事案件损失赔偿的裁定；承办刑事案件审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（九）负责组织警力参与党和国家领导人，重要外宾的安全警卫工作，以及全区性大型活动的安全保卫工作。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（十）负责本区内在押人犯的收押、管理、教育工作及监所管理建设工作。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（十一）负责本区内公共信息网络安全监察管理工作。受理并办理“110”举报信箱的举报件，办理“民心网”交办的市民投诉。</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（十二）负责指导本局的信访工作，协调各单位处理疑难信访案件；负责受理群众来信来访；负责收集、整理信访信息和信访统计、信访调研工作。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（十三）负责本区内民警的思想政治教育及队伍建设工作，负责受理群众投诉民警违法违纪并组织调查处理、维护民警正当执法权益工作、开展廉政建设教育，组织本局内各单位的审计、督察工作。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（十四）承办区委、区政府及上级公安机关交办的其他工作。 </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纳入辽宁省沈阳市公安局浑南分局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辽宁省沈阳市公安局浑南分局本级，本单位无下设机构。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（一）收入总计2866.61万元，包括：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2856.81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99.66</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2856.81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9.79</w:t>
      </w:r>
      <w:r>
        <w:rPr>
          <w:rFonts w:hint="eastAsia" w:ascii="仿宋_GB2312" w:hAnsi="宋体" w:eastAsia="仿宋_GB2312"/>
          <w:sz w:val="32"/>
          <w:szCs w:val="32"/>
        </w:rPr>
        <w:t>万元，占收入总计的</w:t>
      </w:r>
      <w:r>
        <w:rPr>
          <w:rFonts w:hint="eastAsia" w:ascii="仿宋_GB2312" w:eastAsia="仿宋_GB2312" w:cs="仿宋_GB2312"/>
          <w:sz w:val="32"/>
          <w:szCs w:val="32"/>
        </w:rPr>
        <w:t>0.34</w:t>
      </w:r>
      <w:r>
        <w:rPr>
          <w:rFonts w:hint="eastAsia" w:ascii="仿宋_GB2312" w:hAnsi="宋体" w:eastAsia="仿宋_GB2312"/>
          <w:sz w:val="32"/>
          <w:szCs w:val="32"/>
        </w:rPr>
        <w:t>%。</w:t>
      </w:r>
      <w:r>
        <w:rPr>
          <w:rFonts w:hint="eastAsia" w:ascii="仿宋_GB2312" w:eastAsia="仿宋_GB2312" w:cs="仿宋_GB2312"/>
          <w:sz w:val="32"/>
          <w:szCs w:val="32"/>
        </w:rPr>
        <w:t>主要是主要是军转干部培训费、禁毒社工经费、十九大安保奖励市局转伙食费等。</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与上年相比，今年收入总计减少705.99万元，降低19.76%,主要原因：财力紧张，压缩资金。</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（二）支出总计2856.81万元，包括：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2856.81</w:t>
      </w:r>
      <w:r>
        <w:rPr>
          <w:rFonts w:hint="eastAsia" w:ascii="仿宋_GB2312" w:hAnsi="宋体" w:eastAsia="仿宋_GB2312"/>
          <w:sz w:val="32"/>
          <w:szCs w:val="32"/>
        </w:rPr>
        <w:t>万元，占支出总计的</w:t>
      </w:r>
      <w:r>
        <w:rPr>
          <w:rFonts w:hint="eastAsia" w:ascii="仿宋_GB2312" w:eastAsia="仿宋_GB2312" w:cs="仿宋_GB2312"/>
          <w:sz w:val="32"/>
          <w:szCs w:val="32"/>
        </w:rPr>
        <w:t>100.00</w:t>
      </w:r>
      <w:r>
        <w:rPr>
          <w:rFonts w:hint="eastAsia" w:ascii="仿宋_GB2312" w:hAnsi="宋体" w:eastAsia="仿宋_GB2312"/>
          <w:sz w:val="32"/>
          <w:szCs w:val="32"/>
        </w:rPr>
        <w:t>%。</w:t>
      </w:r>
      <w:r>
        <w:rPr>
          <w:rFonts w:hint="eastAsia" w:ascii="仿宋_GB2312" w:eastAsia="仿宋_GB2312" w:cs="仿宋_GB2312"/>
          <w:sz w:val="32"/>
          <w:szCs w:val="32"/>
        </w:rPr>
        <w:t>主要包括维稳经费和辅警工资、临时工工资等业务支出。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与上年相比，今年支出减少705.99万元，降低19.82%,主要原因：财力紧张，压缩资金。</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（三）年末结转和结余9.79万元。</w:t>
      </w:r>
    </w:p>
    <w:p>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主要是军转干部培训费、禁毒社工经费、十九大安保奖励等原因形成的结余。</w:t>
      </w:r>
      <w:r>
        <w:rPr>
          <w:rFonts w:hint="eastAsia" w:ascii="仿宋_GB2312" w:hAnsi="宋体" w:eastAsia="仿宋_GB2312"/>
          <w:sz w:val="32"/>
          <w:szCs w:val="32"/>
        </w:rPr>
        <w:t>与上年相比，今年结转结余持平，主要原因：未安排上述项目支出。</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2856.81</w:t>
      </w:r>
      <w:r>
        <w:rPr>
          <w:rFonts w:hint="eastAsia" w:ascii="仿宋_GB2312" w:hAnsi="宋体" w:eastAsia="仿宋_GB2312"/>
          <w:sz w:val="32"/>
          <w:szCs w:val="32"/>
        </w:rPr>
        <w:t>万元，其中：基本支出</w:t>
      </w:r>
      <w:r>
        <w:rPr>
          <w:rFonts w:hint="eastAsia" w:ascii="仿宋_GB2312" w:eastAsia="仿宋_GB2312" w:cs="仿宋_GB2312"/>
          <w:sz w:val="32"/>
          <w:szCs w:val="32"/>
        </w:rPr>
        <w:t>0.00</w:t>
      </w:r>
      <w:r>
        <w:rPr>
          <w:rFonts w:hint="eastAsia" w:ascii="仿宋_GB2312" w:hAnsi="宋体" w:eastAsia="仿宋_GB2312"/>
          <w:sz w:val="32"/>
          <w:szCs w:val="32"/>
        </w:rPr>
        <w:t>万元，项目支出</w:t>
      </w:r>
      <w:r>
        <w:rPr>
          <w:rFonts w:hint="eastAsia" w:ascii="仿宋_GB2312" w:eastAsia="仿宋_GB2312" w:cs="仿宋_GB2312"/>
          <w:sz w:val="32"/>
          <w:szCs w:val="32"/>
        </w:rPr>
        <w:t>2856.81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财政拨款支出减少690.43万元，降低19.46%，主要原因</w:t>
      </w:r>
      <w:r>
        <w:rPr>
          <w:rFonts w:hint="eastAsia" w:ascii="仿宋_GB2312" w:eastAsia="仿宋_GB2312" w:cs="仿宋_GB2312"/>
          <w:sz w:val="32"/>
          <w:szCs w:val="32"/>
        </w:rPr>
        <w:t>：财力紧张，压缩资金。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104.96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104.96</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2024年度一般公共预算财政拨款支出2856.81万元。按支出功能分类科目分，包括：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1.一般公共服务支出59.30万元，具体包括：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（1）一般公共服务支出（类）信访事务（款）信访业务（项）59.30万元,主要是信访维稳工作经费等支出，完成年初预算的100%，决算数与年初预算数存在差异的主要原因是年初预算未安排，追加预算。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2.公共安全支出2768.75万元，具体包括：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（1）公共安全支出（类）公安（款）一般行政管理事务（项）2718.75万元,主要是公安一般管理事务等支出，完成年初预算的99.89%，决算数与年初预算数存在差异的主要原因是缩减开支。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（2）公共安全支出（类）公安（款）其他公安支出（项）50.00万元,主要是平安城市四期2020年度租赁费等支出，完成年初预算的100%，决算数与年初预算数存在差异的主要原因是年初预算未安排，追加预算。</w:t>
      </w:r>
    </w:p>
    <w:p>
      <w:pPr>
        <w:topLinePunct/>
        <w:spacing w:line="540" w:lineRule="exact"/>
        <w:ind w:firstLine="658"/>
        <w:rPr>
          <w:rFonts w:ascii="仿宋_GB2312" w:eastAsia="仿宋_GB2312" w:cs="仿宋_GB2312"/>
          <w:sz w:val="32"/>
          <w:szCs w:val="32"/>
        </w:rPr>
      </w:pPr>
      <w:bookmarkStart w:id="0" w:name="_GoBack"/>
      <w:bookmarkEnd w:id="0"/>
      <w:r>
        <w:rPr>
          <w:rFonts w:ascii="仿宋_GB2312" w:eastAsia="仿宋_GB2312" w:cs="仿宋_GB2312"/>
          <w:sz w:val="32"/>
          <w:szCs w:val="32"/>
        </w:rPr>
        <w:t>3.债务还本支出28.77万元，具体包括：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债务还本支出（类）地方政府一般债务还本支出（款）地方政府其他一般债务还本支出（项）28.77万元,主要是工程项目欠款等支出，完成年初预算的100%，决算数与年初预算数存在差异的主要原因是年初预算未安排，追加预算。</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0.00</w:t>
      </w:r>
      <w:r>
        <w:rPr>
          <w:rFonts w:hint="eastAsia" w:ascii="仿宋_GB2312" w:hAnsi="宋体" w:eastAsia="仿宋_GB2312"/>
          <w:sz w:val="32"/>
          <w:szCs w:val="32"/>
        </w:rPr>
        <w:t>万元，其中：人员经费</w:t>
      </w:r>
      <w:r>
        <w:rPr>
          <w:rFonts w:hint="eastAsia" w:ascii="仿宋_GB2312" w:eastAsia="仿宋_GB2312" w:cs="仿宋_GB2312"/>
          <w:sz w:val="32"/>
          <w:szCs w:val="32"/>
        </w:rPr>
        <w:t>0.00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0.00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由于2019年10月沈阳市公安局浑南分局由沈阳市公安局垂直管理，2020年后分局机关各部门及各派出单位公用经费均在市局列支。</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我单位于2019年10月已上划到沈阳市公安局，由市公安局垂管，故没有基本支出及整体绩效自评，基本支出及其他项目支出均在市公安局组织的决算公开报告上体现。</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2.项目绩效自评情况（附预算项目绩效自评表）。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根据预算绩效管理要求，我单位组织对2024年度预算项目支出全面开展绩效自评，共涉及预算支出项目7个，自评覆盖率达到100%。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通过绩效自评发现预算项目管理主要存在以下问题：对预算绩效管理工作没有深入学习，缺乏量化分析，对预算编制阶段、执行阶段等执行力度不够强。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部门评价结果。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下一步将采取以下措施加以改进：加强对各部门对预算编制绩效目标的明确化程度，严格按照预算目标阶段化执行，对预算编制更加严谨化、科学化，保证按预算绩效管理目标，对每项资金使用进行跟踪，保证公安工作顺利完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该部门于2019年10月已上划到沈阳市公安局，由市公安局垂管，故没有基本支出及整体绩效自评，基本支出及其他项目支出均在市公安局组织的决算公开报告上体现。</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进一步完善绩效评价制度，建立健全本部门预算绩效指标体系；按照年初预算实时做好绩效指标监控管理。</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16.公共安全支出（类）公安（款）一般行政管理事务（项）：反映行政单位（包括实行公务员管理的事业单位）未单独设置项级科目的其他项目支出。</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2,856.81</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pPr>
              <w:jc w:val="right"/>
            </w:pPr>
            <w:r>
              <w:rPr>
                <w:rFonts w:ascii="宋体" w:hAnsi="宋体" w:eastAsia="宋体" w:cs="宋体"/>
                <w:b w:val="0"/>
                <w:i w:val="0"/>
                <w:color w:val="000000"/>
                <w:sz w:val="16"/>
              </w:rPr>
              <w:t>59.30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pPr>
              <w:jc w:val="right"/>
            </w:pPr>
            <w:r>
              <w:rPr>
                <w:rFonts w:ascii="宋体" w:hAnsi="宋体" w:eastAsia="宋体" w:cs="宋体"/>
                <w:b w:val="0"/>
                <w:i w:val="0"/>
                <w:color w:val="000000"/>
                <w:sz w:val="16"/>
              </w:rPr>
              <w:t>2,768.75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pPr>
              <w:jc w:val="right"/>
            </w:pPr>
            <w:r>
              <w:rPr>
                <w:rFonts w:ascii="宋体" w:hAnsi="宋体" w:eastAsia="宋体" w:cs="宋体"/>
                <w:b w:val="0"/>
                <w:i w:val="0"/>
                <w:color w:val="000000"/>
                <w:sz w:val="16"/>
              </w:rPr>
              <w:t>28.77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2,856.81</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2,856.81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pPr>
              <w:jc w:val="right"/>
            </w:pPr>
            <w:r>
              <w:rPr>
                <w:rFonts w:ascii="宋体" w:hAnsi="宋体" w:eastAsia="宋体" w:cs="宋体"/>
                <w:b w:val="0"/>
                <w:i w:val="0"/>
                <w:color w:val="000000"/>
                <w:sz w:val="16"/>
              </w:rPr>
              <w:t>9.79</w:t>
            </w: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pPr>
              <w:jc w:val="right"/>
            </w:pPr>
            <w:r>
              <w:rPr>
                <w:rFonts w:ascii="宋体" w:hAnsi="宋体" w:eastAsia="宋体" w:cs="宋体"/>
                <w:b w:val="0"/>
                <w:i w:val="0"/>
                <w:color w:val="000000"/>
                <w:sz w:val="16"/>
              </w:rPr>
              <w:t>9.79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2,866.61</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2,866.61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2,856.81</w:t>
            </w:r>
          </w:p>
        </w:tc>
        <w:tc>
          <w:tcPr>
            <w:tcW w:w="960" w:type="dxa"/>
            <w:vAlign w:val="center"/>
          </w:tcPr>
          <w:p>
            <w:pPr>
              <w:jc w:val="right"/>
            </w:pPr>
            <w:r>
              <w:rPr>
                <w:rFonts w:ascii="宋体" w:hAnsi="宋体" w:eastAsia="宋体" w:cs="宋体"/>
                <w:b/>
                <w:i w:val="0"/>
                <w:color w:val="000000"/>
                <w:sz w:val="13"/>
              </w:rPr>
              <w:t>2,856.81</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w:t>
            </w:r>
          </w:p>
        </w:tc>
        <w:tc>
          <w:tcPr>
            <w:tcW w:w="3200" w:type="dxa"/>
            <w:vAlign w:val="center"/>
          </w:tcPr>
          <w:p>
            <w:pPr>
              <w:jc w:val="left"/>
            </w:pPr>
            <w:r>
              <w:rPr>
                <w:rFonts w:ascii="宋体" w:hAnsi="宋体" w:eastAsia="宋体" w:cs="宋体"/>
                <w:b w:val="0"/>
                <w:i w:val="0"/>
                <w:color w:val="000000"/>
                <w:sz w:val="13"/>
              </w:rPr>
              <w:t>一般公共服务支出</w:t>
            </w:r>
          </w:p>
        </w:tc>
        <w:tc>
          <w:tcPr>
            <w:tcW w:w="960" w:type="dxa"/>
            <w:vAlign w:val="center"/>
          </w:tcPr>
          <w:p>
            <w:pPr>
              <w:jc w:val="right"/>
            </w:pPr>
            <w:r>
              <w:rPr>
                <w:rFonts w:ascii="宋体" w:hAnsi="宋体" w:eastAsia="宋体" w:cs="宋体"/>
                <w:b w:val="0"/>
                <w:i w:val="0"/>
                <w:color w:val="000000"/>
                <w:sz w:val="13"/>
              </w:rPr>
              <w:t>59.30</w:t>
            </w:r>
          </w:p>
        </w:tc>
        <w:tc>
          <w:tcPr>
            <w:tcW w:w="960" w:type="dxa"/>
            <w:vAlign w:val="center"/>
          </w:tcPr>
          <w:p>
            <w:pPr>
              <w:jc w:val="right"/>
            </w:pPr>
            <w:r>
              <w:rPr>
                <w:rFonts w:ascii="宋体" w:hAnsi="宋体" w:eastAsia="宋体" w:cs="宋体"/>
                <w:b w:val="0"/>
                <w:i w:val="0"/>
                <w:color w:val="000000"/>
                <w:sz w:val="13"/>
              </w:rPr>
              <w:t>59.30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20140</w:t>
            </w:r>
          </w:p>
        </w:tc>
        <w:tc>
          <w:tcPr>
            <w:tcW w:w="3200" w:type="dxa"/>
            <w:vAlign w:val="center"/>
          </w:tcPr>
          <w:p>
            <w:pPr>
              <w:jc w:val="left"/>
            </w:pPr>
            <w:r>
              <w:rPr>
                <w:rFonts w:ascii="宋体" w:hAnsi="宋体" w:eastAsia="宋体" w:cs="宋体"/>
                <w:b w:val="0"/>
                <w:i w:val="0"/>
                <w:color w:val="000000"/>
                <w:sz w:val="13"/>
              </w:rPr>
              <w:t>信访事务</w:t>
            </w:r>
          </w:p>
        </w:tc>
        <w:tc>
          <w:tcPr>
            <w:tcW w:w="960" w:type="dxa"/>
            <w:vAlign w:val="center"/>
          </w:tcPr>
          <w:p>
            <w:pPr>
              <w:jc w:val="right"/>
            </w:pPr>
            <w:r>
              <w:rPr>
                <w:rFonts w:ascii="宋体" w:hAnsi="宋体" w:eastAsia="宋体" w:cs="宋体"/>
                <w:b w:val="0"/>
                <w:i w:val="0"/>
                <w:color w:val="000000"/>
                <w:sz w:val="13"/>
              </w:rPr>
              <w:t>59.30</w:t>
            </w:r>
          </w:p>
        </w:tc>
        <w:tc>
          <w:tcPr>
            <w:tcW w:w="960" w:type="dxa"/>
            <w:vAlign w:val="center"/>
          </w:tcPr>
          <w:p>
            <w:pPr>
              <w:jc w:val="right"/>
            </w:pPr>
            <w:r>
              <w:rPr>
                <w:rFonts w:ascii="宋体" w:hAnsi="宋体" w:eastAsia="宋体" w:cs="宋体"/>
                <w:b w:val="0"/>
                <w:i w:val="0"/>
                <w:color w:val="000000"/>
                <w:sz w:val="13"/>
              </w:rPr>
              <w:t>59.30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2014004</w:t>
            </w:r>
          </w:p>
        </w:tc>
        <w:tc>
          <w:tcPr>
            <w:tcW w:w="3200" w:type="dxa"/>
            <w:vAlign w:val="center"/>
          </w:tcPr>
          <w:p>
            <w:pPr>
              <w:jc w:val="left"/>
            </w:pPr>
            <w:r>
              <w:rPr>
                <w:rFonts w:ascii="宋体" w:hAnsi="宋体" w:eastAsia="宋体" w:cs="宋体"/>
                <w:b w:val="0"/>
                <w:i w:val="0"/>
                <w:color w:val="000000"/>
                <w:sz w:val="13"/>
              </w:rPr>
              <w:t>信访业务</w:t>
            </w:r>
          </w:p>
        </w:tc>
        <w:tc>
          <w:tcPr>
            <w:tcW w:w="960" w:type="dxa"/>
            <w:vAlign w:val="center"/>
          </w:tcPr>
          <w:p>
            <w:pPr>
              <w:jc w:val="right"/>
            </w:pPr>
            <w:r>
              <w:rPr>
                <w:rFonts w:ascii="宋体" w:hAnsi="宋体" w:eastAsia="宋体" w:cs="宋体"/>
                <w:b w:val="0"/>
                <w:i w:val="0"/>
                <w:color w:val="000000"/>
                <w:sz w:val="13"/>
              </w:rPr>
              <w:t>59.30</w:t>
            </w:r>
          </w:p>
        </w:tc>
        <w:tc>
          <w:tcPr>
            <w:tcW w:w="960" w:type="dxa"/>
            <w:vAlign w:val="center"/>
          </w:tcPr>
          <w:p>
            <w:pPr>
              <w:jc w:val="right"/>
            </w:pPr>
            <w:r>
              <w:rPr>
                <w:rFonts w:ascii="宋体" w:hAnsi="宋体" w:eastAsia="宋体" w:cs="宋体"/>
                <w:b w:val="0"/>
                <w:i w:val="0"/>
                <w:color w:val="000000"/>
                <w:sz w:val="13"/>
              </w:rPr>
              <w:t>59.30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204</w:t>
            </w:r>
          </w:p>
        </w:tc>
        <w:tc>
          <w:tcPr>
            <w:tcW w:w="3200" w:type="dxa"/>
            <w:vAlign w:val="center"/>
          </w:tcPr>
          <w:p>
            <w:pPr>
              <w:jc w:val="left"/>
            </w:pPr>
            <w:r>
              <w:rPr>
                <w:rFonts w:ascii="宋体" w:hAnsi="宋体" w:eastAsia="宋体" w:cs="宋体"/>
                <w:b w:val="0"/>
                <w:i w:val="0"/>
                <w:color w:val="000000"/>
                <w:sz w:val="13"/>
              </w:rPr>
              <w:t>公共安全支出</w:t>
            </w:r>
          </w:p>
        </w:tc>
        <w:tc>
          <w:tcPr>
            <w:tcW w:w="960" w:type="dxa"/>
            <w:vAlign w:val="center"/>
          </w:tcPr>
          <w:p>
            <w:pPr>
              <w:jc w:val="right"/>
            </w:pPr>
            <w:r>
              <w:rPr>
                <w:rFonts w:ascii="宋体" w:hAnsi="宋体" w:eastAsia="宋体" w:cs="宋体"/>
                <w:b w:val="0"/>
                <w:i w:val="0"/>
                <w:color w:val="000000"/>
                <w:sz w:val="13"/>
              </w:rPr>
              <w:t>2,768.75</w:t>
            </w:r>
          </w:p>
        </w:tc>
        <w:tc>
          <w:tcPr>
            <w:tcW w:w="960" w:type="dxa"/>
            <w:vAlign w:val="center"/>
          </w:tcPr>
          <w:p>
            <w:pPr>
              <w:jc w:val="right"/>
            </w:pPr>
            <w:r>
              <w:rPr>
                <w:rFonts w:ascii="宋体" w:hAnsi="宋体" w:eastAsia="宋体" w:cs="宋体"/>
                <w:b w:val="0"/>
                <w:i w:val="0"/>
                <w:color w:val="000000"/>
                <w:sz w:val="13"/>
              </w:rPr>
              <w:t>2,768.75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20402</w:t>
            </w:r>
          </w:p>
        </w:tc>
        <w:tc>
          <w:tcPr>
            <w:tcW w:w="3200" w:type="dxa"/>
            <w:vAlign w:val="center"/>
          </w:tcPr>
          <w:p>
            <w:pPr>
              <w:jc w:val="left"/>
            </w:pPr>
            <w:r>
              <w:rPr>
                <w:rFonts w:ascii="宋体" w:hAnsi="宋体" w:eastAsia="宋体" w:cs="宋体"/>
                <w:b w:val="0"/>
                <w:i w:val="0"/>
                <w:color w:val="000000"/>
                <w:sz w:val="13"/>
              </w:rPr>
              <w:t>公安</w:t>
            </w:r>
          </w:p>
        </w:tc>
        <w:tc>
          <w:tcPr>
            <w:tcW w:w="960" w:type="dxa"/>
            <w:vAlign w:val="center"/>
          </w:tcPr>
          <w:p>
            <w:pPr>
              <w:jc w:val="right"/>
            </w:pPr>
            <w:r>
              <w:rPr>
                <w:rFonts w:ascii="宋体" w:hAnsi="宋体" w:eastAsia="宋体" w:cs="宋体"/>
                <w:b w:val="0"/>
                <w:i w:val="0"/>
                <w:color w:val="000000"/>
                <w:sz w:val="13"/>
              </w:rPr>
              <w:t>2,768.75</w:t>
            </w:r>
          </w:p>
        </w:tc>
        <w:tc>
          <w:tcPr>
            <w:tcW w:w="960" w:type="dxa"/>
            <w:vAlign w:val="center"/>
          </w:tcPr>
          <w:p>
            <w:pPr>
              <w:jc w:val="right"/>
            </w:pPr>
            <w:r>
              <w:rPr>
                <w:rFonts w:ascii="宋体" w:hAnsi="宋体" w:eastAsia="宋体" w:cs="宋体"/>
                <w:b w:val="0"/>
                <w:i w:val="0"/>
                <w:color w:val="000000"/>
                <w:sz w:val="13"/>
              </w:rPr>
              <w:t>2,768.75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2040202</w:t>
            </w:r>
          </w:p>
        </w:tc>
        <w:tc>
          <w:tcPr>
            <w:tcW w:w="3200" w:type="dxa"/>
            <w:vAlign w:val="center"/>
          </w:tcPr>
          <w:p>
            <w:pPr>
              <w:jc w:val="left"/>
            </w:pPr>
            <w:r>
              <w:rPr>
                <w:rFonts w:ascii="宋体" w:hAnsi="宋体" w:eastAsia="宋体" w:cs="宋体"/>
                <w:b w:val="0"/>
                <w:i w:val="0"/>
                <w:color w:val="000000"/>
                <w:sz w:val="13"/>
              </w:rPr>
              <w:t>一般行政管理事务</w:t>
            </w:r>
          </w:p>
        </w:tc>
        <w:tc>
          <w:tcPr>
            <w:tcW w:w="960" w:type="dxa"/>
            <w:vAlign w:val="center"/>
          </w:tcPr>
          <w:p>
            <w:pPr>
              <w:jc w:val="right"/>
            </w:pPr>
            <w:r>
              <w:rPr>
                <w:rFonts w:ascii="宋体" w:hAnsi="宋体" w:eastAsia="宋体" w:cs="宋体"/>
                <w:b w:val="0"/>
                <w:i w:val="0"/>
                <w:color w:val="000000"/>
                <w:sz w:val="13"/>
              </w:rPr>
              <w:t>2,718.75</w:t>
            </w:r>
          </w:p>
        </w:tc>
        <w:tc>
          <w:tcPr>
            <w:tcW w:w="960" w:type="dxa"/>
            <w:vAlign w:val="center"/>
          </w:tcPr>
          <w:p>
            <w:pPr>
              <w:jc w:val="right"/>
            </w:pPr>
            <w:r>
              <w:rPr>
                <w:rFonts w:ascii="宋体" w:hAnsi="宋体" w:eastAsia="宋体" w:cs="宋体"/>
                <w:b w:val="0"/>
                <w:i w:val="0"/>
                <w:color w:val="000000"/>
                <w:sz w:val="13"/>
              </w:rPr>
              <w:t>2,718.75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2040299</w:t>
            </w:r>
          </w:p>
        </w:tc>
        <w:tc>
          <w:tcPr>
            <w:tcW w:w="3200" w:type="dxa"/>
            <w:vAlign w:val="center"/>
          </w:tcPr>
          <w:p>
            <w:pPr>
              <w:jc w:val="left"/>
            </w:pPr>
            <w:r>
              <w:rPr>
                <w:rFonts w:ascii="宋体" w:hAnsi="宋体" w:eastAsia="宋体" w:cs="宋体"/>
                <w:b w:val="0"/>
                <w:i w:val="0"/>
                <w:color w:val="000000"/>
                <w:sz w:val="13"/>
              </w:rPr>
              <w:t>其他公安支出</w:t>
            </w:r>
          </w:p>
        </w:tc>
        <w:tc>
          <w:tcPr>
            <w:tcW w:w="960" w:type="dxa"/>
            <w:vAlign w:val="center"/>
          </w:tcPr>
          <w:p>
            <w:pPr>
              <w:jc w:val="right"/>
            </w:pPr>
            <w:r>
              <w:rPr>
                <w:rFonts w:ascii="宋体" w:hAnsi="宋体" w:eastAsia="宋体" w:cs="宋体"/>
                <w:b w:val="0"/>
                <w:i w:val="0"/>
                <w:color w:val="000000"/>
                <w:sz w:val="13"/>
              </w:rPr>
              <w:t>50.00</w:t>
            </w:r>
          </w:p>
        </w:tc>
        <w:tc>
          <w:tcPr>
            <w:tcW w:w="960" w:type="dxa"/>
            <w:vAlign w:val="center"/>
          </w:tcPr>
          <w:p>
            <w:pPr>
              <w:jc w:val="right"/>
            </w:pPr>
            <w:r>
              <w:rPr>
                <w:rFonts w:ascii="宋体" w:hAnsi="宋体" w:eastAsia="宋体" w:cs="宋体"/>
                <w:b w:val="0"/>
                <w:i w:val="0"/>
                <w:color w:val="000000"/>
                <w:sz w:val="13"/>
              </w:rPr>
              <w:t>50.00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231</w:t>
            </w:r>
          </w:p>
        </w:tc>
        <w:tc>
          <w:tcPr>
            <w:tcW w:w="3200" w:type="dxa"/>
            <w:vAlign w:val="center"/>
          </w:tcPr>
          <w:p>
            <w:pPr>
              <w:jc w:val="left"/>
            </w:pPr>
            <w:r>
              <w:rPr>
                <w:rFonts w:ascii="宋体" w:hAnsi="宋体" w:eastAsia="宋体" w:cs="宋体"/>
                <w:b w:val="0"/>
                <w:i w:val="0"/>
                <w:color w:val="000000"/>
                <w:sz w:val="13"/>
              </w:rPr>
              <w:t>债务还本支出</w:t>
            </w:r>
          </w:p>
        </w:tc>
        <w:tc>
          <w:tcPr>
            <w:tcW w:w="960" w:type="dxa"/>
            <w:vAlign w:val="center"/>
          </w:tcPr>
          <w:p>
            <w:pPr>
              <w:jc w:val="right"/>
            </w:pPr>
            <w:r>
              <w:rPr>
                <w:rFonts w:ascii="宋体" w:hAnsi="宋体" w:eastAsia="宋体" w:cs="宋体"/>
                <w:b w:val="0"/>
                <w:i w:val="0"/>
                <w:color w:val="000000"/>
                <w:sz w:val="13"/>
              </w:rPr>
              <w:t>28.77</w:t>
            </w:r>
          </w:p>
        </w:tc>
        <w:tc>
          <w:tcPr>
            <w:tcW w:w="960" w:type="dxa"/>
            <w:vAlign w:val="center"/>
          </w:tcPr>
          <w:p>
            <w:pPr>
              <w:jc w:val="right"/>
            </w:pPr>
            <w:r>
              <w:rPr>
                <w:rFonts w:ascii="宋体" w:hAnsi="宋体" w:eastAsia="宋体" w:cs="宋体"/>
                <w:b w:val="0"/>
                <w:i w:val="0"/>
                <w:color w:val="000000"/>
                <w:sz w:val="13"/>
              </w:rPr>
              <w:t>28.77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23103</w:t>
            </w:r>
          </w:p>
        </w:tc>
        <w:tc>
          <w:tcPr>
            <w:tcW w:w="3200" w:type="dxa"/>
            <w:vAlign w:val="center"/>
          </w:tcPr>
          <w:p>
            <w:pPr>
              <w:jc w:val="left"/>
            </w:pPr>
            <w:r>
              <w:rPr>
                <w:rFonts w:ascii="宋体" w:hAnsi="宋体" w:eastAsia="宋体" w:cs="宋体"/>
                <w:b w:val="0"/>
                <w:i w:val="0"/>
                <w:color w:val="000000"/>
                <w:sz w:val="13"/>
              </w:rPr>
              <w:t>地方政府一般债务还本支出</w:t>
            </w:r>
          </w:p>
        </w:tc>
        <w:tc>
          <w:tcPr>
            <w:tcW w:w="960" w:type="dxa"/>
            <w:vAlign w:val="center"/>
          </w:tcPr>
          <w:p>
            <w:pPr>
              <w:jc w:val="right"/>
            </w:pPr>
            <w:r>
              <w:rPr>
                <w:rFonts w:ascii="宋体" w:hAnsi="宋体" w:eastAsia="宋体" w:cs="宋体"/>
                <w:b w:val="0"/>
                <w:i w:val="0"/>
                <w:color w:val="000000"/>
                <w:sz w:val="13"/>
              </w:rPr>
              <w:t>28.77</w:t>
            </w:r>
          </w:p>
        </w:tc>
        <w:tc>
          <w:tcPr>
            <w:tcW w:w="960" w:type="dxa"/>
            <w:vAlign w:val="center"/>
          </w:tcPr>
          <w:p>
            <w:pPr>
              <w:jc w:val="right"/>
            </w:pPr>
            <w:r>
              <w:rPr>
                <w:rFonts w:ascii="宋体" w:hAnsi="宋体" w:eastAsia="宋体" w:cs="宋体"/>
                <w:b w:val="0"/>
                <w:i w:val="0"/>
                <w:color w:val="000000"/>
                <w:sz w:val="13"/>
              </w:rPr>
              <w:t>28.77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2310399</w:t>
            </w:r>
          </w:p>
        </w:tc>
        <w:tc>
          <w:tcPr>
            <w:tcW w:w="3200" w:type="dxa"/>
            <w:vAlign w:val="center"/>
          </w:tcPr>
          <w:p>
            <w:pPr>
              <w:jc w:val="left"/>
            </w:pPr>
            <w:r>
              <w:rPr>
                <w:rFonts w:ascii="宋体" w:hAnsi="宋体" w:eastAsia="宋体" w:cs="宋体"/>
                <w:b w:val="0"/>
                <w:i w:val="0"/>
                <w:color w:val="000000"/>
                <w:sz w:val="13"/>
              </w:rPr>
              <w:t>地方政府其他一般债务还本支出</w:t>
            </w:r>
          </w:p>
        </w:tc>
        <w:tc>
          <w:tcPr>
            <w:tcW w:w="960" w:type="dxa"/>
            <w:vAlign w:val="center"/>
          </w:tcPr>
          <w:p>
            <w:pPr>
              <w:jc w:val="right"/>
            </w:pPr>
            <w:r>
              <w:rPr>
                <w:rFonts w:ascii="宋体" w:hAnsi="宋体" w:eastAsia="宋体" w:cs="宋体"/>
                <w:b w:val="0"/>
                <w:i w:val="0"/>
                <w:color w:val="000000"/>
                <w:sz w:val="13"/>
              </w:rPr>
              <w:t>28.77</w:t>
            </w:r>
          </w:p>
        </w:tc>
        <w:tc>
          <w:tcPr>
            <w:tcW w:w="960" w:type="dxa"/>
            <w:vAlign w:val="center"/>
          </w:tcPr>
          <w:p>
            <w:pPr>
              <w:jc w:val="right"/>
            </w:pPr>
            <w:r>
              <w:rPr>
                <w:rFonts w:ascii="宋体" w:hAnsi="宋体" w:eastAsia="宋体" w:cs="宋体"/>
                <w:b w:val="0"/>
                <w:i w:val="0"/>
                <w:color w:val="000000"/>
                <w:sz w:val="13"/>
              </w:rPr>
              <w:t>28.77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2,856.81</w:t>
            </w:r>
          </w:p>
        </w:tc>
        <w:tc>
          <w:tcPr>
            <w:tcW w:w="1060" w:type="dxa"/>
            <w:vAlign w:val="center"/>
          </w:tcPr>
          <w:p/>
        </w:tc>
        <w:tc>
          <w:tcPr>
            <w:tcW w:w="1060" w:type="dxa"/>
            <w:vAlign w:val="center"/>
          </w:tcPr>
          <w:p>
            <w:pPr>
              <w:jc w:val="right"/>
            </w:pPr>
            <w:r>
              <w:rPr>
                <w:rFonts w:ascii="宋体" w:hAnsi="宋体" w:eastAsia="宋体" w:cs="宋体"/>
                <w:b/>
                <w:i w:val="0"/>
                <w:color w:val="000000"/>
                <w:sz w:val="14"/>
              </w:rPr>
              <w:t>2,856.81</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w:t>
            </w:r>
          </w:p>
        </w:tc>
        <w:tc>
          <w:tcPr>
            <w:tcW w:w="3440" w:type="dxa"/>
            <w:vAlign w:val="center"/>
          </w:tcPr>
          <w:p>
            <w:pPr>
              <w:jc w:val="left"/>
            </w:pPr>
            <w:r>
              <w:rPr>
                <w:rFonts w:ascii="宋体" w:hAnsi="宋体" w:eastAsia="宋体" w:cs="宋体"/>
                <w:b w:val="0"/>
                <w:i w:val="0"/>
                <w:color w:val="000000"/>
                <w:sz w:val="14"/>
              </w:rPr>
              <w:t>一般公共服务支出</w:t>
            </w:r>
          </w:p>
        </w:tc>
        <w:tc>
          <w:tcPr>
            <w:tcW w:w="1060" w:type="dxa"/>
            <w:vAlign w:val="center"/>
          </w:tcPr>
          <w:p>
            <w:pPr>
              <w:jc w:val="right"/>
            </w:pPr>
            <w:r>
              <w:rPr>
                <w:rFonts w:ascii="宋体" w:hAnsi="宋体" w:eastAsia="宋体" w:cs="宋体"/>
                <w:b w:val="0"/>
                <w:i w:val="0"/>
                <w:color w:val="000000"/>
                <w:sz w:val="14"/>
              </w:rPr>
              <w:t>59.30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59.30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20140</w:t>
            </w:r>
          </w:p>
        </w:tc>
        <w:tc>
          <w:tcPr>
            <w:tcW w:w="3440" w:type="dxa"/>
            <w:vAlign w:val="center"/>
          </w:tcPr>
          <w:p>
            <w:pPr>
              <w:jc w:val="left"/>
            </w:pPr>
            <w:r>
              <w:rPr>
                <w:rFonts w:ascii="宋体" w:hAnsi="宋体" w:eastAsia="宋体" w:cs="宋体"/>
                <w:b w:val="0"/>
                <w:i w:val="0"/>
                <w:color w:val="000000"/>
                <w:sz w:val="14"/>
              </w:rPr>
              <w:t>信访事务</w:t>
            </w:r>
          </w:p>
        </w:tc>
        <w:tc>
          <w:tcPr>
            <w:tcW w:w="1060" w:type="dxa"/>
            <w:vAlign w:val="center"/>
          </w:tcPr>
          <w:p>
            <w:pPr>
              <w:jc w:val="right"/>
            </w:pPr>
            <w:r>
              <w:rPr>
                <w:rFonts w:ascii="宋体" w:hAnsi="宋体" w:eastAsia="宋体" w:cs="宋体"/>
                <w:b w:val="0"/>
                <w:i w:val="0"/>
                <w:color w:val="000000"/>
                <w:sz w:val="14"/>
              </w:rPr>
              <w:t>59.30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59.30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2014004</w:t>
            </w:r>
          </w:p>
        </w:tc>
        <w:tc>
          <w:tcPr>
            <w:tcW w:w="3440" w:type="dxa"/>
            <w:vAlign w:val="center"/>
          </w:tcPr>
          <w:p>
            <w:pPr>
              <w:jc w:val="left"/>
            </w:pPr>
            <w:r>
              <w:rPr>
                <w:rFonts w:ascii="宋体" w:hAnsi="宋体" w:eastAsia="宋体" w:cs="宋体"/>
                <w:b w:val="0"/>
                <w:i w:val="0"/>
                <w:color w:val="000000"/>
                <w:sz w:val="14"/>
              </w:rPr>
              <w:t>信访业务</w:t>
            </w:r>
          </w:p>
        </w:tc>
        <w:tc>
          <w:tcPr>
            <w:tcW w:w="1060" w:type="dxa"/>
            <w:vAlign w:val="center"/>
          </w:tcPr>
          <w:p>
            <w:pPr>
              <w:jc w:val="right"/>
            </w:pPr>
            <w:r>
              <w:rPr>
                <w:rFonts w:ascii="宋体" w:hAnsi="宋体" w:eastAsia="宋体" w:cs="宋体"/>
                <w:b w:val="0"/>
                <w:i w:val="0"/>
                <w:color w:val="000000"/>
                <w:sz w:val="14"/>
              </w:rPr>
              <w:t>59.30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59.30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204</w:t>
            </w:r>
          </w:p>
        </w:tc>
        <w:tc>
          <w:tcPr>
            <w:tcW w:w="3440" w:type="dxa"/>
            <w:vAlign w:val="center"/>
          </w:tcPr>
          <w:p>
            <w:pPr>
              <w:jc w:val="left"/>
            </w:pPr>
            <w:r>
              <w:rPr>
                <w:rFonts w:ascii="宋体" w:hAnsi="宋体" w:eastAsia="宋体" w:cs="宋体"/>
                <w:b w:val="0"/>
                <w:i w:val="0"/>
                <w:color w:val="000000"/>
                <w:sz w:val="14"/>
              </w:rPr>
              <w:t>公共安全支出</w:t>
            </w:r>
          </w:p>
        </w:tc>
        <w:tc>
          <w:tcPr>
            <w:tcW w:w="1060" w:type="dxa"/>
            <w:vAlign w:val="center"/>
          </w:tcPr>
          <w:p>
            <w:pPr>
              <w:jc w:val="right"/>
            </w:pPr>
            <w:r>
              <w:rPr>
                <w:rFonts w:ascii="宋体" w:hAnsi="宋体" w:eastAsia="宋体" w:cs="宋体"/>
                <w:b w:val="0"/>
                <w:i w:val="0"/>
                <w:color w:val="000000"/>
                <w:sz w:val="14"/>
              </w:rPr>
              <w:t>2,768.75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2,768.75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20402</w:t>
            </w:r>
          </w:p>
        </w:tc>
        <w:tc>
          <w:tcPr>
            <w:tcW w:w="3440" w:type="dxa"/>
            <w:vAlign w:val="center"/>
          </w:tcPr>
          <w:p>
            <w:pPr>
              <w:jc w:val="left"/>
            </w:pPr>
            <w:r>
              <w:rPr>
                <w:rFonts w:ascii="宋体" w:hAnsi="宋体" w:eastAsia="宋体" w:cs="宋体"/>
                <w:b w:val="0"/>
                <w:i w:val="0"/>
                <w:color w:val="000000"/>
                <w:sz w:val="14"/>
              </w:rPr>
              <w:t>公安</w:t>
            </w:r>
          </w:p>
        </w:tc>
        <w:tc>
          <w:tcPr>
            <w:tcW w:w="1060" w:type="dxa"/>
            <w:vAlign w:val="center"/>
          </w:tcPr>
          <w:p>
            <w:pPr>
              <w:jc w:val="right"/>
            </w:pPr>
            <w:r>
              <w:rPr>
                <w:rFonts w:ascii="宋体" w:hAnsi="宋体" w:eastAsia="宋体" w:cs="宋体"/>
                <w:b w:val="0"/>
                <w:i w:val="0"/>
                <w:color w:val="000000"/>
                <w:sz w:val="14"/>
              </w:rPr>
              <w:t>2,768.75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2,768.75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2040202</w:t>
            </w:r>
          </w:p>
        </w:tc>
        <w:tc>
          <w:tcPr>
            <w:tcW w:w="3440" w:type="dxa"/>
            <w:vAlign w:val="center"/>
          </w:tcPr>
          <w:p>
            <w:pPr>
              <w:jc w:val="left"/>
            </w:pPr>
            <w:r>
              <w:rPr>
                <w:rFonts w:ascii="宋体" w:hAnsi="宋体" w:eastAsia="宋体" w:cs="宋体"/>
                <w:b w:val="0"/>
                <w:i w:val="0"/>
                <w:color w:val="000000"/>
                <w:sz w:val="14"/>
              </w:rPr>
              <w:t>一般行政管理事务</w:t>
            </w:r>
          </w:p>
        </w:tc>
        <w:tc>
          <w:tcPr>
            <w:tcW w:w="1060" w:type="dxa"/>
            <w:vAlign w:val="center"/>
          </w:tcPr>
          <w:p>
            <w:pPr>
              <w:jc w:val="right"/>
            </w:pPr>
            <w:r>
              <w:rPr>
                <w:rFonts w:ascii="宋体" w:hAnsi="宋体" w:eastAsia="宋体" w:cs="宋体"/>
                <w:b w:val="0"/>
                <w:i w:val="0"/>
                <w:color w:val="000000"/>
                <w:sz w:val="14"/>
              </w:rPr>
              <w:t>2,718.75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2,718.75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2040299</w:t>
            </w:r>
          </w:p>
        </w:tc>
        <w:tc>
          <w:tcPr>
            <w:tcW w:w="3440" w:type="dxa"/>
            <w:vAlign w:val="center"/>
          </w:tcPr>
          <w:p>
            <w:pPr>
              <w:jc w:val="left"/>
            </w:pPr>
            <w:r>
              <w:rPr>
                <w:rFonts w:ascii="宋体" w:hAnsi="宋体" w:eastAsia="宋体" w:cs="宋体"/>
                <w:b w:val="0"/>
                <w:i w:val="0"/>
                <w:color w:val="000000"/>
                <w:sz w:val="14"/>
              </w:rPr>
              <w:t>其他公安支出</w:t>
            </w:r>
          </w:p>
        </w:tc>
        <w:tc>
          <w:tcPr>
            <w:tcW w:w="1060" w:type="dxa"/>
            <w:vAlign w:val="center"/>
          </w:tcPr>
          <w:p>
            <w:pPr>
              <w:jc w:val="right"/>
            </w:pPr>
            <w:r>
              <w:rPr>
                <w:rFonts w:ascii="宋体" w:hAnsi="宋体" w:eastAsia="宋体" w:cs="宋体"/>
                <w:b w:val="0"/>
                <w:i w:val="0"/>
                <w:color w:val="000000"/>
                <w:sz w:val="14"/>
              </w:rPr>
              <w:t>50.00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50.00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231</w:t>
            </w:r>
          </w:p>
        </w:tc>
        <w:tc>
          <w:tcPr>
            <w:tcW w:w="3440" w:type="dxa"/>
            <w:vAlign w:val="center"/>
          </w:tcPr>
          <w:p>
            <w:pPr>
              <w:jc w:val="left"/>
            </w:pPr>
            <w:r>
              <w:rPr>
                <w:rFonts w:ascii="宋体" w:hAnsi="宋体" w:eastAsia="宋体" w:cs="宋体"/>
                <w:b w:val="0"/>
                <w:i w:val="0"/>
                <w:color w:val="000000"/>
                <w:sz w:val="14"/>
              </w:rPr>
              <w:t>债务还本支出</w:t>
            </w:r>
          </w:p>
        </w:tc>
        <w:tc>
          <w:tcPr>
            <w:tcW w:w="1060" w:type="dxa"/>
            <w:vAlign w:val="center"/>
          </w:tcPr>
          <w:p>
            <w:pPr>
              <w:jc w:val="right"/>
            </w:pPr>
            <w:r>
              <w:rPr>
                <w:rFonts w:ascii="宋体" w:hAnsi="宋体" w:eastAsia="宋体" w:cs="宋体"/>
                <w:b w:val="0"/>
                <w:i w:val="0"/>
                <w:color w:val="000000"/>
                <w:sz w:val="14"/>
              </w:rPr>
              <w:t>28.77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28.77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23103</w:t>
            </w:r>
          </w:p>
        </w:tc>
        <w:tc>
          <w:tcPr>
            <w:tcW w:w="3440" w:type="dxa"/>
            <w:vAlign w:val="center"/>
          </w:tcPr>
          <w:p>
            <w:pPr>
              <w:jc w:val="left"/>
            </w:pPr>
            <w:r>
              <w:rPr>
                <w:rFonts w:ascii="宋体" w:hAnsi="宋体" w:eastAsia="宋体" w:cs="宋体"/>
                <w:b w:val="0"/>
                <w:i w:val="0"/>
                <w:color w:val="000000"/>
                <w:sz w:val="14"/>
              </w:rPr>
              <w:t>地方政府一般债务还本支出</w:t>
            </w:r>
          </w:p>
        </w:tc>
        <w:tc>
          <w:tcPr>
            <w:tcW w:w="1060" w:type="dxa"/>
            <w:vAlign w:val="center"/>
          </w:tcPr>
          <w:p>
            <w:pPr>
              <w:jc w:val="right"/>
            </w:pPr>
            <w:r>
              <w:rPr>
                <w:rFonts w:ascii="宋体" w:hAnsi="宋体" w:eastAsia="宋体" w:cs="宋体"/>
                <w:b w:val="0"/>
                <w:i w:val="0"/>
                <w:color w:val="000000"/>
                <w:sz w:val="14"/>
              </w:rPr>
              <w:t>28.77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28.77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2310399</w:t>
            </w:r>
          </w:p>
        </w:tc>
        <w:tc>
          <w:tcPr>
            <w:tcW w:w="3440" w:type="dxa"/>
            <w:vAlign w:val="center"/>
          </w:tcPr>
          <w:p>
            <w:pPr>
              <w:jc w:val="left"/>
            </w:pPr>
            <w:r>
              <w:rPr>
                <w:rFonts w:ascii="宋体" w:hAnsi="宋体" w:eastAsia="宋体" w:cs="宋体"/>
                <w:b w:val="0"/>
                <w:i w:val="0"/>
                <w:color w:val="000000"/>
                <w:sz w:val="14"/>
              </w:rPr>
              <w:t>地方政府其他一般债务还本支出</w:t>
            </w:r>
          </w:p>
        </w:tc>
        <w:tc>
          <w:tcPr>
            <w:tcW w:w="1060" w:type="dxa"/>
            <w:vAlign w:val="center"/>
          </w:tcPr>
          <w:p>
            <w:pPr>
              <w:jc w:val="right"/>
            </w:pPr>
            <w:r>
              <w:rPr>
                <w:rFonts w:ascii="宋体" w:hAnsi="宋体" w:eastAsia="宋体" w:cs="宋体"/>
                <w:b w:val="0"/>
                <w:i w:val="0"/>
                <w:color w:val="000000"/>
                <w:sz w:val="14"/>
              </w:rPr>
              <w:t>28.77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28.77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2,856.81</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pPr>
              <w:jc w:val="right"/>
            </w:pPr>
            <w:r>
              <w:rPr>
                <w:rFonts w:ascii="宋体" w:hAnsi="宋体" w:eastAsia="宋体" w:cs="宋体"/>
                <w:b w:val="0"/>
                <w:i w:val="0"/>
                <w:color w:val="000000"/>
                <w:sz w:val="14"/>
              </w:rPr>
              <w:t>59.30</w:t>
            </w:r>
          </w:p>
        </w:tc>
        <w:tc>
          <w:tcPr>
            <w:tcW w:w="1100" w:type="dxa"/>
            <w:vAlign w:val="center"/>
          </w:tcPr>
          <w:p>
            <w:pPr>
              <w:jc w:val="right"/>
            </w:pPr>
            <w:r>
              <w:rPr>
                <w:rFonts w:ascii="宋体" w:hAnsi="宋体" w:eastAsia="宋体" w:cs="宋体"/>
                <w:b w:val="0"/>
                <w:i w:val="0"/>
                <w:color w:val="000000"/>
                <w:sz w:val="14"/>
              </w:rPr>
              <w:t>59.30</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pPr>
              <w:jc w:val="right"/>
            </w:pPr>
            <w:r>
              <w:rPr>
                <w:rFonts w:ascii="宋体" w:hAnsi="宋体" w:eastAsia="宋体" w:cs="宋体"/>
                <w:b w:val="0"/>
                <w:i w:val="0"/>
                <w:color w:val="000000"/>
                <w:sz w:val="14"/>
              </w:rPr>
              <w:t>2,768.75</w:t>
            </w:r>
          </w:p>
        </w:tc>
        <w:tc>
          <w:tcPr>
            <w:tcW w:w="1100" w:type="dxa"/>
            <w:vAlign w:val="center"/>
          </w:tcPr>
          <w:p>
            <w:pPr>
              <w:jc w:val="right"/>
            </w:pPr>
            <w:r>
              <w:rPr>
                <w:rFonts w:ascii="宋体" w:hAnsi="宋体" w:eastAsia="宋体" w:cs="宋体"/>
                <w:b w:val="0"/>
                <w:i w:val="0"/>
                <w:color w:val="000000"/>
                <w:sz w:val="14"/>
              </w:rPr>
              <w:t>2,768.75</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pPr>
              <w:jc w:val="right"/>
            </w:pPr>
            <w:r>
              <w:rPr>
                <w:rFonts w:ascii="宋体" w:hAnsi="宋体" w:eastAsia="宋体" w:cs="宋体"/>
                <w:b w:val="0"/>
                <w:i w:val="0"/>
                <w:color w:val="000000"/>
                <w:sz w:val="14"/>
              </w:rPr>
              <w:t>28.77</w:t>
            </w:r>
          </w:p>
        </w:tc>
        <w:tc>
          <w:tcPr>
            <w:tcW w:w="1100" w:type="dxa"/>
            <w:vAlign w:val="center"/>
          </w:tcPr>
          <w:p>
            <w:pPr>
              <w:jc w:val="right"/>
            </w:pPr>
            <w:r>
              <w:rPr>
                <w:rFonts w:ascii="宋体" w:hAnsi="宋体" w:eastAsia="宋体" w:cs="宋体"/>
                <w:b w:val="0"/>
                <w:i w:val="0"/>
                <w:color w:val="000000"/>
                <w:sz w:val="14"/>
              </w:rPr>
              <w:t>28.77</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2,856.81</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2,856.81</w:t>
            </w:r>
          </w:p>
        </w:tc>
        <w:tc>
          <w:tcPr>
            <w:tcW w:w="1100" w:type="dxa"/>
            <w:vAlign w:val="center"/>
          </w:tcPr>
          <w:p>
            <w:pPr>
              <w:jc w:val="right"/>
            </w:pPr>
            <w:r>
              <w:rPr>
                <w:rFonts w:ascii="宋体" w:hAnsi="宋体" w:eastAsia="宋体" w:cs="宋体"/>
                <w:b w:val="0"/>
                <w:i w:val="0"/>
                <w:color w:val="000000"/>
                <w:sz w:val="14"/>
              </w:rPr>
              <w:t>2,856.81</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2,856.81</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2,856.81</w:t>
            </w:r>
          </w:p>
        </w:tc>
        <w:tc>
          <w:tcPr>
            <w:tcW w:w="1100" w:type="dxa"/>
            <w:vAlign w:val="center"/>
          </w:tcPr>
          <w:p>
            <w:pPr>
              <w:jc w:val="right"/>
            </w:pPr>
            <w:r>
              <w:rPr>
                <w:rFonts w:ascii="宋体" w:hAnsi="宋体" w:eastAsia="宋体" w:cs="宋体"/>
                <w:b w:val="0"/>
                <w:i w:val="0"/>
                <w:color w:val="000000"/>
                <w:sz w:val="14"/>
              </w:rPr>
              <w:t>2,856.81</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2,856.81</w:t>
            </w:r>
          </w:p>
        </w:tc>
        <w:tc>
          <w:tcPr>
            <w:tcW w:w="1780" w:type="dxa"/>
            <w:vAlign w:val="center"/>
          </w:tcPr>
          <w:p>
            <w:pPr>
              <w:jc w:val="right"/>
            </w:pPr>
            <w:r>
              <w:rPr>
                <w:rFonts w:ascii="宋体" w:hAnsi="宋体" w:eastAsia="宋体" w:cs="宋体"/>
                <w:b/>
                <w:i w:val="0"/>
                <w:color w:val="000000"/>
                <w:sz w:val="18"/>
              </w:rPr>
              <w:t>0.00</w:t>
            </w:r>
          </w:p>
        </w:tc>
        <w:tc>
          <w:tcPr>
            <w:tcW w:w="1772" w:type="dxa"/>
            <w:vAlign w:val="center"/>
          </w:tcPr>
          <w:p>
            <w:pPr>
              <w:jc w:val="right"/>
            </w:pPr>
            <w:r>
              <w:rPr>
                <w:rFonts w:ascii="宋体" w:hAnsi="宋体" w:eastAsia="宋体" w:cs="宋体"/>
                <w:b/>
                <w:i w:val="0"/>
                <w:color w:val="000000"/>
                <w:sz w:val="18"/>
              </w:rPr>
              <w:t>2,856.81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w:t>
            </w:r>
          </w:p>
        </w:tc>
        <w:tc>
          <w:tcPr>
            <w:tcW w:w="4300" w:type="dxa"/>
            <w:vAlign w:val="center"/>
          </w:tcPr>
          <w:p>
            <w:pPr>
              <w:jc w:val="left"/>
            </w:pPr>
            <w:r>
              <w:rPr>
                <w:rFonts w:ascii="宋体" w:hAnsi="宋体" w:eastAsia="宋体" w:cs="宋体"/>
                <w:b w:val="0"/>
                <w:i w:val="0"/>
                <w:color w:val="000000"/>
                <w:sz w:val="18"/>
              </w:rPr>
              <w:t>一般公共服务支出</w:t>
            </w:r>
          </w:p>
        </w:tc>
        <w:tc>
          <w:tcPr>
            <w:tcW w:w="1780" w:type="dxa"/>
            <w:vAlign w:val="center"/>
          </w:tcPr>
          <w:p>
            <w:pPr>
              <w:jc w:val="right"/>
            </w:pPr>
            <w:r>
              <w:rPr>
                <w:rFonts w:ascii="宋体" w:hAnsi="宋体" w:eastAsia="宋体" w:cs="宋体"/>
                <w:b w:val="0"/>
                <w:i w:val="0"/>
                <w:color w:val="000000"/>
                <w:sz w:val="18"/>
              </w:rPr>
              <w:t>59.30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59.30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20140</w:t>
            </w:r>
          </w:p>
        </w:tc>
        <w:tc>
          <w:tcPr>
            <w:tcW w:w="4300" w:type="dxa"/>
            <w:vAlign w:val="center"/>
          </w:tcPr>
          <w:p>
            <w:pPr>
              <w:jc w:val="left"/>
            </w:pPr>
            <w:r>
              <w:rPr>
                <w:rFonts w:ascii="宋体" w:hAnsi="宋体" w:eastAsia="宋体" w:cs="宋体"/>
                <w:b w:val="0"/>
                <w:i w:val="0"/>
                <w:color w:val="000000"/>
                <w:sz w:val="18"/>
              </w:rPr>
              <w:t>信访事务</w:t>
            </w:r>
          </w:p>
        </w:tc>
        <w:tc>
          <w:tcPr>
            <w:tcW w:w="1780" w:type="dxa"/>
            <w:vAlign w:val="center"/>
          </w:tcPr>
          <w:p>
            <w:pPr>
              <w:jc w:val="right"/>
            </w:pPr>
            <w:r>
              <w:rPr>
                <w:rFonts w:ascii="宋体" w:hAnsi="宋体" w:eastAsia="宋体" w:cs="宋体"/>
                <w:b w:val="0"/>
                <w:i w:val="0"/>
                <w:color w:val="000000"/>
                <w:sz w:val="18"/>
              </w:rPr>
              <w:t>59.30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59.30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2014004</w:t>
            </w:r>
          </w:p>
        </w:tc>
        <w:tc>
          <w:tcPr>
            <w:tcW w:w="4300" w:type="dxa"/>
            <w:vAlign w:val="center"/>
          </w:tcPr>
          <w:p>
            <w:pPr>
              <w:jc w:val="left"/>
            </w:pPr>
            <w:r>
              <w:rPr>
                <w:rFonts w:ascii="宋体" w:hAnsi="宋体" w:eastAsia="宋体" w:cs="宋体"/>
                <w:b w:val="0"/>
                <w:i w:val="0"/>
                <w:color w:val="000000"/>
                <w:sz w:val="18"/>
              </w:rPr>
              <w:t>信访业务</w:t>
            </w:r>
          </w:p>
        </w:tc>
        <w:tc>
          <w:tcPr>
            <w:tcW w:w="1780" w:type="dxa"/>
            <w:vAlign w:val="center"/>
          </w:tcPr>
          <w:p>
            <w:pPr>
              <w:jc w:val="right"/>
            </w:pPr>
            <w:r>
              <w:rPr>
                <w:rFonts w:ascii="宋体" w:hAnsi="宋体" w:eastAsia="宋体" w:cs="宋体"/>
                <w:b w:val="0"/>
                <w:i w:val="0"/>
                <w:color w:val="000000"/>
                <w:sz w:val="18"/>
              </w:rPr>
              <w:t>59.30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59.30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204</w:t>
            </w:r>
          </w:p>
        </w:tc>
        <w:tc>
          <w:tcPr>
            <w:tcW w:w="4300" w:type="dxa"/>
            <w:vAlign w:val="center"/>
          </w:tcPr>
          <w:p>
            <w:pPr>
              <w:jc w:val="left"/>
            </w:pPr>
            <w:r>
              <w:rPr>
                <w:rFonts w:ascii="宋体" w:hAnsi="宋体" w:eastAsia="宋体" w:cs="宋体"/>
                <w:b w:val="0"/>
                <w:i w:val="0"/>
                <w:color w:val="000000"/>
                <w:sz w:val="18"/>
              </w:rPr>
              <w:t>公共安全支出</w:t>
            </w:r>
          </w:p>
        </w:tc>
        <w:tc>
          <w:tcPr>
            <w:tcW w:w="1780" w:type="dxa"/>
            <w:vAlign w:val="center"/>
          </w:tcPr>
          <w:p>
            <w:pPr>
              <w:jc w:val="right"/>
            </w:pPr>
            <w:r>
              <w:rPr>
                <w:rFonts w:ascii="宋体" w:hAnsi="宋体" w:eastAsia="宋体" w:cs="宋体"/>
                <w:b w:val="0"/>
                <w:i w:val="0"/>
                <w:color w:val="000000"/>
                <w:sz w:val="18"/>
              </w:rPr>
              <w:t>2,768.75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2,768.75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20402</w:t>
            </w:r>
          </w:p>
        </w:tc>
        <w:tc>
          <w:tcPr>
            <w:tcW w:w="4300" w:type="dxa"/>
            <w:vAlign w:val="center"/>
          </w:tcPr>
          <w:p>
            <w:pPr>
              <w:jc w:val="left"/>
            </w:pPr>
            <w:r>
              <w:rPr>
                <w:rFonts w:ascii="宋体" w:hAnsi="宋体" w:eastAsia="宋体" w:cs="宋体"/>
                <w:b w:val="0"/>
                <w:i w:val="0"/>
                <w:color w:val="000000"/>
                <w:sz w:val="18"/>
              </w:rPr>
              <w:t>公安</w:t>
            </w:r>
          </w:p>
        </w:tc>
        <w:tc>
          <w:tcPr>
            <w:tcW w:w="1780" w:type="dxa"/>
            <w:vAlign w:val="center"/>
          </w:tcPr>
          <w:p>
            <w:pPr>
              <w:jc w:val="right"/>
            </w:pPr>
            <w:r>
              <w:rPr>
                <w:rFonts w:ascii="宋体" w:hAnsi="宋体" w:eastAsia="宋体" w:cs="宋体"/>
                <w:b w:val="0"/>
                <w:i w:val="0"/>
                <w:color w:val="000000"/>
                <w:sz w:val="18"/>
              </w:rPr>
              <w:t>2,768.75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2,768.75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2040202</w:t>
            </w:r>
          </w:p>
        </w:tc>
        <w:tc>
          <w:tcPr>
            <w:tcW w:w="4300" w:type="dxa"/>
            <w:vAlign w:val="center"/>
          </w:tcPr>
          <w:p>
            <w:pPr>
              <w:jc w:val="left"/>
            </w:pPr>
            <w:r>
              <w:rPr>
                <w:rFonts w:ascii="宋体" w:hAnsi="宋体" w:eastAsia="宋体" w:cs="宋体"/>
                <w:b w:val="0"/>
                <w:i w:val="0"/>
                <w:color w:val="000000"/>
                <w:sz w:val="18"/>
              </w:rPr>
              <w:t>一般行政管理事务</w:t>
            </w:r>
          </w:p>
        </w:tc>
        <w:tc>
          <w:tcPr>
            <w:tcW w:w="1780" w:type="dxa"/>
            <w:vAlign w:val="center"/>
          </w:tcPr>
          <w:p>
            <w:pPr>
              <w:jc w:val="right"/>
            </w:pPr>
            <w:r>
              <w:rPr>
                <w:rFonts w:ascii="宋体" w:hAnsi="宋体" w:eastAsia="宋体" w:cs="宋体"/>
                <w:b w:val="0"/>
                <w:i w:val="0"/>
                <w:color w:val="000000"/>
                <w:sz w:val="18"/>
              </w:rPr>
              <w:t>2,718.75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2,718.75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2040299</w:t>
            </w:r>
          </w:p>
        </w:tc>
        <w:tc>
          <w:tcPr>
            <w:tcW w:w="4300" w:type="dxa"/>
            <w:vAlign w:val="center"/>
          </w:tcPr>
          <w:p>
            <w:pPr>
              <w:jc w:val="left"/>
            </w:pPr>
            <w:r>
              <w:rPr>
                <w:rFonts w:ascii="宋体" w:hAnsi="宋体" w:eastAsia="宋体" w:cs="宋体"/>
                <w:b w:val="0"/>
                <w:i w:val="0"/>
                <w:color w:val="000000"/>
                <w:sz w:val="18"/>
              </w:rPr>
              <w:t>其他公安支出</w:t>
            </w:r>
          </w:p>
        </w:tc>
        <w:tc>
          <w:tcPr>
            <w:tcW w:w="1780" w:type="dxa"/>
            <w:vAlign w:val="center"/>
          </w:tcPr>
          <w:p>
            <w:pPr>
              <w:jc w:val="right"/>
            </w:pPr>
            <w:r>
              <w:rPr>
                <w:rFonts w:ascii="宋体" w:hAnsi="宋体" w:eastAsia="宋体" w:cs="宋体"/>
                <w:b w:val="0"/>
                <w:i w:val="0"/>
                <w:color w:val="000000"/>
                <w:sz w:val="18"/>
              </w:rPr>
              <w:t>50.00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20499</w:t>
            </w:r>
          </w:p>
        </w:tc>
        <w:tc>
          <w:tcPr>
            <w:tcW w:w="4300" w:type="dxa"/>
            <w:vAlign w:val="center"/>
          </w:tcPr>
          <w:p>
            <w:pPr>
              <w:jc w:val="left"/>
            </w:pPr>
            <w:r>
              <w:rPr>
                <w:rFonts w:ascii="宋体" w:hAnsi="宋体" w:eastAsia="宋体" w:cs="宋体"/>
                <w:b w:val="0"/>
                <w:i w:val="0"/>
                <w:color w:val="000000"/>
                <w:sz w:val="18"/>
              </w:rPr>
              <w:t>其他公共安全支出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2049999</w:t>
            </w:r>
          </w:p>
        </w:tc>
        <w:tc>
          <w:tcPr>
            <w:tcW w:w="4300" w:type="dxa"/>
            <w:vAlign w:val="center"/>
          </w:tcPr>
          <w:p>
            <w:pPr>
              <w:jc w:val="left"/>
            </w:pPr>
            <w:r>
              <w:rPr>
                <w:rFonts w:ascii="宋体" w:hAnsi="宋体" w:eastAsia="宋体" w:cs="宋体"/>
                <w:b w:val="0"/>
                <w:i w:val="0"/>
                <w:color w:val="000000"/>
                <w:sz w:val="18"/>
              </w:rPr>
              <w:t>其他公共安全支出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231</w:t>
            </w:r>
          </w:p>
        </w:tc>
        <w:tc>
          <w:tcPr>
            <w:tcW w:w="4300" w:type="dxa"/>
            <w:vAlign w:val="center"/>
          </w:tcPr>
          <w:p>
            <w:pPr>
              <w:jc w:val="left"/>
            </w:pPr>
            <w:r>
              <w:rPr>
                <w:rFonts w:ascii="宋体" w:hAnsi="宋体" w:eastAsia="宋体" w:cs="宋体"/>
                <w:b w:val="0"/>
                <w:i w:val="0"/>
                <w:color w:val="000000"/>
                <w:sz w:val="18"/>
              </w:rPr>
              <w:t>债务还本支出</w:t>
            </w:r>
          </w:p>
        </w:tc>
        <w:tc>
          <w:tcPr>
            <w:tcW w:w="1780" w:type="dxa"/>
            <w:vAlign w:val="center"/>
          </w:tcPr>
          <w:p>
            <w:pPr>
              <w:jc w:val="right"/>
            </w:pPr>
            <w:r>
              <w:rPr>
                <w:rFonts w:ascii="宋体" w:hAnsi="宋体" w:eastAsia="宋体" w:cs="宋体"/>
                <w:b w:val="0"/>
                <w:i w:val="0"/>
                <w:color w:val="000000"/>
                <w:sz w:val="18"/>
              </w:rPr>
              <w:t>28.77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23103</w:t>
            </w:r>
          </w:p>
        </w:tc>
        <w:tc>
          <w:tcPr>
            <w:tcW w:w="4300" w:type="dxa"/>
            <w:vAlign w:val="center"/>
          </w:tcPr>
          <w:p>
            <w:pPr>
              <w:jc w:val="left"/>
            </w:pPr>
            <w:r>
              <w:rPr>
                <w:rFonts w:ascii="宋体" w:hAnsi="宋体" w:eastAsia="宋体" w:cs="宋体"/>
                <w:b w:val="0"/>
                <w:i w:val="0"/>
                <w:color w:val="000000"/>
                <w:sz w:val="18"/>
              </w:rPr>
              <w:t>地方政府一般债务还本支出</w:t>
            </w:r>
          </w:p>
        </w:tc>
        <w:tc>
          <w:tcPr>
            <w:tcW w:w="1780" w:type="dxa"/>
            <w:vAlign w:val="center"/>
          </w:tcPr>
          <w:p>
            <w:pPr>
              <w:jc w:val="right"/>
            </w:pPr>
            <w:r>
              <w:rPr>
                <w:rFonts w:ascii="宋体" w:hAnsi="宋体" w:eastAsia="宋体" w:cs="宋体"/>
                <w:b w:val="0"/>
                <w:i w:val="0"/>
                <w:color w:val="000000"/>
                <w:sz w:val="18"/>
              </w:rPr>
              <w:t>28.77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2310399</w:t>
            </w:r>
          </w:p>
        </w:tc>
        <w:tc>
          <w:tcPr>
            <w:tcW w:w="4300" w:type="dxa"/>
            <w:vAlign w:val="center"/>
          </w:tcPr>
          <w:p>
            <w:pPr>
              <w:jc w:val="left"/>
            </w:pPr>
            <w:r>
              <w:rPr>
                <w:rFonts w:ascii="宋体" w:hAnsi="宋体" w:eastAsia="宋体" w:cs="宋体"/>
                <w:b w:val="0"/>
                <w:i w:val="0"/>
                <w:color w:val="000000"/>
                <w:sz w:val="18"/>
              </w:rPr>
              <w:t>地方政府其他一般债务还本支出</w:t>
            </w:r>
          </w:p>
        </w:tc>
        <w:tc>
          <w:tcPr>
            <w:tcW w:w="1780" w:type="dxa"/>
            <w:vAlign w:val="center"/>
          </w:tcPr>
          <w:p>
            <w:pPr>
              <w:jc w:val="right"/>
            </w:pPr>
            <w:r>
              <w:rPr>
                <w:rFonts w:ascii="宋体" w:hAnsi="宋体" w:eastAsia="宋体" w:cs="宋体"/>
                <w:b w:val="0"/>
                <w:i w:val="0"/>
                <w:color w:val="000000"/>
                <w:sz w:val="18"/>
              </w:rPr>
              <w:t>28.77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单位：辽宁省沈阳市公安局浑南分局</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办案业务及案件执行专项经费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419.28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99.83%</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保障浑南区维稳工作顺利进行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99.98</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工程项目尾款</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看守所医疗化</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通过铁桶改造工程建设使在押人员无法依靠硬件自杀、自伤、自残,将看守所设施改造成铁桶一般坚固，防止在押人员脱逃，保障监所安全。监管大队医疗社会化工资,9名医务人员负责看守所收押体检，所内就医巡诊防疫消毒，保障了在押人员生命健康权，有病及时发现及时治疗，减少监所医疗成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平安城市四期2020年度租赁费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根据浑南区政府关于平安城市视频监控系统建设的总体规划部署，为进一步加强智慧城区、平安浑南建设，以科技引领发展。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外聘劳务经费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628.02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95.15%</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保障浑南区群众身体健康和生命安全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9.52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99.52</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网络信息安全管理专项业务经费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206.69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71.77%</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适应大数据发展，提高工作效能，打造良好营商环境。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8.17673611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执法协勤人员经费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92.94%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保障浑南区群众身体健康和生命安全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2BDC12E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855201-eb75-4119-9591-11fc1d853b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2</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2025-09-16T07:53:31Z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