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辽宁省沈阳高新技术产业开发区人民法院</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辽宁省沈阳高新技术产业开发区人民法院</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辽宁省沈阳高新技术产业开发区人民法院</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辽宁省沈阳高新技术产业开发区人民法院</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辽宁省沈阳高新技术产业开发区人民法院</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辽宁省沈阳高新技术产业开发区人民法院概况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高新区人民法院是国家审判机关，依法独立行使审判权，对人民代表大会及其常务委员会负责并报告工作。其主要职责是：</w:t>
        <w:br/>
        <w:t xml:space="preserve">    （一）审判工作：依法审判第一审刑事、民事、行政案件和上级人民法院交由审判的案件；依法按照审判监督程序审理刑事、民事、知识产权和行政再审案件，依法审理人民法院院提出抗诉的案件。刑事案件主要管辖全市公交、地铁、出租车等公共交通工具上发生的刑事案件和知识产权刑事案件；民事案件主要管辖自贸区沈阳片区全域内诉讼标的额5亿元以下的涉及合同、准合同纠纷以及与公司、证券、保险、票据等有关的民事纠纷和当事人一方住所地不在辽宁省辖区范围内诉讼标的额1亿元以下的涉及合同、准合同纠纷以及与公司、证券、保险、票据等有关的民事纠纷以及市法院指定管辖的其他案件；知识产权案件主要管辖全市标的额在100万以下的案件；行政案件主要管辖浑南区、经济开发区、沈北新区、苏家屯区、辽中区、新民市、法库县、康平县等8个基层法院原管辖的行政诉讼案件及高新区法院为赔偿义务机关的国家赔偿案件。</w:t>
        <w:br/>
        <w:t xml:space="preserve">    （二）执行工作：依法执行本院已经发生法律效力的法律文书和法律规定由本院执行的其他生效法律文书以及委托执行案件。加强执行信息平台建设，大力开展清理执行积案、反规避执行等各类专项集中执行活动。完善查控机制，健全威慑机制，建设执行联动新格局，不断提升执行公信力。</w:t>
        <w:br/>
        <w:t xml:space="preserve">    （三）便民诉讼工作：坚持依法、便民、务实、高效原则，畅通诉讼渠道，增设法官对原告的诉讼指导环节，提供便民设施。开启行政案件网上立案工作、开展巡回立案和上门送达工作，利用诉讼服务中心提供一站式服务。开展调查走访、查看现场、巡回审判工作，最大限度提供司法便利，尽量减轻当事人诉讼负担。 </w:t>
        <w:br/>
        <w:t xml:space="preserve">    （四）涉诉信访工作：创新完善涉诉信访工作机制，多措并举化解积案。加强风险评估和源头预防。制定信访稳控工作方案，做好接待、复查、终结审批、申请司法救助等各项活动。认真开展“清理信访积案”等各类专项活动。按时完成上级机关交办的信访案件，确保各时期信访稳控工作稳步推进。</w:t>
        <w:br/>
        <w:t xml:space="preserve">    （五）综合治理工作：调查研究审判工作中遇到的法律、政策及疑难问题，提出解决办法和意见。坚持为大局服务，扎实做好社会矛盾化解、社会管理创新工作，针对企事业单位规范管理、防范风险方面存在的问题及时提出司法建议，开展普法宣传和培训工作，积极参与社会治安综合治理。 </w:t>
        <w:br/>
        <w:t xml:space="preserve">    （六）院内管理工作：对本院法官和工作人员进行思想政治教育、专业培训和权限管理，协同编制主管部门做好机构和编制的组织行政管理工作，做好本院经费、物资装备管理工作和后勤保障工作。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辽宁省沈阳高新技术产业开发区人民法院</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沈阳高新技术产业开发区人民法院本级，本单位无下设机构。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1986.08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1985.43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1985.43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0.65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主要是课题费等。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减少61.03万元，降低2.98%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经费减少了，厉行节约支出减少，相应的收入也跟着减少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1985.43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1078.39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54.31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工资福利支出969.23万元；商品和服务支出108.34万元；对个人和家庭的补助0.82万元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907.05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45.69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主要包括办案费、邮寄费、网络服务费等业务支出。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减少61.03万元，降低2.98%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经费紧张，部分预算项目，未能全额拨付</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0.65</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主要是课题费还未支出等原因形成的结余。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收到上级拨付课题费</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1985.43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1078.39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907.05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减少60.53万元，降低2.96%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经费紧张，部分预算项目，未能全额拨付</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68.54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84.41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56.02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2024年度一般公共预算财政拨款支出1985.43万元。按支出功能分类科目分，包括：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1.公共安全支出1712.96万元，具体包括：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（1）公共安全支出（类）法院（款）行政运行（项）810.82万元,主要是人员工资等支出，完成年初预算的87.44%，决算数与年初预算数存在差异的主要原因是部分补助2024年未发放。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类）法院（款）一般行政管理事务（项）902.14万元,主要是办案业务费、网络服务费、邮寄费等支出，完成年初预算的82.5%，决算数与年初预算数存在差异的主要原因是经费紧张，部分预算项目，未能全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2.教育支出4.91万元，具体包括：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（1）教育支出（类）进修及培训（款）培训支出（项）4.91万元,主要是基础业务培训费等支出，完成年初预算的49.1%，决算数与年初预算数存在差异的主要原因是根据省法院培训计划参加培训，以实际支出为准。</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3.社会保障和就业支出98.96万元，具体包括：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0.82万元,主要是退休人员采暖费等支出，完成年初预算的100%，决算数与年初预算数存在差异的主要原因是完全按照预算执行，决算数与预算数实际上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93.61万元,主要是养老保险等支出，完成年初预算的93.78%，决算数与年初预算数存在差异的主要原因是养老保险以实际缴存为准。</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4.53万元,主要是职业年金等支出，完成年初预算的100%，决算数与年初预算数存在差异的主要原因是年初并未安排职业年金预算，职业年金以实际缴存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4.卫生健康支出38.94万元，具体包括：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（1）卫生健康支出（类）行政事业单位医疗（款）行政单位医疗（项）38.94万元,主要是医疗保险等支出，完成年初预算的95.53%，决算数与年初预算数存在差异的主要原因是医疗保险以实际缴存为准。</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5.住房保障支出129.67万元，具体包括：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（1）住房保障支出（类）住房改革支出（款）住房公积金（项）129.67万元,主要是住房公积金等支出，完成年初预算的61.83%，决算数与年初预算数存在差异的主要原因是年底高比例公积金未缴存。</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12.37</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50.91</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我院厉行节俭，严格控制公务车使用</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12.37</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12.37</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50.91</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我院厉行节俭，严格控制公务车使用</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比上年增加6.52万元，增长111.45%</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我院部分车辆车龄长，维修成本高</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12.37</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主要用于车辆维修，车辆加油等，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7</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1078.39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970.05</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108.34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108.34</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比上年增加21.64万元，增长24.96%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交通费用增加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7</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具体而言，本年度我部门共组织对18个项目实施了绩效评价。从预算资金来源看，涉及一般公共预算的项目18个，涉及政府性基金预算的项目0个，涉及国有资本经营预算的项目0个。</w:t>
        <w:br/>
        <w:t xml:space="preserve">    上述评价工作共涉及财政资金907.05万元。其中，一般公共预算资金907.05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2个；得分在60分（含）至80分、等级为“中”的项目有4个；得分在60分以下、等级为“差”的项目有9个。各项目自评发现，部分项目存在资金未到位的问题，如：政法大厦搬家费、辅助事务集约化外包服务、人民调解员补助等项目当年未拨款，办案费、网络服务费等项目未足额拨款，个别效益指标未能完全达成等，已要求相关项目单位分析原因并制定改进措施。</w:t>
        <w:br/>
        <w:t xml:space="preserve">    3.部门重点评价情况及结果。</w:t>
        <w:br/>
        <w:t xml:space="preserve">    我部门未涉及重点评价。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16.公共安全（类）法院（款）一般行政管理事务（项）：反映行政单位（包括实行公务员管理的事业单位）未单独设置项级科目的其他项目支出。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1,985.43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jc w:val="right"/>
            </w:pPr>
            <w:r>
              <w:rPr>
                <w:rFonts w:ascii="宋体" w:eastAsia="宋体" w:hAnsi="宋体" w:cs="宋体"/>
                <w:b w:val="0"/>
                <w:i w:val="0"/>
                <w:color w:val="000000"/>
                <w:sz w:val="16"/>
              </w:rPr>
              <w:t xml:space="preserve">1,712.95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4.91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98.96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38.94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129.67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1,985.43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1,985.43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0.65</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0.65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1,986.08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1,986.08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1,985.43</w:t>
            </w:r>
          </w:p>
        </w:tc>
        <w:tc>
          <w:tcPr>
            <w:tcW w:w="960" w:type="dxa"/>
            <w:tcBorders/>
            <w:vAlign w:val="center"/>
          </w:tcPr>
          <w:p>
            <w:pPr>
              <w:jc w:val="right"/>
            </w:pPr>
            <w:r>
              <w:rPr>
                <w:rFonts w:ascii="宋体" w:eastAsia="宋体" w:hAnsi="宋体" w:cs="宋体"/>
                <w:b/>
                <w:i w:val="0"/>
                <w:color w:val="000000"/>
                <w:sz w:val="13"/>
              </w:rPr>
              <w:t xml:space="preserve">1,985.43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w:t>
            </w:r>
          </w:p>
        </w:tc>
        <w:tc>
          <w:tcPr>
            <w:tcW w:w="3200" w:type="dxa"/>
            <w:tcBorders/>
            <w:vAlign w:val="center"/>
          </w:tcPr>
          <w:p>
            <w:pPr>
              <w:jc w:val="left"/>
            </w:pPr>
            <w:r>
              <w:rPr>
                <w:rFonts w:ascii="宋体" w:eastAsia="宋体" w:hAnsi="宋体" w:cs="宋体"/>
                <w:b w:val="0"/>
                <w:i w:val="0"/>
                <w:color w:val="000000"/>
                <w:sz w:val="13"/>
              </w:rPr>
              <w:t xml:space="preserve">公共安全支出</w:t>
            </w:r>
          </w:p>
        </w:tc>
        <w:tc>
          <w:tcPr>
            <w:tcW w:w="960" w:type="dxa"/>
            <w:tcBorders/>
            <w:vAlign w:val="center"/>
          </w:tcPr>
          <w:p>
            <w:pPr>
              <w:jc w:val="right"/>
            </w:pPr>
            <w:r>
              <w:rPr>
                <w:rFonts w:ascii="宋体" w:eastAsia="宋体" w:hAnsi="宋体" w:cs="宋体"/>
                <w:b w:val="0"/>
                <w:i w:val="0"/>
                <w:color w:val="000000"/>
                <w:sz w:val="13"/>
              </w:rPr>
              <w:t xml:space="preserve">1,712.96</w:t>
            </w:r>
          </w:p>
        </w:tc>
        <w:tc>
          <w:tcPr>
            <w:tcW w:w="960" w:type="dxa"/>
            <w:tcBorders/>
            <w:vAlign w:val="center"/>
          </w:tcPr>
          <w:p>
            <w:pPr>
              <w:jc w:val="right"/>
            </w:pPr>
            <w:r>
              <w:rPr>
                <w:rFonts w:ascii="宋体" w:eastAsia="宋体" w:hAnsi="宋体" w:cs="宋体"/>
                <w:b w:val="0"/>
                <w:i w:val="0"/>
                <w:color w:val="000000"/>
                <w:sz w:val="13"/>
              </w:rPr>
              <w:t xml:space="preserve">1,712.96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w:t>
            </w:r>
          </w:p>
        </w:tc>
        <w:tc>
          <w:tcPr>
            <w:tcW w:w="3200" w:type="dxa"/>
            <w:tcBorders/>
            <w:vAlign w:val="center"/>
          </w:tcPr>
          <w:p>
            <w:pPr>
              <w:jc w:val="left"/>
            </w:pPr>
            <w:r>
              <w:rPr>
                <w:rFonts w:ascii="宋体" w:eastAsia="宋体" w:hAnsi="宋体" w:cs="宋体"/>
                <w:b w:val="0"/>
                <w:i w:val="0"/>
                <w:color w:val="000000"/>
                <w:sz w:val="13"/>
              </w:rPr>
              <w:t xml:space="preserve">法院</w:t>
            </w:r>
          </w:p>
        </w:tc>
        <w:tc>
          <w:tcPr>
            <w:tcW w:w="960" w:type="dxa"/>
            <w:tcBorders/>
            <w:vAlign w:val="center"/>
          </w:tcPr>
          <w:p>
            <w:pPr>
              <w:jc w:val="right"/>
            </w:pPr>
            <w:r>
              <w:rPr>
                <w:rFonts w:ascii="宋体" w:eastAsia="宋体" w:hAnsi="宋体" w:cs="宋体"/>
                <w:b w:val="0"/>
                <w:i w:val="0"/>
                <w:color w:val="000000"/>
                <w:sz w:val="13"/>
              </w:rPr>
              <w:t xml:space="preserve">1,712.96</w:t>
            </w:r>
          </w:p>
        </w:tc>
        <w:tc>
          <w:tcPr>
            <w:tcW w:w="960" w:type="dxa"/>
            <w:tcBorders/>
            <w:vAlign w:val="center"/>
          </w:tcPr>
          <w:p>
            <w:pPr>
              <w:jc w:val="right"/>
            </w:pPr>
            <w:r>
              <w:rPr>
                <w:rFonts w:ascii="宋体" w:eastAsia="宋体" w:hAnsi="宋体" w:cs="宋体"/>
                <w:b w:val="0"/>
                <w:i w:val="0"/>
                <w:color w:val="000000"/>
                <w:sz w:val="13"/>
              </w:rPr>
              <w:t xml:space="preserve">1,712.96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810.82</w:t>
            </w:r>
          </w:p>
        </w:tc>
        <w:tc>
          <w:tcPr>
            <w:tcW w:w="960" w:type="dxa"/>
            <w:tcBorders/>
            <w:vAlign w:val="center"/>
          </w:tcPr>
          <w:p>
            <w:pPr>
              <w:jc w:val="right"/>
            </w:pPr>
            <w:r>
              <w:rPr>
                <w:rFonts w:ascii="宋体" w:eastAsia="宋体" w:hAnsi="宋体" w:cs="宋体"/>
                <w:b w:val="0"/>
                <w:i w:val="0"/>
                <w:color w:val="000000"/>
                <w:sz w:val="13"/>
              </w:rPr>
              <w:t xml:space="preserve">810.82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2040502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902.14</w:t>
            </w:r>
          </w:p>
        </w:tc>
        <w:tc>
          <w:tcPr>
            <w:tcW w:w="960" w:type="dxa"/>
            <w:tcBorders/>
            <w:vAlign w:val="center"/>
          </w:tcPr>
          <w:p>
            <w:pPr>
              <w:jc w:val="right"/>
            </w:pPr>
            <w:r>
              <w:rPr>
                <w:rFonts w:ascii="宋体" w:eastAsia="宋体" w:hAnsi="宋体" w:cs="宋体"/>
                <w:b w:val="0"/>
                <w:i w:val="0"/>
                <w:color w:val="000000"/>
                <w:sz w:val="13"/>
              </w:rPr>
              <w:t xml:space="preserve">902.14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jc w:val="right"/>
            </w:pPr>
            <w:r>
              <w:rPr>
                <w:rFonts w:ascii="宋体" w:eastAsia="宋体" w:hAnsi="宋体" w:cs="宋体"/>
                <w:b w:val="0"/>
                <w:i w:val="0"/>
                <w:color w:val="000000"/>
                <w:sz w:val="13"/>
              </w:rPr>
              <w:t xml:space="preserve">4.91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98.96</w:t>
            </w:r>
          </w:p>
        </w:tc>
        <w:tc>
          <w:tcPr>
            <w:tcW w:w="960" w:type="dxa"/>
            <w:tcBorders/>
            <w:vAlign w:val="center"/>
          </w:tcPr>
          <w:p>
            <w:pPr>
              <w:jc w:val="right"/>
            </w:pPr>
            <w:r>
              <w:rPr>
                <w:rFonts w:ascii="宋体" w:eastAsia="宋体" w:hAnsi="宋体" w:cs="宋体"/>
                <w:b w:val="0"/>
                <w:i w:val="0"/>
                <w:color w:val="000000"/>
                <w:sz w:val="13"/>
              </w:rPr>
              <w:t xml:space="preserve">98.96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98.96</w:t>
            </w:r>
          </w:p>
        </w:tc>
        <w:tc>
          <w:tcPr>
            <w:tcW w:w="960" w:type="dxa"/>
            <w:tcBorders/>
            <w:vAlign w:val="center"/>
          </w:tcPr>
          <w:p>
            <w:pPr>
              <w:jc w:val="right"/>
            </w:pPr>
            <w:r>
              <w:rPr>
                <w:rFonts w:ascii="宋体" w:eastAsia="宋体" w:hAnsi="宋体" w:cs="宋体"/>
                <w:b w:val="0"/>
                <w:i w:val="0"/>
                <w:color w:val="000000"/>
                <w:sz w:val="13"/>
              </w:rPr>
              <w:t xml:space="preserve">98.96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93.61</w:t>
            </w:r>
          </w:p>
        </w:tc>
        <w:tc>
          <w:tcPr>
            <w:tcW w:w="960" w:type="dxa"/>
            <w:tcBorders/>
            <w:vAlign w:val="center"/>
          </w:tcPr>
          <w:p>
            <w:pPr>
              <w:jc w:val="right"/>
            </w:pPr>
            <w:r>
              <w:rPr>
                <w:rFonts w:ascii="宋体" w:eastAsia="宋体" w:hAnsi="宋体" w:cs="宋体"/>
                <w:b w:val="0"/>
                <w:i w:val="0"/>
                <w:color w:val="000000"/>
                <w:sz w:val="13"/>
              </w:rPr>
              <w:t xml:space="preserve">93.61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4.53</w:t>
            </w:r>
          </w:p>
        </w:tc>
        <w:tc>
          <w:tcPr>
            <w:tcW w:w="960" w:type="dxa"/>
            <w:tcBorders/>
            <w:vAlign w:val="center"/>
          </w:tcPr>
          <w:p>
            <w:pPr>
              <w:jc w:val="right"/>
            </w:pPr>
            <w:r>
              <w:rPr>
                <w:rFonts w:ascii="宋体" w:eastAsia="宋体" w:hAnsi="宋体" w:cs="宋体"/>
                <w:b w:val="0"/>
                <w:i w:val="0"/>
                <w:color w:val="000000"/>
                <w:sz w:val="13"/>
              </w:rPr>
              <w:t xml:space="preserve">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38.94</w:t>
            </w:r>
          </w:p>
        </w:tc>
        <w:tc>
          <w:tcPr>
            <w:tcW w:w="960" w:type="dxa"/>
            <w:tcBorders/>
            <w:vAlign w:val="center"/>
          </w:tcPr>
          <w:p>
            <w:pPr>
              <w:jc w:val="right"/>
            </w:pPr>
            <w:r>
              <w:rPr>
                <w:rFonts w:ascii="宋体" w:eastAsia="宋体" w:hAnsi="宋体" w:cs="宋体"/>
                <w:b w:val="0"/>
                <w:i w:val="0"/>
                <w:color w:val="000000"/>
                <w:sz w:val="13"/>
              </w:rPr>
              <w:t xml:space="preserve">38.94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38.94</w:t>
            </w:r>
          </w:p>
        </w:tc>
        <w:tc>
          <w:tcPr>
            <w:tcW w:w="960" w:type="dxa"/>
            <w:tcBorders/>
            <w:vAlign w:val="center"/>
          </w:tcPr>
          <w:p>
            <w:pPr>
              <w:jc w:val="right"/>
            </w:pPr>
            <w:r>
              <w:rPr>
                <w:rFonts w:ascii="宋体" w:eastAsia="宋体" w:hAnsi="宋体" w:cs="宋体"/>
                <w:b w:val="0"/>
                <w:i w:val="0"/>
                <w:color w:val="000000"/>
                <w:sz w:val="13"/>
              </w:rPr>
              <w:t xml:space="preserve">38.94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38.94</w:t>
            </w:r>
          </w:p>
        </w:tc>
        <w:tc>
          <w:tcPr>
            <w:tcW w:w="960" w:type="dxa"/>
            <w:tcBorders/>
            <w:vAlign w:val="center"/>
          </w:tcPr>
          <w:p>
            <w:pPr>
              <w:jc w:val="right"/>
            </w:pPr>
            <w:r>
              <w:rPr>
                <w:rFonts w:ascii="宋体" w:eastAsia="宋体" w:hAnsi="宋体" w:cs="宋体"/>
                <w:b w:val="0"/>
                <w:i w:val="0"/>
                <w:color w:val="000000"/>
                <w:sz w:val="13"/>
              </w:rPr>
              <w:t xml:space="preserve">38.94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129.67</w:t>
            </w:r>
          </w:p>
        </w:tc>
        <w:tc>
          <w:tcPr>
            <w:tcW w:w="960" w:type="dxa"/>
            <w:tcBorders/>
            <w:vAlign w:val="center"/>
          </w:tcPr>
          <w:p>
            <w:pPr>
              <w:jc w:val="right"/>
            </w:pPr>
            <w:r>
              <w:rPr>
                <w:rFonts w:ascii="宋体" w:eastAsia="宋体" w:hAnsi="宋体" w:cs="宋体"/>
                <w:b w:val="0"/>
                <w:i w:val="0"/>
                <w:color w:val="000000"/>
                <w:sz w:val="13"/>
              </w:rPr>
              <w:t xml:space="preserve">129.67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129.67</w:t>
            </w:r>
          </w:p>
        </w:tc>
        <w:tc>
          <w:tcPr>
            <w:tcW w:w="960" w:type="dxa"/>
            <w:tcBorders/>
            <w:vAlign w:val="center"/>
          </w:tcPr>
          <w:p>
            <w:pPr>
              <w:jc w:val="right"/>
            </w:pPr>
            <w:r>
              <w:rPr>
                <w:rFonts w:ascii="宋体" w:eastAsia="宋体" w:hAnsi="宋体" w:cs="宋体"/>
                <w:b w:val="0"/>
                <w:i w:val="0"/>
                <w:color w:val="000000"/>
                <w:sz w:val="13"/>
              </w:rPr>
              <w:t xml:space="preserve">129.67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129.67</w:t>
            </w:r>
          </w:p>
        </w:tc>
        <w:tc>
          <w:tcPr>
            <w:tcW w:w="960" w:type="dxa"/>
            <w:tcBorders/>
            <w:vAlign w:val="center"/>
          </w:tcPr>
          <w:p>
            <w:pPr>
              <w:jc w:val="right"/>
            </w:pPr>
            <w:r>
              <w:rPr>
                <w:rFonts w:ascii="宋体" w:eastAsia="宋体" w:hAnsi="宋体" w:cs="宋体"/>
                <w:b w:val="0"/>
                <w:i w:val="0"/>
                <w:color w:val="000000"/>
                <w:sz w:val="13"/>
              </w:rPr>
              <w:t xml:space="preserve">129.67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1,985.43</w:t>
            </w:r>
          </w:p>
        </w:tc>
        <w:tc>
          <w:tcPr>
            <w:tcW w:w="1060" w:type="dxa"/>
            <w:tcBorders/>
            <w:vAlign w:val="center"/>
          </w:tcPr>
          <w:p>
            <w:pPr>
              <w:jc w:val="right"/>
            </w:pPr>
            <w:r>
              <w:rPr>
                <w:rFonts w:ascii="宋体" w:eastAsia="宋体" w:hAnsi="宋体" w:cs="宋体"/>
                <w:b/>
                <w:i w:val="0"/>
                <w:color w:val="000000"/>
                <w:sz w:val="14"/>
              </w:rPr>
              <w:t xml:space="preserve">1,078.39</w:t>
            </w:r>
          </w:p>
        </w:tc>
        <w:tc>
          <w:tcPr>
            <w:tcW w:w="1060" w:type="dxa"/>
            <w:tcBorders/>
            <w:vAlign w:val="center"/>
          </w:tcPr>
          <w:p>
            <w:pPr>
              <w:jc w:val="right"/>
            </w:pPr>
            <w:r>
              <w:rPr>
                <w:rFonts w:ascii="宋体" w:eastAsia="宋体" w:hAnsi="宋体" w:cs="宋体"/>
                <w:b/>
                <w:i w:val="0"/>
                <w:color w:val="000000"/>
                <w:sz w:val="14"/>
              </w:rPr>
              <w:t xml:space="preserve">907.05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w:t>
            </w:r>
          </w:p>
        </w:tc>
        <w:tc>
          <w:tcPr>
            <w:tcW w:w="3440" w:type="dxa"/>
            <w:tcBorders/>
            <w:vAlign w:val="center"/>
          </w:tcPr>
          <w:p>
            <w:pPr>
              <w:jc w:val="left"/>
            </w:pPr>
            <w:r>
              <w:rPr>
                <w:rFonts w:ascii="宋体" w:eastAsia="宋体" w:hAnsi="宋体" w:cs="宋体"/>
                <w:b w:val="0"/>
                <w:i w:val="0"/>
                <w:color w:val="000000"/>
                <w:sz w:val="14"/>
              </w:rPr>
              <w:t xml:space="preserve">公共安全支出</w:t>
            </w:r>
          </w:p>
        </w:tc>
        <w:tc>
          <w:tcPr>
            <w:tcW w:w="1060" w:type="dxa"/>
            <w:tcBorders/>
            <w:vAlign w:val="center"/>
          </w:tcPr>
          <w:p>
            <w:pPr>
              <w:jc w:val="right"/>
            </w:pPr>
            <w:r>
              <w:rPr>
                <w:rFonts w:ascii="宋体" w:eastAsia="宋体" w:hAnsi="宋体" w:cs="宋体"/>
                <w:b w:val="0"/>
                <w:i w:val="0"/>
                <w:color w:val="000000"/>
                <w:sz w:val="14"/>
              </w:rPr>
              <w:t xml:space="preserve">1,712.96</w:t>
            </w:r>
          </w:p>
        </w:tc>
        <w:tc>
          <w:tcPr>
            <w:tcW w:w="1060" w:type="dxa"/>
            <w:tcBorders/>
            <w:vAlign w:val="center"/>
          </w:tcPr>
          <w:p>
            <w:pPr>
              <w:jc w:val="right"/>
            </w:pPr>
            <w:r>
              <w:rPr>
                <w:rFonts w:ascii="宋体" w:eastAsia="宋体" w:hAnsi="宋体" w:cs="宋体"/>
                <w:b w:val="0"/>
                <w:i w:val="0"/>
                <w:color w:val="000000"/>
                <w:sz w:val="14"/>
              </w:rPr>
              <w:t xml:space="preserve">810.82</w:t>
            </w:r>
          </w:p>
        </w:tc>
        <w:tc>
          <w:tcPr>
            <w:tcW w:w="1060" w:type="dxa"/>
            <w:tcBorders/>
            <w:vAlign w:val="center"/>
          </w:tcPr>
          <w:p>
            <w:pPr>
              <w:jc w:val="right"/>
            </w:pPr>
            <w:r>
              <w:rPr>
                <w:rFonts w:ascii="宋体" w:eastAsia="宋体" w:hAnsi="宋体" w:cs="宋体"/>
                <w:b w:val="0"/>
                <w:i w:val="0"/>
                <w:color w:val="000000"/>
                <w:sz w:val="14"/>
              </w:rPr>
              <w:t xml:space="preserve">902.14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w:t>
            </w:r>
          </w:p>
        </w:tc>
        <w:tc>
          <w:tcPr>
            <w:tcW w:w="3440" w:type="dxa"/>
            <w:tcBorders/>
            <w:vAlign w:val="center"/>
          </w:tcPr>
          <w:p>
            <w:pPr>
              <w:jc w:val="left"/>
            </w:pPr>
            <w:r>
              <w:rPr>
                <w:rFonts w:ascii="宋体" w:eastAsia="宋体" w:hAnsi="宋体" w:cs="宋体"/>
                <w:b w:val="0"/>
                <w:i w:val="0"/>
                <w:color w:val="000000"/>
                <w:sz w:val="14"/>
              </w:rPr>
              <w:t xml:space="preserve">法院</w:t>
            </w:r>
          </w:p>
        </w:tc>
        <w:tc>
          <w:tcPr>
            <w:tcW w:w="1060" w:type="dxa"/>
            <w:tcBorders/>
            <w:vAlign w:val="center"/>
          </w:tcPr>
          <w:p>
            <w:pPr>
              <w:jc w:val="right"/>
            </w:pPr>
            <w:r>
              <w:rPr>
                <w:rFonts w:ascii="宋体" w:eastAsia="宋体" w:hAnsi="宋体" w:cs="宋体"/>
                <w:b w:val="0"/>
                <w:i w:val="0"/>
                <w:color w:val="000000"/>
                <w:sz w:val="14"/>
              </w:rPr>
              <w:t xml:space="preserve">1,712.96</w:t>
            </w:r>
          </w:p>
        </w:tc>
        <w:tc>
          <w:tcPr>
            <w:tcW w:w="1060" w:type="dxa"/>
            <w:tcBorders/>
            <w:vAlign w:val="center"/>
          </w:tcPr>
          <w:p>
            <w:pPr>
              <w:jc w:val="right"/>
            </w:pPr>
            <w:r>
              <w:rPr>
                <w:rFonts w:ascii="宋体" w:eastAsia="宋体" w:hAnsi="宋体" w:cs="宋体"/>
                <w:b w:val="0"/>
                <w:i w:val="0"/>
                <w:color w:val="000000"/>
                <w:sz w:val="14"/>
              </w:rPr>
              <w:t xml:space="preserve">810.82</w:t>
            </w:r>
          </w:p>
        </w:tc>
        <w:tc>
          <w:tcPr>
            <w:tcW w:w="1060" w:type="dxa"/>
            <w:tcBorders/>
            <w:vAlign w:val="center"/>
          </w:tcPr>
          <w:p>
            <w:pPr>
              <w:jc w:val="right"/>
            </w:pPr>
            <w:r>
              <w:rPr>
                <w:rFonts w:ascii="宋体" w:eastAsia="宋体" w:hAnsi="宋体" w:cs="宋体"/>
                <w:b w:val="0"/>
                <w:i w:val="0"/>
                <w:color w:val="000000"/>
                <w:sz w:val="14"/>
              </w:rPr>
              <w:t xml:space="preserve">902.14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810.82</w:t>
            </w:r>
          </w:p>
        </w:tc>
        <w:tc>
          <w:tcPr>
            <w:tcW w:w="1060" w:type="dxa"/>
            <w:tcBorders/>
            <w:vAlign w:val="center"/>
          </w:tcPr>
          <w:p>
            <w:pPr>
              <w:jc w:val="right"/>
            </w:pPr>
            <w:r>
              <w:rPr>
                <w:rFonts w:ascii="宋体" w:eastAsia="宋体" w:hAnsi="宋体" w:cs="宋体"/>
                <w:b w:val="0"/>
                <w:i w:val="0"/>
                <w:color w:val="000000"/>
                <w:sz w:val="14"/>
              </w:rPr>
              <w:t xml:space="preserve">810.82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2040502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902.14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902.14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98.96</w:t>
            </w:r>
          </w:p>
        </w:tc>
        <w:tc>
          <w:tcPr>
            <w:tcW w:w="1060" w:type="dxa"/>
            <w:tcBorders/>
            <w:vAlign w:val="center"/>
          </w:tcPr>
          <w:p>
            <w:pPr>
              <w:jc w:val="right"/>
            </w:pPr>
            <w:r>
              <w:rPr>
                <w:rFonts w:ascii="宋体" w:eastAsia="宋体" w:hAnsi="宋体" w:cs="宋体"/>
                <w:b w:val="0"/>
                <w:i w:val="0"/>
                <w:color w:val="000000"/>
                <w:sz w:val="14"/>
              </w:rPr>
              <w:t xml:space="preserve">98.96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98.96</w:t>
            </w:r>
          </w:p>
        </w:tc>
        <w:tc>
          <w:tcPr>
            <w:tcW w:w="1060" w:type="dxa"/>
            <w:tcBorders/>
            <w:vAlign w:val="center"/>
          </w:tcPr>
          <w:p>
            <w:pPr>
              <w:jc w:val="right"/>
            </w:pPr>
            <w:r>
              <w:rPr>
                <w:rFonts w:ascii="宋体" w:eastAsia="宋体" w:hAnsi="宋体" w:cs="宋体"/>
                <w:b w:val="0"/>
                <w:i w:val="0"/>
                <w:color w:val="000000"/>
                <w:sz w:val="14"/>
              </w:rPr>
              <w:t xml:space="preserve">98.96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93.61</w:t>
            </w:r>
          </w:p>
        </w:tc>
        <w:tc>
          <w:tcPr>
            <w:tcW w:w="1060" w:type="dxa"/>
            <w:tcBorders/>
            <w:vAlign w:val="center"/>
          </w:tcPr>
          <w:p>
            <w:pPr>
              <w:jc w:val="right"/>
            </w:pPr>
            <w:r>
              <w:rPr>
                <w:rFonts w:ascii="宋体" w:eastAsia="宋体" w:hAnsi="宋体" w:cs="宋体"/>
                <w:b w:val="0"/>
                <w:i w:val="0"/>
                <w:color w:val="000000"/>
                <w:sz w:val="14"/>
              </w:rPr>
              <w:t xml:space="preserve">93.61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4.53</w:t>
            </w:r>
          </w:p>
        </w:tc>
        <w:tc>
          <w:tcPr>
            <w:tcW w:w="1060" w:type="dxa"/>
            <w:tcBorders/>
            <w:vAlign w:val="center"/>
          </w:tcPr>
          <w:p>
            <w:pPr>
              <w:jc w:val="right"/>
            </w:pPr>
            <w:r>
              <w:rPr>
                <w:rFonts w:ascii="宋体" w:eastAsia="宋体" w:hAnsi="宋体" w:cs="宋体"/>
                <w:b w:val="0"/>
                <w:i w:val="0"/>
                <w:color w:val="000000"/>
                <w:sz w:val="14"/>
              </w:rPr>
              <w:t xml:space="preserve">4.53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38.94</w:t>
            </w:r>
          </w:p>
        </w:tc>
        <w:tc>
          <w:tcPr>
            <w:tcW w:w="1060" w:type="dxa"/>
            <w:tcBorders/>
            <w:vAlign w:val="center"/>
          </w:tcPr>
          <w:p>
            <w:pPr>
              <w:jc w:val="right"/>
            </w:pPr>
            <w:r>
              <w:rPr>
                <w:rFonts w:ascii="宋体" w:eastAsia="宋体" w:hAnsi="宋体" w:cs="宋体"/>
                <w:b w:val="0"/>
                <w:i w:val="0"/>
                <w:color w:val="000000"/>
                <w:sz w:val="14"/>
              </w:rPr>
              <w:t xml:space="preserve">38.94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38.94</w:t>
            </w:r>
          </w:p>
        </w:tc>
        <w:tc>
          <w:tcPr>
            <w:tcW w:w="1060" w:type="dxa"/>
            <w:tcBorders/>
            <w:vAlign w:val="center"/>
          </w:tcPr>
          <w:p>
            <w:pPr>
              <w:jc w:val="right"/>
            </w:pPr>
            <w:r>
              <w:rPr>
                <w:rFonts w:ascii="宋体" w:eastAsia="宋体" w:hAnsi="宋体" w:cs="宋体"/>
                <w:b w:val="0"/>
                <w:i w:val="0"/>
                <w:color w:val="000000"/>
                <w:sz w:val="14"/>
              </w:rPr>
              <w:t xml:space="preserve">38.94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38.94</w:t>
            </w:r>
          </w:p>
        </w:tc>
        <w:tc>
          <w:tcPr>
            <w:tcW w:w="1060" w:type="dxa"/>
            <w:tcBorders/>
            <w:vAlign w:val="center"/>
          </w:tcPr>
          <w:p>
            <w:pPr>
              <w:jc w:val="right"/>
            </w:pPr>
            <w:r>
              <w:rPr>
                <w:rFonts w:ascii="宋体" w:eastAsia="宋体" w:hAnsi="宋体" w:cs="宋体"/>
                <w:b w:val="0"/>
                <w:i w:val="0"/>
                <w:color w:val="000000"/>
                <w:sz w:val="14"/>
              </w:rPr>
              <w:t xml:space="preserve">38.94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129.67</w:t>
            </w:r>
          </w:p>
        </w:tc>
        <w:tc>
          <w:tcPr>
            <w:tcW w:w="1060" w:type="dxa"/>
            <w:tcBorders/>
            <w:vAlign w:val="center"/>
          </w:tcPr>
          <w:p>
            <w:pPr>
              <w:jc w:val="right"/>
            </w:pPr>
            <w:r>
              <w:rPr>
                <w:rFonts w:ascii="宋体" w:eastAsia="宋体" w:hAnsi="宋体" w:cs="宋体"/>
                <w:b w:val="0"/>
                <w:i w:val="0"/>
                <w:color w:val="000000"/>
                <w:sz w:val="14"/>
              </w:rPr>
              <w:t xml:space="preserve">129.67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129.67</w:t>
            </w:r>
          </w:p>
        </w:tc>
        <w:tc>
          <w:tcPr>
            <w:tcW w:w="1060" w:type="dxa"/>
            <w:tcBorders/>
            <w:vAlign w:val="center"/>
          </w:tcPr>
          <w:p>
            <w:pPr>
              <w:jc w:val="right"/>
            </w:pPr>
            <w:r>
              <w:rPr>
                <w:rFonts w:ascii="宋体" w:eastAsia="宋体" w:hAnsi="宋体" w:cs="宋体"/>
                <w:b w:val="0"/>
                <w:i w:val="0"/>
                <w:color w:val="000000"/>
                <w:sz w:val="14"/>
              </w:rPr>
              <w:t xml:space="preserve">129.67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129.67</w:t>
            </w:r>
          </w:p>
        </w:tc>
        <w:tc>
          <w:tcPr>
            <w:tcW w:w="1060" w:type="dxa"/>
            <w:tcBorders/>
            <w:vAlign w:val="center"/>
          </w:tcPr>
          <w:p>
            <w:pPr>
              <w:jc w:val="right"/>
            </w:pPr>
            <w:r>
              <w:rPr>
                <w:rFonts w:ascii="宋体" w:eastAsia="宋体" w:hAnsi="宋体" w:cs="宋体"/>
                <w:b w:val="0"/>
                <w:i w:val="0"/>
                <w:color w:val="000000"/>
                <w:sz w:val="14"/>
              </w:rPr>
              <w:t xml:space="preserve">129.67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1,985.43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jc w:val="right"/>
            </w:pPr>
            <w:r>
              <w:rPr>
                <w:rFonts w:ascii="宋体" w:eastAsia="宋体" w:hAnsi="宋体" w:cs="宋体"/>
                <w:b w:val="0"/>
                <w:i w:val="0"/>
                <w:color w:val="000000"/>
                <w:sz w:val="14"/>
              </w:rPr>
              <w:t xml:space="preserve">1,712.95</w:t>
            </w:r>
          </w:p>
        </w:tc>
        <w:tc>
          <w:tcPr>
            <w:tcW w:w="1100" w:type="dxa"/>
            <w:tcBorders/>
            <w:vAlign w:val="center"/>
          </w:tcPr>
          <w:p>
            <w:pPr>
              <w:jc w:val="right"/>
            </w:pPr>
            <w:r>
              <w:rPr>
                <w:rFonts w:ascii="宋体" w:eastAsia="宋体" w:hAnsi="宋体" w:cs="宋体"/>
                <w:b w:val="0"/>
                <w:i w:val="0"/>
                <w:color w:val="000000"/>
                <w:sz w:val="14"/>
              </w:rPr>
              <w:t xml:space="preserve">1,712.95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4.91</w:t>
            </w:r>
          </w:p>
        </w:tc>
        <w:tc>
          <w:tcPr>
            <w:tcW w:w="1100" w:type="dxa"/>
            <w:tcBorders/>
            <w:vAlign w:val="center"/>
          </w:tcPr>
          <w:p>
            <w:pPr>
              <w:jc w:val="right"/>
            </w:pPr>
            <w:r>
              <w:rPr>
                <w:rFonts w:ascii="宋体" w:eastAsia="宋体" w:hAnsi="宋体" w:cs="宋体"/>
                <w:b w:val="0"/>
                <w:i w:val="0"/>
                <w:color w:val="000000"/>
                <w:sz w:val="14"/>
              </w:rPr>
              <w:t xml:space="preserve">4.91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98.96</w:t>
            </w:r>
          </w:p>
        </w:tc>
        <w:tc>
          <w:tcPr>
            <w:tcW w:w="1100" w:type="dxa"/>
            <w:tcBorders/>
            <w:vAlign w:val="center"/>
          </w:tcPr>
          <w:p>
            <w:pPr>
              <w:jc w:val="right"/>
            </w:pPr>
            <w:r>
              <w:rPr>
                <w:rFonts w:ascii="宋体" w:eastAsia="宋体" w:hAnsi="宋体" w:cs="宋体"/>
                <w:b w:val="0"/>
                <w:i w:val="0"/>
                <w:color w:val="000000"/>
                <w:sz w:val="14"/>
              </w:rPr>
              <w:t xml:space="preserve">98.96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38.94</w:t>
            </w:r>
          </w:p>
        </w:tc>
        <w:tc>
          <w:tcPr>
            <w:tcW w:w="1100" w:type="dxa"/>
            <w:tcBorders/>
            <w:vAlign w:val="center"/>
          </w:tcPr>
          <w:p>
            <w:pPr>
              <w:jc w:val="right"/>
            </w:pPr>
            <w:r>
              <w:rPr>
                <w:rFonts w:ascii="宋体" w:eastAsia="宋体" w:hAnsi="宋体" w:cs="宋体"/>
                <w:b w:val="0"/>
                <w:i w:val="0"/>
                <w:color w:val="000000"/>
                <w:sz w:val="14"/>
              </w:rPr>
              <w:t xml:space="preserve">38.94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129.67</w:t>
            </w:r>
          </w:p>
        </w:tc>
        <w:tc>
          <w:tcPr>
            <w:tcW w:w="1100" w:type="dxa"/>
            <w:tcBorders/>
            <w:vAlign w:val="center"/>
          </w:tcPr>
          <w:p>
            <w:pPr>
              <w:jc w:val="right"/>
            </w:pPr>
            <w:r>
              <w:rPr>
                <w:rFonts w:ascii="宋体" w:eastAsia="宋体" w:hAnsi="宋体" w:cs="宋体"/>
                <w:b w:val="0"/>
                <w:i w:val="0"/>
                <w:color w:val="000000"/>
                <w:sz w:val="14"/>
              </w:rPr>
              <w:t xml:space="preserve">129.67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1,985.43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1,985.43</w:t>
            </w:r>
          </w:p>
        </w:tc>
        <w:tc>
          <w:tcPr>
            <w:tcW w:w="1100" w:type="dxa"/>
            <w:tcBorders/>
            <w:vAlign w:val="center"/>
          </w:tcPr>
          <w:p>
            <w:pPr>
              <w:jc w:val="right"/>
            </w:pPr>
            <w:r>
              <w:rPr>
                <w:rFonts w:ascii="宋体" w:eastAsia="宋体" w:hAnsi="宋体" w:cs="宋体"/>
                <w:b w:val="0"/>
                <w:i w:val="0"/>
                <w:color w:val="000000"/>
                <w:sz w:val="14"/>
              </w:rPr>
              <w:t xml:space="preserve">1,985.43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1,985.43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1,985.43</w:t>
            </w:r>
          </w:p>
        </w:tc>
        <w:tc>
          <w:tcPr>
            <w:tcW w:w="1100" w:type="dxa"/>
            <w:tcBorders/>
            <w:vAlign w:val="center"/>
          </w:tcPr>
          <w:p>
            <w:pPr>
              <w:jc w:val="right"/>
            </w:pPr>
            <w:r>
              <w:rPr>
                <w:rFonts w:ascii="宋体" w:eastAsia="宋体" w:hAnsi="宋体" w:cs="宋体"/>
                <w:b w:val="0"/>
                <w:i w:val="0"/>
                <w:color w:val="000000"/>
                <w:sz w:val="14"/>
              </w:rPr>
              <w:t xml:space="preserve">1,985.43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1,985.43</w:t>
            </w:r>
          </w:p>
        </w:tc>
        <w:tc>
          <w:tcPr>
            <w:tcW w:w="1780" w:type="dxa"/>
            <w:tcBorders/>
            <w:vAlign w:val="center"/>
          </w:tcPr>
          <w:p>
            <w:pPr>
              <w:jc w:val="right"/>
            </w:pPr>
            <w:r>
              <w:rPr>
                <w:rFonts w:ascii="宋体" w:eastAsia="宋体" w:hAnsi="宋体" w:cs="宋体"/>
                <w:b/>
                <w:i w:val="0"/>
                <w:color w:val="000000"/>
                <w:sz w:val="18"/>
              </w:rPr>
              <w:t xml:space="preserve">1,078.39</w:t>
            </w:r>
          </w:p>
        </w:tc>
        <w:tc>
          <w:tcPr>
            <w:tcW w:w="1772" w:type="dxa"/>
            <w:tcBorders/>
            <w:vAlign w:val="center"/>
          </w:tcPr>
          <w:p>
            <w:pPr>
              <w:jc w:val="right"/>
            </w:pPr>
            <w:r>
              <w:rPr>
                <w:rFonts w:ascii="宋体" w:eastAsia="宋体" w:hAnsi="宋体" w:cs="宋体"/>
                <w:b/>
                <w:i w:val="0"/>
                <w:color w:val="000000"/>
                <w:sz w:val="18"/>
              </w:rPr>
              <w:t xml:space="preserve">907.05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w:t>
            </w:r>
          </w:p>
        </w:tc>
        <w:tc>
          <w:tcPr>
            <w:tcW w:w="4300" w:type="dxa"/>
            <w:tcBorders/>
            <w:vAlign w:val="center"/>
          </w:tcPr>
          <w:p>
            <w:pPr>
              <w:jc w:val="left"/>
            </w:pPr>
            <w:r>
              <w:rPr>
                <w:rFonts w:ascii="宋体" w:eastAsia="宋体" w:hAnsi="宋体" w:cs="宋体"/>
                <w:b w:val="0"/>
                <w:i w:val="0"/>
                <w:color w:val="000000"/>
                <w:sz w:val="18"/>
              </w:rPr>
              <w:t xml:space="preserve">公共安全支出</w:t>
            </w:r>
          </w:p>
        </w:tc>
        <w:tc>
          <w:tcPr>
            <w:tcW w:w="1780" w:type="dxa"/>
            <w:tcBorders/>
            <w:vAlign w:val="center"/>
          </w:tcPr>
          <w:p>
            <w:pPr>
              <w:jc w:val="right"/>
            </w:pPr>
            <w:r>
              <w:rPr>
                <w:rFonts w:ascii="宋体" w:eastAsia="宋体" w:hAnsi="宋体" w:cs="宋体"/>
                <w:b w:val="0"/>
                <w:i w:val="0"/>
                <w:color w:val="000000"/>
                <w:sz w:val="18"/>
              </w:rPr>
              <w:t xml:space="preserve">1,712.96</w:t>
            </w:r>
          </w:p>
        </w:tc>
        <w:tc>
          <w:tcPr>
            <w:tcW w:w="1780" w:type="dxa"/>
            <w:tcBorders/>
            <w:vAlign w:val="center"/>
          </w:tcPr>
          <w:p>
            <w:pPr>
              <w:jc w:val="right"/>
            </w:pPr>
            <w:r>
              <w:rPr>
                <w:rFonts w:ascii="宋体" w:eastAsia="宋体" w:hAnsi="宋体" w:cs="宋体"/>
                <w:b w:val="0"/>
                <w:i w:val="0"/>
                <w:color w:val="000000"/>
                <w:sz w:val="18"/>
              </w:rPr>
              <w:t xml:space="preserve">810.82</w:t>
            </w:r>
          </w:p>
        </w:tc>
        <w:tc>
          <w:tcPr>
            <w:tcW w:w="1772" w:type="dxa"/>
            <w:tcBorders/>
            <w:vAlign w:val="center"/>
          </w:tcPr>
          <w:p>
            <w:pPr>
              <w:jc w:val="right"/>
            </w:pPr>
            <w:r>
              <w:rPr>
                <w:rFonts w:ascii="宋体" w:eastAsia="宋体" w:hAnsi="宋体" w:cs="宋体"/>
                <w:b w:val="0"/>
                <w:i w:val="0"/>
                <w:color w:val="000000"/>
                <w:sz w:val="18"/>
              </w:rPr>
              <w:t xml:space="preserve">902.14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w:t>
            </w:r>
          </w:p>
        </w:tc>
        <w:tc>
          <w:tcPr>
            <w:tcW w:w="4300" w:type="dxa"/>
            <w:tcBorders/>
            <w:vAlign w:val="center"/>
          </w:tcPr>
          <w:p>
            <w:pPr>
              <w:jc w:val="left"/>
            </w:pPr>
            <w:r>
              <w:rPr>
                <w:rFonts w:ascii="宋体" w:eastAsia="宋体" w:hAnsi="宋体" w:cs="宋体"/>
                <w:b w:val="0"/>
                <w:i w:val="0"/>
                <w:color w:val="000000"/>
                <w:sz w:val="18"/>
              </w:rPr>
              <w:t xml:space="preserve">法院</w:t>
            </w:r>
          </w:p>
        </w:tc>
        <w:tc>
          <w:tcPr>
            <w:tcW w:w="1780" w:type="dxa"/>
            <w:tcBorders/>
            <w:vAlign w:val="center"/>
          </w:tcPr>
          <w:p>
            <w:pPr>
              <w:jc w:val="right"/>
            </w:pPr>
            <w:r>
              <w:rPr>
                <w:rFonts w:ascii="宋体" w:eastAsia="宋体" w:hAnsi="宋体" w:cs="宋体"/>
                <w:b w:val="0"/>
                <w:i w:val="0"/>
                <w:color w:val="000000"/>
                <w:sz w:val="18"/>
              </w:rPr>
              <w:t xml:space="preserve">1,712.96</w:t>
            </w:r>
          </w:p>
        </w:tc>
        <w:tc>
          <w:tcPr>
            <w:tcW w:w="1780" w:type="dxa"/>
            <w:tcBorders/>
            <w:vAlign w:val="center"/>
          </w:tcPr>
          <w:p>
            <w:pPr>
              <w:jc w:val="right"/>
            </w:pPr>
            <w:r>
              <w:rPr>
                <w:rFonts w:ascii="宋体" w:eastAsia="宋体" w:hAnsi="宋体" w:cs="宋体"/>
                <w:b w:val="0"/>
                <w:i w:val="0"/>
                <w:color w:val="000000"/>
                <w:sz w:val="18"/>
              </w:rPr>
              <w:t xml:space="preserve">810.82</w:t>
            </w:r>
          </w:p>
        </w:tc>
        <w:tc>
          <w:tcPr>
            <w:tcW w:w="1772" w:type="dxa"/>
            <w:tcBorders/>
            <w:vAlign w:val="center"/>
          </w:tcPr>
          <w:p>
            <w:pPr>
              <w:jc w:val="right"/>
            </w:pPr>
            <w:r>
              <w:rPr>
                <w:rFonts w:ascii="宋体" w:eastAsia="宋体" w:hAnsi="宋体" w:cs="宋体"/>
                <w:b w:val="0"/>
                <w:i w:val="0"/>
                <w:color w:val="000000"/>
                <w:sz w:val="18"/>
              </w:rPr>
              <w:t xml:space="preserve">902.14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810.82</w:t>
            </w:r>
          </w:p>
        </w:tc>
        <w:tc>
          <w:tcPr>
            <w:tcW w:w="1780" w:type="dxa"/>
            <w:tcBorders/>
            <w:vAlign w:val="center"/>
          </w:tcPr>
          <w:p>
            <w:pPr>
              <w:jc w:val="right"/>
            </w:pPr>
            <w:r>
              <w:rPr>
                <w:rFonts w:ascii="宋体" w:eastAsia="宋体" w:hAnsi="宋体" w:cs="宋体"/>
                <w:b w:val="0"/>
                <w:i w:val="0"/>
                <w:color w:val="000000"/>
                <w:sz w:val="18"/>
              </w:rPr>
              <w:t xml:space="preserve">810.82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2040502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902.14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902.14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4.91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4.91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4.91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98.96</w:t>
            </w:r>
          </w:p>
        </w:tc>
        <w:tc>
          <w:tcPr>
            <w:tcW w:w="1780" w:type="dxa"/>
            <w:tcBorders/>
            <w:vAlign w:val="center"/>
          </w:tcPr>
          <w:p>
            <w:pPr>
              <w:jc w:val="right"/>
            </w:pPr>
            <w:r>
              <w:rPr>
                <w:rFonts w:ascii="宋体" w:eastAsia="宋体" w:hAnsi="宋体" w:cs="宋体"/>
                <w:b w:val="0"/>
                <w:i w:val="0"/>
                <w:color w:val="000000"/>
                <w:sz w:val="18"/>
              </w:rPr>
              <w:t xml:space="preserve">98.96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98.96</w:t>
            </w:r>
          </w:p>
        </w:tc>
        <w:tc>
          <w:tcPr>
            <w:tcW w:w="1780" w:type="dxa"/>
            <w:tcBorders/>
            <w:vAlign w:val="center"/>
          </w:tcPr>
          <w:p>
            <w:pPr>
              <w:jc w:val="right"/>
            </w:pPr>
            <w:r>
              <w:rPr>
                <w:rFonts w:ascii="宋体" w:eastAsia="宋体" w:hAnsi="宋体" w:cs="宋体"/>
                <w:b w:val="0"/>
                <w:i w:val="0"/>
                <w:color w:val="000000"/>
                <w:sz w:val="18"/>
              </w:rPr>
              <w:t xml:space="preserve">98.96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93.61</w:t>
            </w:r>
          </w:p>
        </w:tc>
        <w:tc>
          <w:tcPr>
            <w:tcW w:w="1780" w:type="dxa"/>
            <w:tcBorders/>
            <w:vAlign w:val="center"/>
          </w:tcPr>
          <w:p>
            <w:pPr>
              <w:jc w:val="right"/>
            </w:pPr>
            <w:r>
              <w:rPr>
                <w:rFonts w:ascii="宋体" w:eastAsia="宋体" w:hAnsi="宋体" w:cs="宋体"/>
                <w:b w:val="0"/>
                <w:i w:val="0"/>
                <w:color w:val="000000"/>
                <w:sz w:val="18"/>
              </w:rPr>
              <w:t xml:space="preserve">93.61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4.53</w:t>
            </w:r>
          </w:p>
        </w:tc>
        <w:tc>
          <w:tcPr>
            <w:tcW w:w="1780" w:type="dxa"/>
            <w:tcBorders/>
            <w:vAlign w:val="center"/>
          </w:tcPr>
          <w:p>
            <w:pPr>
              <w:jc w:val="right"/>
            </w:pPr>
            <w:r>
              <w:rPr>
                <w:rFonts w:ascii="宋体" w:eastAsia="宋体" w:hAnsi="宋体" w:cs="宋体"/>
                <w:b w:val="0"/>
                <w:i w:val="0"/>
                <w:color w:val="000000"/>
                <w:sz w:val="18"/>
              </w:rPr>
              <w:t xml:space="preserve">4.53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38.94</w:t>
            </w:r>
          </w:p>
        </w:tc>
        <w:tc>
          <w:tcPr>
            <w:tcW w:w="1780" w:type="dxa"/>
            <w:tcBorders/>
            <w:vAlign w:val="center"/>
          </w:tcPr>
          <w:p>
            <w:pPr>
              <w:jc w:val="right"/>
            </w:pPr>
            <w:r>
              <w:rPr>
                <w:rFonts w:ascii="宋体" w:eastAsia="宋体" w:hAnsi="宋体" w:cs="宋体"/>
                <w:b w:val="0"/>
                <w:i w:val="0"/>
                <w:color w:val="000000"/>
                <w:sz w:val="18"/>
              </w:rPr>
              <w:t xml:space="preserve">38.94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38.94</w:t>
            </w:r>
          </w:p>
        </w:tc>
        <w:tc>
          <w:tcPr>
            <w:tcW w:w="1780" w:type="dxa"/>
            <w:tcBorders/>
            <w:vAlign w:val="center"/>
          </w:tcPr>
          <w:p>
            <w:pPr>
              <w:jc w:val="right"/>
            </w:pPr>
            <w:r>
              <w:rPr>
                <w:rFonts w:ascii="宋体" w:eastAsia="宋体" w:hAnsi="宋体" w:cs="宋体"/>
                <w:b w:val="0"/>
                <w:i w:val="0"/>
                <w:color w:val="000000"/>
                <w:sz w:val="18"/>
              </w:rPr>
              <w:t xml:space="preserve">38.94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38.94</w:t>
            </w:r>
          </w:p>
        </w:tc>
        <w:tc>
          <w:tcPr>
            <w:tcW w:w="1780" w:type="dxa"/>
            <w:tcBorders/>
            <w:vAlign w:val="center"/>
          </w:tcPr>
          <w:p>
            <w:pPr>
              <w:jc w:val="right"/>
            </w:pPr>
            <w:r>
              <w:rPr>
                <w:rFonts w:ascii="宋体" w:eastAsia="宋体" w:hAnsi="宋体" w:cs="宋体"/>
                <w:b w:val="0"/>
                <w:i w:val="0"/>
                <w:color w:val="000000"/>
                <w:sz w:val="18"/>
              </w:rPr>
              <w:t xml:space="preserve">38.94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129.67</w:t>
            </w:r>
          </w:p>
        </w:tc>
        <w:tc>
          <w:tcPr>
            <w:tcW w:w="1780" w:type="dxa"/>
            <w:tcBorders/>
            <w:vAlign w:val="center"/>
          </w:tcPr>
          <w:p>
            <w:pPr>
              <w:jc w:val="right"/>
            </w:pPr>
            <w:r>
              <w:rPr>
                <w:rFonts w:ascii="宋体" w:eastAsia="宋体" w:hAnsi="宋体" w:cs="宋体"/>
                <w:b w:val="0"/>
                <w:i w:val="0"/>
                <w:color w:val="000000"/>
                <w:sz w:val="18"/>
              </w:rPr>
              <w:t xml:space="preserve">129.67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129.67</w:t>
            </w:r>
          </w:p>
        </w:tc>
        <w:tc>
          <w:tcPr>
            <w:tcW w:w="1780" w:type="dxa"/>
            <w:tcBorders/>
            <w:vAlign w:val="center"/>
          </w:tcPr>
          <w:p>
            <w:pPr>
              <w:jc w:val="right"/>
            </w:pPr>
            <w:r>
              <w:rPr>
                <w:rFonts w:ascii="宋体" w:eastAsia="宋体" w:hAnsi="宋体" w:cs="宋体"/>
                <w:b w:val="0"/>
                <w:i w:val="0"/>
                <w:color w:val="000000"/>
                <w:sz w:val="18"/>
              </w:rPr>
              <w:t xml:space="preserve">129.67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129.67</w:t>
            </w:r>
          </w:p>
        </w:tc>
        <w:tc>
          <w:tcPr>
            <w:tcW w:w="1780" w:type="dxa"/>
            <w:tcBorders/>
            <w:vAlign w:val="center"/>
          </w:tcPr>
          <w:p>
            <w:pPr>
              <w:jc w:val="right"/>
            </w:pPr>
            <w:r>
              <w:rPr>
                <w:rFonts w:ascii="宋体" w:eastAsia="宋体" w:hAnsi="宋体" w:cs="宋体"/>
                <w:b w:val="0"/>
                <w:i w:val="0"/>
                <w:color w:val="000000"/>
                <w:sz w:val="18"/>
              </w:rPr>
              <w:t xml:space="preserve">129.67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969.23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108.34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256.55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11.13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217.76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205.39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20.44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93.61</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4.53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28.57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38.94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2.34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2.60</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129.67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2.83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5.08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12.37</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45.76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970.05</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108.34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24.30</w:t>
            </w:r>
          </w:p>
        </w:tc>
        <w:tc>
          <w:tcPr>
            <w:tcW w:w="3092" w:type="dxa"/>
            <w:vAlign w:val="center"/>
          </w:tcPr>
          <w:p>
            <w:pPr>
              <w:jc w:val="right"/>
            </w:pPr>
            <w:r>
              <w:rPr>
                <w:rFonts w:ascii="宋体" w:eastAsia="宋体" w:hAnsi="宋体" w:cs="宋体"/>
                <w:b w:val="0"/>
                <w:i w:val="0"/>
                <w:color w:val="000000"/>
                <w:sz w:val="23"/>
              </w:rPr>
              <w:t xml:space="preserve">12.37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24.30</w:t>
            </w:r>
          </w:p>
        </w:tc>
        <w:tc>
          <w:tcPr>
            <w:tcW w:w="3092" w:type="dxa"/>
            <w:tcBorders/>
            <w:vAlign w:val="center"/>
          </w:tcPr>
          <w:p>
            <w:pPr>
              <w:jc w:val="right"/>
            </w:pPr>
            <w:r>
              <w:rPr>
                <w:rFonts w:ascii="宋体" w:eastAsia="宋体" w:hAnsi="宋体" w:cs="宋体"/>
                <w:b w:val="0"/>
                <w:i w:val="0"/>
                <w:color w:val="000000"/>
                <w:sz w:val="23"/>
              </w:rPr>
              <w:t xml:space="preserve">12.37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24.30</w:t>
            </w:r>
          </w:p>
        </w:tc>
        <w:tc>
          <w:tcPr>
            <w:tcW w:w="3092" w:type="dxa"/>
            <w:tcBorders/>
            <w:vAlign w:val="center"/>
          </w:tcPr>
          <w:p>
            <w:pPr>
              <w:jc w:val="right"/>
            </w:pPr>
            <w:r>
              <w:rPr>
                <w:rFonts w:ascii="宋体" w:eastAsia="宋体" w:hAnsi="宋体" w:cs="宋体"/>
                <w:b w:val="0"/>
                <w:i w:val="0"/>
                <w:color w:val="000000"/>
                <w:sz w:val="23"/>
              </w:rPr>
              <w:t xml:space="preserve">12.37</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单位：辽宁省沈阳高新技术产业开发区人民法院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097006沈阳高新技术产业开发区人民法院-210112000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1277.54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1277.54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796.64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219.17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219.17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保障法院审判工作顺利进行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我院2024年度整体绩效目标完成情况较好，在财政“过紧日子”要求的基础上，各项工作有序开展，我院各项工作得到了保障，审判工作顺利进行。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执法办案行为投诉率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法官审判业务能力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办案业务及案件执行专项经费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办案业务及案件执行专项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7756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经费保障:因2024年财政经费紧张，办案业务及案件执行专项经费因财政经费未全额拨付，造成绩效目标未能全部完成。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经费保障:因2024年财政经费紧张，办案业务及案件执行专项经费因财政经费未全额拨付，造成绩效目标未能全部完成。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执法办案行为投诉率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经费保障:因2024年财政经费紧张，办案业务及案件执行专项经费因财政经费未全额拨付，造成绩效目标未能全部完成。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56.63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法律文书印刷费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我院2024年度绩效整体目标完成情况较好，我院在财政“过紧日子”要求的基础上，办案工作有序开展，审判工作顺利进行。但法律文书印刷费因财政经费紧张，经费未全额拨付，造成绩效目标未能全部完成。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经费保障:因2024年财政经费紧张，法律文书印刷费因财政经费未全额拨付，造成绩效目标未能全部完成。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经费保障:因2024年财政经费紧张，法律文书印刷费因财政经费未全额拨付，造成绩效目标未能全部完成。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经费保障:因2024年财政经费紧张，法律文书印刷费因财政经费未全额拨付，造成绩效目标未能全部完成。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法院服装购置费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71.78%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人民调解工作有序开展，审判工作顺利进行。但法院服装购置费因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经费保障:因2024年财政经费紧张，法院服装购置费因财政经费未全额拨付，造成绩效目标未能全部完成。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经费保障:因2024年财政经费紧张，法院服装购置费因财政经费未全额拨付，造成绩效目标未能全部完成。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经费保障:因2024年财政经费紧张，法院服装购置费因财政经费未全额拨付，造成绩效目标未能全部完成。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经费保障:因2024年财政经费紧张，法院服装购置费因财政经费未全额拨付，造成绩效目标未能全部完成。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经费保障:因2024年财政经费紧张，法院服装购置费因财政经费未全额拨付，造成绩效目标未能全部完成。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经费保障:因2024年财政经费紧张，法院服装购置费因财政经费未全额拨付，造成绩效目标未能全部完成。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经费保障:因2024年财政经费紧张，法院服装购置费因财政经费未全额拨付，造成绩效目标未能全部完成。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法院检察院奖励性绩效奖金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我院2024年度法院检察院奖励性绩效目标完成情况较好，我院在财政“过紧日子”要求的基础上，人民调解工作有序开展，审判工作顺利进行。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发放总人数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打卡发放准确率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奖励发放及时性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法院专项业务经费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我院2024年度绩效整体目标完成情况较好，我院在财政“过紧日子”要求的基础上，办案工作有序开展，审判工作顺利进行。但法院专项业务经费因财政经费紧张，经费未全额拨付，造成绩效目标未能全部完成。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经费保障:因2024年财政经费紧张，法院专项业务经费因财政经费未全额拨付，造成绩效目标未能全部完成。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55.53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辅助事务集约化外包服务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辅助事务集约化外包服务经费因财政经费紧张，经费未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133.8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人员工资按期拨付率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经费保障:因2024年财政经费紧张，辅助事务集约化外包服务经费未拨付，造成经费拨付金额未能得到保障。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基础业务培训费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我院2024年度绩效整体目标完成情况较好，我院在财政“过紧日子”要求的基础上，办案工作有序开展，审判工作顺利进行。但基础业务培训费因财政经费紧张，经费未全额拨付，造成绩效目标未能全部完成。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经费保障:因2024年财政经费紧张，基础业务培训费因财政经费未全额拨付，造成绩效目标未能全部完成。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经费保障:因2024年财政经费紧张，基础业务培训费因财政经费未全额拨付，造成绩效目标未能全部完成。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经费保障:因2024年财政经费紧张，基础业务培训费因财政经费未全额拨付，造成绩效目标未能全部完成。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经费保障:因2024年财政经费紧张，基础业务培训费因财政经费未全额拨付，造成绩效目标未能全部完成。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18.1349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我院2024年度残疾人保障金绩效目标完成情况较好，我院在财政“过紧日子”要求的基础上，工作有序开展，审判工作顺利进行。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8.36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年度信访经费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保障我院2024年工作顺利进行。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我院2024年度信访经费绩效目标完成情况较好，我院在财政“过紧日子”要求的基础上，办案工作有序开展，审判工作顺利进行。但2024年度信访任务较少，造成资金执行率未能全部完成。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8.265702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我院2024年度派遣人员经费绩效目标完成情况较好，在“过紧日子”要求的基础上，各项工作有序开展，我院各项工作得到了保障，审判工作顺利进行。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及时拨付资金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派遣制人员专项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38.68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保障法院审判工作顺利进行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人民调解工作有序开展，审判工作顺利进行。但派遣人员专项经费因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0.727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经费保障:因2024年财政经费紧张，派遣人员专项经费因财政经费未全额拨付，造成绩效目标未能全部完成。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322.63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267.62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人员工资按期到位率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10.3450287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人民陪审员补助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我院2024年度绩效整体目标完成情况较好，我院在财政“过紧日子”要求的基础上，办案工作有序开展，审判工作顺利进行。但人民陪审员补助经费未全额拨付，造成绩效目标未能全部完成。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经费保障:因2024年财政经费紧张，人民陪审员补助经费因财政经费未全额拨付，造成绩效目标未能全部完成。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经费保障:因2024年财政经费紧张，人民陪审员补助经费因财政经费未全额拨付，造成绩效目标未能全部完成。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经费保障:因2024年财政经费紧张，人民陪审员补助经费因财政经费未全额拨付，造成绩效目标未能全部完成。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14.08333333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人民调解中心调解员补助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人民调解中心调解员补助经费因财政经费紧张，经费未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经费保障:因2024年财政经费紧张，人民调解中心调解员补助未拨付，造成绩效目标未能全部完成。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经费保障:因2024年财政经费紧张，人民调解中心调解员补助未拨付，造成绩效目标未能全部完成。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经费保障:因2024年财政经费紧张，人民调解中心调解员补助未拨付，造成绩效目标未能全部完成。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经费保障:因2024年财政经费紧张，人民调解中心调解员补助未拨付，造成绩效目标未能全部完成。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经费保障:因2024年财政经费紧张，人民调解中心调解员补助未拨付，造成绩效目标未能全部完成。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经费保障:因2024年财政经费紧张，人民调解中心调解员补助未拨付，造成绩效目标未能全部完成。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退诉讼费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249.99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我院2024年度绩效整体目标完成情况较好，我院在财政“过紧日子”要求的基础上，办案工作有序开展，审判工作顺利进行。但退诉讼费因财政经费紧张，经费未全额拨付，造成绩效目标未能全部完成。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经费保障:因2024年财政经费紧张，退诉讼费经费未足额拨付，造成经费拨付金额未能得到保障。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5.229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经费保障:因2024年财政经费紧张，退诉讼费经费未足额拨付，造成经费拨付金额未能得到保障。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经费保障:因2024年财政经费紧张，退诉讼费经费未足额拨付，造成经费拨付金额未能得到保障。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经费保障:因2024年财政经费紧张，退诉讼费经费未足额拨付，造成经费拨付金额未能得到保障。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经费保障:因2024年财政经费紧张，退诉讼费经费未足额拨付，造成经费拨付金额未能得到保障。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67.17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我院2024年度绩效整体目标完成情况较好，我院在财政“过紧日子”要求的基础上，办案工作有序开展，审判工作顺利进行。但网络服务费因财政经费紧张，经费未全额拨付，造成绩效目标未能全部完成。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经费保障:因2024年财政经费紧张，网络服务费因财政经费未全额拨付，造成绩效目标未能全部完成。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经费保障:因2024年财政经费紧张，网络服务费因财政经费未全额拨付，造成绩效目标未能全部完成。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经费保障:因2024年财政经费紧张，网络服务费因财政经费未全额拨付，造成绩效目标未能全部完成。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9.3960379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邮寄费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我院2024年度邮寄费绩效目标完成情况较好，司法行政文书邮寄工作有序开展，我院各项工作得到了保障，审判工作顺利进行。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资金支付及时到位率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政法大厦搬家费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237.51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保障法院审判工作顺利进行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我院2024年度绩效整体目标完成情况较好，我院在财政“过紧日子”要求的基础上，办案工作有序开展，审判工作顺利进行。但政法大厦搬家费因财政经费紧张，经费未拨付，造成绩效目标未能全部完成。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经费保障:因2024年财政经费紧张，政法大厦搬家费因财政经费未拨付，造成绩效目标未能全部完成。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经费保障:因2024年财政经费紧张，政法大厦搬家费因财政经费未拨付，造成绩效目标未能全部完成。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经费保障:因2024年财政经费紧张，政法大厦搬家费因财政经费未拨付，造成绩效目标未能全部完成。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智慧法院建设经费等</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沈阳高新技术产业开发区人民法院-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保障审判工作顺利进行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我院2024年度绩效整体目标完成情况较好，我院在财政“过紧日子”要求的基础上，办案工作有序开展，审判工作顺利进行。但智慧法院建设经费因财政经费紧张，经费未拨付，造成绩效目标未能全部完成。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费用支付及时性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经费保障:因2024年财政经费紧张，智慧法院建设经费因财政经费未拨付，造成绩效目标未能全部完成。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经费保障:我院会继续与财政进行沟通、争取更多可用资金。同时积极履行上级“过紧日子”的要求，合理运用已有资金。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