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辽宁省沈阳高新技术产业开发区人民检察院</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辽宁省沈阳高新技术产业开发区人民检察院</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辽宁省沈阳高新技术产业开发区人民检察院</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辽宁省沈阳高新技术产业开发区人民检察院</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辽宁省沈阳高新技术产业开发区人民检察院</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辽宁省沈阳高新技术产业开发区人民检察院概况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高新技术产业开发区人民检察院对全市范围知识产权案件，全市公交、地铁发生的各种刑事及刑事附带民事案件进行侦查监督；对刑事犯罪的犯罪嫌疑人批准或决定逮捕、对刑事案件审查起诉和提起公诉；对刑事、民事和行政诉讼实行法律监督，受理控告和申诉；对监所活动实施法律监督，保证及时、准确地查明犯罪事实，正确应用法律，惩罚犯罪分子，保障国家刑事法律和法律诉讼活动的有效实施，维护社会主义法制，尊重和保障人权，保护公民的人身权利、财产权利、民主权利和其他权利，保障社会主义建设事业的顺利进行。</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辽宁省沈阳高新技术产业开发区人民检察院</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沈阳高新技术产业开发区人民检察院本级，本单位无下设机构。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671.72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671.52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99.97</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671.52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0.20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0.03</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减少57.85万元，降低7.93%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财政资金紧张导致收入减少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671.72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407.26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60.63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工资福利支出368.84万元；商品和服务支出37.88万元；对个人和家庭的补助0.55万元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264.46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39.37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主要包括一般行政管理事务、检察监督、培训支出等业务支出。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减少57.85万元，降低7.93%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财政资金紧张，拨款较为困难</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本年未发生结转结余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671.52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407.26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264.26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减少56.85万元，降低7.81%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财政资金紧张，拨款较为困难</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62.85</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82.79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45.84</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2024年度一般公共预算财政拨款支出671.52万元。按支出功能分类科目分，包括：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1.公共安全支出557.08万元，具体包括：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公共安全支出（类）检察（款）行政运行（项）297.36万元,主要是人员工资福利支出和公用经费等支出，完成年初预算的85.67%，决算数与年初预算数存在差异的主要原因是财政资金紧张，拨款较为困难，存在未能在本年及时支付的工资福利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公共安全支出（类）检察（款）一般行政管理事务（项）243.85万元,主要是缴纳残疾人就业保障金（文行科）、新办公场所搬家费、IP电话及三远一网服务费、行政事业单位人员奖励及疗休养工作经费、劳务派遣人员经费、派遣制人员工资等项目支出等支出，完成年初预算的44.22%，决算数与年初预算数存在差异的主要原因是财政资金紧张，拨款较为困难，存在较多未能支付的欠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（3）公共安全支出（类）检察（款）检察监督（项）15.87万元,主要是检察业务费等支出，完成年初预算的79.35%，决算数与年初预算数存在差异的主要原因是由于财政紧张款项未及时拨付。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2.教育支出4.54万元，具体包括：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（1）教育支出（类）进修及培训（款）培训支出（项）4.54万元,主要是干部培训费等支出，完成年初预算的90.8%，决算数与年初预算数存在差异的主要原因是按照实际情况具体执行。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3.社会保障和就业支出45.93万元，具体包括：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0.55万元,主要是退休人员采暖费支出等支出，完成年初预算的100%，决算数与年初预算数存在差异的主要原因是无差异，按照预算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37.49万元,主要是养老保险单位缴费部分等支出，完成年初预算的99.79%，决算数与年初预算数存在差异的主要原因是无差异，按照预算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7.89万元,主要是职业年金单位缴费部分等支出，完成年初预算的100%，决算数与年初预算数存在差异的主要原因是职业年金单位缴费部分仅在有人员转出或退休时发生，发生时方可测算，年初无法进行预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4.卫生健康支出14.03万元，具体包括：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14.03万元,主要是医疗保险单位缴费部分等支出，完成年初预算的95.25%，决算数与年初预算数存在差异的主要原因是公务员医疗补助因财政资金紧张未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5.住房保障支出49.94万元，具体包括：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49.94万元,主要是公积金单位缴费部分等支出，完成年初预算的54.28%，决算数与年初预算数存在差异的主要原因是本年度高比例公积金因财政资金紧张未支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2.44</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15.06</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厉行节约，减少支出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2.44</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无出国（境）任务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无出国（境）任务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未发生公务接待</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未发生公务接待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2.44</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15.06</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厉行节约，减少支出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比上年减少43.57万元，降低94.70%</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上年度有公务用车购置费用，本年度没有</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2.44</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主要用于公务用车维修费、保险费、检车费、高速公路过路费等，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4</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407.27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369.39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37.88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37.88</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比上年增加4.54万元，增长13.62%</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本年度在职公务员人数增加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44.04</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44.04</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44.04</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100.00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44.04</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100.00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100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4</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3</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具体而言，本年度我部门共组织对17个项目实施了绩效评价。从预算资金来源看，涉及一般公共预算的项目17个，涉及政府性基金预算的项目0个，涉及国有资本经营预算的项目0个。</w:t>
        <w:br/>
        <w:t xml:space="preserve">    上述评价工作共涉及财政资金264.46万元。其中，一般公共预算资金264.46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部分项目绩效目标明确，决策流程科学，资金管理较为规范，项目执行有序，完成了年度主要产出指标，并较好地实现了预期的效益目标。</w:t>
        <w:br/>
        <w:t xml:space="preserve">    自评得分在90分（含）以上、绩效等级为“优”的项目有2个；得分在80分（含）至90分、等级为“良”的项目有4个；得分在60分（含）至80分、等级为“中”的项目有1；得分在60分以下、等级为“差”的项目有10个。各项目自评发现，部分项目存在资金不能及时到位的问题，如：由于财政资金紧张，我院按照财政要求在开展工作前与财政提前沟通确认了该预算能够及时拨付的可能性，在得到不确定答复后，为避免产生更多积压欠款，本年未开展该项工作，已要求相关项目单位分析原因并制定改进措施。</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单位：辽宁省沈阳高新技术产业开发区人民检察院</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671.52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jc w:val="right"/>
            </w:pPr>
            <w:r>
              <w:rPr>
                <w:rFonts w:ascii="宋体" w:eastAsia="宋体" w:hAnsi="宋体" w:cs="宋体"/>
                <w:b w:val="0"/>
                <w:i w:val="0"/>
                <w:color w:val="000000"/>
                <w:sz w:val="16"/>
              </w:rPr>
              <w:t xml:space="preserve">557.28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4.54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0.20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45.93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14.03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49.94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671.72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671.72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671.72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671.72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单位：辽宁省沈阳高新技术产业开发区人民检察院</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671.72</w:t>
            </w:r>
          </w:p>
        </w:tc>
        <w:tc>
          <w:tcPr>
            <w:tcW w:w="960" w:type="dxa"/>
            <w:tcBorders/>
            <w:vAlign w:val="center"/>
          </w:tcPr>
          <w:p>
            <w:pPr>
              <w:jc w:val="right"/>
            </w:pPr>
            <w:r>
              <w:rPr>
                <w:rFonts w:ascii="宋体" w:eastAsia="宋体" w:hAnsi="宋体" w:cs="宋体"/>
                <w:b/>
                <w:i w:val="0"/>
                <w:color w:val="000000"/>
                <w:sz w:val="13"/>
              </w:rPr>
              <w:t xml:space="preserve">671.52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0.20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w:t>
            </w:r>
          </w:p>
        </w:tc>
        <w:tc>
          <w:tcPr>
            <w:tcW w:w="3200" w:type="dxa"/>
            <w:tcBorders/>
            <w:vAlign w:val="center"/>
          </w:tcPr>
          <w:p>
            <w:pPr>
              <w:jc w:val="left"/>
            </w:pPr>
            <w:r>
              <w:rPr>
                <w:rFonts w:ascii="宋体" w:eastAsia="宋体" w:hAnsi="宋体" w:cs="宋体"/>
                <w:b w:val="0"/>
                <w:i w:val="0"/>
                <w:color w:val="000000"/>
                <w:sz w:val="13"/>
              </w:rPr>
              <w:t xml:space="preserve">公共安全支出</w:t>
            </w:r>
          </w:p>
        </w:tc>
        <w:tc>
          <w:tcPr>
            <w:tcW w:w="960" w:type="dxa"/>
            <w:tcBorders/>
            <w:vAlign w:val="center"/>
          </w:tcPr>
          <w:p>
            <w:pPr>
              <w:jc w:val="right"/>
            </w:pPr>
            <w:r>
              <w:rPr>
                <w:rFonts w:ascii="宋体" w:eastAsia="宋体" w:hAnsi="宋体" w:cs="宋体"/>
                <w:b w:val="0"/>
                <w:i w:val="0"/>
                <w:color w:val="000000"/>
                <w:sz w:val="13"/>
              </w:rPr>
              <w:t xml:space="preserve">557.28</w:t>
            </w:r>
          </w:p>
        </w:tc>
        <w:tc>
          <w:tcPr>
            <w:tcW w:w="960" w:type="dxa"/>
            <w:tcBorders/>
            <w:vAlign w:val="center"/>
          </w:tcPr>
          <w:p>
            <w:pPr>
              <w:jc w:val="right"/>
            </w:pPr>
            <w:r>
              <w:rPr>
                <w:rFonts w:ascii="宋体" w:eastAsia="宋体" w:hAnsi="宋体" w:cs="宋体"/>
                <w:b w:val="0"/>
                <w:i w:val="0"/>
                <w:color w:val="000000"/>
                <w:sz w:val="13"/>
              </w:rPr>
              <w:t xml:space="preserve">557.08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0.20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20404</w:t>
            </w:r>
          </w:p>
        </w:tc>
        <w:tc>
          <w:tcPr>
            <w:tcW w:w="3200" w:type="dxa"/>
            <w:tcBorders/>
            <w:vAlign w:val="center"/>
          </w:tcPr>
          <w:p>
            <w:pPr>
              <w:jc w:val="left"/>
            </w:pPr>
            <w:r>
              <w:rPr>
                <w:rFonts w:ascii="宋体" w:eastAsia="宋体" w:hAnsi="宋体" w:cs="宋体"/>
                <w:b w:val="0"/>
                <w:i w:val="0"/>
                <w:color w:val="000000"/>
                <w:sz w:val="13"/>
              </w:rPr>
              <w:t xml:space="preserve">检察</w:t>
            </w:r>
          </w:p>
        </w:tc>
        <w:tc>
          <w:tcPr>
            <w:tcW w:w="960" w:type="dxa"/>
            <w:tcBorders/>
            <w:vAlign w:val="center"/>
          </w:tcPr>
          <w:p>
            <w:pPr>
              <w:jc w:val="right"/>
            </w:pPr>
            <w:r>
              <w:rPr>
                <w:rFonts w:ascii="宋体" w:eastAsia="宋体" w:hAnsi="宋体" w:cs="宋体"/>
                <w:b w:val="0"/>
                <w:i w:val="0"/>
                <w:color w:val="000000"/>
                <w:sz w:val="13"/>
              </w:rPr>
              <w:t xml:space="preserve">557.28</w:t>
            </w:r>
          </w:p>
        </w:tc>
        <w:tc>
          <w:tcPr>
            <w:tcW w:w="960" w:type="dxa"/>
            <w:tcBorders/>
            <w:vAlign w:val="center"/>
          </w:tcPr>
          <w:p>
            <w:pPr>
              <w:jc w:val="right"/>
            </w:pPr>
            <w:r>
              <w:rPr>
                <w:rFonts w:ascii="宋体" w:eastAsia="宋体" w:hAnsi="宋体" w:cs="宋体"/>
                <w:b w:val="0"/>
                <w:i w:val="0"/>
                <w:color w:val="000000"/>
                <w:sz w:val="13"/>
              </w:rPr>
              <w:t xml:space="preserve">557.08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0.20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2040401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297.36</w:t>
            </w:r>
          </w:p>
        </w:tc>
        <w:tc>
          <w:tcPr>
            <w:tcW w:w="960" w:type="dxa"/>
            <w:tcBorders/>
            <w:vAlign w:val="center"/>
          </w:tcPr>
          <w:p>
            <w:pPr>
              <w:jc w:val="right"/>
            </w:pPr>
            <w:r>
              <w:rPr>
                <w:rFonts w:ascii="宋体" w:eastAsia="宋体" w:hAnsi="宋体" w:cs="宋体"/>
                <w:b w:val="0"/>
                <w:i w:val="0"/>
                <w:color w:val="000000"/>
                <w:sz w:val="13"/>
              </w:rPr>
              <w:t xml:space="preserve">297.36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2040402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244.05</w:t>
            </w:r>
          </w:p>
        </w:tc>
        <w:tc>
          <w:tcPr>
            <w:tcW w:w="960" w:type="dxa"/>
            <w:tcBorders/>
            <w:vAlign w:val="center"/>
          </w:tcPr>
          <w:p>
            <w:pPr>
              <w:jc w:val="right"/>
            </w:pPr>
            <w:r>
              <w:rPr>
                <w:rFonts w:ascii="宋体" w:eastAsia="宋体" w:hAnsi="宋体" w:cs="宋体"/>
                <w:b w:val="0"/>
                <w:i w:val="0"/>
                <w:color w:val="000000"/>
                <w:sz w:val="13"/>
              </w:rPr>
              <w:t xml:space="preserve">243.85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0.20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2040410</w:t>
            </w:r>
          </w:p>
        </w:tc>
        <w:tc>
          <w:tcPr>
            <w:tcW w:w="3200" w:type="dxa"/>
            <w:tcBorders/>
            <w:vAlign w:val="center"/>
          </w:tcPr>
          <w:p>
            <w:pPr>
              <w:jc w:val="left"/>
            </w:pPr>
            <w:r>
              <w:rPr>
                <w:rFonts w:ascii="宋体" w:eastAsia="宋体" w:hAnsi="宋体" w:cs="宋体"/>
                <w:b w:val="0"/>
                <w:i w:val="0"/>
                <w:color w:val="000000"/>
                <w:sz w:val="13"/>
              </w:rPr>
              <w:t xml:space="preserve">检察监督</w:t>
            </w:r>
          </w:p>
        </w:tc>
        <w:tc>
          <w:tcPr>
            <w:tcW w:w="960" w:type="dxa"/>
            <w:tcBorders/>
            <w:vAlign w:val="center"/>
          </w:tcPr>
          <w:p>
            <w:pPr>
              <w:jc w:val="right"/>
            </w:pPr>
            <w:r>
              <w:rPr>
                <w:rFonts w:ascii="宋体" w:eastAsia="宋体" w:hAnsi="宋体" w:cs="宋体"/>
                <w:b w:val="0"/>
                <w:i w:val="0"/>
                <w:color w:val="000000"/>
                <w:sz w:val="13"/>
              </w:rPr>
              <w:t xml:space="preserve">15.87</w:t>
            </w:r>
          </w:p>
        </w:tc>
        <w:tc>
          <w:tcPr>
            <w:tcW w:w="960" w:type="dxa"/>
            <w:tcBorders/>
            <w:vAlign w:val="center"/>
          </w:tcPr>
          <w:p>
            <w:pPr>
              <w:jc w:val="right"/>
            </w:pPr>
            <w:r>
              <w:rPr>
                <w:rFonts w:ascii="宋体" w:eastAsia="宋体" w:hAnsi="宋体" w:cs="宋体"/>
                <w:b w:val="0"/>
                <w:i w:val="0"/>
                <w:color w:val="000000"/>
                <w:sz w:val="13"/>
              </w:rPr>
              <w:t xml:space="preserve">15.87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4.54</w:t>
            </w:r>
          </w:p>
        </w:tc>
        <w:tc>
          <w:tcPr>
            <w:tcW w:w="960" w:type="dxa"/>
            <w:tcBorders/>
            <w:vAlign w:val="center"/>
          </w:tcPr>
          <w:p>
            <w:pPr>
              <w:jc w:val="right"/>
            </w:pPr>
            <w:r>
              <w:rPr>
                <w:rFonts w:ascii="宋体" w:eastAsia="宋体" w:hAnsi="宋体" w:cs="宋体"/>
                <w:b w:val="0"/>
                <w:i w:val="0"/>
                <w:color w:val="000000"/>
                <w:sz w:val="13"/>
              </w:rPr>
              <w:t xml:space="preserve">4.54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4.54</w:t>
            </w:r>
          </w:p>
        </w:tc>
        <w:tc>
          <w:tcPr>
            <w:tcW w:w="960" w:type="dxa"/>
            <w:tcBorders/>
            <w:vAlign w:val="center"/>
          </w:tcPr>
          <w:p>
            <w:pPr>
              <w:jc w:val="right"/>
            </w:pPr>
            <w:r>
              <w:rPr>
                <w:rFonts w:ascii="宋体" w:eastAsia="宋体" w:hAnsi="宋体" w:cs="宋体"/>
                <w:b w:val="0"/>
                <w:i w:val="0"/>
                <w:color w:val="000000"/>
                <w:sz w:val="13"/>
              </w:rPr>
              <w:t xml:space="preserve">4.54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2050803</w:t>
            </w:r>
          </w:p>
        </w:tc>
        <w:tc>
          <w:tcPr>
            <w:tcW w:w="3200" w:type="dxa"/>
            <w:tcBorders/>
            <w:vAlign w:val="center"/>
          </w:tcPr>
          <w:p>
            <w:pPr>
              <w:jc w:val="left"/>
            </w:pPr>
            <w:r>
              <w:rPr>
                <w:rFonts w:ascii="宋体" w:eastAsia="宋体" w:hAnsi="宋体" w:cs="宋体"/>
                <w:b w:val="0"/>
                <w:i w:val="0"/>
                <w:color w:val="000000"/>
                <w:sz w:val="13"/>
              </w:rPr>
              <w:t xml:space="preserve">培训支出</w:t>
            </w:r>
          </w:p>
        </w:tc>
        <w:tc>
          <w:tcPr>
            <w:tcW w:w="960" w:type="dxa"/>
            <w:tcBorders/>
            <w:vAlign w:val="center"/>
          </w:tcPr>
          <w:p>
            <w:pPr>
              <w:jc w:val="right"/>
            </w:pPr>
            <w:r>
              <w:rPr>
                <w:rFonts w:ascii="宋体" w:eastAsia="宋体" w:hAnsi="宋体" w:cs="宋体"/>
                <w:b w:val="0"/>
                <w:i w:val="0"/>
                <w:color w:val="000000"/>
                <w:sz w:val="13"/>
              </w:rPr>
              <w:t xml:space="preserve">4.54</w:t>
            </w:r>
          </w:p>
        </w:tc>
        <w:tc>
          <w:tcPr>
            <w:tcW w:w="960" w:type="dxa"/>
            <w:tcBorders/>
            <w:vAlign w:val="center"/>
          </w:tcPr>
          <w:p>
            <w:pPr>
              <w:jc w:val="right"/>
            </w:pPr>
            <w:r>
              <w:rPr>
                <w:rFonts w:ascii="宋体" w:eastAsia="宋体" w:hAnsi="宋体" w:cs="宋体"/>
                <w:b w:val="0"/>
                <w:i w:val="0"/>
                <w:color w:val="000000"/>
                <w:sz w:val="13"/>
              </w:rPr>
              <w:t xml:space="preserve">4.54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45.93</w:t>
            </w:r>
          </w:p>
        </w:tc>
        <w:tc>
          <w:tcPr>
            <w:tcW w:w="960" w:type="dxa"/>
            <w:tcBorders/>
            <w:vAlign w:val="center"/>
          </w:tcPr>
          <w:p>
            <w:pPr>
              <w:jc w:val="right"/>
            </w:pPr>
            <w:r>
              <w:rPr>
                <w:rFonts w:ascii="宋体" w:eastAsia="宋体" w:hAnsi="宋体" w:cs="宋体"/>
                <w:b w:val="0"/>
                <w:i w:val="0"/>
                <w:color w:val="000000"/>
                <w:sz w:val="13"/>
              </w:rPr>
              <w:t xml:space="preserve">45.93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45.93</w:t>
            </w:r>
          </w:p>
        </w:tc>
        <w:tc>
          <w:tcPr>
            <w:tcW w:w="960" w:type="dxa"/>
            <w:tcBorders/>
            <w:vAlign w:val="center"/>
          </w:tcPr>
          <w:p>
            <w:pPr>
              <w:jc w:val="right"/>
            </w:pPr>
            <w:r>
              <w:rPr>
                <w:rFonts w:ascii="宋体" w:eastAsia="宋体" w:hAnsi="宋体" w:cs="宋体"/>
                <w:b w:val="0"/>
                <w:i w:val="0"/>
                <w:color w:val="000000"/>
                <w:sz w:val="13"/>
              </w:rPr>
              <w:t xml:space="preserve">45.93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37.49</w:t>
            </w:r>
          </w:p>
        </w:tc>
        <w:tc>
          <w:tcPr>
            <w:tcW w:w="960" w:type="dxa"/>
            <w:tcBorders/>
            <w:vAlign w:val="center"/>
          </w:tcPr>
          <w:p>
            <w:pPr>
              <w:jc w:val="right"/>
            </w:pPr>
            <w:r>
              <w:rPr>
                <w:rFonts w:ascii="宋体" w:eastAsia="宋体" w:hAnsi="宋体" w:cs="宋体"/>
                <w:b w:val="0"/>
                <w:i w:val="0"/>
                <w:color w:val="000000"/>
                <w:sz w:val="13"/>
              </w:rPr>
              <w:t xml:space="preserve">37.49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7.89</w:t>
            </w:r>
          </w:p>
        </w:tc>
        <w:tc>
          <w:tcPr>
            <w:tcW w:w="960" w:type="dxa"/>
            <w:tcBorders/>
            <w:vAlign w:val="center"/>
          </w:tcPr>
          <w:p>
            <w:pPr>
              <w:jc w:val="right"/>
            </w:pPr>
            <w:r>
              <w:rPr>
                <w:rFonts w:ascii="宋体" w:eastAsia="宋体" w:hAnsi="宋体" w:cs="宋体"/>
                <w:b w:val="0"/>
                <w:i w:val="0"/>
                <w:color w:val="000000"/>
                <w:sz w:val="13"/>
              </w:rPr>
              <w:t xml:space="preserve">7.89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14.03</w:t>
            </w:r>
          </w:p>
        </w:tc>
        <w:tc>
          <w:tcPr>
            <w:tcW w:w="960" w:type="dxa"/>
            <w:tcBorders/>
            <w:vAlign w:val="center"/>
          </w:tcPr>
          <w:p>
            <w:pPr>
              <w:jc w:val="right"/>
            </w:pPr>
            <w:r>
              <w:rPr>
                <w:rFonts w:ascii="宋体" w:eastAsia="宋体" w:hAnsi="宋体" w:cs="宋体"/>
                <w:b w:val="0"/>
                <w:i w:val="0"/>
                <w:color w:val="000000"/>
                <w:sz w:val="13"/>
              </w:rPr>
              <w:t xml:space="preserve">14.03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14.03</w:t>
            </w:r>
          </w:p>
        </w:tc>
        <w:tc>
          <w:tcPr>
            <w:tcW w:w="960" w:type="dxa"/>
            <w:tcBorders/>
            <w:vAlign w:val="center"/>
          </w:tcPr>
          <w:p>
            <w:pPr>
              <w:jc w:val="right"/>
            </w:pPr>
            <w:r>
              <w:rPr>
                <w:rFonts w:ascii="宋体" w:eastAsia="宋体" w:hAnsi="宋体" w:cs="宋体"/>
                <w:b w:val="0"/>
                <w:i w:val="0"/>
                <w:color w:val="000000"/>
                <w:sz w:val="13"/>
              </w:rPr>
              <w:t xml:space="preserve">14.03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14.03</w:t>
            </w:r>
          </w:p>
        </w:tc>
        <w:tc>
          <w:tcPr>
            <w:tcW w:w="960" w:type="dxa"/>
            <w:tcBorders/>
            <w:vAlign w:val="center"/>
          </w:tcPr>
          <w:p>
            <w:pPr>
              <w:jc w:val="right"/>
            </w:pPr>
            <w:r>
              <w:rPr>
                <w:rFonts w:ascii="宋体" w:eastAsia="宋体" w:hAnsi="宋体" w:cs="宋体"/>
                <w:b w:val="0"/>
                <w:i w:val="0"/>
                <w:color w:val="000000"/>
                <w:sz w:val="13"/>
              </w:rPr>
              <w:t xml:space="preserve">14.03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49.94</w:t>
            </w:r>
          </w:p>
        </w:tc>
        <w:tc>
          <w:tcPr>
            <w:tcW w:w="960" w:type="dxa"/>
            <w:tcBorders/>
            <w:vAlign w:val="center"/>
          </w:tcPr>
          <w:p>
            <w:pPr>
              <w:jc w:val="right"/>
            </w:pPr>
            <w:r>
              <w:rPr>
                <w:rFonts w:ascii="宋体" w:eastAsia="宋体" w:hAnsi="宋体" w:cs="宋体"/>
                <w:b w:val="0"/>
                <w:i w:val="0"/>
                <w:color w:val="000000"/>
                <w:sz w:val="13"/>
              </w:rPr>
              <w:t xml:space="preserve">49.94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49.94</w:t>
            </w:r>
          </w:p>
        </w:tc>
        <w:tc>
          <w:tcPr>
            <w:tcW w:w="960" w:type="dxa"/>
            <w:tcBorders/>
            <w:vAlign w:val="center"/>
          </w:tcPr>
          <w:p>
            <w:pPr>
              <w:jc w:val="right"/>
            </w:pPr>
            <w:r>
              <w:rPr>
                <w:rFonts w:ascii="宋体" w:eastAsia="宋体" w:hAnsi="宋体" w:cs="宋体"/>
                <w:b w:val="0"/>
                <w:i w:val="0"/>
                <w:color w:val="000000"/>
                <w:sz w:val="13"/>
              </w:rPr>
              <w:t xml:space="preserve">49.94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49.94</w:t>
            </w:r>
          </w:p>
        </w:tc>
        <w:tc>
          <w:tcPr>
            <w:tcW w:w="960" w:type="dxa"/>
            <w:tcBorders/>
            <w:vAlign w:val="center"/>
          </w:tcPr>
          <w:p>
            <w:pPr>
              <w:jc w:val="right"/>
            </w:pPr>
            <w:r>
              <w:rPr>
                <w:rFonts w:ascii="宋体" w:eastAsia="宋体" w:hAnsi="宋体" w:cs="宋体"/>
                <w:b w:val="0"/>
                <w:i w:val="0"/>
                <w:color w:val="000000"/>
                <w:sz w:val="13"/>
              </w:rPr>
              <w:t xml:space="preserve">49.94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单位：辽宁省沈阳高新技术产业开发区人民检察院</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671.72</w:t>
            </w:r>
          </w:p>
        </w:tc>
        <w:tc>
          <w:tcPr>
            <w:tcW w:w="1060" w:type="dxa"/>
            <w:tcBorders/>
            <w:vAlign w:val="center"/>
          </w:tcPr>
          <w:p>
            <w:pPr>
              <w:jc w:val="right"/>
            </w:pPr>
            <w:r>
              <w:rPr>
                <w:rFonts w:ascii="宋体" w:eastAsia="宋体" w:hAnsi="宋体" w:cs="宋体"/>
                <w:b/>
                <w:i w:val="0"/>
                <w:color w:val="000000"/>
                <w:sz w:val="14"/>
              </w:rPr>
              <w:t xml:space="preserve">407.26</w:t>
            </w:r>
          </w:p>
        </w:tc>
        <w:tc>
          <w:tcPr>
            <w:tcW w:w="1060" w:type="dxa"/>
            <w:tcBorders/>
            <w:vAlign w:val="center"/>
          </w:tcPr>
          <w:p>
            <w:pPr>
              <w:jc w:val="right"/>
            </w:pPr>
            <w:r>
              <w:rPr>
                <w:rFonts w:ascii="宋体" w:eastAsia="宋体" w:hAnsi="宋体" w:cs="宋体"/>
                <w:b/>
                <w:i w:val="0"/>
                <w:color w:val="000000"/>
                <w:sz w:val="14"/>
              </w:rPr>
              <w:t xml:space="preserve">264.46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w:t>
            </w:r>
          </w:p>
        </w:tc>
        <w:tc>
          <w:tcPr>
            <w:tcW w:w="3440" w:type="dxa"/>
            <w:tcBorders/>
            <w:vAlign w:val="center"/>
          </w:tcPr>
          <w:p>
            <w:pPr>
              <w:jc w:val="left"/>
            </w:pPr>
            <w:r>
              <w:rPr>
                <w:rFonts w:ascii="宋体" w:eastAsia="宋体" w:hAnsi="宋体" w:cs="宋体"/>
                <w:b w:val="0"/>
                <w:i w:val="0"/>
                <w:color w:val="000000"/>
                <w:sz w:val="14"/>
              </w:rPr>
              <w:t xml:space="preserve">公共安全支出</w:t>
            </w:r>
          </w:p>
        </w:tc>
        <w:tc>
          <w:tcPr>
            <w:tcW w:w="1060" w:type="dxa"/>
            <w:tcBorders/>
            <w:vAlign w:val="center"/>
          </w:tcPr>
          <w:p>
            <w:pPr>
              <w:jc w:val="right"/>
            </w:pPr>
            <w:r>
              <w:rPr>
                <w:rFonts w:ascii="宋体" w:eastAsia="宋体" w:hAnsi="宋体" w:cs="宋体"/>
                <w:b w:val="0"/>
                <w:i w:val="0"/>
                <w:color w:val="000000"/>
                <w:sz w:val="14"/>
              </w:rPr>
              <w:t xml:space="preserve">557.28</w:t>
            </w:r>
          </w:p>
        </w:tc>
        <w:tc>
          <w:tcPr>
            <w:tcW w:w="1060" w:type="dxa"/>
            <w:tcBorders/>
            <w:vAlign w:val="center"/>
          </w:tcPr>
          <w:p>
            <w:pPr>
              <w:jc w:val="right"/>
            </w:pPr>
            <w:r>
              <w:rPr>
                <w:rFonts w:ascii="宋体" w:eastAsia="宋体" w:hAnsi="宋体" w:cs="宋体"/>
                <w:b w:val="0"/>
                <w:i w:val="0"/>
                <w:color w:val="000000"/>
                <w:sz w:val="14"/>
              </w:rPr>
              <w:t xml:space="preserve">297.36</w:t>
            </w:r>
          </w:p>
        </w:tc>
        <w:tc>
          <w:tcPr>
            <w:tcW w:w="1060" w:type="dxa"/>
            <w:tcBorders/>
            <w:vAlign w:val="center"/>
          </w:tcPr>
          <w:p>
            <w:pPr>
              <w:jc w:val="right"/>
            </w:pPr>
            <w:r>
              <w:rPr>
                <w:rFonts w:ascii="宋体" w:eastAsia="宋体" w:hAnsi="宋体" w:cs="宋体"/>
                <w:b w:val="0"/>
                <w:i w:val="0"/>
                <w:color w:val="000000"/>
                <w:sz w:val="14"/>
              </w:rPr>
              <w:t xml:space="preserve">259.92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20404</w:t>
            </w:r>
          </w:p>
        </w:tc>
        <w:tc>
          <w:tcPr>
            <w:tcW w:w="3440" w:type="dxa"/>
            <w:tcBorders/>
            <w:vAlign w:val="center"/>
          </w:tcPr>
          <w:p>
            <w:pPr>
              <w:jc w:val="left"/>
            </w:pPr>
            <w:r>
              <w:rPr>
                <w:rFonts w:ascii="宋体" w:eastAsia="宋体" w:hAnsi="宋体" w:cs="宋体"/>
                <w:b w:val="0"/>
                <w:i w:val="0"/>
                <w:color w:val="000000"/>
                <w:sz w:val="14"/>
              </w:rPr>
              <w:t xml:space="preserve">检察</w:t>
            </w:r>
          </w:p>
        </w:tc>
        <w:tc>
          <w:tcPr>
            <w:tcW w:w="1060" w:type="dxa"/>
            <w:tcBorders/>
            <w:vAlign w:val="center"/>
          </w:tcPr>
          <w:p>
            <w:pPr>
              <w:jc w:val="right"/>
            </w:pPr>
            <w:r>
              <w:rPr>
                <w:rFonts w:ascii="宋体" w:eastAsia="宋体" w:hAnsi="宋体" w:cs="宋体"/>
                <w:b w:val="0"/>
                <w:i w:val="0"/>
                <w:color w:val="000000"/>
                <w:sz w:val="14"/>
              </w:rPr>
              <w:t xml:space="preserve">557.28</w:t>
            </w:r>
          </w:p>
        </w:tc>
        <w:tc>
          <w:tcPr>
            <w:tcW w:w="1060" w:type="dxa"/>
            <w:tcBorders/>
            <w:vAlign w:val="center"/>
          </w:tcPr>
          <w:p>
            <w:pPr>
              <w:jc w:val="right"/>
            </w:pPr>
            <w:r>
              <w:rPr>
                <w:rFonts w:ascii="宋体" w:eastAsia="宋体" w:hAnsi="宋体" w:cs="宋体"/>
                <w:b w:val="0"/>
                <w:i w:val="0"/>
                <w:color w:val="000000"/>
                <w:sz w:val="14"/>
              </w:rPr>
              <w:t xml:space="preserve">297.36</w:t>
            </w:r>
          </w:p>
        </w:tc>
        <w:tc>
          <w:tcPr>
            <w:tcW w:w="1060" w:type="dxa"/>
            <w:tcBorders/>
            <w:vAlign w:val="center"/>
          </w:tcPr>
          <w:p>
            <w:pPr>
              <w:jc w:val="right"/>
            </w:pPr>
            <w:r>
              <w:rPr>
                <w:rFonts w:ascii="宋体" w:eastAsia="宋体" w:hAnsi="宋体" w:cs="宋体"/>
                <w:b w:val="0"/>
                <w:i w:val="0"/>
                <w:color w:val="000000"/>
                <w:sz w:val="14"/>
              </w:rPr>
              <w:t xml:space="preserve">259.92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2040401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297.36</w:t>
            </w:r>
          </w:p>
        </w:tc>
        <w:tc>
          <w:tcPr>
            <w:tcW w:w="1060" w:type="dxa"/>
            <w:tcBorders/>
            <w:vAlign w:val="center"/>
          </w:tcPr>
          <w:p>
            <w:pPr>
              <w:jc w:val="right"/>
            </w:pPr>
            <w:r>
              <w:rPr>
                <w:rFonts w:ascii="宋体" w:eastAsia="宋体" w:hAnsi="宋体" w:cs="宋体"/>
                <w:b w:val="0"/>
                <w:i w:val="0"/>
                <w:color w:val="000000"/>
                <w:sz w:val="14"/>
              </w:rPr>
              <w:t xml:space="preserve">297.36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2040402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244.05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244.05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2040410</w:t>
            </w:r>
          </w:p>
        </w:tc>
        <w:tc>
          <w:tcPr>
            <w:tcW w:w="3440" w:type="dxa"/>
            <w:tcBorders/>
            <w:vAlign w:val="center"/>
          </w:tcPr>
          <w:p>
            <w:pPr>
              <w:jc w:val="left"/>
            </w:pPr>
            <w:r>
              <w:rPr>
                <w:rFonts w:ascii="宋体" w:eastAsia="宋体" w:hAnsi="宋体" w:cs="宋体"/>
                <w:b w:val="0"/>
                <w:i w:val="0"/>
                <w:color w:val="000000"/>
                <w:sz w:val="14"/>
              </w:rPr>
              <w:t xml:space="preserve">检察监督</w:t>
            </w:r>
          </w:p>
        </w:tc>
        <w:tc>
          <w:tcPr>
            <w:tcW w:w="1060" w:type="dxa"/>
            <w:tcBorders/>
            <w:vAlign w:val="center"/>
          </w:tcPr>
          <w:p>
            <w:pPr>
              <w:jc w:val="right"/>
            </w:pPr>
            <w:r>
              <w:rPr>
                <w:rFonts w:ascii="宋体" w:eastAsia="宋体" w:hAnsi="宋体" w:cs="宋体"/>
                <w:b w:val="0"/>
                <w:i w:val="0"/>
                <w:color w:val="000000"/>
                <w:sz w:val="14"/>
              </w:rPr>
              <w:t xml:space="preserve">15.87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15.87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4.54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4.54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4.54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4.54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2050803</w:t>
            </w:r>
          </w:p>
        </w:tc>
        <w:tc>
          <w:tcPr>
            <w:tcW w:w="3440" w:type="dxa"/>
            <w:tcBorders/>
            <w:vAlign w:val="center"/>
          </w:tcPr>
          <w:p>
            <w:pPr>
              <w:jc w:val="left"/>
            </w:pPr>
            <w:r>
              <w:rPr>
                <w:rFonts w:ascii="宋体" w:eastAsia="宋体" w:hAnsi="宋体" w:cs="宋体"/>
                <w:b w:val="0"/>
                <w:i w:val="0"/>
                <w:color w:val="000000"/>
                <w:sz w:val="14"/>
              </w:rPr>
              <w:t xml:space="preserve">培训支出</w:t>
            </w:r>
          </w:p>
        </w:tc>
        <w:tc>
          <w:tcPr>
            <w:tcW w:w="1060" w:type="dxa"/>
            <w:tcBorders/>
            <w:vAlign w:val="center"/>
          </w:tcPr>
          <w:p>
            <w:pPr>
              <w:jc w:val="right"/>
            </w:pPr>
            <w:r>
              <w:rPr>
                <w:rFonts w:ascii="宋体" w:eastAsia="宋体" w:hAnsi="宋体" w:cs="宋体"/>
                <w:b w:val="0"/>
                <w:i w:val="0"/>
                <w:color w:val="000000"/>
                <w:sz w:val="14"/>
              </w:rPr>
              <w:t xml:space="preserve">4.54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4.54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45.93</w:t>
            </w:r>
          </w:p>
        </w:tc>
        <w:tc>
          <w:tcPr>
            <w:tcW w:w="1060" w:type="dxa"/>
            <w:tcBorders/>
            <w:vAlign w:val="center"/>
          </w:tcPr>
          <w:p>
            <w:pPr>
              <w:jc w:val="right"/>
            </w:pPr>
            <w:r>
              <w:rPr>
                <w:rFonts w:ascii="宋体" w:eastAsia="宋体" w:hAnsi="宋体" w:cs="宋体"/>
                <w:b w:val="0"/>
                <w:i w:val="0"/>
                <w:color w:val="000000"/>
                <w:sz w:val="14"/>
              </w:rPr>
              <w:t xml:space="preserve">45.93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45.93</w:t>
            </w:r>
          </w:p>
        </w:tc>
        <w:tc>
          <w:tcPr>
            <w:tcW w:w="1060" w:type="dxa"/>
            <w:tcBorders/>
            <w:vAlign w:val="center"/>
          </w:tcPr>
          <w:p>
            <w:pPr>
              <w:jc w:val="right"/>
            </w:pPr>
            <w:r>
              <w:rPr>
                <w:rFonts w:ascii="宋体" w:eastAsia="宋体" w:hAnsi="宋体" w:cs="宋体"/>
                <w:b w:val="0"/>
                <w:i w:val="0"/>
                <w:color w:val="000000"/>
                <w:sz w:val="14"/>
              </w:rPr>
              <w:t xml:space="preserve">45.93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37.49</w:t>
            </w:r>
          </w:p>
        </w:tc>
        <w:tc>
          <w:tcPr>
            <w:tcW w:w="1060" w:type="dxa"/>
            <w:tcBorders/>
            <w:vAlign w:val="center"/>
          </w:tcPr>
          <w:p>
            <w:pPr>
              <w:jc w:val="right"/>
            </w:pPr>
            <w:r>
              <w:rPr>
                <w:rFonts w:ascii="宋体" w:eastAsia="宋体" w:hAnsi="宋体" w:cs="宋体"/>
                <w:b w:val="0"/>
                <w:i w:val="0"/>
                <w:color w:val="000000"/>
                <w:sz w:val="14"/>
              </w:rPr>
              <w:t xml:space="preserve">37.49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7.89</w:t>
            </w:r>
          </w:p>
        </w:tc>
        <w:tc>
          <w:tcPr>
            <w:tcW w:w="1060" w:type="dxa"/>
            <w:tcBorders/>
            <w:vAlign w:val="center"/>
          </w:tcPr>
          <w:p>
            <w:pPr>
              <w:jc w:val="right"/>
            </w:pPr>
            <w:r>
              <w:rPr>
                <w:rFonts w:ascii="宋体" w:eastAsia="宋体" w:hAnsi="宋体" w:cs="宋体"/>
                <w:b w:val="0"/>
                <w:i w:val="0"/>
                <w:color w:val="000000"/>
                <w:sz w:val="14"/>
              </w:rPr>
              <w:t xml:space="preserve">7.89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14.03</w:t>
            </w:r>
          </w:p>
        </w:tc>
        <w:tc>
          <w:tcPr>
            <w:tcW w:w="1060" w:type="dxa"/>
            <w:tcBorders/>
            <w:vAlign w:val="center"/>
          </w:tcPr>
          <w:p>
            <w:pPr>
              <w:jc w:val="right"/>
            </w:pPr>
            <w:r>
              <w:rPr>
                <w:rFonts w:ascii="宋体" w:eastAsia="宋体" w:hAnsi="宋体" w:cs="宋体"/>
                <w:b w:val="0"/>
                <w:i w:val="0"/>
                <w:color w:val="000000"/>
                <w:sz w:val="14"/>
              </w:rPr>
              <w:t xml:space="preserve">14.03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14.03</w:t>
            </w:r>
          </w:p>
        </w:tc>
        <w:tc>
          <w:tcPr>
            <w:tcW w:w="1060" w:type="dxa"/>
            <w:tcBorders/>
            <w:vAlign w:val="center"/>
          </w:tcPr>
          <w:p>
            <w:pPr>
              <w:jc w:val="right"/>
            </w:pPr>
            <w:r>
              <w:rPr>
                <w:rFonts w:ascii="宋体" w:eastAsia="宋体" w:hAnsi="宋体" w:cs="宋体"/>
                <w:b w:val="0"/>
                <w:i w:val="0"/>
                <w:color w:val="000000"/>
                <w:sz w:val="14"/>
              </w:rPr>
              <w:t xml:space="preserve">14.03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14.03</w:t>
            </w:r>
          </w:p>
        </w:tc>
        <w:tc>
          <w:tcPr>
            <w:tcW w:w="1060" w:type="dxa"/>
            <w:tcBorders/>
            <w:vAlign w:val="center"/>
          </w:tcPr>
          <w:p>
            <w:pPr>
              <w:jc w:val="right"/>
            </w:pPr>
            <w:r>
              <w:rPr>
                <w:rFonts w:ascii="宋体" w:eastAsia="宋体" w:hAnsi="宋体" w:cs="宋体"/>
                <w:b w:val="0"/>
                <w:i w:val="0"/>
                <w:color w:val="000000"/>
                <w:sz w:val="14"/>
              </w:rPr>
              <w:t xml:space="preserve">14.03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49.94</w:t>
            </w:r>
          </w:p>
        </w:tc>
        <w:tc>
          <w:tcPr>
            <w:tcW w:w="1060" w:type="dxa"/>
            <w:tcBorders/>
            <w:vAlign w:val="center"/>
          </w:tcPr>
          <w:p>
            <w:pPr>
              <w:jc w:val="right"/>
            </w:pPr>
            <w:r>
              <w:rPr>
                <w:rFonts w:ascii="宋体" w:eastAsia="宋体" w:hAnsi="宋体" w:cs="宋体"/>
                <w:b w:val="0"/>
                <w:i w:val="0"/>
                <w:color w:val="000000"/>
                <w:sz w:val="14"/>
              </w:rPr>
              <w:t xml:space="preserve">49.94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49.94</w:t>
            </w:r>
          </w:p>
        </w:tc>
        <w:tc>
          <w:tcPr>
            <w:tcW w:w="1060" w:type="dxa"/>
            <w:tcBorders/>
            <w:vAlign w:val="center"/>
          </w:tcPr>
          <w:p>
            <w:pPr>
              <w:jc w:val="right"/>
            </w:pPr>
            <w:r>
              <w:rPr>
                <w:rFonts w:ascii="宋体" w:eastAsia="宋体" w:hAnsi="宋体" w:cs="宋体"/>
                <w:b w:val="0"/>
                <w:i w:val="0"/>
                <w:color w:val="000000"/>
                <w:sz w:val="14"/>
              </w:rPr>
              <w:t xml:space="preserve">49.94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49.94</w:t>
            </w:r>
          </w:p>
        </w:tc>
        <w:tc>
          <w:tcPr>
            <w:tcW w:w="1060" w:type="dxa"/>
            <w:tcBorders/>
            <w:vAlign w:val="center"/>
          </w:tcPr>
          <w:p>
            <w:pPr>
              <w:jc w:val="right"/>
            </w:pPr>
            <w:r>
              <w:rPr>
                <w:rFonts w:ascii="宋体" w:eastAsia="宋体" w:hAnsi="宋体" w:cs="宋体"/>
                <w:b w:val="0"/>
                <w:i w:val="0"/>
                <w:color w:val="000000"/>
                <w:sz w:val="14"/>
              </w:rPr>
              <w:t xml:space="preserve">49.94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单位：辽宁省沈阳高新技术产业开发区人民检察院</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671.52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jc w:val="right"/>
            </w:pPr>
            <w:r>
              <w:rPr>
                <w:rFonts w:ascii="宋体" w:eastAsia="宋体" w:hAnsi="宋体" w:cs="宋体"/>
                <w:b w:val="0"/>
                <w:i w:val="0"/>
                <w:color w:val="000000"/>
                <w:sz w:val="14"/>
              </w:rPr>
              <w:t xml:space="preserve">557.08</w:t>
            </w:r>
          </w:p>
        </w:tc>
        <w:tc>
          <w:tcPr>
            <w:tcW w:w="1100" w:type="dxa"/>
            <w:tcBorders/>
            <w:vAlign w:val="center"/>
          </w:tcPr>
          <w:p>
            <w:pPr>
              <w:jc w:val="right"/>
            </w:pPr>
            <w:r>
              <w:rPr>
                <w:rFonts w:ascii="宋体" w:eastAsia="宋体" w:hAnsi="宋体" w:cs="宋体"/>
                <w:b w:val="0"/>
                <w:i w:val="0"/>
                <w:color w:val="000000"/>
                <w:sz w:val="14"/>
              </w:rPr>
              <w:t xml:space="preserve">557.08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4.54</w:t>
            </w:r>
          </w:p>
        </w:tc>
        <w:tc>
          <w:tcPr>
            <w:tcW w:w="1100" w:type="dxa"/>
            <w:tcBorders/>
            <w:vAlign w:val="center"/>
          </w:tcPr>
          <w:p>
            <w:pPr>
              <w:jc w:val="right"/>
            </w:pPr>
            <w:r>
              <w:rPr>
                <w:rFonts w:ascii="宋体" w:eastAsia="宋体" w:hAnsi="宋体" w:cs="宋体"/>
                <w:b w:val="0"/>
                <w:i w:val="0"/>
                <w:color w:val="000000"/>
                <w:sz w:val="14"/>
              </w:rPr>
              <w:t xml:space="preserve">4.54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45.93</w:t>
            </w:r>
          </w:p>
        </w:tc>
        <w:tc>
          <w:tcPr>
            <w:tcW w:w="1100" w:type="dxa"/>
            <w:tcBorders/>
            <w:vAlign w:val="center"/>
          </w:tcPr>
          <w:p>
            <w:pPr>
              <w:jc w:val="right"/>
            </w:pPr>
            <w:r>
              <w:rPr>
                <w:rFonts w:ascii="宋体" w:eastAsia="宋体" w:hAnsi="宋体" w:cs="宋体"/>
                <w:b w:val="0"/>
                <w:i w:val="0"/>
                <w:color w:val="000000"/>
                <w:sz w:val="14"/>
              </w:rPr>
              <w:t xml:space="preserve">45.93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14.03</w:t>
            </w:r>
          </w:p>
        </w:tc>
        <w:tc>
          <w:tcPr>
            <w:tcW w:w="1100" w:type="dxa"/>
            <w:tcBorders/>
            <w:vAlign w:val="center"/>
          </w:tcPr>
          <w:p>
            <w:pPr>
              <w:jc w:val="right"/>
            </w:pPr>
            <w:r>
              <w:rPr>
                <w:rFonts w:ascii="宋体" w:eastAsia="宋体" w:hAnsi="宋体" w:cs="宋体"/>
                <w:b w:val="0"/>
                <w:i w:val="0"/>
                <w:color w:val="000000"/>
                <w:sz w:val="14"/>
              </w:rPr>
              <w:t xml:space="preserve">14.03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49.94</w:t>
            </w:r>
          </w:p>
        </w:tc>
        <w:tc>
          <w:tcPr>
            <w:tcW w:w="1100" w:type="dxa"/>
            <w:tcBorders/>
            <w:vAlign w:val="center"/>
          </w:tcPr>
          <w:p>
            <w:pPr>
              <w:jc w:val="right"/>
            </w:pPr>
            <w:r>
              <w:rPr>
                <w:rFonts w:ascii="宋体" w:eastAsia="宋体" w:hAnsi="宋体" w:cs="宋体"/>
                <w:b w:val="0"/>
                <w:i w:val="0"/>
                <w:color w:val="000000"/>
                <w:sz w:val="14"/>
              </w:rPr>
              <w:t xml:space="preserve">49.94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671.52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671.52</w:t>
            </w:r>
          </w:p>
        </w:tc>
        <w:tc>
          <w:tcPr>
            <w:tcW w:w="1100" w:type="dxa"/>
            <w:tcBorders/>
            <w:vAlign w:val="center"/>
          </w:tcPr>
          <w:p>
            <w:pPr>
              <w:jc w:val="right"/>
            </w:pPr>
            <w:r>
              <w:rPr>
                <w:rFonts w:ascii="宋体" w:eastAsia="宋体" w:hAnsi="宋体" w:cs="宋体"/>
                <w:b w:val="0"/>
                <w:i w:val="0"/>
                <w:color w:val="000000"/>
                <w:sz w:val="14"/>
              </w:rPr>
              <w:t xml:space="preserve">671.52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671.52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671.52</w:t>
            </w:r>
          </w:p>
        </w:tc>
        <w:tc>
          <w:tcPr>
            <w:tcW w:w="1100" w:type="dxa"/>
            <w:tcBorders/>
            <w:vAlign w:val="center"/>
          </w:tcPr>
          <w:p>
            <w:pPr>
              <w:jc w:val="right"/>
            </w:pPr>
            <w:r>
              <w:rPr>
                <w:rFonts w:ascii="宋体" w:eastAsia="宋体" w:hAnsi="宋体" w:cs="宋体"/>
                <w:b w:val="0"/>
                <w:i w:val="0"/>
                <w:color w:val="000000"/>
                <w:sz w:val="14"/>
              </w:rPr>
              <w:t xml:space="preserve">671.52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单位：辽宁省沈阳高新技术产业开发区人民检察院</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671.52</w:t>
            </w:r>
          </w:p>
        </w:tc>
        <w:tc>
          <w:tcPr>
            <w:tcW w:w="1780" w:type="dxa"/>
            <w:tcBorders/>
            <w:vAlign w:val="center"/>
          </w:tcPr>
          <w:p>
            <w:pPr>
              <w:jc w:val="right"/>
            </w:pPr>
            <w:r>
              <w:rPr>
                <w:rFonts w:ascii="宋体" w:eastAsia="宋体" w:hAnsi="宋体" w:cs="宋体"/>
                <w:b/>
                <w:i w:val="0"/>
                <w:color w:val="000000"/>
                <w:sz w:val="18"/>
              </w:rPr>
              <w:t xml:space="preserve">407.26</w:t>
            </w:r>
          </w:p>
        </w:tc>
        <w:tc>
          <w:tcPr>
            <w:tcW w:w="1772" w:type="dxa"/>
            <w:tcBorders/>
            <w:vAlign w:val="center"/>
          </w:tcPr>
          <w:p>
            <w:pPr>
              <w:jc w:val="right"/>
            </w:pPr>
            <w:r>
              <w:rPr>
                <w:rFonts w:ascii="宋体" w:eastAsia="宋体" w:hAnsi="宋体" w:cs="宋体"/>
                <w:b/>
                <w:i w:val="0"/>
                <w:color w:val="000000"/>
                <w:sz w:val="18"/>
              </w:rPr>
              <w:t xml:space="preserve">264.26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w:t>
            </w:r>
          </w:p>
        </w:tc>
        <w:tc>
          <w:tcPr>
            <w:tcW w:w="4300" w:type="dxa"/>
            <w:tcBorders/>
            <w:vAlign w:val="center"/>
          </w:tcPr>
          <w:p>
            <w:pPr>
              <w:jc w:val="left"/>
            </w:pPr>
            <w:r>
              <w:rPr>
                <w:rFonts w:ascii="宋体" w:eastAsia="宋体" w:hAnsi="宋体" w:cs="宋体"/>
                <w:b w:val="0"/>
                <w:i w:val="0"/>
                <w:color w:val="000000"/>
                <w:sz w:val="18"/>
              </w:rPr>
              <w:t xml:space="preserve">公共安全支出</w:t>
            </w:r>
          </w:p>
        </w:tc>
        <w:tc>
          <w:tcPr>
            <w:tcW w:w="1780" w:type="dxa"/>
            <w:tcBorders/>
            <w:vAlign w:val="center"/>
          </w:tcPr>
          <w:p>
            <w:pPr>
              <w:jc w:val="right"/>
            </w:pPr>
            <w:r>
              <w:rPr>
                <w:rFonts w:ascii="宋体" w:eastAsia="宋体" w:hAnsi="宋体" w:cs="宋体"/>
                <w:b w:val="0"/>
                <w:i w:val="0"/>
                <w:color w:val="000000"/>
                <w:sz w:val="18"/>
              </w:rPr>
              <w:t xml:space="preserve">557.08</w:t>
            </w:r>
          </w:p>
        </w:tc>
        <w:tc>
          <w:tcPr>
            <w:tcW w:w="1780" w:type="dxa"/>
            <w:tcBorders/>
            <w:vAlign w:val="center"/>
          </w:tcPr>
          <w:p>
            <w:pPr>
              <w:jc w:val="right"/>
            </w:pPr>
            <w:r>
              <w:rPr>
                <w:rFonts w:ascii="宋体" w:eastAsia="宋体" w:hAnsi="宋体" w:cs="宋体"/>
                <w:b w:val="0"/>
                <w:i w:val="0"/>
                <w:color w:val="000000"/>
                <w:sz w:val="18"/>
              </w:rPr>
              <w:t xml:space="preserve">297.36</w:t>
            </w:r>
          </w:p>
        </w:tc>
        <w:tc>
          <w:tcPr>
            <w:tcW w:w="1772" w:type="dxa"/>
            <w:tcBorders/>
            <w:vAlign w:val="center"/>
          </w:tcPr>
          <w:p>
            <w:pPr>
              <w:jc w:val="right"/>
            </w:pPr>
            <w:r>
              <w:rPr>
                <w:rFonts w:ascii="宋体" w:eastAsia="宋体" w:hAnsi="宋体" w:cs="宋体"/>
                <w:b w:val="0"/>
                <w:i w:val="0"/>
                <w:color w:val="000000"/>
                <w:sz w:val="18"/>
              </w:rPr>
              <w:t xml:space="preserve">259.72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20404</w:t>
            </w:r>
          </w:p>
        </w:tc>
        <w:tc>
          <w:tcPr>
            <w:tcW w:w="4300" w:type="dxa"/>
            <w:tcBorders/>
            <w:vAlign w:val="center"/>
          </w:tcPr>
          <w:p>
            <w:pPr>
              <w:jc w:val="left"/>
            </w:pPr>
            <w:r>
              <w:rPr>
                <w:rFonts w:ascii="宋体" w:eastAsia="宋体" w:hAnsi="宋体" w:cs="宋体"/>
                <w:b w:val="0"/>
                <w:i w:val="0"/>
                <w:color w:val="000000"/>
                <w:sz w:val="18"/>
              </w:rPr>
              <w:t xml:space="preserve">检察</w:t>
            </w:r>
          </w:p>
        </w:tc>
        <w:tc>
          <w:tcPr>
            <w:tcW w:w="1780" w:type="dxa"/>
            <w:tcBorders/>
            <w:vAlign w:val="center"/>
          </w:tcPr>
          <w:p>
            <w:pPr>
              <w:jc w:val="right"/>
            </w:pPr>
            <w:r>
              <w:rPr>
                <w:rFonts w:ascii="宋体" w:eastAsia="宋体" w:hAnsi="宋体" w:cs="宋体"/>
                <w:b w:val="0"/>
                <w:i w:val="0"/>
                <w:color w:val="000000"/>
                <w:sz w:val="18"/>
              </w:rPr>
              <w:t xml:space="preserve">557.08</w:t>
            </w:r>
          </w:p>
        </w:tc>
        <w:tc>
          <w:tcPr>
            <w:tcW w:w="1780" w:type="dxa"/>
            <w:tcBorders/>
            <w:vAlign w:val="center"/>
          </w:tcPr>
          <w:p>
            <w:pPr>
              <w:jc w:val="right"/>
            </w:pPr>
            <w:r>
              <w:rPr>
                <w:rFonts w:ascii="宋体" w:eastAsia="宋体" w:hAnsi="宋体" w:cs="宋体"/>
                <w:b w:val="0"/>
                <w:i w:val="0"/>
                <w:color w:val="000000"/>
                <w:sz w:val="18"/>
              </w:rPr>
              <w:t xml:space="preserve">297.36</w:t>
            </w:r>
          </w:p>
        </w:tc>
        <w:tc>
          <w:tcPr>
            <w:tcW w:w="1772" w:type="dxa"/>
            <w:tcBorders/>
            <w:vAlign w:val="center"/>
          </w:tcPr>
          <w:p>
            <w:pPr>
              <w:jc w:val="right"/>
            </w:pPr>
            <w:r>
              <w:rPr>
                <w:rFonts w:ascii="宋体" w:eastAsia="宋体" w:hAnsi="宋体" w:cs="宋体"/>
                <w:b w:val="0"/>
                <w:i w:val="0"/>
                <w:color w:val="000000"/>
                <w:sz w:val="18"/>
              </w:rPr>
              <w:t xml:space="preserve">259.72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2040401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297.36</w:t>
            </w:r>
          </w:p>
        </w:tc>
        <w:tc>
          <w:tcPr>
            <w:tcW w:w="1780" w:type="dxa"/>
            <w:tcBorders/>
            <w:vAlign w:val="center"/>
          </w:tcPr>
          <w:p>
            <w:pPr>
              <w:jc w:val="right"/>
            </w:pPr>
            <w:r>
              <w:rPr>
                <w:rFonts w:ascii="宋体" w:eastAsia="宋体" w:hAnsi="宋体" w:cs="宋体"/>
                <w:b w:val="0"/>
                <w:i w:val="0"/>
                <w:color w:val="000000"/>
                <w:sz w:val="18"/>
              </w:rPr>
              <w:t xml:space="preserve">297.36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2040402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243.85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243.85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2040410</w:t>
            </w:r>
          </w:p>
        </w:tc>
        <w:tc>
          <w:tcPr>
            <w:tcW w:w="4300" w:type="dxa"/>
            <w:tcBorders/>
            <w:vAlign w:val="center"/>
          </w:tcPr>
          <w:p>
            <w:pPr>
              <w:jc w:val="left"/>
            </w:pPr>
            <w:r>
              <w:rPr>
                <w:rFonts w:ascii="宋体" w:eastAsia="宋体" w:hAnsi="宋体" w:cs="宋体"/>
                <w:b w:val="0"/>
                <w:i w:val="0"/>
                <w:color w:val="000000"/>
                <w:sz w:val="18"/>
              </w:rPr>
              <w:t xml:space="preserve">检察监督</w:t>
            </w:r>
          </w:p>
        </w:tc>
        <w:tc>
          <w:tcPr>
            <w:tcW w:w="1780" w:type="dxa"/>
            <w:tcBorders/>
            <w:vAlign w:val="center"/>
          </w:tcPr>
          <w:p>
            <w:pPr>
              <w:jc w:val="right"/>
            </w:pPr>
            <w:r>
              <w:rPr>
                <w:rFonts w:ascii="宋体" w:eastAsia="宋体" w:hAnsi="宋体" w:cs="宋体"/>
                <w:b w:val="0"/>
                <w:i w:val="0"/>
                <w:color w:val="000000"/>
                <w:sz w:val="18"/>
              </w:rPr>
              <w:t xml:space="preserve">15.87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15.87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4.54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4.54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2050803</w:t>
            </w:r>
          </w:p>
        </w:tc>
        <w:tc>
          <w:tcPr>
            <w:tcW w:w="4300" w:type="dxa"/>
            <w:tcBorders/>
            <w:vAlign w:val="center"/>
          </w:tcPr>
          <w:p>
            <w:pPr>
              <w:jc w:val="left"/>
            </w:pPr>
            <w:r>
              <w:rPr>
                <w:rFonts w:ascii="宋体" w:eastAsia="宋体" w:hAnsi="宋体" w:cs="宋体"/>
                <w:b w:val="0"/>
                <w:i w:val="0"/>
                <w:color w:val="000000"/>
                <w:sz w:val="18"/>
              </w:rPr>
              <w:t xml:space="preserve">培训支出</w:t>
            </w:r>
          </w:p>
        </w:tc>
        <w:tc>
          <w:tcPr>
            <w:tcW w:w="1780" w:type="dxa"/>
            <w:tcBorders/>
            <w:vAlign w:val="center"/>
          </w:tcPr>
          <w:p>
            <w:pPr>
              <w:jc w:val="right"/>
            </w:pPr>
            <w:r>
              <w:rPr>
                <w:rFonts w:ascii="宋体" w:eastAsia="宋体" w:hAnsi="宋体" w:cs="宋体"/>
                <w:b w:val="0"/>
                <w:i w:val="0"/>
                <w:color w:val="000000"/>
                <w:sz w:val="18"/>
              </w:rPr>
              <w:t xml:space="preserve">4.54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45.93</w:t>
            </w:r>
          </w:p>
        </w:tc>
        <w:tc>
          <w:tcPr>
            <w:tcW w:w="1780" w:type="dxa"/>
            <w:tcBorders/>
            <w:vAlign w:val="center"/>
          </w:tcPr>
          <w:p>
            <w:pPr>
              <w:jc w:val="right"/>
            </w:pPr>
            <w:r>
              <w:rPr>
                <w:rFonts w:ascii="宋体" w:eastAsia="宋体" w:hAnsi="宋体" w:cs="宋体"/>
                <w:b w:val="0"/>
                <w:i w:val="0"/>
                <w:color w:val="000000"/>
                <w:sz w:val="18"/>
              </w:rPr>
              <w:t xml:space="preserve">45.93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45.93</w:t>
            </w:r>
          </w:p>
        </w:tc>
        <w:tc>
          <w:tcPr>
            <w:tcW w:w="1780" w:type="dxa"/>
            <w:tcBorders/>
            <w:vAlign w:val="center"/>
          </w:tcPr>
          <w:p>
            <w:pPr>
              <w:jc w:val="right"/>
            </w:pPr>
            <w:r>
              <w:rPr>
                <w:rFonts w:ascii="宋体" w:eastAsia="宋体" w:hAnsi="宋体" w:cs="宋体"/>
                <w:b w:val="0"/>
                <w:i w:val="0"/>
                <w:color w:val="000000"/>
                <w:sz w:val="18"/>
              </w:rPr>
              <w:t xml:space="preserve">45.93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0.55</w:t>
            </w:r>
          </w:p>
        </w:tc>
        <w:tc>
          <w:tcPr>
            <w:tcW w:w="1780" w:type="dxa"/>
            <w:tcBorders/>
            <w:vAlign w:val="center"/>
          </w:tcPr>
          <w:p>
            <w:pPr>
              <w:jc w:val="right"/>
            </w:pPr>
            <w:r>
              <w:rPr>
                <w:rFonts w:ascii="宋体" w:eastAsia="宋体" w:hAnsi="宋体" w:cs="宋体"/>
                <w:b w:val="0"/>
                <w:i w:val="0"/>
                <w:color w:val="000000"/>
                <w:sz w:val="18"/>
              </w:rPr>
              <w:t xml:space="preserve">0.55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37.49</w:t>
            </w:r>
          </w:p>
        </w:tc>
        <w:tc>
          <w:tcPr>
            <w:tcW w:w="1780" w:type="dxa"/>
            <w:tcBorders/>
            <w:vAlign w:val="center"/>
          </w:tcPr>
          <w:p>
            <w:pPr>
              <w:jc w:val="right"/>
            </w:pPr>
            <w:r>
              <w:rPr>
                <w:rFonts w:ascii="宋体" w:eastAsia="宋体" w:hAnsi="宋体" w:cs="宋体"/>
                <w:b w:val="0"/>
                <w:i w:val="0"/>
                <w:color w:val="000000"/>
                <w:sz w:val="18"/>
              </w:rPr>
              <w:t xml:space="preserve">37.49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7.89</w:t>
            </w:r>
          </w:p>
        </w:tc>
        <w:tc>
          <w:tcPr>
            <w:tcW w:w="1780" w:type="dxa"/>
            <w:tcBorders/>
            <w:vAlign w:val="center"/>
          </w:tcPr>
          <w:p>
            <w:pPr>
              <w:jc w:val="right"/>
            </w:pPr>
            <w:r>
              <w:rPr>
                <w:rFonts w:ascii="宋体" w:eastAsia="宋体" w:hAnsi="宋体" w:cs="宋体"/>
                <w:b w:val="0"/>
                <w:i w:val="0"/>
                <w:color w:val="000000"/>
                <w:sz w:val="18"/>
              </w:rPr>
              <w:t xml:space="preserve">7.89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14.03</w:t>
            </w:r>
          </w:p>
        </w:tc>
        <w:tc>
          <w:tcPr>
            <w:tcW w:w="1780" w:type="dxa"/>
            <w:tcBorders/>
            <w:vAlign w:val="center"/>
          </w:tcPr>
          <w:p>
            <w:pPr>
              <w:jc w:val="right"/>
            </w:pPr>
            <w:r>
              <w:rPr>
                <w:rFonts w:ascii="宋体" w:eastAsia="宋体" w:hAnsi="宋体" w:cs="宋体"/>
                <w:b w:val="0"/>
                <w:i w:val="0"/>
                <w:color w:val="000000"/>
                <w:sz w:val="18"/>
              </w:rPr>
              <w:t xml:space="preserve">14.03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14.03</w:t>
            </w:r>
          </w:p>
        </w:tc>
        <w:tc>
          <w:tcPr>
            <w:tcW w:w="1780" w:type="dxa"/>
            <w:tcBorders/>
            <w:vAlign w:val="center"/>
          </w:tcPr>
          <w:p>
            <w:pPr>
              <w:jc w:val="right"/>
            </w:pPr>
            <w:r>
              <w:rPr>
                <w:rFonts w:ascii="宋体" w:eastAsia="宋体" w:hAnsi="宋体" w:cs="宋体"/>
                <w:b w:val="0"/>
                <w:i w:val="0"/>
                <w:color w:val="000000"/>
                <w:sz w:val="18"/>
              </w:rPr>
              <w:t xml:space="preserve">14.03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14.03</w:t>
            </w:r>
          </w:p>
        </w:tc>
        <w:tc>
          <w:tcPr>
            <w:tcW w:w="1780" w:type="dxa"/>
            <w:tcBorders/>
            <w:vAlign w:val="center"/>
          </w:tcPr>
          <w:p>
            <w:pPr>
              <w:jc w:val="right"/>
            </w:pPr>
            <w:r>
              <w:rPr>
                <w:rFonts w:ascii="宋体" w:eastAsia="宋体" w:hAnsi="宋体" w:cs="宋体"/>
                <w:b w:val="0"/>
                <w:i w:val="0"/>
                <w:color w:val="000000"/>
                <w:sz w:val="18"/>
              </w:rPr>
              <w:t xml:space="preserve">14.03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49.94</w:t>
            </w:r>
          </w:p>
        </w:tc>
        <w:tc>
          <w:tcPr>
            <w:tcW w:w="1780" w:type="dxa"/>
            <w:tcBorders/>
            <w:vAlign w:val="center"/>
          </w:tcPr>
          <w:p>
            <w:pPr>
              <w:jc w:val="right"/>
            </w:pPr>
            <w:r>
              <w:rPr>
                <w:rFonts w:ascii="宋体" w:eastAsia="宋体" w:hAnsi="宋体" w:cs="宋体"/>
                <w:b w:val="0"/>
                <w:i w:val="0"/>
                <w:color w:val="000000"/>
                <w:sz w:val="18"/>
              </w:rPr>
              <w:t xml:space="preserve">49.94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49.94</w:t>
            </w:r>
          </w:p>
        </w:tc>
        <w:tc>
          <w:tcPr>
            <w:tcW w:w="1780" w:type="dxa"/>
            <w:tcBorders/>
            <w:vAlign w:val="center"/>
          </w:tcPr>
          <w:p>
            <w:pPr>
              <w:jc w:val="right"/>
            </w:pPr>
            <w:r>
              <w:rPr>
                <w:rFonts w:ascii="宋体" w:eastAsia="宋体" w:hAnsi="宋体" w:cs="宋体"/>
                <w:b w:val="0"/>
                <w:i w:val="0"/>
                <w:color w:val="000000"/>
                <w:sz w:val="18"/>
              </w:rPr>
              <w:t xml:space="preserve">49.94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49.94</w:t>
            </w:r>
          </w:p>
        </w:tc>
        <w:tc>
          <w:tcPr>
            <w:tcW w:w="1780" w:type="dxa"/>
            <w:tcBorders/>
            <w:vAlign w:val="center"/>
          </w:tcPr>
          <w:p>
            <w:pPr>
              <w:jc w:val="right"/>
            </w:pPr>
            <w:r>
              <w:rPr>
                <w:rFonts w:ascii="宋体" w:eastAsia="宋体" w:hAnsi="宋体" w:cs="宋体"/>
                <w:b w:val="0"/>
                <w:i w:val="0"/>
                <w:color w:val="000000"/>
                <w:sz w:val="18"/>
              </w:rPr>
              <w:t xml:space="preserve">49.94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单位：辽宁省沈阳高新技术产业开发区人民检察院</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368.84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37.88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97.72</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2.98</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87.42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66.47</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6.93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37.49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7.89</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11.92</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14.03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0.94</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1.59</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49.94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0.55</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0.55</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1.73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jc w:val="right"/>
            </w:pPr>
            <w:r>
              <w:rPr>
                <w:rFonts w:ascii="宋体" w:eastAsia="宋体" w:hAnsi="宋体" w:cs="宋体"/>
                <w:b w:val="0"/>
                <w:i w:val="0"/>
                <w:color w:val="000000"/>
                <w:sz w:val="14"/>
              </w:rPr>
              <w:t xml:space="preserve">2.44</w:t>
            </w: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17.23</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369.39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37.88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单位：辽宁省沈阳高新技术产业开发区人民检察院</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jc w:val="right"/>
            </w:pPr>
            <w:r>
              <w:rPr>
                <w:rFonts w:ascii="宋体" w:eastAsia="宋体" w:hAnsi="宋体" w:cs="宋体"/>
                <w:b w:val="0"/>
                <w:i w:val="0"/>
                <w:color w:val="000000"/>
                <w:sz w:val="23"/>
              </w:rPr>
              <w:t xml:space="preserve">16.20</w:t>
            </w:r>
          </w:p>
        </w:tc>
        <w:tc>
          <w:tcPr>
            <w:tcW w:w="3092" w:type="dxa"/>
            <w:tcBorders/>
            <w:vAlign w:val="center"/>
          </w:tcPr>
          <w:p>
            <w:pPr>
              <w:jc w:val="right"/>
            </w:pPr>
            <w:r>
              <w:rPr>
                <w:rFonts w:ascii="宋体" w:eastAsia="宋体" w:hAnsi="宋体" w:cs="宋体"/>
                <w:b w:val="0"/>
                <w:i w:val="0"/>
                <w:color w:val="000000"/>
                <w:sz w:val="23"/>
              </w:rPr>
              <w:t xml:space="preserve">2.44</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16.20</w:t>
            </w:r>
          </w:p>
        </w:tc>
        <w:tc>
          <w:tcPr>
            <w:tcW w:w="3092" w:type="dxa"/>
            <w:tcBorders/>
            <w:vAlign w:val="center"/>
          </w:tcPr>
          <w:p>
            <w:pPr>
              <w:jc w:val="right"/>
            </w:pPr>
            <w:r>
              <w:rPr>
                <w:rFonts w:ascii="宋体" w:eastAsia="宋体" w:hAnsi="宋体" w:cs="宋体"/>
                <w:b w:val="0"/>
                <w:i w:val="0"/>
                <w:color w:val="000000"/>
                <w:sz w:val="23"/>
              </w:rPr>
              <w:t xml:space="preserve">2.44</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16.20</w:t>
            </w:r>
          </w:p>
        </w:tc>
        <w:tc>
          <w:tcPr>
            <w:tcW w:w="3092" w:type="dxa"/>
            <w:tcBorders/>
            <w:vAlign w:val="center"/>
          </w:tcPr>
          <w:p>
            <w:pPr>
              <w:jc w:val="right"/>
            </w:pPr>
            <w:r>
              <w:rPr>
                <w:rFonts w:ascii="宋体" w:eastAsia="宋体" w:hAnsi="宋体" w:cs="宋体"/>
                <w:b w:val="0"/>
                <w:i w:val="0"/>
                <w:color w:val="000000"/>
                <w:sz w:val="23"/>
              </w:rPr>
              <w:t xml:space="preserve">2.44</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单位：辽宁省沈阳高新技术产业开发区人民检察院</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单位：辽宁省沈阳高新技术产业开发区人民检察院</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IP电话及三远一网服务费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保障新大楼正常通信及线上工作。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保障新大楼正常通信及线上工作。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保障话机数量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号段覆盖号码个数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报修应答时间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分钟</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23424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23424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线上工作顺利完成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互联网线路畅通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搬家费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保障大楼日常工作的正常运行。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完成了检法大厦中新功能室采购，保障了检察日常工作的正常运行。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布置专用工作区域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资金惠及人员数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资金支付完成月份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经费保障:我院根据工作需要执行了项目采购，并在合同履行完毕后进行了验收，但由于财政资金紧张，资金申请未批复，我院未能支付全部款项。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经费保障:相关项目已全部履行并完成验收，后续年度将不再列入预算而是作为欠款进行清付，待财政资金允许时，我院会第一时间按照合同约定完成欠款支付。</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2836000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工作正常开展率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确保搬迁后工作顺利推进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22.76304654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档案电子化建设及归档管理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完成对电子档案资料进行卷内目录编辑、核对、卷内分件挂接等精细化处理，包括数字档案备份、卷内目录录入、卷内文件核对、电子卷册分件、电子分件质检、软件分件挂接等。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由于财政资金紧张，我院按照财政要求在开展工作前与财政提前沟通确认了该预算能够及时拨付的可能性，在得到不确定答复后，为避免产生更多积压欠款，本年未开展该项工作。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精细化处理项目数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覆盖电子档案数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资金支付完成月份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对持续保障检察工作顺利开展的影响程度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工作热情和工作效率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干部培训费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90.83%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保证各类培训工作的顺利进行。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保障了各类培训工作的顺利进行。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资金支付完成月份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45414.4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检察工作人员业务水平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对持续保障检察工作顺利开展的影响程度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89.08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检察工作网建设相关设备</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保障检察工作网建设。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由于财政资金紧张，我院按照财政要求在开展工作前与财政提前沟通确认了该预算能够及时拨付的可能性，在得到不确定答复后，为避免产生更多积压欠款，本年未开展该项工作。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资金支付完成月份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工作热情和工作效率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对持续保障检察工作顺利开展的影响程度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467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经费保障:由于财政资金紧张，我院按照财政要求在开展工作前与财政提前沟通确认了该预算能够及时拨付的可能性，在得到不确定答复后，为避免产生更多积压欠款，本年未开展该项工作。</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经费保障:为顺利开展该项工作下一年需要继续申请该预算，为避免产生积压欠款会按照财政要求在开展工作前与财政提前沟通确认预算拨付的可能性，在得到肯定答复后及时开展工作。</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检察机关新媒体建设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保证新媒体工作顺利进行。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保证了新媒体工作的顺利进行。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新媒体平台数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周更新数量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78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资金支付完成月份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经费保障:我院根据工作需要执行了项目采购，并在合同约定的服务期满后进行了验收，但由于财政资金紧张，资金申请未批复，我院未能支付款项。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经费保障:该工作每年都要开展，在下一年仍需继续申请该项目预算，本年的欠款需待财政资金允许时，第一时间按照合同约定完成欠款支付。</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18600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提升检察业务宣传效果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对持续保障检察工作顺利开展的影响程度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检察业务费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保障检察办案业务的日常推进。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保障检察办案业务的日常推进。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办公费用覆盖工作人员数量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办理案件数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资金支付完成月份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158695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检察工作人员业务水平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长效管理制度完善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8.9347295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检察院服装购置费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保证人员服装的换发。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由省检察院进行了检察夏装的统一采购，并签订了合同，但由于财政资金紧张，资金申请未批复，我院未能支付服装款。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制服配发的人数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经费保障:由省检察院进行了检察夏装的统一采购，并签订了合同，但由于财政资金紧张，资金申请未批复，我院未能支付服装款，商家不发货，我院无法进行制服配发。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经费保障:待财政资金允许时第一时间按照合同约定完成70%的款项支付，并在收到服装后进行验收，再完成剩余30%合同额的支付。</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夏装更新覆盖人数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经费保障:由省检察院进行了检察夏装的统一采购，并签订了合同，但由于财政资金紧张，资金申请未批复，我院未能支付服装款，商家不发货，我院无法进行验收。</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经费保障:待财政资金允许时第一时间按照合同约定完成70%的款项支付，并在收到服装后进行验收，再完成剩余30%合同额的支付。</w:t>
            </w:r>
          </w:p>
          <w:p>
            <w:pPr>
              <w:snapToGrid w:val="0"/>
              <w:spacing w:before="0" w:beforeAutospacing="0" w:after="0" w:afterAutospacing="0" w:line="240" w:lineRule="auto"/>
              <w:jc w:val="left"/>
              <w:rP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制服质量合格率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经费保障:由省检察院进行了检察夏装的统一采购，并签订了合同，但由于财政资金紧张，资金申请未批复，我院未能支付服装款，商家不发货，我院无法进行验收。</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经费保障:待财政资金允许时第一时间按照合同约定完成70%的款项支付，并在收到服装后进行验收，再完成剩余30%合同额的支付。</w:t>
            </w:r>
          </w:p>
          <w:p>
            <w:pPr>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资金支付完成月份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经费保障:由省检察院进行了检察夏装的统一采购，并签订了合同，但由于财政资金紧张，资金申请未批复，我院未能支付服装款。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经费保障:待财政资金允许时第一时间按照合同约定完成70%的款项支付，并在收到服装后进行验收，再完成剩余30%合同额的支付。</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14812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14367.99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工作人员制服配备率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经费保障:由省检察院进行了检察夏装的统一采购，并签订了合同，但由于财政资金紧张，资金申请未批复，我院未能支付服装款，商家不发货，我院无法进行制服配发。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经费保障:待财政资金允许时第一时间按照合同约定完成70%的款项支付，并在收到服装后进行验收，再完成剩余30%合同额的支付。</w:t>
            </w:r>
          </w:p>
          <w:p>
            <w:pPr>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保障检察机关纪律性、严肃性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经费保障:由省检察院进行了检察夏装的统一采购，并签订了合同，但由于财政资金紧张，资金申请未批复，我院未能支付服装款，商家不发货，我院无法进行制服配发。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经费保障:待财政资金允许时第一时间按照合同约定完成70%的款项支付，并在收到服装后进行验收，再完成剩余30%合同额的支付。</w:t>
            </w:r>
          </w:p>
          <w:p>
            <w:pPr>
              <w:snapToGrid w:val="0"/>
              <w:spacing w:before="0" w:beforeAutospacing="0" w:after="0" w:afterAutospacing="0" w:line="240" w:lineRule="auto"/>
              <w:jc w:val="left"/>
              <w:rP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经费保障:由省检察院进行了检察夏装的统一采购，并签订了合同，但由于财政资金紧张，资金申请未批复，我院未能支付服装款，商家不发货，我院无法进行制服配发。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经费保障:待财政资金允许时第一时间按照合同约定完成70%的款项支付，并在收到服装后进行验收，再完成剩余30%合同额的支付。</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本年按照残联给出的公式进行了残疾人就业保障金的测算，并缴纳了相应金额。</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其他:年初指标设置不合理，我院未雇佣残疾人，所以应按照文件公式核定我院应缴残疾人就业保障金。</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其他:年初指标设置不合理，我院未雇佣残疾人，所以应按照文件公式核定我院应缴残疾人就业保障金，下一年不再设置该指标。</w:t>
            </w:r>
          </w:p>
          <w:p>
            <w:pPr>
              <w:snapToGrid w:val="0"/>
              <w:spacing w:before="0" w:beforeAutospacing="0" w:after="0" w:afterAutospacing="0" w:line="240" w:lineRule="auto"/>
              <w:jc w:val="left"/>
              <w:rPr/>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制度保障:年初预算的残疾人就业保障金经费标准为残联给出的预估数，与实际缴纳时残联给出的实际标准会有少许出入。</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制度保障:指标设置不合理，年初预算的残疾人就业保障金经费标准为残联给出的预估数，与实际缴纳时残联给出的实际标准会有少许出入，此处应设置为小于等于。</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残疾人生活自理和社会参与能力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各级财政资金到位率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29070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28825.53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促进残疾人就业增收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主管单位满意度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83.11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64.32%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保障派遣制人员办公费及伙食费支出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保障了我院派遣制人员办公费及伙食费支出。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发放总人数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3994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经费保障:财政由于资金不足，对预算经费标准进行了压减，压减公用经费标准为原有标准的90%，即3994*0.9=3595元。</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经费保障:根据财政要求对公用经费标准进行压减，严格遵守中央八项规定，厉行勤俭节约，在保障运转的情况下节省经费支出。</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保质保量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发放正确率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资金支付完成月份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项目资金使用规范性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法律监督质效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工作热情和工作效率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16.60233642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派遣制人员工资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96.68%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为派遣制人员发放工资，缴纳相关社会保险和住房公积金。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为派遣制人员发放了全年共计12个月的工资，缴纳相关社会保险和住房公积金。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发放总人数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54703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56001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发放正确率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保质保量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资金支付完成月份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项目资金使用规范性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法律监督质效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工作热情和工作效率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司法救助资金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保障司法救助工作的进行。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本年未发生司法救助项目。</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司法救助人数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其他:本年我院未发生司法救助项目和与司法救助相关的事项，故没有产生司法救助相关支出，预算未使用。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其他:近几年我院皆未发生司法救助项目和与司法救助相关的事项，考虑到财政资金紧张的现状和可能出现的司法救助需求，下一年将该项目并入检察专项业务经费项目预算中。</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司法救助案件数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其他:本年我院未发生司法救助项目和与司法救助相关的事项，故没有产生司法救助相关支出，预算未使用。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其他:近几年我院皆未发生司法救助项目和与司法救助相关的事项，考虑到财政资金紧张的现状和可能出现的司法救助需求，下一年将该项目并入检察专项业务经费项目预算中。</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其他:本年我院未发生司法救助项目和与司法救助相关的事项，故没有产生司法救助相关支出，预算未使用。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其他:近几年我院皆未发生司法救助项目和与司法救助相关的事项，考虑到财政资金紧张的现状和可能出现的司法救助需求，下一年将该项目并入检察专项业务经费项目预算中。</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其他:本年我院未发生司法救助项目和与司法救助相关的事项，故没有产生司法救助相关支出，预算未使用。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其他:近几年我院皆未发生司法救助项目和与司法救助相关的事项，考虑到财政资金紧张的现状和可能出现的司法救助需求，下一年将该项目并入检察专项业务经费项目预算中。</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资金支付完成月份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其他:本年我院未发生司法救助项目和与司法救助相关的事项，故没有产生司法救助相关支出，预算未使用。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其他:近几年我院皆未发生司法救助项目和与司法救助相关的事项，考虑到财政资金紧张的现状和可能出现的司法救助需求，下一年将该项目并入检察专项业务经费项目预算中。</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其他:本年我院未发生司法救助项目和与司法救助相关的事项，故没有产生司法救助相关支出，预算未使用。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其他:近几年我院皆未发生司法救助项目和与司法救助相关的事项，考虑到财政资金紧张的现状和可能出现的司法救助需求，下一年将该项目并入检察专项业务经费项目预算中。</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优化法治环境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其他:本年我院未发生司法救助项目和与司法救助相关的事项，故没有产生司法救助相关支出，预算未使用。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其他:近几年我院皆未发生司法救助项目和与司法救助相关的事项，考虑到财政资金紧张的现状和可能出现的司法救助需求，下一年将该项目并入检察专项业务经费项目预算中。</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对持续保障检察工作顺利开展的影响程度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其他:本年我院未发生司法救助项目和与司法救助相关的事项，故没有产生司法救助相关支出，预算未使用。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其他:近几年我院皆未发生司法救助项目和与司法救助相关的事项，考虑到财政资金紧张的现状和可能出现的司法救助需求，下一年将该项目并入检察专项业务经费项目预算中。</w:t>
            </w:r>
          </w:p>
          <w:p>
            <w:pPr>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其他:本年我院未发生司法救助项目和与司法救助相关的事项，故没有产生司法救助相关支出，预算未使用。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其他:近几年我院皆未发生司法救助项目和与司法救助相关的事项，考虑到财政资金紧张的现状和可能出现的司法救助需求，下一年将该项目并入检察专项业务经费项目预算中。</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网络安全及建设费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为精准解决检察业务内网应用系统2.0数据质量存在的突出问题，在保障检察内网数据安全的同时提升检察业务数据质量，购买检察业务应用系统2.0软件管家一套；结合省院的整体要求与我院的业务数据统计分析工作的实际需求，申请购买【检察业务数据应用助手】，保障检察内网数据安全的同时提升案管部门进行质效考评与业务数据统计分析工作的效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精准解决检察业务内网应用系统2.0数据质量存在的突出问题，在保障检察内网数据安全的同时提升检察业务数据质量购买业务数据应用助手系统一套价值3.5万元，购买业务数据校验管家系统一套价值3.9万元，共计7.4万元。但由于财政资金紧张，未批复资金申请，故款项未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资金惠及人员数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操作系统升级数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资金支付完成月份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74000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74000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线上工作顺利完成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对持续保障检察工作顺利开展的影响程度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依据辽宁省检察机关网络信息系统运行维护管理办法，及日常工作需求，充分保障检察院各类网络、设备、终端应用等可靠、稳定、高效运行。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通过购买IT运维服务充分保障了检察院各类网络、设备、终端应用等可靠、稳定、高效运行。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内网接入终端数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工作网接入终端数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报修应答时间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分钟</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线上工作顺利完成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互联网线路畅通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网站改造迁移维护费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保证我院官网升级改造后的后期维护，充分展示检察机关形象；保障1234沈阳模式平台服务器维护费用，包括平台硬件及软件购买、维护、更新、升级等一系列相关费用。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对我院官网进行了后期维护，对沈阳知识产权一体化服务平台进行了改造维护，但由于财政资金紧张，资金申请未批复，我院未能支付款项。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改造网站数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资金惠及人员数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78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资金支付完成月份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经费保障:我院根据工作需要执行了项目采购，并在合同约定的服务期满后进行了验收，但由于财政资金紧张，资金申请未批复，我院未能支付款项。</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经费保障:该工作每年都要开展，在下一年仍需继续申请该项目预算，本年的欠款需待财政资金允许时，第一时间按照合同约定完成欠款支付。</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提升检察业务宣传效果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对持续保障检察工作顺利开展的影响程度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行政事业单位人员奖励及疗休养工作经费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73.55%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保障检法绩效的支出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保障了法检绩效的正常发放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发放总人数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保质保量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发放正确率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资金支付完成月份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项目资金使用规范性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法律监督质效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工作热情和工作效率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8.35502679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专项印刷及订阅资料费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保障检察业务工作印刷工作顺利进行。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开年后财政通知不再单独下达印刷费预算，未通过我院预算资金申请，故本年该预算未使用。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经费保障:开年后财政通知不再单独下达印刷费预算，未通过我院预算资金申请，故本年该预算未使用。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经费保障:财政通知今后不再单独下达印刷费预算，印刷费用应在公用经费中解决，我院以后年度不再将印刷费单独列入年初预算。</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资料印刷数量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经费保障:开年后财政通知不再单独下达印刷费预算，未通过我院预算资金申请，故本年该预算未使用。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经费保障:财政通知今后不再单独下达印刷费预算，印刷费用应在公用经费中解决，我院以后年度不再将印刷费单独列入年初预算。</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经费保障:开年后财政通知不再单独下达印刷费预算，未通过我院预算资金申请，故本年该预算未使用。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经费保障:财政通知今后不再单独下达印刷费预算，印刷费用应在公用经费中解决，我院以后年度不再将印刷费单独列入年初预算。</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经费保障:开年后财政通知不再单独下达印刷费预算，未通过我院预算资金申请，故本年该预算未使用。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经费保障:财政通知今后不再单独下达印刷费预算，印刷费用应在公用经费中解决，我院以后年度不再将印刷费单独列入年初预算。</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资金支付完成月份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经费保障:开年后财政通知不再单独下达印刷费预算，未通过我院预算资金申请，故本年该预算未使用。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经费保障:财政通知今后不再单独下达印刷费预算，印刷费用应在公用经费中解决，我院以后年度不再将印刷费单独列入年初预算。</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经费保障:开年后财政通知不再单独下达印刷费预算，未通过我院预算资金申请，故本年该预算未使用。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经费保障:财政通知今后不再单独下达印刷费预算，印刷费用应在公用经费中解决，我院以后年度不再将印刷费单独列入年初预算。</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提升检察业务宣传效果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经费保障:开年后财政通知不再单独下达印刷费预算，未通过我院预算资金申请，故本年该预算未使用。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经费保障:财政通知今后不再单独下达印刷费预算，印刷费用应在公用经费中解决，我院以后年度不再将印刷费单独列入年初预算。</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对持续保障检察工作顺利开展的影响程度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经费保障:开年后财政通知不再单独下达印刷费预算，未通过我院预算资金申请，故本年该预算未使用。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经费保障:财政通知今后不再单独下达印刷费预算，印刷费用应在公用经费中解决，我院以后年度不再将印刷费单独列入年初预算。</w:t>
            </w:r>
          </w:p>
          <w:p>
            <w:pPr>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经费保障:开年后财政通知不再单独下达印刷费预算，未通过我院预算资金申请，故本年该预算未使用。</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经费保障:财政通知今后不再单独下达印刷费预算，印刷费用应在公用经费中解决，我院以后年度不再将印刷费单独列入年初预算。</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097007沈阳高新技术产业开发区人民检察院-210112000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491.94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491.94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70.71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70.71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315.90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315.89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检察院是我国重要的法律监督机关，承担维护法律公正性的重要职能，通过办案实现检察工作的效率和公正性，保障了公民权益、依法履行检察职能，在维护经济社会和谐稳定、增强检察监督等方面认真履职尽责，营造良好的法治环境。</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我院通过办案实现检察工作的效率和公正性，保障了公民权益、依法履行检察职能，在维护经济社会和谐稳定、增强检察监督等方面认真履职尽责，营造良好的法治环境。</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93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17.21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0.522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由于财政资金紧张，年初预算未能全额拨付，即按照实际指标下达情况和年初预算数测算，预算调整率为17.21%。</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经费保障:由于财政资金紧张，年初预算未能全额拨付，建议下一预算年度财政在资金允许的情况下按照在每季度初即拨付相应预算。</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新媒体宣传提升检察影响力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逐步提升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检察建议采纳率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案件当事人满意度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检察官培养机制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逐步完善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98.72</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