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沈阳市浑南区人民检察院</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沈阳市浑南区人民检察院</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keepNext w:val="0"/>
        <w:keepLines w:val="0"/>
        <w:widowControl w:val="0"/>
        <w:suppressLineNumbers w:val="0"/>
        <w:spacing w:before="0" w:beforeAutospacing="0" w:after="0" w:afterAutospacing="0"/>
        <w:ind w:right="0" w:firstLine="640" w:firstLineChars="200"/>
        <w:jc w:val="both"/>
        <w:rPr>
          <w:rFonts w:hint="default" w:ascii="Times New Roman" w:hAnsi="Times New Roman" w:eastAsia="仿宋_GB2312" w:cs="Times New Roman"/>
          <w:kern w:val="2"/>
          <w:sz w:val="32"/>
          <w:szCs w:val="32"/>
        </w:rPr>
      </w:pPr>
      <w:r>
        <w:rPr>
          <w:rFonts w:hint="eastAsia" w:ascii="仿宋_GB2312"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一）深入贯彻习近平新时代中国特色社会主义思想，深入贯彻党的路线方针政策和决策部署，坚持党对检察工作的绝对领导，贯彻落实省、市、区党委工作部署和要求。</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（二）依法向本级人民代表大会及其常务委员会提出议案。</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（三）贯彻落实上级人民检察院工作部署。</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（四）对本院承办的刑事案件进行批准逮捕、决定逮捕、提起公诉。</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（五）负责应由本院承办的刑事、民事、行政诉讼活动以及刑事、民事、行政判决和裁定等生效法律文书执行的法律监督工作。</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（六）负责应由本院承办的提起公益诉讼工作。</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（七）负责应由本院承办的对看守所、社区矫正机构等执法活动的法律监督工作。</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（八）受理向本院的控告、申诉，承办国家赔偿案件和国家司法救助案件。</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（九）开展检察理论研究工作。</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（十）负责机关队伍建设和思想政治工作，负责机关教育培训工作。</w:t>
      </w:r>
    </w:p>
    <w:p>
      <w:pPr>
        <w:keepNext w:val="0"/>
        <w:keepLines w:val="0"/>
        <w:widowControl w:val="0"/>
        <w:suppressLineNumbers w:val="0"/>
        <w:spacing w:before="0" w:beforeAutospacing="0" w:after="0" w:afterAutospacing="0" w:line="576" w:lineRule="exact"/>
        <w:ind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（十一）负责财务装备工作、检察技术信息工作。</w:t>
      </w:r>
    </w:p>
    <w:p>
      <w:pPr>
        <w:keepNext w:val="0"/>
        <w:keepLines w:val="0"/>
        <w:widowControl w:val="0"/>
        <w:suppressLineNumbers w:val="0"/>
        <w:spacing w:before="0" w:beforeAutospacing="0" w:after="0" w:afterAutospacing="0" w:line="576" w:lineRule="exact"/>
        <w:ind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（十二）负责其他应当由本院承办的事项。</w:t>
      </w:r>
    </w:p>
    <w:p>
      <w:pPr>
        <w:pStyle w:val="7"/>
        <w:spacing w:line="560" w:lineRule="exact"/>
        <w:ind w:firstLine="640"/>
        <w:rPr>
          <w:rFonts w:hint="eastAsia" w:ascii="仿宋_GB2312" w:hAnsi="仿宋_GB2312" w:eastAsia="仿宋_GB2312" w:cs="仿宋_GB2312"/>
          <w:b/>
          <w:bCs/>
          <w:color w:val="FF0000"/>
          <w:sz w:val="32"/>
          <w:szCs w:val="32"/>
          <w:lang w:eastAsia="zh-CN"/>
        </w:rPr>
      </w:pPr>
      <w:r>
        <w:rPr>
          <w:rFonts w:ascii="黑体" w:eastAsia="黑体"/>
          <w:sz w:val="32"/>
        </w:rPr>
        <w:t>二、决算单位构成</w:t>
      </w:r>
    </w:p>
    <w:p>
      <w:pPr>
        <w:pStyle w:val="7"/>
        <w:spacing w:line="560" w:lineRule="exact"/>
        <w:ind w:firstLine="640"/>
        <w:rPr>
          <w:rFonts w:hint="default"/>
          <w:b/>
          <w:sz w:val="36"/>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沈阳市浑南区人民检察院</w:t>
      </w:r>
      <w:r>
        <w:rPr>
          <w:rFonts w:ascii="仿宋_GB2312" w:eastAsia="仿宋_GB2312"/>
          <w:b w:val="0"/>
          <w:bCs w:val="0"/>
          <w:color w:val="auto"/>
          <w:sz w:val="32"/>
          <w:szCs w:val="32"/>
        </w:rPr>
        <w:t>本级，本单位无下设机构。</w:t>
      </w:r>
    </w:p>
    <w:p>
      <w:pPr>
        <w:pStyle w:val="7"/>
        <w:spacing w:line="560" w:lineRule="exact"/>
        <w:jc w:val="center"/>
        <w:rPr>
          <w:rFonts w:hint="default"/>
          <w:b/>
          <w:sz w:val="36"/>
        </w:rPr>
      </w:pPr>
    </w:p>
    <w:p>
      <w:pPr>
        <w:pStyle w:val="7"/>
        <w:spacing w:line="560" w:lineRule="exact"/>
        <w:jc w:val="center"/>
        <w:rPr>
          <w:b/>
          <w:sz w:val="36"/>
        </w:rPr>
      </w:pPr>
    </w:p>
    <w:p>
      <w:pPr>
        <w:pStyle w:val="7"/>
        <w:spacing w:line="560" w:lineRule="exact"/>
        <w:jc w:val="center"/>
        <w:rPr>
          <w:b/>
          <w:sz w:val="36"/>
        </w:rPr>
      </w:pPr>
      <w:r>
        <w:rPr>
          <w:b/>
          <w:sz w:val="36"/>
        </w:rPr>
        <w:t xml:space="preserve">第二部分 </w:t>
      </w:r>
      <w:r>
        <w:rPr>
          <w:rFonts w:hint="eastAsia"/>
          <w:b/>
          <w:sz w:val="36"/>
          <w:lang w:val="en-US" w:eastAsia="zh-CN"/>
        </w:rPr>
        <w:t>沈阳市浑南区人民检察院</w:t>
      </w:r>
      <w:r>
        <w:rPr>
          <w:b/>
          <w:sz w:val="36"/>
        </w:rPr>
        <w:t>202</w:t>
      </w:r>
      <w:r>
        <w:rPr>
          <w:rFonts w:hint="eastAsia"/>
          <w:b/>
          <w:sz w:val="36"/>
          <w:lang w:val="en-US" w:eastAsia="zh-CN"/>
        </w:rPr>
        <w:t>2</w:t>
      </w:r>
      <w:r>
        <w:rPr>
          <w:b/>
          <w:sz w:val="36"/>
        </w:rPr>
        <w:t>年决算</w:t>
      </w:r>
    </w:p>
    <w:p>
      <w:pPr>
        <w:pStyle w:val="7"/>
        <w:spacing w:line="560" w:lineRule="exact"/>
        <w:jc w:val="center"/>
        <w:rPr>
          <w:rFonts w:hint="default"/>
          <w:b/>
          <w:sz w:val="36"/>
        </w:rPr>
      </w:pPr>
      <w:r>
        <w:rPr>
          <w:b/>
          <w:sz w:val="36"/>
        </w:rPr>
        <w:t>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rPr>
        <w:t>2,284.02</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2282.52</w:t>
      </w:r>
      <w:r>
        <w:rPr>
          <w:rFonts w:ascii="仿宋_GB2312" w:eastAsia="仿宋_GB2312"/>
          <w:sz w:val="32"/>
        </w:rPr>
        <w:t>万元，占收入总计的</w:t>
      </w:r>
      <w:r>
        <w:rPr>
          <w:rFonts w:hint="eastAsia" w:ascii="仿宋_GB2312" w:eastAsia="仿宋_GB2312"/>
          <w:sz w:val="32"/>
          <w:lang w:val="en-US" w:eastAsia="zh-CN"/>
        </w:rPr>
        <w:t>99.93</w:t>
      </w:r>
      <w:r>
        <w:rPr>
          <w:rFonts w:ascii="仿宋_GB2312" w:eastAsia="仿宋_GB2312"/>
          <w:sz w:val="32"/>
        </w:rPr>
        <w:t>%。其中：一般公共预算财政拨款收入</w:t>
      </w:r>
      <w:r>
        <w:rPr>
          <w:rFonts w:hint="eastAsia" w:ascii="仿宋_GB2312" w:eastAsia="仿宋_GB2312"/>
          <w:sz w:val="32"/>
        </w:rPr>
        <w:t>2282.52</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1.5</w:t>
      </w:r>
      <w:r>
        <w:rPr>
          <w:rFonts w:ascii="仿宋_GB2312" w:eastAsia="仿宋_GB2312"/>
          <w:sz w:val="32"/>
        </w:rPr>
        <w:t>万元，占收入总计的</w:t>
      </w:r>
      <w:r>
        <w:rPr>
          <w:rFonts w:hint="eastAsia" w:ascii="仿宋_GB2312" w:eastAsia="仿宋_GB2312"/>
          <w:sz w:val="32"/>
          <w:lang w:val="en-US" w:eastAsia="zh-CN"/>
        </w:rPr>
        <w:t>0.07</w:t>
      </w:r>
      <w:r>
        <w:rPr>
          <w:rFonts w:ascii="仿宋_GB2312" w:eastAsia="仿宋_GB2312"/>
          <w:sz w:val="32"/>
        </w:rPr>
        <w:t>%。主要是</w:t>
      </w:r>
      <w:r>
        <w:rPr>
          <w:rFonts w:hint="eastAsia" w:ascii="仿宋_GB2312" w:eastAsia="仿宋_GB2312"/>
          <w:sz w:val="32"/>
          <w:lang w:eastAsia="zh-CN"/>
        </w:rPr>
        <w:t>沈阳市人民检察院拨</w:t>
      </w:r>
      <w:r>
        <w:rPr>
          <w:rFonts w:hint="eastAsia" w:ascii="仿宋_GB2312" w:eastAsia="仿宋_GB2312"/>
          <w:sz w:val="32"/>
          <w:lang w:val="en-US" w:eastAsia="zh-CN"/>
        </w:rPr>
        <w:t>入</w:t>
      </w:r>
      <w:r>
        <w:rPr>
          <w:rFonts w:hint="eastAsia" w:ascii="仿宋_GB2312" w:eastAsia="仿宋_GB2312"/>
          <w:sz w:val="32"/>
          <w:lang w:eastAsia="zh-CN"/>
        </w:rPr>
        <w:t>的记功奖励</w:t>
      </w:r>
      <w:r>
        <w:rPr>
          <w:rFonts w:ascii="仿宋_GB2312" w:eastAsia="仿宋_GB2312"/>
          <w:sz w:val="32"/>
        </w:rPr>
        <w:t>收入。</w:t>
      </w:r>
    </w:p>
    <w:p>
      <w:pPr>
        <w:pStyle w:val="7"/>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rPr>
        <w:t>285.8</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14.30</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在职人员工资和津贴补贴有所增加，主要原因是工资调标导致工资和津贴补贴上涨，需补发差额，此外还补发了2021年新招录公务员工资、津贴补贴</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在职人员保险费用、公积金上涨，主要原因是工资上涨导致保险、公积金基数随之上涨</w:t>
      </w:r>
      <w:r>
        <w:rPr>
          <w:rFonts w:ascii="仿宋_GB2312" w:eastAsia="仿宋_GB2312"/>
          <w:sz w:val="32"/>
        </w:rPr>
        <w:t>。</w:t>
      </w:r>
      <w:r>
        <w:rPr>
          <w:rFonts w:hint="eastAsia" w:ascii="黑体" w:eastAsia="黑体"/>
          <w:sz w:val="32"/>
          <w:lang w:eastAsia="zh-CN"/>
        </w:rPr>
        <w:t>三</w:t>
      </w:r>
      <w:r>
        <w:rPr>
          <w:rFonts w:ascii="黑体" w:eastAsia="黑体"/>
          <w:sz w:val="32"/>
        </w:rPr>
        <w:t>是</w:t>
      </w:r>
      <w:r>
        <w:rPr>
          <w:rFonts w:hint="eastAsia" w:ascii="仿宋_GB2312" w:eastAsia="仿宋_GB2312"/>
          <w:sz w:val="32"/>
          <w:lang w:val="en-US" w:eastAsia="zh-CN"/>
        </w:rPr>
        <w:t>派遣制人员经费有所增加，2022年5月我院新招录派遣制工作人员20名，导致派遣制人员经费较2021年有所增加。</w:t>
      </w:r>
    </w:p>
    <w:p>
      <w:pPr>
        <w:pStyle w:val="7"/>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rPr>
        <w:t>2284.02</w:t>
      </w:r>
      <w:r>
        <w:rPr>
          <w:rFonts w:ascii="楷体_GB2312" w:eastAsia="楷体_GB2312"/>
          <w:b/>
          <w:sz w:val="32"/>
        </w:rPr>
        <w:t>万元，包括：</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1652.68</w:t>
      </w:r>
      <w:r>
        <w:rPr>
          <w:rFonts w:ascii="仿宋_GB2312" w:eastAsia="仿宋_GB2312"/>
          <w:sz w:val="32"/>
        </w:rPr>
        <w:t>万元，占支出总计的</w:t>
      </w:r>
      <w:r>
        <w:rPr>
          <w:rFonts w:hint="eastAsia" w:ascii="仿宋_GB2312" w:eastAsia="仿宋_GB2312"/>
          <w:sz w:val="32"/>
          <w:lang w:val="en-US" w:eastAsia="zh-CN"/>
        </w:rPr>
        <w:t>72.36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1408.47</w:t>
      </w:r>
      <w:r>
        <w:rPr>
          <w:rFonts w:ascii="仿宋_GB2312" w:eastAsia="仿宋_GB2312"/>
          <w:sz w:val="32"/>
        </w:rPr>
        <w:t>万元，对个人和家庭的补助支出</w:t>
      </w:r>
      <w:r>
        <w:rPr>
          <w:rFonts w:hint="eastAsia" w:ascii="仿宋_GB2312" w:eastAsia="仿宋_GB2312"/>
          <w:sz w:val="32"/>
        </w:rPr>
        <w:t>65.26</w:t>
      </w:r>
      <w:r>
        <w:rPr>
          <w:rFonts w:ascii="仿宋_GB2312" w:eastAsia="仿宋_GB2312"/>
          <w:sz w:val="32"/>
        </w:rPr>
        <w:t>万元，商品和服务支出</w:t>
      </w:r>
      <w:r>
        <w:rPr>
          <w:rFonts w:hint="eastAsia" w:ascii="仿宋_GB2312" w:eastAsia="仿宋_GB2312"/>
          <w:sz w:val="32"/>
        </w:rPr>
        <w:t>178.59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0.36万元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631.34</w:t>
      </w:r>
      <w:r>
        <w:rPr>
          <w:rFonts w:ascii="仿宋_GB2312" w:eastAsia="仿宋_GB2312"/>
          <w:sz w:val="32"/>
        </w:rPr>
        <w:t>万元，占支出总计的</w:t>
      </w:r>
      <w:r>
        <w:rPr>
          <w:rFonts w:hint="eastAsia" w:ascii="仿宋_GB2312" w:eastAsia="仿宋_GB2312"/>
          <w:sz w:val="32"/>
          <w:lang w:val="en-US" w:eastAsia="zh-CN"/>
        </w:rPr>
        <w:t>27.64</w:t>
      </w:r>
      <w:r>
        <w:rPr>
          <w:rFonts w:ascii="仿宋_GB2312" w:eastAsia="仿宋_GB2312"/>
          <w:sz w:val="32"/>
        </w:rPr>
        <w:t>%。主要包括</w:t>
      </w:r>
      <w:r>
        <w:rPr>
          <w:rFonts w:hint="eastAsia" w:ascii="仿宋_GB2312" w:eastAsia="仿宋_GB2312"/>
          <w:sz w:val="32"/>
          <w:lang w:eastAsia="zh-CN"/>
        </w:rPr>
        <w:t>办案费、装备费、维修费、邮电费、培训费</w:t>
      </w:r>
      <w:r>
        <w:rPr>
          <w:rFonts w:ascii="仿宋_GB2312" w:eastAsia="仿宋_GB2312"/>
          <w:sz w:val="32"/>
        </w:rPr>
        <w:t>等业务支出。</w:t>
      </w:r>
    </w:p>
    <w:p>
      <w:pPr>
        <w:pStyle w:val="7"/>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rPr>
        <w:t>285.8</w:t>
      </w:r>
      <w:r>
        <w:rPr>
          <w:rFonts w:ascii="仿宋_GB2312" w:eastAsia="仿宋_GB2312"/>
          <w:sz w:val="32"/>
        </w:rPr>
        <w:t>万元，增长</w:t>
      </w:r>
      <w:r>
        <w:rPr>
          <w:rFonts w:hint="eastAsia" w:ascii="仿宋_GB2312" w:eastAsia="仿宋_GB2312"/>
          <w:sz w:val="32"/>
          <w:lang w:val="en-US" w:eastAsia="zh-CN"/>
        </w:rPr>
        <w:t>14.3</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在职人员工资和津贴补贴有所增加，主要原因是工资调标导致工资和津贴补贴上涨，需补发差额，此外还补发了2021年新招录公务员工资、津贴补贴</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在职人员保险费用、公积金上涨，主要原因是工资上涨导致保险、公积金基数随之上涨</w:t>
      </w:r>
      <w:r>
        <w:rPr>
          <w:rFonts w:ascii="仿宋_GB2312" w:eastAsia="仿宋_GB2312"/>
          <w:sz w:val="32"/>
        </w:rPr>
        <w:t>。</w:t>
      </w:r>
      <w:r>
        <w:rPr>
          <w:rFonts w:hint="eastAsia" w:ascii="黑体" w:eastAsia="黑体"/>
          <w:sz w:val="32"/>
          <w:lang w:eastAsia="zh-CN"/>
        </w:rPr>
        <w:t>三</w:t>
      </w:r>
      <w:r>
        <w:rPr>
          <w:rFonts w:ascii="黑体" w:eastAsia="黑体"/>
          <w:sz w:val="32"/>
        </w:rPr>
        <w:t>是</w:t>
      </w:r>
      <w:r>
        <w:rPr>
          <w:rFonts w:hint="eastAsia" w:ascii="仿宋_GB2312" w:eastAsia="仿宋_GB2312"/>
          <w:sz w:val="32"/>
          <w:lang w:val="en-US" w:eastAsia="zh-CN"/>
        </w:rPr>
        <w:t>派遣制人员经费有所增加，2022年5月我院新招录派遣制工作人员20名，导致派遣制人员经费较2021年有所增加。</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ascii="仿宋_GB2312" w:eastAsia="仿宋_GB2312"/>
          <w:sz w:val="32"/>
        </w:rPr>
      </w:pPr>
      <w:r>
        <w:rPr>
          <w:rFonts w:ascii="仿宋_GB2312" w:eastAsia="仿宋_GB2312"/>
          <w:sz w:val="32"/>
        </w:rPr>
        <w:t>与上年相比，今年结转结余</w:t>
      </w:r>
      <w:r>
        <w:rPr>
          <w:rFonts w:hint="eastAsia" w:ascii="仿宋_GB2312" w:eastAsia="仿宋_GB2312"/>
          <w:sz w:val="32"/>
          <w:lang w:eastAsia="zh-CN"/>
        </w:rPr>
        <w:t>与上年持平</w:t>
      </w:r>
      <w:r>
        <w:rPr>
          <w:rFonts w:ascii="仿宋_GB2312" w:eastAsia="仿宋_GB2312"/>
          <w:sz w:val="32"/>
        </w:rPr>
        <w:t>。</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2282.52</w:t>
      </w:r>
      <w:r>
        <w:rPr>
          <w:rFonts w:ascii="仿宋_GB2312" w:eastAsia="仿宋_GB2312"/>
          <w:sz w:val="32"/>
        </w:rPr>
        <w:t>万元，其中：基本支出</w:t>
      </w:r>
      <w:r>
        <w:rPr>
          <w:rFonts w:hint="eastAsia" w:ascii="仿宋_GB2312" w:eastAsia="仿宋_GB2312"/>
          <w:sz w:val="32"/>
        </w:rPr>
        <w:t>1652.68</w:t>
      </w:r>
      <w:r>
        <w:rPr>
          <w:rFonts w:ascii="仿宋_GB2312" w:eastAsia="仿宋_GB2312"/>
          <w:sz w:val="32"/>
        </w:rPr>
        <w:t>万元，项目支出</w:t>
      </w:r>
      <w:r>
        <w:rPr>
          <w:rFonts w:hint="eastAsia" w:ascii="仿宋_GB2312" w:eastAsia="仿宋_GB2312"/>
          <w:sz w:val="32"/>
          <w:lang w:val="en-US" w:eastAsia="zh-CN"/>
        </w:rPr>
        <w:t>629.84</w:t>
      </w:r>
      <w:r>
        <w:rPr>
          <w:rFonts w:ascii="仿宋_GB2312" w:eastAsia="仿宋_GB2312"/>
          <w:sz w:val="32"/>
        </w:rPr>
        <w:t>万元。与上年相比，财政拨款支出增加</w:t>
      </w:r>
      <w:r>
        <w:rPr>
          <w:rFonts w:hint="eastAsia" w:ascii="仿宋_GB2312" w:eastAsia="仿宋_GB2312"/>
          <w:sz w:val="32"/>
        </w:rPr>
        <w:t>28</w:t>
      </w:r>
      <w:r>
        <w:rPr>
          <w:rFonts w:hint="eastAsia" w:ascii="仿宋_GB2312" w:eastAsia="仿宋_GB2312"/>
          <w:sz w:val="32"/>
          <w:lang w:val="en-US" w:eastAsia="zh-CN"/>
        </w:rPr>
        <w:t>4.30</w:t>
      </w:r>
      <w:r>
        <w:rPr>
          <w:rFonts w:ascii="仿宋_GB2312" w:eastAsia="仿宋_GB2312"/>
          <w:sz w:val="32"/>
        </w:rPr>
        <w:t>万元，增长</w:t>
      </w:r>
      <w:r>
        <w:rPr>
          <w:rFonts w:hint="eastAsia" w:ascii="仿宋_GB2312" w:eastAsia="仿宋_GB2312"/>
          <w:sz w:val="32"/>
          <w:lang w:val="en-US" w:eastAsia="zh-CN"/>
        </w:rPr>
        <w:t>14.23</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在职人员工资和津贴补贴有所增加，主要原因是工资调标导致工资和津贴补贴上涨，需补发差额，此外还补发了2021年新招录公务员工资、津贴补贴</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在职人员保险费用、公积金上涨，主要原因是工资上涨导致保险、公积金基数随之上涨</w:t>
      </w:r>
      <w:r>
        <w:rPr>
          <w:rFonts w:ascii="仿宋_GB2312" w:eastAsia="仿宋_GB2312"/>
          <w:sz w:val="32"/>
        </w:rPr>
        <w:t>。</w:t>
      </w:r>
      <w:r>
        <w:rPr>
          <w:rFonts w:hint="eastAsia" w:ascii="黑体" w:eastAsia="黑体"/>
          <w:sz w:val="32"/>
          <w:lang w:eastAsia="zh-CN"/>
        </w:rPr>
        <w:t>三</w:t>
      </w:r>
      <w:r>
        <w:rPr>
          <w:rFonts w:ascii="黑体" w:eastAsia="黑体"/>
          <w:sz w:val="32"/>
        </w:rPr>
        <w:t>是</w:t>
      </w:r>
      <w:r>
        <w:rPr>
          <w:rFonts w:hint="eastAsia" w:ascii="仿宋_GB2312" w:eastAsia="仿宋_GB2312"/>
          <w:sz w:val="32"/>
          <w:lang w:val="en-US" w:eastAsia="zh-CN"/>
        </w:rPr>
        <w:t>派遣制人员经费有所增加，2022年5月我院新招录派遣制工作人员20名，导致派遣制人员经费较2021年有所增加。</w:t>
      </w:r>
      <w:r>
        <w:rPr>
          <w:rFonts w:ascii="仿宋_GB2312" w:eastAsia="仿宋_GB2312"/>
          <w:sz w:val="32"/>
          <w:highlight w:val="none"/>
        </w:rPr>
        <w:t>与年初预算相比，202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82.98</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92.28</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65.62</w:t>
      </w:r>
      <w:r>
        <w:rPr>
          <w:rFonts w:ascii="仿宋_GB2312" w:eastAsia="仿宋_GB2312"/>
          <w:sz w:val="32"/>
          <w:highlight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2282.52</w:t>
      </w:r>
      <w:r>
        <w:rPr>
          <w:rFonts w:ascii="仿宋_GB2312" w:hAnsi="宋体" w:eastAsia="仿宋_GB2312"/>
          <w:sz w:val="32"/>
          <w:szCs w:val="32"/>
        </w:rPr>
        <w:t>万元，按支出功能分类科目分，包括：</w:t>
      </w:r>
      <w:r>
        <w:rPr>
          <w:rFonts w:hint="eastAsia" w:ascii="仿宋_GB2312" w:hAnsi="宋体" w:eastAsia="仿宋_GB2312"/>
          <w:sz w:val="32"/>
          <w:szCs w:val="32"/>
        </w:rPr>
        <w:t>公共安全支出1846.82</w:t>
      </w:r>
      <w:r>
        <w:rPr>
          <w:rFonts w:ascii="仿宋_GB2312" w:hAnsi="宋体" w:eastAsia="仿宋_GB2312"/>
          <w:sz w:val="32"/>
          <w:szCs w:val="32"/>
        </w:rPr>
        <w:t>万元，占</w:t>
      </w:r>
      <w:r>
        <w:rPr>
          <w:rFonts w:hint="eastAsia" w:ascii="仿宋_GB2312" w:hAnsi="宋体" w:eastAsia="仿宋_GB2312"/>
          <w:sz w:val="32"/>
          <w:szCs w:val="32"/>
          <w:lang w:val="en-US" w:eastAsia="zh-CN"/>
        </w:rPr>
        <w:t>80.91</w:t>
      </w:r>
      <w:r>
        <w:rPr>
          <w:rFonts w:ascii="仿宋_GB2312" w:hAnsi="宋体" w:eastAsia="仿宋_GB2312"/>
          <w:sz w:val="32"/>
          <w:szCs w:val="32"/>
        </w:rPr>
        <w:t>%；</w:t>
      </w:r>
      <w:r>
        <w:rPr>
          <w:rFonts w:hint="eastAsia" w:ascii="仿宋_GB2312" w:hAnsi="宋体" w:eastAsia="仿宋_GB2312"/>
          <w:sz w:val="32"/>
          <w:szCs w:val="32"/>
        </w:rPr>
        <w:t>社会保障和就业支出185.66</w:t>
      </w:r>
      <w:r>
        <w:rPr>
          <w:rFonts w:hint="eastAsia" w:ascii="仿宋_GB2312" w:hAnsi="宋体" w:eastAsia="仿宋_GB2312"/>
          <w:sz w:val="32"/>
          <w:szCs w:val="32"/>
          <w:lang w:eastAsia="zh-CN"/>
        </w:rPr>
        <w:t>万元，占</w:t>
      </w:r>
      <w:r>
        <w:rPr>
          <w:rFonts w:hint="eastAsia" w:ascii="仿宋_GB2312" w:hAnsi="宋体" w:eastAsia="仿宋_GB2312"/>
          <w:sz w:val="32"/>
          <w:szCs w:val="32"/>
          <w:lang w:val="en-US" w:eastAsia="zh-CN"/>
        </w:rPr>
        <w:t>8.13%；卫生健康支出50.32万元，占2.21%；住房保障支出199.72万元，占8.75%。</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公共安全支出1846.82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rPr>
        <w:t>（1）</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（款）行政运行（项）</w:t>
      </w:r>
      <w:r>
        <w:rPr>
          <w:rFonts w:hint="eastAsia" w:ascii="仿宋_GB2312" w:hAnsi="宋体" w:eastAsia="仿宋_GB2312"/>
          <w:sz w:val="32"/>
          <w:szCs w:val="32"/>
          <w:lang w:val="en-US" w:eastAsia="zh-CN"/>
        </w:rPr>
        <w:t>1216.98</w:t>
      </w:r>
      <w:r>
        <w:rPr>
          <w:rFonts w:ascii="仿宋_GB2312" w:hAnsi="宋体" w:eastAsia="仿宋_GB2312"/>
          <w:sz w:val="32"/>
          <w:szCs w:val="32"/>
        </w:rPr>
        <w:t>万元，主要是</w:t>
      </w:r>
      <w:r>
        <w:rPr>
          <w:rFonts w:hint="eastAsia" w:ascii="仿宋_GB2312" w:hAnsi="宋体" w:eastAsia="仿宋_GB2312"/>
          <w:sz w:val="32"/>
          <w:szCs w:val="32"/>
          <w:lang w:eastAsia="zh-CN"/>
        </w:rPr>
        <w:t>行政单位运行费用、人员经费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88.97</w:t>
      </w:r>
      <w:r>
        <w:rPr>
          <w:rFonts w:ascii="仿宋_GB2312" w:hAnsi="宋体" w:eastAsia="仿宋_GB2312"/>
          <w:sz w:val="32"/>
          <w:szCs w:val="32"/>
        </w:rPr>
        <w:t>%，决算数小于年初预算数</w:t>
      </w:r>
      <w:r>
        <w:rPr>
          <w:rFonts w:hint="eastAsia" w:ascii="仿宋_GB2312" w:hAnsi="宋体" w:eastAsia="仿宋_GB2312"/>
          <w:sz w:val="32"/>
          <w:szCs w:val="32"/>
          <w:lang w:val="en-US" w:eastAsia="zh-CN"/>
        </w:rPr>
        <w:t>150.95万元，</w:t>
      </w:r>
      <w:r>
        <w:rPr>
          <w:rFonts w:hint="eastAsia" w:ascii="仿宋_GB2312" w:hAnsi="宋体" w:eastAsia="仿宋_GB2312"/>
          <w:sz w:val="32"/>
          <w:szCs w:val="32"/>
          <w:lang w:eastAsia="zh-CN"/>
        </w:rPr>
        <w:t>主要原因</w:t>
      </w:r>
      <w:r>
        <w:rPr>
          <w:rFonts w:ascii="仿宋_GB2312" w:hAnsi="宋体" w:eastAsia="仿宋_GB2312"/>
          <w:sz w:val="32"/>
          <w:szCs w:val="32"/>
        </w:rPr>
        <w:t>是</w:t>
      </w:r>
      <w:r>
        <w:rPr>
          <w:rFonts w:hint="eastAsia" w:ascii="仿宋_GB2312" w:hAnsi="宋体" w:eastAsia="仿宋_GB2312"/>
          <w:sz w:val="32"/>
          <w:szCs w:val="32"/>
          <w:lang w:eastAsia="zh-CN"/>
        </w:rPr>
        <w:t>为</w:t>
      </w:r>
      <w:r>
        <w:rPr>
          <w:rFonts w:hint="eastAsia" w:ascii="仿宋_GB2312" w:hAnsi="宋体" w:eastAsia="仿宋_GB2312"/>
          <w:sz w:val="32"/>
          <w:szCs w:val="32"/>
          <w:highlight w:val="none"/>
          <w:lang w:eastAsia="zh-CN"/>
        </w:rPr>
        <w:t>防止工资、津贴补贴保险等因人员级别调整、基数调整等原因不足以发放，故预算数略高于实际支出数</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yellow"/>
        </w:rPr>
      </w:pPr>
      <w:r>
        <w:rPr>
          <w:rFonts w:ascii="仿宋_GB2312" w:hAnsi="宋体" w:eastAsia="仿宋_GB2312"/>
          <w:sz w:val="32"/>
          <w:szCs w:val="32"/>
        </w:rPr>
        <w:t>（2）</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w:t>
      </w:r>
      <w:r>
        <w:rPr>
          <w:rFonts w:hint="eastAsia" w:ascii="仿宋_GB2312" w:hAnsi="宋体" w:eastAsia="仿宋_GB2312"/>
          <w:sz w:val="32"/>
          <w:szCs w:val="32"/>
        </w:rPr>
        <w:t>一般行政管理事务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509.79万元，主要是劳务费、邮电费、维修费</w:t>
      </w:r>
      <w:r>
        <w:rPr>
          <w:rFonts w:ascii="仿宋_GB2312" w:hAnsi="宋体" w:eastAsia="仿宋_GB2312"/>
          <w:sz w:val="32"/>
          <w:szCs w:val="32"/>
        </w:rPr>
        <w:t>。完</w:t>
      </w:r>
      <w:r>
        <w:rPr>
          <w:rFonts w:ascii="仿宋_GB2312" w:hAnsi="宋体" w:eastAsia="仿宋_GB2312"/>
          <w:sz w:val="32"/>
          <w:szCs w:val="32"/>
          <w:highlight w:val="none"/>
        </w:rPr>
        <w:t>成年初预算的</w:t>
      </w:r>
      <w:r>
        <w:rPr>
          <w:rFonts w:hint="eastAsia" w:ascii="仿宋_GB2312" w:hAnsi="宋体" w:eastAsia="仿宋_GB2312"/>
          <w:sz w:val="32"/>
          <w:szCs w:val="32"/>
          <w:highlight w:val="none"/>
          <w:lang w:val="en-US" w:eastAsia="zh-CN"/>
        </w:rPr>
        <w:t>98.77%，</w:t>
      </w:r>
      <w:r>
        <w:rPr>
          <w:rFonts w:ascii="仿宋_GB2312" w:hAnsi="宋体" w:eastAsia="仿宋_GB2312"/>
          <w:sz w:val="32"/>
          <w:szCs w:val="32"/>
          <w:highlight w:val="none"/>
        </w:rPr>
        <w:t>决算数小于年初预算数</w:t>
      </w:r>
      <w:r>
        <w:rPr>
          <w:rFonts w:hint="eastAsia" w:ascii="仿宋_GB2312" w:hAnsi="宋体" w:eastAsia="仿宋_GB2312"/>
          <w:sz w:val="32"/>
          <w:szCs w:val="32"/>
          <w:highlight w:val="none"/>
          <w:lang w:val="en-US" w:eastAsia="zh-CN"/>
        </w:rPr>
        <w:t>6.35万元，</w:t>
      </w:r>
      <w:r>
        <w:rPr>
          <w:rFonts w:hint="eastAsia" w:ascii="仿宋_GB2312" w:hAnsi="宋体" w:eastAsia="仿宋_GB2312"/>
          <w:sz w:val="32"/>
          <w:szCs w:val="32"/>
          <w:highlight w:val="none"/>
          <w:lang w:eastAsia="zh-CN"/>
        </w:rPr>
        <w:t>主要原因：一是为防止劳务费不足以发放，故预算数高于实际支出数。二是由于疫情原因，为节约财政资金，压缩维修费、网络维护费等支出。</w:t>
      </w:r>
    </w:p>
    <w:p>
      <w:pPr>
        <w:spacing w:line="560" w:lineRule="exact"/>
        <w:ind w:firstLine="660"/>
        <w:rPr>
          <w:rFonts w:hint="eastAsia" w:ascii="仿宋_GB2312" w:hAnsi="宋体" w:eastAsia="仿宋_GB2312"/>
          <w:sz w:val="32"/>
          <w:szCs w:val="32"/>
          <w:highlight w:val="yellow"/>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公共安全支出</w:t>
      </w:r>
      <w:r>
        <w:rPr>
          <w:rFonts w:ascii="仿宋_GB2312" w:hAnsi="宋体" w:eastAsia="仿宋_GB2312"/>
          <w:sz w:val="32"/>
          <w:szCs w:val="32"/>
        </w:rPr>
        <w:t>（类）</w:t>
      </w:r>
      <w:r>
        <w:rPr>
          <w:rFonts w:hint="eastAsia" w:ascii="仿宋_GB2312" w:hAnsi="宋体" w:eastAsia="仿宋_GB2312"/>
          <w:sz w:val="32"/>
          <w:szCs w:val="32"/>
          <w:lang w:eastAsia="zh-CN"/>
        </w:rPr>
        <w:t>检察</w:t>
      </w:r>
      <w:r>
        <w:rPr>
          <w:rFonts w:ascii="仿宋_GB2312" w:hAnsi="宋体" w:eastAsia="仿宋_GB2312"/>
          <w:sz w:val="32"/>
          <w:szCs w:val="32"/>
        </w:rPr>
        <w:t>（款）</w:t>
      </w:r>
      <w:r>
        <w:rPr>
          <w:rFonts w:hint="eastAsia" w:ascii="仿宋_GB2312" w:hAnsi="宋体" w:eastAsia="仿宋_GB2312"/>
          <w:sz w:val="32"/>
          <w:szCs w:val="32"/>
        </w:rPr>
        <w:t xml:space="preserve"> 其他检察支出</w:t>
      </w:r>
      <w:r>
        <w:rPr>
          <w:rFonts w:ascii="仿宋_GB2312" w:hAnsi="宋体" w:eastAsia="仿宋_GB2312"/>
          <w:sz w:val="32"/>
          <w:szCs w:val="32"/>
        </w:rPr>
        <w:t>（项）</w:t>
      </w:r>
      <w:r>
        <w:rPr>
          <w:rFonts w:hint="eastAsia" w:ascii="仿宋_GB2312" w:hAnsi="宋体" w:eastAsia="仿宋_GB2312"/>
          <w:sz w:val="32"/>
          <w:szCs w:val="32"/>
        </w:rPr>
        <w:t>120.05</w:t>
      </w:r>
      <w:r>
        <w:rPr>
          <w:rFonts w:hint="eastAsia" w:ascii="仿宋_GB2312" w:hAnsi="宋体" w:eastAsia="仿宋_GB2312"/>
          <w:sz w:val="32"/>
          <w:szCs w:val="32"/>
          <w:lang w:val="en-US" w:eastAsia="zh-CN"/>
        </w:rPr>
        <w:t>万元，主要是办案发生的办案费、装备费等支出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28.47%，</w:t>
      </w:r>
      <w:r>
        <w:rPr>
          <w:rFonts w:ascii="仿宋_GB2312" w:hAnsi="宋体" w:eastAsia="仿宋_GB2312"/>
          <w:sz w:val="32"/>
          <w:szCs w:val="32"/>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w:t>
      </w:r>
      <w:r>
        <w:rPr>
          <w:rFonts w:ascii="仿宋_GB2312" w:hAnsi="宋体" w:eastAsia="仿宋_GB2312"/>
          <w:sz w:val="32"/>
          <w:szCs w:val="32"/>
        </w:rPr>
        <w:t>初预算数</w:t>
      </w:r>
      <w:r>
        <w:rPr>
          <w:rFonts w:hint="eastAsia" w:ascii="仿宋_GB2312" w:hAnsi="宋体" w:eastAsia="仿宋_GB2312"/>
          <w:sz w:val="32"/>
          <w:szCs w:val="32"/>
          <w:lang w:val="en-US" w:eastAsia="zh-CN"/>
        </w:rPr>
        <w:t>301.66万元，</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受疫情因素影响，为节约财政资金，我院未按计划开展检察专网建设，导致决算数小于年初预算数。</w:t>
      </w:r>
    </w:p>
    <w:p>
      <w:pPr>
        <w:numPr>
          <w:ilvl w:val="0"/>
          <w:numId w:val="0"/>
        </w:num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185.66</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，主要是职业年金、基本养老保险和单位离退休人员采暖补贴。</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120.39%，</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w:t>
      </w:r>
      <w:r>
        <w:rPr>
          <w:rFonts w:hint="eastAsia" w:ascii="仿宋_GB2312" w:hAnsi="宋体" w:eastAsia="仿宋_GB2312"/>
          <w:sz w:val="32"/>
          <w:szCs w:val="32"/>
          <w:highlight w:val="none"/>
          <w:lang w:val="en-US" w:eastAsia="zh-CN"/>
        </w:rPr>
        <w:t>31.45万元，</w:t>
      </w:r>
      <w:r>
        <w:rPr>
          <w:rFonts w:hint="eastAsia" w:ascii="仿宋_GB2312" w:hAnsi="宋体" w:eastAsia="仿宋_GB2312"/>
          <w:sz w:val="32"/>
          <w:szCs w:val="32"/>
          <w:highlight w:val="none"/>
          <w:lang w:eastAsia="zh-CN"/>
        </w:rPr>
        <w:t>主要原因：一是为部分退休人员补缴职业年金，导致支出增加；二是在职人员</w:t>
      </w:r>
      <w:r>
        <w:rPr>
          <w:rFonts w:hint="eastAsia" w:ascii="仿宋_GB2312" w:hAnsi="宋体" w:eastAsia="仿宋_GB2312"/>
          <w:sz w:val="32"/>
          <w:szCs w:val="32"/>
          <w:highlight w:val="none"/>
          <w:lang w:val="en-US" w:eastAsia="zh-CN"/>
        </w:rPr>
        <w:t>上调</w:t>
      </w:r>
      <w:r>
        <w:rPr>
          <w:rFonts w:hint="eastAsia" w:ascii="仿宋_GB2312" w:hAnsi="宋体" w:eastAsia="仿宋_GB2312"/>
          <w:sz w:val="32"/>
          <w:szCs w:val="32"/>
          <w:highlight w:val="none"/>
          <w:lang w:eastAsia="zh-CN"/>
        </w:rPr>
        <w:t>养老保险基数，导致支出增加。</w:t>
      </w:r>
    </w:p>
    <w:p>
      <w:pPr>
        <w:numPr>
          <w:ilvl w:val="0"/>
          <w:numId w:val="0"/>
        </w:numPr>
        <w:spacing w:line="560" w:lineRule="exact"/>
        <w:ind w:firstLine="640" w:firstLineChars="20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lang w:eastAsia="zh-CN"/>
        </w:rPr>
        <w:t>卫生</w:t>
      </w:r>
      <w:r>
        <w:rPr>
          <w:rFonts w:hint="eastAsia" w:ascii="仿宋_GB2312" w:hAnsi="宋体" w:eastAsia="仿宋_GB2312"/>
          <w:sz w:val="32"/>
          <w:szCs w:val="32"/>
          <w:highlight w:val="none"/>
        </w:rPr>
        <w:t>健康支出</w:t>
      </w:r>
      <w:r>
        <w:rPr>
          <w:rFonts w:hint="eastAsia" w:ascii="仿宋_GB2312" w:hAnsi="宋体" w:eastAsia="仿宋_GB2312"/>
          <w:sz w:val="32"/>
          <w:szCs w:val="32"/>
          <w:highlight w:val="none"/>
          <w:lang w:val="en-US" w:eastAsia="zh-CN"/>
        </w:rPr>
        <w:t>50.32万元，主要是单位人员医保支出，</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94.85%，</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w:t>
      </w:r>
      <w:r>
        <w:rPr>
          <w:rFonts w:hint="eastAsia" w:ascii="仿宋_GB2312" w:hAnsi="宋体" w:eastAsia="仿宋_GB2312"/>
          <w:sz w:val="32"/>
          <w:szCs w:val="32"/>
          <w:highlight w:val="none"/>
          <w:lang w:val="en-US" w:eastAsia="zh-CN"/>
        </w:rPr>
        <w:t>2.73万</w:t>
      </w:r>
      <w:r>
        <w:rPr>
          <w:rFonts w:hint="eastAsia" w:ascii="仿宋_GB2312" w:hAnsi="宋体" w:eastAsia="仿宋_GB2312"/>
          <w:sz w:val="32"/>
          <w:szCs w:val="32"/>
          <w:lang w:val="en-US" w:eastAsia="zh-CN"/>
        </w:rPr>
        <w:t>元</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为防止医疗保险因基数调整等原因不足以发放，故预算数高于实际支出数。</w:t>
      </w:r>
    </w:p>
    <w:p>
      <w:pPr>
        <w:numPr>
          <w:ilvl w:val="0"/>
          <w:numId w:val="0"/>
        </w:numPr>
        <w:spacing w:line="560" w:lineRule="exact"/>
        <w:ind w:firstLine="640" w:firstLineChars="200"/>
        <w:rPr>
          <w:rFonts w:hint="eastAsia" w:ascii="黑体" w:hAnsi="黑体" w:eastAsia="黑体" w:cs="黑体"/>
          <w:b/>
          <w:color w:val="FF0000"/>
          <w:sz w:val="32"/>
          <w:szCs w:val="32"/>
          <w:highlight w:val="none"/>
          <w:lang w:val="en-US" w:eastAsia="zh-CN"/>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lang w:eastAsia="zh-CN"/>
        </w:rPr>
        <w:t>住房</w:t>
      </w:r>
      <w:r>
        <w:rPr>
          <w:rFonts w:hint="eastAsia" w:ascii="仿宋_GB2312" w:hAnsi="宋体" w:eastAsia="仿宋_GB2312"/>
          <w:sz w:val="32"/>
          <w:szCs w:val="32"/>
          <w:highlight w:val="none"/>
        </w:rPr>
        <w:t>保障支出</w:t>
      </w:r>
      <w:r>
        <w:rPr>
          <w:rFonts w:hint="eastAsia" w:ascii="仿宋_GB2312" w:hAnsi="宋体" w:eastAsia="仿宋_GB2312"/>
          <w:sz w:val="32"/>
          <w:szCs w:val="32"/>
          <w:highlight w:val="none"/>
          <w:lang w:val="en-US" w:eastAsia="zh-CN"/>
        </w:rPr>
        <w:t>199.72万元，主要是职工住房公积金支出和购房补贴支出。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92.60%，</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w:t>
      </w:r>
      <w:r>
        <w:rPr>
          <w:rFonts w:hint="eastAsia" w:ascii="仿宋_GB2312" w:hAnsi="宋体" w:eastAsia="仿宋_GB2312"/>
          <w:sz w:val="32"/>
          <w:szCs w:val="32"/>
          <w:lang w:val="en-US" w:eastAsia="zh-CN"/>
        </w:rPr>
        <w:t>15.95万元，</w:t>
      </w:r>
      <w:r>
        <w:rPr>
          <w:rFonts w:hint="eastAsia" w:ascii="仿宋_GB2312" w:hAnsi="宋体" w:eastAsia="仿宋_GB2312"/>
          <w:sz w:val="32"/>
          <w:szCs w:val="32"/>
          <w:highlight w:val="none"/>
          <w:lang w:eastAsia="zh-CN"/>
        </w:rPr>
        <w:t>主要原因</w:t>
      </w:r>
      <w:r>
        <w:rPr>
          <w:rFonts w:ascii="仿宋_GB2312" w:hAnsi="宋体" w:eastAsia="仿宋_GB2312"/>
          <w:sz w:val="32"/>
          <w:szCs w:val="32"/>
          <w:highlight w:val="none"/>
        </w:rPr>
        <w:t>是</w:t>
      </w:r>
      <w:r>
        <w:rPr>
          <w:rFonts w:hint="eastAsia" w:ascii="仿宋_GB2312" w:hAnsi="宋体" w:eastAsia="仿宋_GB2312"/>
          <w:sz w:val="32"/>
          <w:szCs w:val="32"/>
          <w:highlight w:val="none"/>
          <w:lang w:eastAsia="zh-CN"/>
        </w:rPr>
        <w:t>为防止</w:t>
      </w:r>
      <w:r>
        <w:rPr>
          <w:rFonts w:hint="eastAsia" w:ascii="仿宋_GB2312" w:hAnsi="宋体" w:eastAsia="仿宋_GB2312"/>
          <w:sz w:val="32"/>
          <w:szCs w:val="32"/>
          <w:highlight w:val="none"/>
          <w:lang w:val="en-US" w:eastAsia="zh-CN"/>
        </w:rPr>
        <w:t>住房公积金</w:t>
      </w:r>
      <w:r>
        <w:rPr>
          <w:rFonts w:hint="eastAsia" w:ascii="仿宋_GB2312" w:hAnsi="宋体" w:eastAsia="仿宋_GB2312"/>
          <w:sz w:val="32"/>
          <w:szCs w:val="32"/>
          <w:highlight w:val="none"/>
          <w:lang w:eastAsia="zh-CN"/>
        </w:rPr>
        <w:t>因基数调整等原因不足以发放，故预算数高于实际支出数。</w:t>
      </w:r>
      <w:r>
        <w:rPr>
          <w:rFonts w:hint="eastAsia" w:ascii="仿宋_GB2312" w:hAnsi="宋体" w:eastAsia="仿宋_GB2312"/>
          <w:sz w:val="32"/>
          <w:szCs w:val="32"/>
          <w:highlight w:val="none"/>
          <w:lang w:val="en-US" w:eastAsia="zh-CN"/>
        </w:rPr>
        <w:t>。</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政府性基金预算财政拨款支出情况。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年度一般公共预算财政拨款安排的“三公”经费支出36.45万元，完成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40.96</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eastAsia="仿宋_GB2312"/>
          <w:sz w:val="32"/>
          <w:lang w:eastAsia="zh-CN"/>
        </w:rPr>
        <w:t>我院无出国任务、无公务接待，仅有</w:t>
      </w:r>
      <w:r>
        <w:rPr>
          <w:rFonts w:hint="eastAsia" w:ascii="仿宋_GB2312" w:hAnsi="宋体" w:eastAsia="仿宋_GB2312"/>
          <w:sz w:val="32"/>
          <w:szCs w:val="32"/>
        </w:rPr>
        <w:t>公务用车购置及运行维护</w:t>
      </w:r>
      <w:r>
        <w:rPr>
          <w:rFonts w:hint="eastAsia" w:ascii="仿宋_GB2312" w:eastAsia="仿宋_GB2312"/>
          <w:sz w:val="32"/>
          <w:lang w:eastAsia="zh-CN"/>
        </w:rPr>
        <w:t>支出</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万元，公务用车购置及运行维护费36.45万元。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1.因公出国（境）费0万元</w:t>
      </w:r>
      <w:r>
        <w:rPr>
          <w:rFonts w:hint="eastAsia" w:ascii="仿宋_GB2312" w:hAnsi="宋体" w:eastAsia="仿宋_GB2312"/>
          <w:sz w:val="32"/>
          <w:szCs w:val="32"/>
          <w:lang w:eastAsia="zh-CN"/>
        </w:rPr>
        <w:t>，</w:t>
      </w:r>
      <w:r>
        <w:rPr>
          <w:rFonts w:hint="eastAsia" w:ascii="仿宋_GB2312" w:hAnsi="宋体" w:eastAsia="仿宋_GB2312"/>
          <w:sz w:val="32"/>
          <w:szCs w:val="32"/>
        </w:rPr>
        <w:t>2022年参加出国（境）团组0个，累计0人次。2022年因公出国（境）费比上年减少0万元，下降0%，主要是无出国任务。。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2022年外事接待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eastAsia="仿宋_GB2312"/>
          <w:sz w:val="32"/>
          <w:lang w:val="en-US" w:eastAsia="zh-CN"/>
        </w:rPr>
        <w:t>0</w:t>
      </w:r>
      <w:r>
        <w:rPr>
          <w:rFonts w:ascii="仿宋_GB2312" w:eastAsia="仿宋_GB2312"/>
          <w:sz w:val="32"/>
        </w:rPr>
        <w:t>万元</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w:t>
      </w:r>
      <w:r>
        <w:rPr>
          <w:rFonts w:hint="eastAsia" w:ascii="仿宋_GB2312" w:eastAsia="仿宋_GB2312"/>
          <w:sz w:val="32"/>
          <w:lang w:eastAsia="zh-CN"/>
        </w:rPr>
        <w:t>公务接待</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36.45</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40.96</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w:t>
      </w:r>
      <w:r>
        <w:rPr>
          <w:rFonts w:hint="eastAsia" w:ascii="仿宋_GB2312" w:hAnsi="宋体" w:eastAsia="仿宋_GB2312"/>
          <w:sz w:val="32"/>
          <w:szCs w:val="32"/>
          <w:highlight w:val="none"/>
        </w:rPr>
        <w:t>主要原因是</w:t>
      </w:r>
      <w:r>
        <w:rPr>
          <w:rFonts w:hint="eastAsia" w:ascii="仿宋_GB2312" w:hAnsi="宋体" w:eastAsia="仿宋_GB2312"/>
          <w:sz w:val="32"/>
          <w:szCs w:val="32"/>
          <w:highlight w:val="none"/>
          <w:lang w:val="en-US" w:eastAsia="zh-CN"/>
        </w:rPr>
        <w:t>原计划更新2台公务用车，实际只更新1台，而且</w:t>
      </w:r>
      <w:r>
        <w:rPr>
          <w:rFonts w:hint="eastAsia" w:ascii="仿宋_GB2312" w:eastAsia="仿宋_GB2312"/>
          <w:sz w:val="32"/>
          <w:highlight w:val="none"/>
          <w:lang w:val="en-US" w:eastAsia="zh-CN"/>
        </w:rPr>
        <w:t>车辆维修支出与燃油费比预计的要少</w:t>
      </w:r>
      <w:r>
        <w:rPr>
          <w:rFonts w:hint="eastAsia" w:ascii="仿宋_GB2312" w:hAnsi="宋体" w:eastAsia="仿宋_GB2312"/>
          <w:sz w:val="32"/>
          <w:szCs w:val="32"/>
          <w:highlight w:val="none"/>
        </w:rPr>
        <w:t>。比上年增加</w:t>
      </w:r>
      <w:r>
        <w:rPr>
          <w:rFonts w:hint="eastAsia" w:ascii="仿宋_GB2312" w:hAnsi="宋体" w:eastAsia="仿宋_GB2312"/>
          <w:sz w:val="32"/>
          <w:szCs w:val="32"/>
          <w:highlight w:val="none"/>
          <w:lang w:val="en-US" w:eastAsia="zh-CN"/>
        </w:rPr>
        <w:t>26.66</w:t>
      </w:r>
      <w:r>
        <w:rPr>
          <w:rFonts w:hint="eastAsia" w:ascii="仿宋_GB2312" w:hAnsi="宋体" w:eastAsia="仿宋_GB2312"/>
          <w:sz w:val="32"/>
          <w:szCs w:val="32"/>
          <w:highlight w:val="none"/>
        </w:rPr>
        <w:t>万元，增长</w:t>
      </w:r>
      <w:r>
        <w:rPr>
          <w:rFonts w:hint="eastAsia" w:ascii="仿宋_GB2312" w:hAnsi="宋体" w:eastAsia="仿宋_GB2312"/>
          <w:sz w:val="32"/>
          <w:szCs w:val="32"/>
          <w:highlight w:val="none"/>
          <w:lang w:val="en-US" w:eastAsia="zh-CN"/>
        </w:rPr>
        <w:t>272.32</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2022年更新公务用车1台，车辆维修费较上年有所增加</w:t>
      </w:r>
      <w:r>
        <w:rPr>
          <w:rFonts w:hint="eastAsia" w:ascii="仿宋_GB2312" w:hAnsi="宋体" w:eastAsia="仿宋_GB2312"/>
          <w:sz w:val="32"/>
          <w:szCs w:val="32"/>
          <w:highlight w:val="none"/>
        </w:rPr>
        <w:t>。</w:t>
      </w:r>
    </w:p>
    <w:p>
      <w:pPr>
        <w:pStyle w:val="7"/>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公务用车购置费17.8</w:t>
      </w:r>
      <w:r>
        <w:rPr>
          <w:rFonts w:hint="eastAsia" w:ascii="仿宋_GB2312"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highlight w:val="none"/>
        </w:rPr>
        <w:t>主要用于</w:t>
      </w:r>
      <w:r>
        <w:rPr>
          <w:rFonts w:hint="eastAsia" w:ascii="仿宋_GB2312" w:eastAsia="仿宋_GB2312"/>
          <w:sz w:val="32"/>
          <w:szCs w:val="32"/>
          <w:highlight w:val="none"/>
          <w:lang w:eastAsia="zh-CN"/>
        </w:rPr>
        <w:t>购置公务用车，</w:t>
      </w:r>
      <w:r>
        <w:rPr>
          <w:rFonts w:hint="eastAsia" w:ascii="仿宋_GB2312" w:hAnsi="宋体" w:eastAsia="仿宋_GB2312"/>
          <w:sz w:val="32"/>
          <w:szCs w:val="32"/>
        </w:rPr>
        <w:t>当年购置公务用车</w:t>
      </w:r>
      <w:r>
        <w:rPr>
          <w:rFonts w:hint="eastAsia" w:ascii="仿宋_GB2312" w:eastAsia="仿宋_GB2312"/>
          <w:sz w:val="32"/>
          <w:szCs w:val="32"/>
          <w:lang w:val="en-US" w:eastAsia="zh-CN"/>
        </w:rPr>
        <w:t>1</w:t>
      </w:r>
      <w:r>
        <w:rPr>
          <w:rFonts w:hint="eastAsia" w:ascii="仿宋_GB2312" w:hAnsi="宋体" w:eastAsia="仿宋_GB2312"/>
          <w:sz w:val="32"/>
          <w:szCs w:val="32"/>
        </w:rPr>
        <w:t>辆。公务用车运行维护费18.65万元，</w:t>
      </w:r>
      <w:r>
        <w:rPr>
          <w:rFonts w:ascii="仿宋_GB2312" w:eastAsia="仿宋_GB2312"/>
          <w:sz w:val="32"/>
        </w:rPr>
        <w:t>主要用于</w:t>
      </w:r>
      <w:r>
        <w:rPr>
          <w:rFonts w:hint="eastAsia" w:ascii="仿宋_GB2312" w:eastAsia="仿宋_GB2312"/>
          <w:sz w:val="32"/>
          <w:lang w:eastAsia="zh-CN"/>
        </w:rPr>
        <w:t>燃油费、维修费、保险费</w:t>
      </w:r>
      <w:r>
        <w:rPr>
          <w:rFonts w:ascii="仿宋_GB2312" w:eastAsia="仿宋_GB2312"/>
          <w:sz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12</w:t>
      </w:r>
      <w:r>
        <w:rPr>
          <w:rFonts w:hint="eastAsia" w:ascii="仿宋_GB2312" w:hAnsi="宋体" w:eastAsia="仿宋_GB2312"/>
          <w:sz w:val="32"/>
          <w:szCs w:val="32"/>
        </w:rPr>
        <w:t>辆</w:t>
      </w:r>
      <w:r>
        <w:rPr>
          <w:rFonts w:ascii="仿宋_GB2312" w:eastAsia="仿宋_GB2312"/>
          <w:sz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1652.68</w:t>
      </w:r>
      <w:r>
        <w:rPr>
          <w:rFonts w:ascii="仿宋_GB2312" w:eastAsia="仿宋_GB2312"/>
          <w:sz w:val="32"/>
        </w:rPr>
        <w:t>万元，其中：人员经费</w:t>
      </w:r>
      <w:r>
        <w:rPr>
          <w:rFonts w:hint="eastAsia" w:ascii="仿宋_GB2312" w:eastAsia="仿宋_GB2312"/>
          <w:sz w:val="32"/>
        </w:rPr>
        <w:t>1473.73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178.95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178.95</w:t>
      </w:r>
      <w:r>
        <w:rPr>
          <w:rFonts w:ascii="仿宋_GB2312" w:eastAsia="仿宋_GB2312"/>
          <w:sz w:val="32"/>
        </w:rPr>
        <w:t>万元，比上年决算数减少</w:t>
      </w:r>
      <w:r>
        <w:rPr>
          <w:rFonts w:hint="eastAsia" w:ascii="仿宋_GB2312" w:eastAsia="仿宋_GB2312"/>
          <w:sz w:val="32"/>
          <w:lang w:val="en-US" w:eastAsia="zh-CN"/>
        </w:rPr>
        <w:t>0.02</w:t>
      </w:r>
      <w:r>
        <w:rPr>
          <w:rFonts w:ascii="仿宋_GB2312" w:eastAsia="仿宋_GB2312"/>
          <w:sz w:val="32"/>
        </w:rPr>
        <w:t>万元，降低</w:t>
      </w:r>
      <w:r>
        <w:rPr>
          <w:rFonts w:hint="eastAsia" w:ascii="仿宋_GB2312" w:eastAsia="仿宋_GB2312"/>
          <w:sz w:val="32"/>
          <w:lang w:val="en-US" w:eastAsia="zh-CN"/>
        </w:rPr>
        <w:t>0.01</w:t>
      </w:r>
      <w:r>
        <w:rPr>
          <w:rFonts w:ascii="仿宋_GB2312" w:eastAsia="仿宋_GB2312"/>
          <w:sz w:val="32"/>
        </w:rPr>
        <w:t>%，</w:t>
      </w:r>
      <w:r>
        <w:rPr>
          <w:rFonts w:ascii="仿宋_GB2312" w:eastAsia="仿宋_GB2312"/>
          <w:sz w:val="32"/>
          <w:highlight w:val="none"/>
        </w:rPr>
        <w:t>主要原因是</w:t>
      </w:r>
      <w:r>
        <w:rPr>
          <w:rFonts w:hint="eastAsia" w:ascii="仿宋_GB2312" w:eastAsia="仿宋_GB2312"/>
          <w:sz w:val="32"/>
          <w:highlight w:val="none"/>
          <w:lang w:eastAsia="zh-CN"/>
        </w:rPr>
        <w:t>为节约财政资金，我院水费、电费等支出有所下降</w:t>
      </w:r>
      <w:r>
        <w:rPr>
          <w:rFonts w:ascii="仿宋_GB2312" w:eastAsia="仿宋_GB2312"/>
          <w:sz w:val="32"/>
          <w:highlight w:val="none"/>
        </w:rPr>
        <w:t>。</w:t>
      </w:r>
    </w:p>
    <w:p>
      <w:pPr>
        <w:pStyle w:val="7"/>
        <w:numPr>
          <w:ilvl w:val="0"/>
          <w:numId w:val="2"/>
        </w:numPr>
        <w:spacing w:line="560" w:lineRule="exact"/>
        <w:ind w:firstLine="640"/>
        <w:rPr>
          <w:rFonts w:ascii="楷体_GB2312" w:eastAsia="楷体_GB2312"/>
          <w:b/>
          <w:sz w:val="32"/>
        </w:rPr>
      </w:pPr>
      <w:r>
        <w:rPr>
          <w:rFonts w:ascii="楷体_GB2312" w:eastAsia="楷体_GB2312"/>
          <w:b/>
          <w:sz w:val="32"/>
        </w:rPr>
        <w:t>政府采购支出情况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numPr>
          <w:ilvl w:val="0"/>
          <w:numId w:val="2"/>
        </w:numPr>
        <w:spacing w:line="560" w:lineRule="exact"/>
        <w:ind w:left="0" w:leftChars="0" w:firstLine="640" w:firstLineChars="0"/>
        <w:rPr>
          <w:rFonts w:hint="eastAsia" w:ascii="楷体_GB2312" w:eastAsia="楷体_GB2312"/>
          <w:b/>
          <w:sz w:val="32"/>
          <w:lang w:val="en-US" w:eastAsia="zh-CN"/>
        </w:rPr>
      </w:pPr>
      <w:r>
        <w:rPr>
          <w:rFonts w:ascii="楷体_GB2312" w:eastAsia="楷体_GB2312"/>
          <w:b/>
          <w:sz w:val="32"/>
        </w:rPr>
        <w:t>国有资产占用情况</w:t>
      </w:r>
      <w:r>
        <w:rPr>
          <w:rFonts w:hint="eastAsia" w:ascii="楷体_GB2312" w:eastAsia="楷体_GB2312"/>
          <w:b/>
          <w:sz w:val="32"/>
          <w:lang w:val="en-US" w:eastAsia="zh-CN"/>
        </w:rPr>
        <w:t xml:space="preserve"> </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1</w:t>
      </w:r>
      <w:r>
        <w:rPr>
          <w:rFonts w:ascii="仿宋_GB2312" w:eastAsia="仿宋_GB2312"/>
          <w:sz w:val="32"/>
        </w:rPr>
        <w:t>辆，应急保障用车</w:t>
      </w:r>
      <w:r>
        <w:rPr>
          <w:rFonts w:hint="eastAsia" w:ascii="仿宋_GB2312" w:eastAsia="仿宋_GB2312"/>
          <w:sz w:val="32"/>
          <w:lang w:val="en-US" w:eastAsia="zh-CN"/>
        </w:rPr>
        <w:t>1</w:t>
      </w:r>
      <w:r>
        <w:rPr>
          <w:rFonts w:ascii="仿宋_GB2312" w:eastAsia="仿宋_GB2312"/>
          <w:sz w:val="32"/>
        </w:rPr>
        <w:t>辆，执法执勤用车</w:t>
      </w:r>
      <w:r>
        <w:rPr>
          <w:rFonts w:hint="eastAsia" w:ascii="仿宋_GB2312" w:eastAsia="仿宋_GB2312"/>
          <w:sz w:val="32"/>
          <w:lang w:val="en-US" w:eastAsia="zh-CN"/>
        </w:rPr>
        <w:t>9</w:t>
      </w:r>
      <w:r>
        <w:rPr>
          <w:rFonts w:ascii="仿宋_GB2312" w:eastAsia="仿宋_GB2312"/>
          <w:sz w:val="32"/>
        </w:rPr>
        <w:t>辆，特种专业技术用车</w:t>
      </w:r>
      <w:r>
        <w:rPr>
          <w:rFonts w:hint="eastAsia" w:ascii="仿宋_GB2312" w:eastAsia="仿宋_GB2312"/>
          <w:sz w:val="32"/>
          <w:lang w:val="en-US" w:eastAsia="zh-CN"/>
        </w:rPr>
        <w:t>1</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w:t>
      </w:r>
      <w:r>
        <w:rPr>
          <w:rFonts w:ascii="楷体_GB2312" w:eastAsia="楷体_GB2312"/>
          <w:b/>
          <w:sz w:val="32"/>
          <w:highlight w:val="none"/>
        </w:rPr>
        <w:t>）</w:t>
      </w:r>
      <w:r>
        <w:rPr>
          <w:rFonts w:hint="eastAsia" w:ascii="楷体_GB2312" w:eastAsia="楷体_GB2312"/>
          <w:b/>
          <w:sz w:val="32"/>
          <w:highlight w:val="none"/>
          <w:lang w:val="en-US" w:eastAsia="zh-CN"/>
        </w:rPr>
        <w:t xml:space="preserve"> </w:t>
      </w:r>
      <w:r>
        <w:rPr>
          <w:rFonts w:ascii="楷体_GB2312" w:eastAsia="楷体_GB2312"/>
          <w:b/>
          <w:sz w:val="32"/>
          <w:highlight w:val="none"/>
        </w:rPr>
        <w:t>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本单位</w:t>
      </w:r>
      <w:r>
        <w:rPr>
          <w:rFonts w:hint="eastAsia" w:hAnsi="宋体" w:eastAsia="仿宋_GB2312" w:cs="仿宋_GB2312"/>
          <w:color w:val="auto"/>
          <w:kern w:val="2"/>
          <w:sz w:val="32"/>
          <w:szCs w:val="32"/>
          <w:highlight w:val="none"/>
          <w:shd w:val="clear" w:color="auto" w:fill="auto"/>
          <w:lang w:val="en-US" w:eastAsia="zh-CN" w:bidi="ar"/>
        </w:rPr>
        <w:t>组织本部门开展整体绩效自评，涉及资金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2282.52</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建议继续全额安排。</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该</w:t>
      </w:r>
      <w:r>
        <w:rPr>
          <w:rFonts w:hint="eastAsia" w:ascii="仿宋_GB2312" w:hAnsi="宋体" w:eastAsia="仿宋_GB2312" w:cs="仿宋_GB2312"/>
          <w:color w:val="auto"/>
          <w:kern w:val="2"/>
          <w:sz w:val="32"/>
          <w:szCs w:val="32"/>
          <w:highlight w:val="none"/>
          <w:shd w:val="clear" w:color="auto" w:fill="auto"/>
          <w:lang w:val="en-US" w:eastAsia="zh-CN" w:bidi="ar"/>
        </w:rPr>
        <w:t>单位</w:t>
      </w:r>
      <w:r>
        <w:rPr>
          <w:rFonts w:hint="default" w:ascii="仿宋_GB2312" w:hAnsi="宋体" w:eastAsia="仿宋_GB2312" w:cs="仿宋_GB2312"/>
          <w:color w:val="auto"/>
          <w:kern w:val="2"/>
          <w:sz w:val="32"/>
          <w:szCs w:val="32"/>
          <w:highlight w:val="none"/>
          <w:shd w:val="clear" w:color="auto" w:fill="auto"/>
          <w:lang w:val="en-US" w:eastAsia="zh-CN" w:bidi="ar"/>
        </w:rPr>
        <w:t>整体绩效自评效果较好，望你单位继续加强资金管理，发挥资金效益。</w:t>
      </w:r>
    </w:p>
    <w:p>
      <w:pPr>
        <w:pStyle w:val="10"/>
        <w:numPr>
          <w:ilvl w:val="0"/>
          <w:numId w:val="3"/>
        </w:numPr>
        <w:autoSpaceDN w:val="0"/>
        <w:spacing w:line="560" w:lineRule="exact"/>
        <w:ind w:firstLine="2530" w:firstLineChars="700"/>
        <w:rPr>
          <w:rFonts w:hint="eastAsia"/>
          <w:b/>
          <w:bCs/>
          <w:sz w:val="36"/>
          <w:szCs w:val="36"/>
        </w:rPr>
      </w:pPr>
      <w:r>
        <w:rPr>
          <w:rFonts w:hint="eastAsia"/>
          <w:b/>
          <w:bCs/>
          <w:sz w:val="36"/>
          <w:szCs w:val="36"/>
        </w:rPr>
        <w:t>名词解释</w:t>
      </w:r>
    </w:p>
    <w:p>
      <w:pPr>
        <w:pStyle w:val="2"/>
        <w:spacing w:line="600" w:lineRule="exact"/>
        <w:rPr>
          <w:rFonts w:hint="eastAsia"/>
          <w:szCs w:val="32"/>
        </w:rPr>
      </w:pPr>
      <w:r>
        <w:rPr>
          <w:rFonts w:hint="eastAsia"/>
          <w:b/>
          <w:szCs w:val="32"/>
        </w:rPr>
        <w:t>1.财政拨款收入：</w:t>
      </w:r>
      <w:r>
        <w:rPr>
          <w:rFonts w:hint="eastAsia"/>
          <w:szCs w:val="32"/>
        </w:rPr>
        <w:t>指区级财政当年拨付的资金。</w:t>
      </w:r>
    </w:p>
    <w:p>
      <w:pPr>
        <w:pStyle w:val="2"/>
        <w:spacing w:line="600" w:lineRule="exact"/>
        <w:rPr>
          <w:rFonts w:hint="eastAsia"/>
          <w:szCs w:val="32"/>
        </w:rPr>
      </w:pPr>
      <w:r>
        <w:rPr>
          <w:rFonts w:hint="eastAsia"/>
          <w:b/>
          <w:szCs w:val="32"/>
        </w:rPr>
        <w:t>2.上级补助收入：</w:t>
      </w:r>
      <w:r>
        <w:rPr>
          <w:rFonts w:hint="eastAsia"/>
          <w:szCs w:val="32"/>
        </w:rPr>
        <w:t>指事业单位从主管部门和上级单位取得的非财政补助收入。</w:t>
      </w:r>
    </w:p>
    <w:p>
      <w:pPr>
        <w:pStyle w:val="2"/>
        <w:spacing w:line="600" w:lineRule="exact"/>
        <w:rPr>
          <w:rFonts w:hint="eastAsia"/>
          <w:szCs w:val="32"/>
        </w:rPr>
      </w:pPr>
      <w:r>
        <w:rPr>
          <w:rFonts w:hint="eastAsia"/>
          <w:b/>
          <w:szCs w:val="32"/>
        </w:rPr>
        <w:t>3.基本支出：</w:t>
      </w:r>
      <w:r>
        <w:rPr>
          <w:rFonts w:hint="eastAsia"/>
          <w:szCs w:val="32"/>
        </w:rPr>
        <w:t>指保障机构正常运转、完成日常工作任务而发生的人员支出和公用支出。</w:t>
      </w:r>
    </w:p>
    <w:p>
      <w:pPr>
        <w:pStyle w:val="2"/>
        <w:spacing w:line="600" w:lineRule="exact"/>
        <w:rPr>
          <w:rFonts w:hint="eastAsia"/>
          <w:szCs w:val="32"/>
        </w:rPr>
      </w:pPr>
      <w:r>
        <w:rPr>
          <w:rFonts w:hint="eastAsia"/>
          <w:b/>
          <w:szCs w:val="32"/>
        </w:rPr>
        <w:t>4.项目支出：</w:t>
      </w:r>
      <w:r>
        <w:rPr>
          <w:rFonts w:hint="eastAsia"/>
          <w:szCs w:val="32"/>
        </w:rPr>
        <w:t>指在基本支出之外为完成特定行政任务和事业发展目标所发生的支出。</w:t>
      </w:r>
    </w:p>
    <w:p>
      <w:pPr>
        <w:pStyle w:val="2"/>
        <w:spacing w:line="600" w:lineRule="exact"/>
        <w:rPr>
          <w:rFonts w:hint="eastAsia"/>
          <w:szCs w:val="32"/>
        </w:rPr>
      </w:pPr>
      <w:r>
        <w:rPr>
          <w:rFonts w:hint="eastAsia"/>
          <w:b/>
          <w:szCs w:val="32"/>
        </w:rPr>
        <w:t>5.“三公”经费：</w:t>
      </w:r>
      <w:r>
        <w:rPr>
          <w:rFonts w:hint="eastAsia"/>
          <w:szCs w:val="32"/>
        </w:rPr>
        <w:t>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pPr>
        <w:pStyle w:val="2"/>
        <w:spacing w:line="600" w:lineRule="exact"/>
        <w:rPr>
          <w:rFonts w:hint="eastAsia"/>
          <w:szCs w:val="32"/>
        </w:rPr>
      </w:pPr>
      <w:r>
        <w:rPr>
          <w:rFonts w:hint="eastAsia"/>
          <w:b/>
          <w:szCs w:val="32"/>
        </w:rPr>
        <w:t>6.公共安全支出（类）检察（款）行政运行（项）：</w:t>
      </w:r>
      <w:r>
        <w:rPr>
          <w:rFonts w:hint="eastAsia"/>
          <w:szCs w:val="32"/>
        </w:rPr>
        <w:t>反映行政单位（包括实行公务员管理的事业单位）的基本支出。</w:t>
      </w:r>
    </w:p>
    <w:p>
      <w:pPr>
        <w:pStyle w:val="2"/>
        <w:spacing w:line="600" w:lineRule="exact"/>
        <w:rPr>
          <w:rFonts w:hint="eastAsia"/>
          <w:szCs w:val="32"/>
        </w:rPr>
      </w:pPr>
      <w:r>
        <w:rPr>
          <w:rFonts w:hint="eastAsia"/>
          <w:b/>
          <w:szCs w:val="32"/>
        </w:rPr>
        <w:t>7.公共安全支出（类）检察（款）一般行政管理事务（项）：</w:t>
      </w:r>
      <w:r>
        <w:rPr>
          <w:rFonts w:hint="eastAsia"/>
          <w:szCs w:val="32"/>
        </w:rPr>
        <w:t>反映行政单位（包括实行公务员管理的事业单位）未单独设置项级科目的其他项目支出。</w:t>
      </w:r>
    </w:p>
    <w:p>
      <w:pPr>
        <w:pStyle w:val="2"/>
        <w:spacing w:line="600" w:lineRule="exact"/>
        <w:rPr>
          <w:rFonts w:hint="eastAsia"/>
          <w:szCs w:val="32"/>
        </w:rPr>
      </w:pPr>
      <w:r>
        <w:rPr>
          <w:rFonts w:hint="eastAsia"/>
          <w:b/>
          <w:szCs w:val="32"/>
        </w:rPr>
        <w:t>8.公共安全支出（类）检察（款）查办和预防职务犯罪（项）</w:t>
      </w:r>
      <w:r>
        <w:rPr>
          <w:rFonts w:hint="eastAsia"/>
          <w:szCs w:val="32"/>
        </w:rPr>
        <w:t>：反映查办贪污贿赂、渎职侵权等职务犯罪案件所发生的支出以及开展预防职务犯罪工作的支出。</w:t>
      </w:r>
    </w:p>
    <w:p>
      <w:pPr>
        <w:pStyle w:val="2"/>
        <w:spacing w:line="600" w:lineRule="exact"/>
        <w:rPr>
          <w:rFonts w:hint="eastAsia"/>
          <w:szCs w:val="32"/>
        </w:rPr>
      </w:pPr>
      <w:r>
        <w:rPr>
          <w:rFonts w:hint="eastAsia"/>
          <w:b/>
          <w:szCs w:val="32"/>
        </w:rPr>
        <w:t>9．公共安全支出（类）检察（款）侦查监督（项）：</w:t>
      </w:r>
      <w:r>
        <w:rPr>
          <w:rFonts w:hint="eastAsia"/>
          <w:szCs w:val="32"/>
        </w:rPr>
        <w:t>反映对刑事犯罪嫌疑人审查批捕、决定逮捕和对刑事犯罪案件的立案、侦查活动进行监督的支出。</w:t>
      </w:r>
    </w:p>
    <w:p>
      <w:pPr>
        <w:pStyle w:val="2"/>
        <w:spacing w:line="600" w:lineRule="exact"/>
        <w:rPr>
          <w:rFonts w:hint="eastAsia"/>
          <w:szCs w:val="32"/>
        </w:rPr>
      </w:pPr>
      <w:r>
        <w:rPr>
          <w:rFonts w:hint="eastAsia"/>
          <w:b/>
          <w:szCs w:val="32"/>
        </w:rPr>
        <w:t>10．公共安全支出（类）检察（款）其他检察支出（项）：</w:t>
      </w:r>
      <w:r>
        <w:rPr>
          <w:rFonts w:hint="eastAsia"/>
          <w:szCs w:val="32"/>
        </w:rPr>
        <w:t>反映除上述项目以外其他用于检察方面的支出。</w:t>
      </w:r>
    </w:p>
    <w:p>
      <w:pPr>
        <w:pStyle w:val="2"/>
        <w:spacing w:line="600" w:lineRule="exact"/>
        <w:rPr>
          <w:rFonts w:hint="eastAsia"/>
          <w:szCs w:val="32"/>
        </w:rPr>
      </w:pPr>
      <w:r>
        <w:rPr>
          <w:rFonts w:hint="eastAsia"/>
          <w:b/>
          <w:szCs w:val="32"/>
        </w:rPr>
        <w:t>11.教育支出（类）进修及培训（款）培训支出（项）：</w:t>
      </w:r>
      <w:r>
        <w:rPr>
          <w:rFonts w:hint="eastAsia"/>
          <w:szCs w:val="32"/>
        </w:rPr>
        <w:t>反映各部门安排的用于培训的以出。</w:t>
      </w:r>
    </w:p>
    <w:p>
      <w:pPr>
        <w:pStyle w:val="2"/>
        <w:spacing w:line="600" w:lineRule="exact"/>
        <w:rPr>
          <w:rFonts w:hint="eastAsia"/>
          <w:szCs w:val="32"/>
        </w:rPr>
      </w:pPr>
      <w:r>
        <w:rPr>
          <w:rFonts w:hint="eastAsia"/>
          <w:b/>
          <w:szCs w:val="32"/>
        </w:rPr>
        <w:t>12.社会保险基金支出（类）基本养老保险基金支出（款）基本养老金（项）：</w:t>
      </w:r>
      <w:r>
        <w:rPr>
          <w:rFonts w:hint="eastAsia"/>
          <w:szCs w:val="32"/>
        </w:rPr>
        <w:t>反映行政事业单位按人历资源和社会保障、财政部规定的基本工资和津贴补贴以及规定比例为职工缴纳的养老保险。</w:t>
      </w:r>
    </w:p>
    <w:p>
      <w:pPr>
        <w:pStyle w:val="2"/>
        <w:spacing w:line="600" w:lineRule="exact"/>
        <w:rPr>
          <w:rFonts w:hint="eastAsia"/>
          <w:szCs w:val="32"/>
        </w:rPr>
      </w:pPr>
      <w:r>
        <w:rPr>
          <w:rFonts w:hint="eastAsia"/>
          <w:b/>
          <w:szCs w:val="32"/>
        </w:rPr>
        <w:t>13．医疗卫生（类）医疗保障（款）行政单位医疗（项）：</w:t>
      </w:r>
      <w:r>
        <w:rPr>
          <w:rFonts w:hint="eastAsia"/>
          <w:szCs w:val="32"/>
        </w:rPr>
        <w:t>反映财政部门集中安排的行政单位基本医疗保险缴费经费，未参加医疗保险的行政单位的公费医疗经费，按规定享受离休人员、红军老战士待遇人员的医疗经费。</w:t>
      </w:r>
    </w:p>
    <w:p>
      <w:pPr>
        <w:pStyle w:val="2"/>
        <w:spacing w:line="600" w:lineRule="exact"/>
      </w:pPr>
      <w:r>
        <w:rPr>
          <w:rFonts w:hint="eastAsia"/>
          <w:b/>
        </w:rPr>
        <w:t>14.住房保障（类）住房改革（款）住房公积金（项）</w:t>
      </w:r>
      <w:r>
        <w:rPr>
          <w:rFonts w:hint="eastAsia"/>
        </w:rPr>
        <w:t>：反映行政事业单位按人力资源和社会保障、财政部规定的基本工资和津贴补贴以及规定比例为职工缴纳的住房公积金。</w:t>
      </w:r>
    </w:p>
    <w:p>
      <w:pPr>
        <w:spacing w:line="560" w:lineRule="exact"/>
        <w:ind w:firstLine="643" w:firstLineChars="200"/>
        <w:rPr>
          <w:rFonts w:ascii="仿宋_GB2312" w:eastAsia="仿宋_GB2312"/>
          <w:sz w:val="32"/>
        </w:rPr>
      </w:pPr>
      <w:r>
        <w:rPr>
          <w:rFonts w:ascii="仿宋_GB2312" w:eastAsia="仿宋_GB2312"/>
          <w:b/>
          <w:sz w:val="32"/>
        </w:rPr>
        <w:t>15.上年结转和结余：</w:t>
      </w:r>
      <w:r>
        <w:rPr>
          <w:rFonts w:ascii="仿宋_GB2312" w:eastAsia="仿宋_GB2312"/>
          <w:sz w:val="32"/>
        </w:rPr>
        <w:t>指以前年度尚未完成、结转到本年按有关规定继续使用的资金。</w:t>
      </w:r>
    </w:p>
    <w:p>
      <w:pPr>
        <w:spacing w:line="560" w:lineRule="exact"/>
        <w:ind w:firstLine="643" w:firstLineChars="20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560" w:lineRule="exact"/>
        <w:ind w:firstLine="640" w:firstLineChars="200"/>
        <w:rPr>
          <w:rFonts w:ascii="仿宋_GB2312" w:eastAsia="仿宋_GB2312"/>
          <w:sz w:val="32"/>
        </w:r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沈阳市浑南区人民检察院</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年度部门决算表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val="en-US" w:eastAsia="zh-CN"/>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F49B74"/>
    <w:multiLevelType w:val="singleLevel"/>
    <w:tmpl w:val="EEF49B74"/>
    <w:lvl w:ilvl="0" w:tentative="0">
      <w:start w:val="3"/>
      <w:numFmt w:val="chineseCounting"/>
      <w:suff w:val="space"/>
      <w:lvlText w:val="第%1部分"/>
      <w:lvlJc w:val="left"/>
      <w:rPr>
        <w:rFonts w:hint="eastAsia"/>
      </w:rPr>
    </w:lvl>
  </w:abstractNum>
  <w:abstractNum w:abstractNumId="1">
    <w:nsid w:val="20075ECA"/>
    <w:multiLevelType w:val="singleLevel"/>
    <w:tmpl w:val="20075ECA"/>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63386831"/>
    <w:multiLevelType w:val="singleLevel"/>
    <w:tmpl w:val="63386831"/>
    <w:lvl w:ilvl="0" w:tentative="0">
      <w:start w:val="2"/>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083BF3"/>
    <w:rsid w:val="0424007E"/>
    <w:rsid w:val="05E7509A"/>
    <w:rsid w:val="0690109C"/>
    <w:rsid w:val="074C764E"/>
    <w:rsid w:val="07C000F6"/>
    <w:rsid w:val="082C6248"/>
    <w:rsid w:val="09C4782E"/>
    <w:rsid w:val="0D412F9B"/>
    <w:rsid w:val="0E452DFD"/>
    <w:rsid w:val="0ECB7368"/>
    <w:rsid w:val="0FD91C07"/>
    <w:rsid w:val="11612EA5"/>
    <w:rsid w:val="12CC5588"/>
    <w:rsid w:val="131E2240"/>
    <w:rsid w:val="15BD3FF4"/>
    <w:rsid w:val="1A9E27FC"/>
    <w:rsid w:val="1AC146FE"/>
    <w:rsid w:val="1B9703C5"/>
    <w:rsid w:val="1C635C29"/>
    <w:rsid w:val="1C6537BA"/>
    <w:rsid w:val="1FC27595"/>
    <w:rsid w:val="234A715C"/>
    <w:rsid w:val="254C2047"/>
    <w:rsid w:val="25700A13"/>
    <w:rsid w:val="281639D6"/>
    <w:rsid w:val="28542E7E"/>
    <w:rsid w:val="286C4199"/>
    <w:rsid w:val="288164B7"/>
    <w:rsid w:val="28977847"/>
    <w:rsid w:val="289A5B44"/>
    <w:rsid w:val="298505A2"/>
    <w:rsid w:val="29B11398"/>
    <w:rsid w:val="29EE63D6"/>
    <w:rsid w:val="2A3D2189"/>
    <w:rsid w:val="2AFA0B7E"/>
    <w:rsid w:val="2B701C43"/>
    <w:rsid w:val="2B9D755D"/>
    <w:rsid w:val="2BC623EF"/>
    <w:rsid w:val="2D0619FA"/>
    <w:rsid w:val="2E4F6256"/>
    <w:rsid w:val="308158FC"/>
    <w:rsid w:val="30B7564A"/>
    <w:rsid w:val="31331B16"/>
    <w:rsid w:val="317E77D8"/>
    <w:rsid w:val="36230505"/>
    <w:rsid w:val="38FF1B93"/>
    <w:rsid w:val="39EC0A93"/>
    <w:rsid w:val="3B225418"/>
    <w:rsid w:val="3B97548F"/>
    <w:rsid w:val="3BA207ED"/>
    <w:rsid w:val="3CBD0327"/>
    <w:rsid w:val="3E910D38"/>
    <w:rsid w:val="3F1346DB"/>
    <w:rsid w:val="3FB15372"/>
    <w:rsid w:val="40162463"/>
    <w:rsid w:val="41792343"/>
    <w:rsid w:val="420C765B"/>
    <w:rsid w:val="43195F1B"/>
    <w:rsid w:val="43A7269D"/>
    <w:rsid w:val="43ED4466"/>
    <w:rsid w:val="44462910"/>
    <w:rsid w:val="44723AD9"/>
    <w:rsid w:val="44BD78E8"/>
    <w:rsid w:val="44D44480"/>
    <w:rsid w:val="461427E4"/>
    <w:rsid w:val="46CA2860"/>
    <w:rsid w:val="474C6DD1"/>
    <w:rsid w:val="47680E90"/>
    <w:rsid w:val="47AA2A87"/>
    <w:rsid w:val="48800429"/>
    <w:rsid w:val="4C9E5AA1"/>
    <w:rsid w:val="4CA76DF9"/>
    <w:rsid w:val="4D903FFE"/>
    <w:rsid w:val="50141396"/>
    <w:rsid w:val="51824B2F"/>
    <w:rsid w:val="5234212E"/>
    <w:rsid w:val="52C92E63"/>
    <w:rsid w:val="541F35DC"/>
    <w:rsid w:val="54F6469B"/>
    <w:rsid w:val="577218B7"/>
    <w:rsid w:val="58A61818"/>
    <w:rsid w:val="59C52B8D"/>
    <w:rsid w:val="5A0D4E5D"/>
    <w:rsid w:val="5AE973A2"/>
    <w:rsid w:val="5B697371"/>
    <w:rsid w:val="5C753CE1"/>
    <w:rsid w:val="5CDA3D70"/>
    <w:rsid w:val="61351EF3"/>
    <w:rsid w:val="61D4389A"/>
    <w:rsid w:val="63624ED5"/>
    <w:rsid w:val="63AB236D"/>
    <w:rsid w:val="67277FC8"/>
    <w:rsid w:val="673C6F2C"/>
    <w:rsid w:val="6BC12225"/>
    <w:rsid w:val="6C212F34"/>
    <w:rsid w:val="6D701DBD"/>
    <w:rsid w:val="6DA15E5C"/>
    <w:rsid w:val="6FE5071F"/>
    <w:rsid w:val="70C70595"/>
    <w:rsid w:val="70CF74E9"/>
    <w:rsid w:val="724179B2"/>
    <w:rsid w:val="729B5FE0"/>
    <w:rsid w:val="739F0C87"/>
    <w:rsid w:val="75C2489E"/>
    <w:rsid w:val="76500BBD"/>
    <w:rsid w:val="770F5700"/>
    <w:rsid w:val="7A1136B2"/>
    <w:rsid w:val="7AB72F75"/>
    <w:rsid w:val="7D024843"/>
    <w:rsid w:val="7D4E40A8"/>
    <w:rsid w:val="7E68119A"/>
    <w:rsid w:val="7EC65C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hint="default" w:ascii="仿宋_GB2312" w:eastAsia="仿宋_GB2312"/>
      <w:sz w:val="32"/>
      <w:szCs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5147</Words>
  <Characters>5648</Characters>
  <Lines>37</Lines>
  <Paragraphs>10</Paragraphs>
  <TotalTime>86</TotalTime>
  <ScaleCrop>false</ScaleCrop>
  <LinksUpToDate>false</LinksUpToDate>
  <CharactersWithSpaces>5680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2023-09-06T06:06:00Z</cp:lastPrinted>
  <dcterms:modified xsi:type="dcterms:W3CDTF">2023-09-11T01:33:01Z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