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辽宁省沈阳市浑南区人民检察院</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辽宁省沈阳市浑南区人民检察院</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辽宁省沈阳市浑南区人民检察院</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辽宁省沈阳市浑南区人民检察院</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辽宁省沈阳市浑南区人民检察院</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辽宁省沈阳市浑南区人民检察院概况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（一）深入贯彻习近平新时代中国特色社会主义思想，深入贯彻党的路线方针政策和决策部署，坚持党对检察工作的绝对领导，贯彻落实省、市、区党委工作部署和要求。</w:t>
        <w:br/>
        <w:t xml:space="preserve">    （二）依法向本级人民代表大会及其常务委员会提出议案。</w:t>
        <w:br/>
        <w:t xml:space="preserve">    （三）贯彻落实上级人民检察院工作部署。</w:t>
        <w:br/>
        <w:t xml:space="preserve">    （四）对本院承办的刑事案件进行批准逮捕、决定逮捕、提起公诉。</w:t>
        <w:br/>
        <w:t xml:space="preserve">    （五）负责应由本院承办的刑事、民事、行政诉讼活动以及刑事、民事、行政判决和裁定等生效法律文书执行的法律监督工作。</w:t>
        <w:br/>
        <w:t xml:space="preserve">    （六）负责应由本院承办的提起公益诉讼工作。</w:t>
        <w:br/>
        <w:t xml:space="preserve">    （七）负责应由本院承办的对看守所、社区矫正机构等执法活动的法律监督工作。</w:t>
        <w:br/>
        <w:t xml:space="preserve">    （八）受理向本院的控告、申诉，承办国家赔偿案件和国家司法救助案件。</w:t>
        <w:br/>
        <w:t xml:space="preserve">    （九）开展检察理论研究工作。</w:t>
        <w:br/>
        <w:t xml:space="preserve">    （十）负责机关队伍建设和思想政治工作，负责机关教育培训工作。</w:t>
        <w:br/>
        <w:t xml:space="preserve">    （十一）负责财务装备工作、检察技术信息工作。</w:t>
        <w:br/>
        <w:t xml:space="preserve">    （十二）负责其他应当由本院承办的事项。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辽宁省沈阳市浑南区人民检察院</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沈阳市浑南区人民检察院本级，本单位无下设机构。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2158.42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2158.42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2158.42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减少164.97万元，降低7.10%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在职人员津贴补贴有所下降，主要原因是2023年调标补发津贴补贴较多，2024年的津贴补贴正常发放，较上年有所下降。二是在职人员公积金下降，主要原因是暂未发放2024年高比例住房补贴。三是为节约财政资金，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2158.42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1443.08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66.86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工资福利支出1258.83万元；商品和服务支出147.79万元；对个人和家庭的补助36.46万元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715.34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33.14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主要包括检察业务费、司法救助资金、网络服务费等业务支出。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减少164.97万元，降低7.10%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在职人员津贴补贴有所下降，主要原因是2023年调标补发津贴补贴较多，2024年的津贴补贴正常发放，较上年有所下降。二是在职人员公积金下降，主要原因是暂未发放2024年高比例住房补贴。三是为节约财政资金，压减项目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近两年，我院政法转移支付均无结转结余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2158.42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1443.08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715.34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减少162.37万元，降低7.00%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在职人员津贴补贴有所下降，主要原因是2023年调标补发津贴补贴较多，2024年的津贴补贴正常发放，较上年有所下降。二是在职人员公积金下降，主要原因是暂未发放2024年高比例住房补贴。三是为节约财政资金，压减项目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70.52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84.42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52.93</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2024年度一般公共预算财政拨款支出2158.42万元。按支出功能分类科目分，包括：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1.公共安全支出1752.96万元，具体包括：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公共安全支出（类）检察（款）行政运行（项）1042.60万元,主要是行政单位运行费用、人员经费等支出，完成年初预算的82.07%，决算数与年初预算数存在差异的主要原因是为防止工资、津贴补贴保险等因人员级别调整、基数调整等原因不足以发放，故预算数略高于实际支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公共安全支出（类）检察（款）一般行政管理事务（项）710.36万元,主要是劳务费、邮电费、维修费、差旅费等支出，完成年初预算的53.09%，决算数与年初预算数存在差异的主要原因是为节约财政资金，压缩了网络服务费、服装购置费、办公设备购置费等多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2.教育支出4.98万元，具体包括：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4.98万元,主要是参加上级院组织的培训发生的培训费等支出，完成年初预算的37.03%，决算数与年初预算数存在差异的主要原因是为节约财政资金，我院压减了部分培训。</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3.社会保障和就业支出189.30万元，具体包括：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8.26万元,主要是退休人员采暖补贴等支出，完成年初预算的75.16%，决算数与年初预算数存在差异的主要原因是我院未组织退休人员开展活动，未使用离退休人员活动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124.85万元,主要是养老保险缴费等支出，完成年初预算的91.94%，决算数与年初预算数存在差异的主要原因是为防止养老保险因基数调整等原因不足以发放，故预算数高于实际支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27.99万元,主要是职业年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（4）社会保障和就业支出（类）抚恤（款）死亡抚恤（项）28.20万元,主要是退休人员武志祥的丧葬费、抚恤金等支出，完成年初预算的100%，决算数与年初预算数存在差异的主要原因是根据实际情况追加预算。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4.卫生健康支出52.41万元，具体包括：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52.41万元,主要是医疗保险等支出，完成年初预算的96.13%，决算数与年初预算数存在差异的主要原因是为防止医疗保险因基数调整等原因不足以发放，且未发放公务员医疗补助，故预算数高于决算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5.住房保障支出158.77万元，具体包括：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（1）住房保障支出（类）住房改革支出（款）住房公积金（项）158.77万元,主要是住房公积金等支出，完成年初预算的67.85%，决算数与年初预算数存在差异的主要原因是暂未支付2024年高比例住房补贴。</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19.49</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60.15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我院无出国任务、公务接待，车辆维修支出与燃油费比预计的要少</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19.49</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均无出国任务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均无公务接待任务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均无公务接待任务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19.49</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60.15</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车辆维修支出与燃油费比预计的要少</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比上年减少10.31万元，降低34.60%</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车辆维修支出与燃油费减少</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19.49</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主要用于车辆维修支出、燃油费等，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11</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1443.08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1295.29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147.79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147.79</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比上年增加29.89万元，增长25.35%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办公耗材使用较上年有所增加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11</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具体而言，本年度我部门共组织对11个项目实施了绩效评价。从预算资金来源看，涉及一般公共预算的项目11个，涉及政府性基金预算的项目0个，涉及国有资本经营预算的项目0个。</w:t>
        <w:br/>
        <w:t xml:space="preserve">    上述评价工作共涉及财政资金1223.03万元。其中，一般公共预算资金1223.03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1个；得分在60分（含）至80分、等级为“中”的项目有0个；得分在60分以下、等级为“差”的项目有6个。各项目自评发现，部分项目存在问题，如：预算执行率较低、个别效益指标未能完全达成。已要求相关项目单位分析原因并制定改进措施。</w:t>
        <w:br/>
        <w:t xml:space="preserve">    3.部门重点评价情况及结果。</w:t>
        <w:br/>
        <w:t xml:space="preserve">    本年不涉及部门重点评价。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16.公共安全支出（类）检察（款）行政运行（项）：反映行政单位（包括实行公务员管理的事业单位）的基本支出。</w:t>
        <w:br/>
        <w:t xml:space="preserve">    17.公共安全支出（类）检察（款）一般行政管理事务（项）：反映行政单位（包括实行公务员管理的事业单位）未单独设置项级科目的其他项目支出。</w:t>
        <w:br/>
        <w:t xml:space="preserve">    18.教育支出（类）进修及培训（款）培训支出（项）：反映各部门安排的用于培训的支出。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2,158.42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jc w:val="right"/>
            </w:pPr>
            <w:r>
              <w:rPr>
                <w:rFonts w:ascii="宋体" w:eastAsia="宋体" w:hAnsi="宋体" w:cs="宋体"/>
                <w:b w:val="0"/>
                <w:i w:val="0"/>
                <w:color w:val="000000"/>
                <w:sz w:val="16"/>
              </w:rPr>
              <w:t xml:space="preserve">1,752.96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4.98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189.30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52.41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158.77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2,158.42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2,158.42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2,158.42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2,158.42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2,158.42</w:t>
            </w:r>
          </w:p>
        </w:tc>
        <w:tc>
          <w:tcPr>
            <w:tcW w:w="960" w:type="dxa"/>
            <w:tcBorders/>
            <w:vAlign w:val="center"/>
          </w:tcPr>
          <w:p>
            <w:pPr>
              <w:jc w:val="right"/>
            </w:pPr>
            <w:r>
              <w:rPr>
                <w:rFonts w:ascii="宋体" w:eastAsia="宋体" w:hAnsi="宋体" w:cs="宋体"/>
                <w:b/>
                <w:i w:val="0"/>
                <w:color w:val="000000"/>
                <w:sz w:val="13"/>
              </w:rPr>
              <w:t xml:space="preserve">2,158.42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w:t>
            </w:r>
          </w:p>
        </w:tc>
        <w:tc>
          <w:tcPr>
            <w:tcW w:w="3200" w:type="dxa"/>
            <w:tcBorders/>
            <w:vAlign w:val="center"/>
          </w:tcPr>
          <w:p>
            <w:pPr>
              <w:jc w:val="left"/>
            </w:pPr>
            <w:r>
              <w:rPr>
                <w:rFonts w:ascii="宋体" w:eastAsia="宋体" w:hAnsi="宋体" w:cs="宋体"/>
                <w:b w:val="0"/>
                <w:i w:val="0"/>
                <w:color w:val="000000"/>
                <w:sz w:val="13"/>
              </w:rPr>
              <w:t xml:space="preserve">公共安全支出</w:t>
            </w:r>
          </w:p>
        </w:tc>
        <w:tc>
          <w:tcPr>
            <w:tcW w:w="960" w:type="dxa"/>
            <w:tcBorders/>
            <w:vAlign w:val="center"/>
          </w:tcPr>
          <w:p>
            <w:pPr>
              <w:jc w:val="right"/>
            </w:pPr>
            <w:r>
              <w:rPr>
                <w:rFonts w:ascii="宋体" w:eastAsia="宋体" w:hAnsi="宋体" w:cs="宋体"/>
                <w:b w:val="0"/>
                <w:i w:val="0"/>
                <w:color w:val="000000"/>
                <w:sz w:val="13"/>
              </w:rPr>
              <w:t xml:space="preserve">1,752.96</w:t>
            </w:r>
          </w:p>
        </w:tc>
        <w:tc>
          <w:tcPr>
            <w:tcW w:w="960" w:type="dxa"/>
            <w:tcBorders/>
            <w:vAlign w:val="center"/>
          </w:tcPr>
          <w:p>
            <w:pPr>
              <w:jc w:val="right"/>
            </w:pPr>
            <w:r>
              <w:rPr>
                <w:rFonts w:ascii="宋体" w:eastAsia="宋体" w:hAnsi="宋体" w:cs="宋体"/>
                <w:b w:val="0"/>
                <w:i w:val="0"/>
                <w:color w:val="000000"/>
                <w:sz w:val="13"/>
              </w:rPr>
              <w:t xml:space="preserve">1,752.96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w:t>
            </w:r>
          </w:p>
        </w:tc>
        <w:tc>
          <w:tcPr>
            <w:tcW w:w="3200" w:type="dxa"/>
            <w:tcBorders/>
            <w:vAlign w:val="center"/>
          </w:tcPr>
          <w:p>
            <w:pPr>
              <w:jc w:val="left"/>
            </w:pPr>
            <w:r>
              <w:rPr>
                <w:rFonts w:ascii="宋体" w:eastAsia="宋体" w:hAnsi="宋体" w:cs="宋体"/>
                <w:b w:val="0"/>
                <w:i w:val="0"/>
                <w:color w:val="000000"/>
                <w:sz w:val="13"/>
              </w:rPr>
              <w:t xml:space="preserve">检察</w:t>
            </w:r>
          </w:p>
        </w:tc>
        <w:tc>
          <w:tcPr>
            <w:tcW w:w="960" w:type="dxa"/>
            <w:tcBorders/>
            <w:vAlign w:val="center"/>
          </w:tcPr>
          <w:p>
            <w:pPr>
              <w:jc w:val="right"/>
            </w:pPr>
            <w:r>
              <w:rPr>
                <w:rFonts w:ascii="宋体" w:eastAsia="宋体" w:hAnsi="宋体" w:cs="宋体"/>
                <w:b w:val="0"/>
                <w:i w:val="0"/>
                <w:color w:val="000000"/>
                <w:sz w:val="13"/>
              </w:rPr>
              <w:t xml:space="preserve">1,752.96</w:t>
            </w:r>
          </w:p>
        </w:tc>
        <w:tc>
          <w:tcPr>
            <w:tcW w:w="960" w:type="dxa"/>
            <w:tcBorders/>
            <w:vAlign w:val="center"/>
          </w:tcPr>
          <w:p>
            <w:pPr>
              <w:jc w:val="right"/>
            </w:pPr>
            <w:r>
              <w:rPr>
                <w:rFonts w:ascii="宋体" w:eastAsia="宋体" w:hAnsi="宋体" w:cs="宋体"/>
                <w:b w:val="0"/>
                <w:i w:val="0"/>
                <w:color w:val="000000"/>
                <w:sz w:val="13"/>
              </w:rPr>
              <w:t xml:space="preserve">1,752.96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1,042.60</w:t>
            </w:r>
          </w:p>
        </w:tc>
        <w:tc>
          <w:tcPr>
            <w:tcW w:w="960" w:type="dxa"/>
            <w:tcBorders/>
            <w:vAlign w:val="center"/>
          </w:tcPr>
          <w:p>
            <w:pPr>
              <w:jc w:val="right"/>
            </w:pPr>
            <w:r>
              <w:rPr>
                <w:rFonts w:ascii="宋体" w:eastAsia="宋体" w:hAnsi="宋体" w:cs="宋体"/>
                <w:b w:val="0"/>
                <w:i w:val="0"/>
                <w:color w:val="000000"/>
                <w:sz w:val="13"/>
              </w:rPr>
              <w:t xml:space="preserve">1,042.60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2040402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710.36</w:t>
            </w:r>
          </w:p>
        </w:tc>
        <w:tc>
          <w:tcPr>
            <w:tcW w:w="960" w:type="dxa"/>
            <w:tcBorders/>
            <w:vAlign w:val="center"/>
          </w:tcPr>
          <w:p>
            <w:pPr>
              <w:jc w:val="right"/>
            </w:pPr>
            <w:r>
              <w:rPr>
                <w:rFonts w:ascii="宋体" w:eastAsia="宋体" w:hAnsi="宋体" w:cs="宋体"/>
                <w:b w:val="0"/>
                <w:i w:val="0"/>
                <w:color w:val="000000"/>
                <w:sz w:val="13"/>
              </w:rPr>
              <w:t xml:space="preserve">710.36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jc w:val="right"/>
            </w:pPr>
            <w:r>
              <w:rPr>
                <w:rFonts w:ascii="宋体" w:eastAsia="宋体" w:hAnsi="宋体" w:cs="宋体"/>
                <w:b w:val="0"/>
                <w:i w:val="0"/>
                <w:color w:val="000000"/>
                <w:sz w:val="13"/>
              </w:rPr>
              <w:t xml:space="preserve">4.98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189.30</w:t>
            </w:r>
          </w:p>
        </w:tc>
        <w:tc>
          <w:tcPr>
            <w:tcW w:w="960" w:type="dxa"/>
            <w:tcBorders/>
            <w:vAlign w:val="center"/>
          </w:tcPr>
          <w:p>
            <w:pPr>
              <w:jc w:val="right"/>
            </w:pPr>
            <w:r>
              <w:rPr>
                <w:rFonts w:ascii="宋体" w:eastAsia="宋体" w:hAnsi="宋体" w:cs="宋体"/>
                <w:b w:val="0"/>
                <w:i w:val="0"/>
                <w:color w:val="000000"/>
                <w:sz w:val="13"/>
              </w:rPr>
              <w:t xml:space="preserve">189.30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161.10</w:t>
            </w:r>
          </w:p>
        </w:tc>
        <w:tc>
          <w:tcPr>
            <w:tcW w:w="960" w:type="dxa"/>
            <w:tcBorders/>
            <w:vAlign w:val="center"/>
          </w:tcPr>
          <w:p>
            <w:pPr>
              <w:jc w:val="right"/>
            </w:pPr>
            <w:r>
              <w:rPr>
                <w:rFonts w:ascii="宋体" w:eastAsia="宋体" w:hAnsi="宋体" w:cs="宋体"/>
                <w:b w:val="0"/>
                <w:i w:val="0"/>
                <w:color w:val="000000"/>
                <w:sz w:val="13"/>
              </w:rPr>
              <w:t xml:space="preserve">161.10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8.26</w:t>
            </w:r>
          </w:p>
        </w:tc>
        <w:tc>
          <w:tcPr>
            <w:tcW w:w="960" w:type="dxa"/>
            <w:tcBorders/>
            <w:vAlign w:val="center"/>
          </w:tcPr>
          <w:p>
            <w:pPr>
              <w:jc w:val="right"/>
            </w:pPr>
            <w:r>
              <w:rPr>
                <w:rFonts w:ascii="宋体" w:eastAsia="宋体" w:hAnsi="宋体" w:cs="宋体"/>
                <w:b w:val="0"/>
                <w:i w:val="0"/>
                <w:color w:val="000000"/>
                <w:sz w:val="13"/>
              </w:rPr>
              <w:t xml:space="preserve">8.26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124.85</w:t>
            </w:r>
          </w:p>
        </w:tc>
        <w:tc>
          <w:tcPr>
            <w:tcW w:w="960" w:type="dxa"/>
            <w:tcBorders/>
            <w:vAlign w:val="center"/>
          </w:tcPr>
          <w:p>
            <w:pPr>
              <w:jc w:val="right"/>
            </w:pPr>
            <w:r>
              <w:rPr>
                <w:rFonts w:ascii="宋体" w:eastAsia="宋体" w:hAnsi="宋体" w:cs="宋体"/>
                <w:b w:val="0"/>
                <w:i w:val="0"/>
                <w:color w:val="000000"/>
                <w:sz w:val="13"/>
              </w:rPr>
              <w:t xml:space="preserve">124.85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27.99</w:t>
            </w:r>
          </w:p>
        </w:tc>
        <w:tc>
          <w:tcPr>
            <w:tcW w:w="960" w:type="dxa"/>
            <w:tcBorders/>
            <w:vAlign w:val="center"/>
          </w:tcPr>
          <w:p>
            <w:pPr>
              <w:jc w:val="right"/>
            </w:pPr>
            <w:r>
              <w:rPr>
                <w:rFonts w:ascii="宋体" w:eastAsia="宋体" w:hAnsi="宋体" w:cs="宋体"/>
                <w:b w:val="0"/>
                <w:i w:val="0"/>
                <w:color w:val="000000"/>
                <w:sz w:val="13"/>
              </w:rPr>
              <w:t xml:space="preserve">27.99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28.20</w:t>
            </w:r>
          </w:p>
        </w:tc>
        <w:tc>
          <w:tcPr>
            <w:tcW w:w="960" w:type="dxa"/>
            <w:tcBorders/>
            <w:vAlign w:val="center"/>
          </w:tcPr>
          <w:p>
            <w:pPr>
              <w:jc w:val="right"/>
            </w:pPr>
            <w:r>
              <w:rPr>
                <w:rFonts w:ascii="宋体" w:eastAsia="宋体" w:hAnsi="宋体" w:cs="宋体"/>
                <w:b w:val="0"/>
                <w:i w:val="0"/>
                <w:color w:val="000000"/>
                <w:sz w:val="13"/>
              </w:rPr>
              <w:t xml:space="preserve">28.20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28.20</w:t>
            </w:r>
          </w:p>
        </w:tc>
        <w:tc>
          <w:tcPr>
            <w:tcW w:w="960" w:type="dxa"/>
            <w:tcBorders/>
            <w:vAlign w:val="center"/>
          </w:tcPr>
          <w:p>
            <w:pPr>
              <w:jc w:val="right"/>
            </w:pPr>
            <w:r>
              <w:rPr>
                <w:rFonts w:ascii="宋体" w:eastAsia="宋体" w:hAnsi="宋体" w:cs="宋体"/>
                <w:b w:val="0"/>
                <w:i w:val="0"/>
                <w:color w:val="000000"/>
                <w:sz w:val="13"/>
              </w:rPr>
              <w:t xml:space="preserve">28.20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52.41</w:t>
            </w:r>
          </w:p>
        </w:tc>
        <w:tc>
          <w:tcPr>
            <w:tcW w:w="960" w:type="dxa"/>
            <w:tcBorders/>
            <w:vAlign w:val="center"/>
          </w:tcPr>
          <w:p>
            <w:pPr>
              <w:jc w:val="right"/>
            </w:pPr>
            <w:r>
              <w:rPr>
                <w:rFonts w:ascii="宋体" w:eastAsia="宋体" w:hAnsi="宋体" w:cs="宋体"/>
                <w:b w:val="0"/>
                <w:i w:val="0"/>
                <w:color w:val="000000"/>
                <w:sz w:val="13"/>
              </w:rPr>
              <w:t xml:space="preserve">52.41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52.41</w:t>
            </w:r>
          </w:p>
        </w:tc>
        <w:tc>
          <w:tcPr>
            <w:tcW w:w="960" w:type="dxa"/>
            <w:tcBorders/>
            <w:vAlign w:val="center"/>
          </w:tcPr>
          <w:p>
            <w:pPr>
              <w:jc w:val="right"/>
            </w:pPr>
            <w:r>
              <w:rPr>
                <w:rFonts w:ascii="宋体" w:eastAsia="宋体" w:hAnsi="宋体" w:cs="宋体"/>
                <w:b w:val="0"/>
                <w:i w:val="0"/>
                <w:color w:val="000000"/>
                <w:sz w:val="13"/>
              </w:rPr>
              <w:t xml:space="preserve">52.41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52.41</w:t>
            </w:r>
          </w:p>
        </w:tc>
        <w:tc>
          <w:tcPr>
            <w:tcW w:w="960" w:type="dxa"/>
            <w:tcBorders/>
            <w:vAlign w:val="center"/>
          </w:tcPr>
          <w:p>
            <w:pPr>
              <w:jc w:val="right"/>
            </w:pPr>
            <w:r>
              <w:rPr>
                <w:rFonts w:ascii="宋体" w:eastAsia="宋体" w:hAnsi="宋体" w:cs="宋体"/>
                <w:b w:val="0"/>
                <w:i w:val="0"/>
                <w:color w:val="000000"/>
                <w:sz w:val="13"/>
              </w:rPr>
              <w:t xml:space="preserve">52.41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158.77</w:t>
            </w:r>
          </w:p>
        </w:tc>
        <w:tc>
          <w:tcPr>
            <w:tcW w:w="960" w:type="dxa"/>
            <w:tcBorders/>
            <w:vAlign w:val="center"/>
          </w:tcPr>
          <w:p>
            <w:pPr>
              <w:jc w:val="right"/>
            </w:pPr>
            <w:r>
              <w:rPr>
                <w:rFonts w:ascii="宋体" w:eastAsia="宋体" w:hAnsi="宋体" w:cs="宋体"/>
                <w:b w:val="0"/>
                <w:i w:val="0"/>
                <w:color w:val="000000"/>
                <w:sz w:val="13"/>
              </w:rPr>
              <w:t xml:space="preserve">158.77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158.77</w:t>
            </w:r>
          </w:p>
        </w:tc>
        <w:tc>
          <w:tcPr>
            <w:tcW w:w="960" w:type="dxa"/>
            <w:tcBorders/>
            <w:vAlign w:val="center"/>
          </w:tcPr>
          <w:p>
            <w:pPr>
              <w:jc w:val="right"/>
            </w:pPr>
            <w:r>
              <w:rPr>
                <w:rFonts w:ascii="宋体" w:eastAsia="宋体" w:hAnsi="宋体" w:cs="宋体"/>
                <w:b w:val="0"/>
                <w:i w:val="0"/>
                <w:color w:val="000000"/>
                <w:sz w:val="13"/>
              </w:rPr>
              <w:t xml:space="preserve">158.77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158.77</w:t>
            </w:r>
          </w:p>
        </w:tc>
        <w:tc>
          <w:tcPr>
            <w:tcW w:w="960" w:type="dxa"/>
            <w:tcBorders/>
            <w:vAlign w:val="center"/>
          </w:tcPr>
          <w:p>
            <w:pPr>
              <w:jc w:val="right"/>
            </w:pPr>
            <w:r>
              <w:rPr>
                <w:rFonts w:ascii="宋体" w:eastAsia="宋体" w:hAnsi="宋体" w:cs="宋体"/>
                <w:b w:val="0"/>
                <w:i w:val="0"/>
                <w:color w:val="000000"/>
                <w:sz w:val="13"/>
              </w:rPr>
              <w:t xml:space="preserve">158.77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2,158.42</w:t>
            </w:r>
          </w:p>
        </w:tc>
        <w:tc>
          <w:tcPr>
            <w:tcW w:w="1060" w:type="dxa"/>
            <w:tcBorders/>
            <w:vAlign w:val="center"/>
          </w:tcPr>
          <w:p>
            <w:pPr>
              <w:jc w:val="right"/>
            </w:pPr>
            <w:r>
              <w:rPr>
                <w:rFonts w:ascii="宋体" w:eastAsia="宋体" w:hAnsi="宋体" w:cs="宋体"/>
                <w:b/>
                <w:i w:val="0"/>
                <w:color w:val="000000"/>
                <w:sz w:val="14"/>
              </w:rPr>
              <w:t xml:space="preserve">1,443.08</w:t>
            </w:r>
          </w:p>
        </w:tc>
        <w:tc>
          <w:tcPr>
            <w:tcW w:w="1060" w:type="dxa"/>
            <w:tcBorders/>
            <w:vAlign w:val="center"/>
          </w:tcPr>
          <w:p>
            <w:pPr>
              <w:jc w:val="right"/>
            </w:pPr>
            <w:r>
              <w:rPr>
                <w:rFonts w:ascii="宋体" w:eastAsia="宋体" w:hAnsi="宋体" w:cs="宋体"/>
                <w:b/>
                <w:i w:val="0"/>
                <w:color w:val="000000"/>
                <w:sz w:val="14"/>
              </w:rPr>
              <w:t xml:space="preserve">715.34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w:t>
            </w:r>
          </w:p>
        </w:tc>
        <w:tc>
          <w:tcPr>
            <w:tcW w:w="3440" w:type="dxa"/>
            <w:tcBorders/>
            <w:vAlign w:val="center"/>
          </w:tcPr>
          <w:p>
            <w:pPr>
              <w:jc w:val="left"/>
            </w:pPr>
            <w:r>
              <w:rPr>
                <w:rFonts w:ascii="宋体" w:eastAsia="宋体" w:hAnsi="宋体" w:cs="宋体"/>
                <w:b w:val="0"/>
                <w:i w:val="0"/>
                <w:color w:val="000000"/>
                <w:sz w:val="14"/>
              </w:rPr>
              <w:t xml:space="preserve">公共安全支出</w:t>
            </w:r>
          </w:p>
        </w:tc>
        <w:tc>
          <w:tcPr>
            <w:tcW w:w="1060" w:type="dxa"/>
            <w:tcBorders/>
            <w:vAlign w:val="center"/>
          </w:tcPr>
          <w:p>
            <w:pPr>
              <w:jc w:val="right"/>
            </w:pPr>
            <w:r>
              <w:rPr>
                <w:rFonts w:ascii="宋体" w:eastAsia="宋体" w:hAnsi="宋体" w:cs="宋体"/>
                <w:b w:val="0"/>
                <w:i w:val="0"/>
                <w:color w:val="000000"/>
                <w:sz w:val="14"/>
              </w:rPr>
              <w:t xml:space="preserve">1,752.96</w:t>
            </w:r>
          </w:p>
        </w:tc>
        <w:tc>
          <w:tcPr>
            <w:tcW w:w="1060" w:type="dxa"/>
            <w:tcBorders/>
            <w:vAlign w:val="center"/>
          </w:tcPr>
          <w:p>
            <w:pPr>
              <w:jc w:val="right"/>
            </w:pPr>
            <w:r>
              <w:rPr>
                <w:rFonts w:ascii="宋体" w:eastAsia="宋体" w:hAnsi="宋体" w:cs="宋体"/>
                <w:b w:val="0"/>
                <w:i w:val="0"/>
                <w:color w:val="000000"/>
                <w:sz w:val="14"/>
              </w:rPr>
              <w:t xml:space="preserve">1,042.60</w:t>
            </w:r>
          </w:p>
        </w:tc>
        <w:tc>
          <w:tcPr>
            <w:tcW w:w="1060" w:type="dxa"/>
            <w:tcBorders/>
            <w:vAlign w:val="center"/>
          </w:tcPr>
          <w:p>
            <w:pPr>
              <w:jc w:val="right"/>
            </w:pPr>
            <w:r>
              <w:rPr>
                <w:rFonts w:ascii="宋体" w:eastAsia="宋体" w:hAnsi="宋体" w:cs="宋体"/>
                <w:b w:val="0"/>
                <w:i w:val="0"/>
                <w:color w:val="000000"/>
                <w:sz w:val="14"/>
              </w:rPr>
              <w:t xml:space="preserve">710.36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w:t>
            </w:r>
          </w:p>
        </w:tc>
        <w:tc>
          <w:tcPr>
            <w:tcW w:w="3440" w:type="dxa"/>
            <w:tcBorders/>
            <w:vAlign w:val="center"/>
          </w:tcPr>
          <w:p>
            <w:pPr>
              <w:jc w:val="left"/>
            </w:pPr>
            <w:r>
              <w:rPr>
                <w:rFonts w:ascii="宋体" w:eastAsia="宋体" w:hAnsi="宋体" w:cs="宋体"/>
                <w:b w:val="0"/>
                <w:i w:val="0"/>
                <w:color w:val="000000"/>
                <w:sz w:val="14"/>
              </w:rPr>
              <w:t xml:space="preserve">检察</w:t>
            </w:r>
          </w:p>
        </w:tc>
        <w:tc>
          <w:tcPr>
            <w:tcW w:w="1060" w:type="dxa"/>
            <w:tcBorders/>
            <w:vAlign w:val="center"/>
          </w:tcPr>
          <w:p>
            <w:pPr>
              <w:jc w:val="right"/>
            </w:pPr>
            <w:r>
              <w:rPr>
                <w:rFonts w:ascii="宋体" w:eastAsia="宋体" w:hAnsi="宋体" w:cs="宋体"/>
                <w:b w:val="0"/>
                <w:i w:val="0"/>
                <w:color w:val="000000"/>
                <w:sz w:val="14"/>
              </w:rPr>
              <w:t xml:space="preserve">1,752.96</w:t>
            </w:r>
          </w:p>
        </w:tc>
        <w:tc>
          <w:tcPr>
            <w:tcW w:w="1060" w:type="dxa"/>
            <w:tcBorders/>
            <w:vAlign w:val="center"/>
          </w:tcPr>
          <w:p>
            <w:pPr>
              <w:jc w:val="right"/>
            </w:pPr>
            <w:r>
              <w:rPr>
                <w:rFonts w:ascii="宋体" w:eastAsia="宋体" w:hAnsi="宋体" w:cs="宋体"/>
                <w:b w:val="0"/>
                <w:i w:val="0"/>
                <w:color w:val="000000"/>
                <w:sz w:val="14"/>
              </w:rPr>
              <w:t xml:space="preserve">1,042.60</w:t>
            </w:r>
          </w:p>
        </w:tc>
        <w:tc>
          <w:tcPr>
            <w:tcW w:w="1060" w:type="dxa"/>
            <w:tcBorders/>
            <w:vAlign w:val="center"/>
          </w:tcPr>
          <w:p>
            <w:pPr>
              <w:jc w:val="right"/>
            </w:pPr>
            <w:r>
              <w:rPr>
                <w:rFonts w:ascii="宋体" w:eastAsia="宋体" w:hAnsi="宋体" w:cs="宋体"/>
                <w:b w:val="0"/>
                <w:i w:val="0"/>
                <w:color w:val="000000"/>
                <w:sz w:val="14"/>
              </w:rPr>
              <w:t xml:space="preserve">710.36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1,042.60</w:t>
            </w:r>
          </w:p>
        </w:tc>
        <w:tc>
          <w:tcPr>
            <w:tcW w:w="1060" w:type="dxa"/>
            <w:tcBorders/>
            <w:vAlign w:val="center"/>
          </w:tcPr>
          <w:p>
            <w:pPr>
              <w:jc w:val="right"/>
            </w:pPr>
            <w:r>
              <w:rPr>
                <w:rFonts w:ascii="宋体" w:eastAsia="宋体" w:hAnsi="宋体" w:cs="宋体"/>
                <w:b w:val="0"/>
                <w:i w:val="0"/>
                <w:color w:val="000000"/>
                <w:sz w:val="14"/>
              </w:rPr>
              <w:t xml:space="preserve">1,042.60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2040402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710.36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710.36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189.30</w:t>
            </w:r>
          </w:p>
        </w:tc>
        <w:tc>
          <w:tcPr>
            <w:tcW w:w="1060" w:type="dxa"/>
            <w:tcBorders/>
            <w:vAlign w:val="center"/>
          </w:tcPr>
          <w:p>
            <w:pPr>
              <w:jc w:val="right"/>
            </w:pPr>
            <w:r>
              <w:rPr>
                <w:rFonts w:ascii="宋体" w:eastAsia="宋体" w:hAnsi="宋体" w:cs="宋体"/>
                <w:b w:val="0"/>
                <w:i w:val="0"/>
                <w:color w:val="000000"/>
                <w:sz w:val="14"/>
              </w:rPr>
              <w:t xml:space="preserve">189.30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161.10</w:t>
            </w:r>
          </w:p>
        </w:tc>
        <w:tc>
          <w:tcPr>
            <w:tcW w:w="1060" w:type="dxa"/>
            <w:tcBorders/>
            <w:vAlign w:val="center"/>
          </w:tcPr>
          <w:p>
            <w:pPr>
              <w:jc w:val="right"/>
            </w:pPr>
            <w:r>
              <w:rPr>
                <w:rFonts w:ascii="宋体" w:eastAsia="宋体" w:hAnsi="宋体" w:cs="宋体"/>
                <w:b w:val="0"/>
                <w:i w:val="0"/>
                <w:color w:val="000000"/>
                <w:sz w:val="14"/>
              </w:rPr>
              <w:t xml:space="preserve">161.10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8.26</w:t>
            </w:r>
          </w:p>
        </w:tc>
        <w:tc>
          <w:tcPr>
            <w:tcW w:w="1060" w:type="dxa"/>
            <w:tcBorders/>
            <w:vAlign w:val="center"/>
          </w:tcPr>
          <w:p>
            <w:pPr>
              <w:jc w:val="right"/>
            </w:pPr>
            <w:r>
              <w:rPr>
                <w:rFonts w:ascii="宋体" w:eastAsia="宋体" w:hAnsi="宋体" w:cs="宋体"/>
                <w:b w:val="0"/>
                <w:i w:val="0"/>
                <w:color w:val="000000"/>
                <w:sz w:val="14"/>
              </w:rPr>
              <w:t xml:space="preserve">8.26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124.85</w:t>
            </w:r>
          </w:p>
        </w:tc>
        <w:tc>
          <w:tcPr>
            <w:tcW w:w="1060" w:type="dxa"/>
            <w:tcBorders/>
            <w:vAlign w:val="center"/>
          </w:tcPr>
          <w:p>
            <w:pPr>
              <w:jc w:val="right"/>
            </w:pPr>
            <w:r>
              <w:rPr>
                <w:rFonts w:ascii="宋体" w:eastAsia="宋体" w:hAnsi="宋体" w:cs="宋体"/>
                <w:b w:val="0"/>
                <w:i w:val="0"/>
                <w:color w:val="000000"/>
                <w:sz w:val="14"/>
              </w:rPr>
              <w:t xml:space="preserve">124.85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27.99</w:t>
            </w:r>
          </w:p>
        </w:tc>
        <w:tc>
          <w:tcPr>
            <w:tcW w:w="1060" w:type="dxa"/>
            <w:tcBorders/>
            <w:vAlign w:val="center"/>
          </w:tcPr>
          <w:p>
            <w:pPr>
              <w:jc w:val="right"/>
            </w:pPr>
            <w:r>
              <w:rPr>
                <w:rFonts w:ascii="宋体" w:eastAsia="宋体" w:hAnsi="宋体" w:cs="宋体"/>
                <w:b w:val="0"/>
                <w:i w:val="0"/>
                <w:color w:val="000000"/>
                <w:sz w:val="14"/>
              </w:rPr>
              <w:t xml:space="preserve">27.99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28.20</w:t>
            </w:r>
          </w:p>
        </w:tc>
        <w:tc>
          <w:tcPr>
            <w:tcW w:w="1060" w:type="dxa"/>
            <w:tcBorders/>
            <w:vAlign w:val="center"/>
          </w:tcPr>
          <w:p>
            <w:pPr>
              <w:jc w:val="right"/>
            </w:pPr>
            <w:r>
              <w:rPr>
                <w:rFonts w:ascii="宋体" w:eastAsia="宋体" w:hAnsi="宋体" w:cs="宋体"/>
                <w:b w:val="0"/>
                <w:i w:val="0"/>
                <w:color w:val="000000"/>
                <w:sz w:val="14"/>
              </w:rPr>
              <w:t xml:space="preserve">28.20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28.20</w:t>
            </w:r>
          </w:p>
        </w:tc>
        <w:tc>
          <w:tcPr>
            <w:tcW w:w="1060" w:type="dxa"/>
            <w:tcBorders/>
            <w:vAlign w:val="center"/>
          </w:tcPr>
          <w:p>
            <w:pPr>
              <w:jc w:val="right"/>
            </w:pPr>
            <w:r>
              <w:rPr>
                <w:rFonts w:ascii="宋体" w:eastAsia="宋体" w:hAnsi="宋体" w:cs="宋体"/>
                <w:b w:val="0"/>
                <w:i w:val="0"/>
                <w:color w:val="000000"/>
                <w:sz w:val="14"/>
              </w:rPr>
              <w:t xml:space="preserve">28.20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52.41</w:t>
            </w:r>
          </w:p>
        </w:tc>
        <w:tc>
          <w:tcPr>
            <w:tcW w:w="1060" w:type="dxa"/>
            <w:tcBorders/>
            <w:vAlign w:val="center"/>
          </w:tcPr>
          <w:p>
            <w:pPr>
              <w:jc w:val="right"/>
            </w:pPr>
            <w:r>
              <w:rPr>
                <w:rFonts w:ascii="宋体" w:eastAsia="宋体" w:hAnsi="宋体" w:cs="宋体"/>
                <w:b w:val="0"/>
                <w:i w:val="0"/>
                <w:color w:val="000000"/>
                <w:sz w:val="14"/>
              </w:rPr>
              <w:t xml:space="preserve">52.41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52.41</w:t>
            </w:r>
          </w:p>
        </w:tc>
        <w:tc>
          <w:tcPr>
            <w:tcW w:w="1060" w:type="dxa"/>
            <w:tcBorders/>
            <w:vAlign w:val="center"/>
          </w:tcPr>
          <w:p>
            <w:pPr>
              <w:jc w:val="right"/>
            </w:pPr>
            <w:r>
              <w:rPr>
                <w:rFonts w:ascii="宋体" w:eastAsia="宋体" w:hAnsi="宋体" w:cs="宋体"/>
                <w:b w:val="0"/>
                <w:i w:val="0"/>
                <w:color w:val="000000"/>
                <w:sz w:val="14"/>
              </w:rPr>
              <w:t xml:space="preserve">52.41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52.41</w:t>
            </w:r>
          </w:p>
        </w:tc>
        <w:tc>
          <w:tcPr>
            <w:tcW w:w="1060" w:type="dxa"/>
            <w:tcBorders/>
            <w:vAlign w:val="center"/>
          </w:tcPr>
          <w:p>
            <w:pPr>
              <w:jc w:val="right"/>
            </w:pPr>
            <w:r>
              <w:rPr>
                <w:rFonts w:ascii="宋体" w:eastAsia="宋体" w:hAnsi="宋体" w:cs="宋体"/>
                <w:b w:val="0"/>
                <w:i w:val="0"/>
                <w:color w:val="000000"/>
                <w:sz w:val="14"/>
              </w:rPr>
              <w:t xml:space="preserve">52.41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158.77</w:t>
            </w:r>
          </w:p>
        </w:tc>
        <w:tc>
          <w:tcPr>
            <w:tcW w:w="1060" w:type="dxa"/>
            <w:tcBorders/>
            <w:vAlign w:val="center"/>
          </w:tcPr>
          <w:p>
            <w:pPr>
              <w:jc w:val="right"/>
            </w:pPr>
            <w:r>
              <w:rPr>
                <w:rFonts w:ascii="宋体" w:eastAsia="宋体" w:hAnsi="宋体" w:cs="宋体"/>
                <w:b w:val="0"/>
                <w:i w:val="0"/>
                <w:color w:val="000000"/>
                <w:sz w:val="14"/>
              </w:rPr>
              <w:t xml:space="preserve">158.77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158.77</w:t>
            </w:r>
          </w:p>
        </w:tc>
        <w:tc>
          <w:tcPr>
            <w:tcW w:w="1060" w:type="dxa"/>
            <w:tcBorders/>
            <w:vAlign w:val="center"/>
          </w:tcPr>
          <w:p>
            <w:pPr>
              <w:jc w:val="right"/>
            </w:pPr>
            <w:r>
              <w:rPr>
                <w:rFonts w:ascii="宋体" w:eastAsia="宋体" w:hAnsi="宋体" w:cs="宋体"/>
                <w:b w:val="0"/>
                <w:i w:val="0"/>
                <w:color w:val="000000"/>
                <w:sz w:val="14"/>
              </w:rPr>
              <w:t xml:space="preserve">158.77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158.77</w:t>
            </w:r>
          </w:p>
        </w:tc>
        <w:tc>
          <w:tcPr>
            <w:tcW w:w="1060" w:type="dxa"/>
            <w:tcBorders/>
            <w:vAlign w:val="center"/>
          </w:tcPr>
          <w:p>
            <w:pPr>
              <w:jc w:val="right"/>
            </w:pPr>
            <w:r>
              <w:rPr>
                <w:rFonts w:ascii="宋体" w:eastAsia="宋体" w:hAnsi="宋体" w:cs="宋体"/>
                <w:b w:val="0"/>
                <w:i w:val="0"/>
                <w:color w:val="000000"/>
                <w:sz w:val="14"/>
              </w:rPr>
              <w:t xml:space="preserve">158.77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2,158.42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jc w:val="right"/>
            </w:pPr>
            <w:r>
              <w:rPr>
                <w:rFonts w:ascii="宋体" w:eastAsia="宋体" w:hAnsi="宋体" w:cs="宋体"/>
                <w:b w:val="0"/>
                <w:i w:val="0"/>
                <w:color w:val="000000"/>
                <w:sz w:val="14"/>
              </w:rPr>
              <w:t xml:space="preserve">1,752.96</w:t>
            </w:r>
          </w:p>
        </w:tc>
        <w:tc>
          <w:tcPr>
            <w:tcW w:w="1100" w:type="dxa"/>
            <w:tcBorders/>
            <w:vAlign w:val="center"/>
          </w:tcPr>
          <w:p>
            <w:pPr>
              <w:jc w:val="right"/>
            </w:pPr>
            <w:r>
              <w:rPr>
                <w:rFonts w:ascii="宋体" w:eastAsia="宋体" w:hAnsi="宋体" w:cs="宋体"/>
                <w:b w:val="0"/>
                <w:i w:val="0"/>
                <w:color w:val="000000"/>
                <w:sz w:val="14"/>
              </w:rPr>
              <w:t xml:space="preserve">1,752.96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4.98</w:t>
            </w:r>
          </w:p>
        </w:tc>
        <w:tc>
          <w:tcPr>
            <w:tcW w:w="1100" w:type="dxa"/>
            <w:tcBorders/>
            <w:vAlign w:val="center"/>
          </w:tcPr>
          <w:p>
            <w:pPr>
              <w:jc w:val="right"/>
            </w:pPr>
            <w:r>
              <w:rPr>
                <w:rFonts w:ascii="宋体" w:eastAsia="宋体" w:hAnsi="宋体" w:cs="宋体"/>
                <w:b w:val="0"/>
                <w:i w:val="0"/>
                <w:color w:val="000000"/>
                <w:sz w:val="14"/>
              </w:rPr>
              <w:t xml:space="preserve">4.98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189.30</w:t>
            </w:r>
          </w:p>
        </w:tc>
        <w:tc>
          <w:tcPr>
            <w:tcW w:w="1100" w:type="dxa"/>
            <w:tcBorders/>
            <w:vAlign w:val="center"/>
          </w:tcPr>
          <w:p>
            <w:pPr>
              <w:jc w:val="right"/>
            </w:pPr>
            <w:r>
              <w:rPr>
                <w:rFonts w:ascii="宋体" w:eastAsia="宋体" w:hAnsi="宋体" w:cs="宋体"/>
                <w:b w:val="0"/>
                <w:i w:val="0"/>
                <w:color w:val="000000"/>
                <w:sz w:val="14"/>
              </w:rPr>
              <w:t xml:space="preserve">189.30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52.41</w:t>
            </w:r>
          </w:p>
        </w:tc>
        <w:tc>
          <w:tcPr>
            <w:tcW w:w="1100" w:type="dxa"/>
            <w:tcBorders/>
            <w:vAlign w:val="center"/>
          </w:tcPr>
          <w:p>
            <w:pPr>
              <w:jc w:val="right"/>
            </w:pPr>
            <w:r>
              <w:rPr>
                <w:rFonts w:ascii="宋体" w:eastAsia="宋体" w:hAnsi="宋体" w:cs="宋体"/>
                <w:b w:val="0"/>
                <w:i w:val="0"/>
                <w:color w:val="000000"/>
                <w:sz w:val="14"/>
              </w:rPr>
              <w:t xml:space="preserve">52.41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158.77</w:t>
            </w:r>
          </w:p>
        </w:tc>
        <w:tc>
          <w:tcPr>
            <w:tcW w:w="1100" w:type="dxa"/>
            <w:tcBorders/>
            <w:vAlign w:val="center"/>
          </w:tcPr>
          <w:p>
            <w:pPr>
              <w:jc w:val="right"/>
            </w:pPr>
            <w:r>
              <w:rPr>
                <w:rFonts w:ascii="宋体" w:eastAsia="宋体" w:hAnsi="宋体" w:cs="宋体"/>
                <w:b w:val="0"/>
                <w:i w:val="0"/>
                <w:color w:val="000000"/>
                <w:sz w:val="14"/>
              </w:rPr>
              <w:t xml:space="preserve">158.77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2,158.42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2,158.42</w:t>
            </w:r>
          </w:p>
        </w:tc>
        <w:tc>
          <w:tcPr>
            <w:tcW w:w="1100" w:type="dxa"/>
            <w:tcBorders/>
            <w:vAlign w:val="center"/>
          </w:tcPr>
          <w:p>
            <w:pPr>
              <w:jc w:val="right"/>
            </w:pPr>
            <w:r>
              <w:rPr>
                <w:rFonts w:ascii="宋体" w:eastAsia="宋体" w:hAnsi="宋体" w:cs="宋体"/>
                <w:b w:val="0"/>
                <w:i w:val="0"/>
                <w:color w:val="000000"/>
                <w:sz w:val="14"/>
              </w:rPr>
              <w:t xml:space="preserve">2,158.42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2,158.42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2,158.42</w:t>
            </w:r>
          </w:p>
        </w:tc>
        <w:tc>
          <w:tcPr>
            <w:tcW w:w="1100" w:type="dxa"/>
            <w:tcBorders/>
            <w:vAlign w:val="center"/>
          </w:tcPr>
          <w:p>
            <w:pPr>
              <w:jc w:val="right"/>
            </w:pPr>
            <w:r>
              <w:rPr>
                <w:rFonts w:ascii="宋体" w:eastAsia="宋体" w:hAnsi="宋体" w:cs="宋体"/>
                <w:b w:val="0"/>
                <w:i w:val="0"/>
                <w:color w:val="000000"/>
                <w:sz w:val="14"/>
              </w:rPr>
              <w:t xml:space="preserve">2,158.42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2,158.42</w:t>
            </w:r>
          </w:p>
        </w:tc>
        <w:tc>
          <w:tcPr>
            <w:tcW w:w="1780" w:type="dxa"/>
            <w:tcBorders/>
            <w:vAlign w:val="center"/>
          </w:tcPr>
          <w:p>
            <w:pPr>
              <w:jc w:val="right"/>
            </w:pPr>
            <w:r>
              <w:rPr>
                <w:rFonts w:ascii="宋体" w:eastAsia="宋体" w:hAnsi="宋体" w:cs="宋体"/>
                <w:b/>
                <w:i w:val="0"/>
                <w:color w:val="000000"/>
                <w:sz w:val="18"/>
              </w:rPr>
              <w:t xml:space="preserve">1,443.08</w:t>
            </w:r>
          </w:p>
        </w:tc>
        <w:tc>
          <w:tcPr>
            <w:tcW w:w="1772" w:type="dxa"/>
            <w:tcBorders/>
            <w:vAlign w:val="center"/>
          </w:tcPr>
          <w:p>
            <w:pPr>
              <w:jc w:val="right"/>
            </w:pPr>
            <w:r>
              <w:rPr>
                <w:rFonts w:ascii="宋体" w:eastAsia="宋体" w:hAnsi="宋体" w:cs="宋体"/>
                <w:b/>
                <w:i w:val="0"/>
                <w:color w:val="000000"/>
                <w:sz w:val="18"/>
              </w:rPr>
              <w:t xml:space="preserve">715.34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w:t>
            </w:r>
          </w:p>
        </w:tc>
        <w:tc>
          <w:tcPr>
            <w:tcW w:w="4300" w:type="dxa"/>
            <w:tcBorders/>
            <w:vAlign w:val="center"/>
          </w:tcPr>
          <w:p>
            <w:pPr>
              <w:jc w:val="left"/>
            </w:pPr>
            <w:r>
              <w:rPr>
                <w:rFonts w:ascii="宋体" w:eastAsia="宋体" w:hAnsi="宋体" w:cs="宋体"/>
                <w:b w:val="0"/>
                <w:i w:val="0"/>
                <w:color w:val="000000"/>
                <w:sz w:val="18"/>
              </w:rPr>
              <w:t xml:space="preserve">公共安全支出</w:t>
            </w:r>
          </w:p>
        </w:tc>
        <w:tc>
          <w:tcPr>
            <w:tcW w:w="1780" w:type="dxa"/>
            <w:tcBorders/>
            <w:vAlign w:val="center"/>
          </w:tcPr>
          <w:p>
            <w:pPr>
              <w:jc w:val="right"/>
            </w:pPr>
            <w:r>
              <w:rPr>
                <w:rFonts w:ascii="宋体" w:eastAsia="宋体" w:hAnsi="宋体" w:cs="宋体"/>
                <w:b w:val="0"/>
                <w:i w:val="0"/>
                <w:color w:val="000000"/>
                <w:sz w:val="18"/>
              </w:rPr>
              <w:t xml:space="preserve">1,752.96</w:t>
            </w:r>
          </w:p>
        </w:tc>
        <w:tc>
          <w:tcPr>
            <w:tcW w:w="1780" w:type="dxa"/>
            <w:tcBorders/>
            <w:vAlign w:val="center"/>
          </w:tcPr>
          <w:p>
            <w:pPr>
              <w:jc w:val="right"/>
            </w:pPr>
            <w:r>
              <w:rPr>
                <w:rFonts w:ascii="宋体" w:eastAsia="宋体" w:hAnsi="宋体" w:cs="宋体"/>
                <w:b w:val="0"/>
                <w:i w:val="0"/>
                <w:color w:val="000000"/>
                <w:sz w:val="18"/>
              </w:rPr>
              <w:t xml:space="preserve">1,042.60</w:t>
            </w:r>
          </w:p>
        </w:tc>
        <w:tc>
          <w:tcPr>
            <w:tcW w:w="1772" w:type="dxa"/>
            <w:tcBorders/>
            <w:vAlign w:val="center"/>
          </w:tcPr>
          <w:p>
            <w:pPr>
              <w:jc w:val="right"/>
            </w:pPr>
            <w:r>
              <w:rPr>
                <w:rFonts w:ascii="宋体" w:eastAsia="宋体" w:hAnsi="宋体" w:cs="宋体"/>
                <w:b w:val="0"/>
                <w:i w:val="0"/>
                <w:color w:val="000000"/>
                <w:sz w:val="18"/>
              </w:rPr>
              <w:t xml:space="preserve">710.36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w:t>
            </w:r>
          </w:p>
        </w:tc>
        <w:tc>
          <w:tcPr>
            <w:tcW w:w="4300" w:type="dxa"/>
            <w:tcBorders/>
            <w:vAlign w:val="center"/>
          </w:tcPr>
          <w:p>
            <w:pPr>
              <w:jc w:val="left"/>
            </w:pPr>
            <w:r>
              <w:rPr>
                <w:rFonts w:ascii="宋体" w:eastAsia="宋体" w:hAnsi="宋体" w:cs="宋体"/>
                <w:b w:val="0"/>
                <w:i w:val="0"/>
                <w:color w:val="000000"/>
                <w:sz w:val="18"/>
              </w:rPr>
              <w:t xml:space="preserve">检察</w:t>
            </w:r>
          </w:p>
        </w:tc>
        <w:tc>
          <w:tcPr>
            <w:tcW w:w="1780" w:type="dxa"/>
            <w:tcBorders/>
            <w:vAlign w:val="center"/>
          </w:tcPr>
          <w:p>
            <w:pPr>
              <w:jc w:val="right"/>
            </w:pPr>
            <w:r>
              <w:rPr>
                <w:rFonts w:ascii="宋体" w:eastAsia="宋体" w:hAnsi="宋体" w:cs="宋体"/>
                <w:b w:val="0"/>
                <w:i w:val="0"/>
                <w:color w:val="000000"/>
                <w:sz w:val="18"/>
              </w:rPr>
              <w:t xml:space="preserve">1,752.96</w:t>
            </w:r>
          </w:p>
        </w:tc>
        <w:tc>
          <w:tcPr>
            <w:tcW w:w="1780" w:type="dxa"/>
            <w:tcBorders/>
            <w:vAlign w:val="center"/>
          </w:tcPr>
          <w:p>
            <w:pPr>
              <w:jc w:val="right"/>
            </w:pPr>
            <w:r>
              <w:rPr>
                <w:rFonts w:ascii="宋体" w:eastAsia="宋体" w:hAnsi="宋体" w:cs="宋体"/>
                <w:b w:val="0"/>
                <w:i w:val="0"/>
                <w:color w:val="000000"/>
                <w:sz w:val="18"/>
              </w:rPr>
              <w:t xml:space="preserve">1,042.60</w:t>
            </w:r>
          </w:p>
        </w:tc>
        <w:tc>
          <w:tcPr>
            <w:tcW w:w="1772" w:type="dxa"/>
            <w:tcBorders/>
            <w:vAlign w:val="center"/>
          </w:tcPr>
          <w:p>
            <w:pPr>
              <w:jc w:val="right"/>
            </w:pPr>
            <w:r>
              <w:rPr>
                <w:rFonts w:ascii="宋体" w:eastAsia="宋体" w:hAnsi="宋体" w:cs="宋体"/>
                <w:b w:val="0"/>
                <w:i w:val="0"/>
                <w:color w:val="000000"/>
                <w:sz w:val="18"/>
              </w:rPr>
              <w:t xml:space="preserve">710.36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1,042.60</w:t>
            </w:r>
          </w:p>
        </w:tc>
        <w:tc>
          <w:tcPr>
            <w:tcW w:w="1780" w:type="dxa"/>
            <w:tcBorders/>
            <w:vAlign w:val="center"/>
          </w:tcPr>
          <w:p>
            <w:pPr>
              <w:jc w:val="right"/>
            </w:pPr>
            <w:r>
              <w:rPr>
                <w:rFonts w:ascii="宋体" w:eastAsia="宋体" w:hAnsi="宋体" w:cs="宋体"/>
                <w:b w:val="0"/>
                <w:i w:val="0"/>
                <w:color w:val="000000"/>
                <w:sz w:val="18"/>
              </w:rPr>
              <w:t xml:space="preserve">1,042.60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2040402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710.36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710.36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4.98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4.98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4.98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189.30</w:t>
            </w:r>
          </w:p>
        </w:tc>
        <w:tc>
          <w:tcPr>
            <w:tcW w:w="1780" w:type="dxa"/>
            <w:tcBorders/>
            <w:vAlign w:val="center"/>
          </w:tcPr>
          <w:p>
            <w:pPr>
              <w:jc w:val="right"/>
            </w:pPr>
            <w:r>
              <w:rPr>
                <w:rFonts w:ascii="宋体" w:eastAsia="宋体" w:hAnsi="宋体" w:cs="宋体"/>
                <w:b w:val="0"/>
                <w:i w:val="0"/>
                <w:color w:val="000000"/>
                <w:sz w:val="18"/>
              </w:rPr>
              <w:t xml:space="preserve">189.30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161.10</w:t>
            </w:r>
          </w:p>
        </w:tc>
        <w:tc>
          <w:tcPr>
            <w:tcW w:w="1780" w:type="dxa"/>
            <w:tcBorders/>
            <w:vAlign w:val="center"/>
          </w:tcPr>
          <w:p>
            <w:pPr>
              <w:jc w:val="right"/>
            </w:pPr>
            <w:r>
              <w:rPr>
                <w:rFonts w:ascii="宋体" w:eastAsia="宋体" w:hAnsi="宋体" w:cs="宋体"/>
                <w:b w:val="0"/>
                <w:i w:val="0"/>
                <w:color w:val="000000"/>
                <w:sz w:val="18"/>
              </w:rPr>
              <w:t xml:space="preserve">161.10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8.26</w:t>
            </w:r>
          </w:p>
        </w:tc>
        <w:tc>
          <w:tcPr>
            <w:tcW w:w="1780" w:type="dxa"/>
            <w:tcBorders/>
            <w:vAlign w:val="center"/>
          </w:tcPr>
          <w:p>
            <w:pPr>
              <w:jc w:val="right"/>
            </w:pPr>
            <w:r>
              <w:rPr>
                <w:rFonts w:ascii="宋体" w:eastAsia="宋体" w:hAnsi="宋体" w:cs="宋体"/>
                <w:b w:val="0"/>
                <w:i w:val="0"/>
                <w:color w:val="000000"/>
                <w:sz w:val="18"/>
              </w:rPr>
              <w:t xml:space="preserve">8.26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124.85</w:t>
            </w:r>
          </w:p>
        </w:tc>
        <w:tc>
          <w:tcPr>
            <w:tcW w:w="1780" w:type="dxa"/>
            <w:tcBorders/>
            <w:vAlign w:val="center"/>
          </w:tcPr>
          <w:p>
            <w:pPr>
              <w:jc w:val="right"/>
            </w:pPr>
            <w:r>
              <w:rPr>
                <w:rFonts w:ascii="宋体" w:eastAsia="宋体" w:hAnsi="宋体" w:cs="宋体"/>
                <w:b w:val="0"/>
                <w:i w:val="0"/>
                <w:color w:val="000000"/>
                <w:sz w:val="18"/>
              </w:rPr>
              <w:t xml:space="preserve">124.85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27.99</w:t>
            </w:r>
          </w:p>
        </w:tc>
        <w:tc>
          <w:tcPr>
            <w:tcW w:w="1780" w:type="dxa"/>
            <w:tcBorders/>
            <w:vAlign w:val="center"/>
          </w:tcPr>
          <w:p>
            <w:pPr>
              <w:jc w:val="right"/>
            </w:pPr>
            <w:r>
              <w:rPr>
                <w:rFonts w:ascii="宋体" w:eastAsia="宋体" w:hAnsi="宋体" w:cs="宋体"/>
                <w:b w:val="0"/>
                <w:i w:val="0"/>
                <w:color w:val="000000"/>
                <w:sz w:val="18"/>
              </w:rPr>
              <w:t xml:space="preserve">27.99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28.20</w:t>
            </w:r>
          </w:p>
        </w:tc>
        <w:tc>
          <w:tcPr>
            <w:tcW w:w="1780" w:type="dxa"/>
            <w:tcBorders/>
            <w:vAlign w:val="center"/>
          </w:tcPr>
          <w:p>
            <w:pPr>
              <w:jc w:val="right"/>
            </w:pPr>
            <w:r>
              <w:rPr>
                <w:rFonts w:ascii="宋体" w:eastAsia="宋体" w:hAnsi="宋体" w:cs="宋体"/>
                <w:b w:val="0"/>
                <w:i w:val="0"/>
                <w:color w:val="000000"/>
                <w:sz w:val="18"/>
              </w:rPr>
              <w:t xml:space="preserve">28.20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28.20</w:t>
            </w:r>
          </w:p>
        </w:tc>
        <w:tc>
          <w:tcPr>
            <w:tcW w:w="1780" w:type="dxa"/>
            <w:tcBorders/>
            <w:vAlign w:val="center"/>
          </w:tcPr>
          <w:p>
            <w:pPr>
              <w:jc w:val="right"/>
            </w:pPr>
            <w:r>
              <w:rPr>
                <w:rFonts w:ascii="宋体" w:eastAsia="宋体" w:hAnsi="宋体" w:cs="宋体"/>
                <w:b w:val="0"/>
                <w:i w:val="0"/>
                <w:color w:val="000000"/>
                <w:sz w:val="18"/>
              </w:rPr>
              <w:t xml:space="preserve">28.20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52.41</w:t>
            </w:r>
          </w:p>
        </w:tc>
        <w:tc>
          <w:tcPr>
            <w:tcW w:w="1780" w:type="dxa"/>
            <w:tcBorders/>
            <w:vAlign w:val="center"/>
          </w:tcPr>
          <w:p>
            <w:pPr>
              <w:jc w:val="right"/>
            </w:pPr>
            <w:r>
              <w:rPr>
                <w:rFonts w:ascii="宋体" w:eastAsia="宋体" w:hAnsi="宋体" w:cs="宋体"/>
                <w:b w:val="0"/>
                <w:i w:val="0"/>
                <w:color w:val="000000"/>
                <w:sz w:val="18"/>
              </w:rPr>
              <w:t xml:space="preserve">52.41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52.41</w:t>
            </w:r>
          </w:p>
        </w:tc>
        <w:tc>
          <w:tcPr>
            <w:tcW w:w="1780" w:type="dxa"/>
            <w:tcBorders/>
            <w:vAlign w:val="center"/>
          </w:tcPr>
          <w:p>
            <w:pPr>
              <w:jc w:val="right"/>
            </w:pPr>
            <w:r>
              <w:rPr>
                <w:rFonts w:ascii="宋体" w:eastAsia="宋体" w:hAnsi="宋体" w:cs="宋体"/>
                <w:b w:val="0"/>
                <w:i w:val="0"/>
                <w:color w:val="000000"/>
                <w:sz w:val="18"/>
              </w:rPr>
              <w:t xml:space="preserve">52.41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52.41</w:t>
            </w:r>
          </w:p>
        </w:tc>
        <w:tc>
          <w:tcPr>
            <w:tcW w:w="1780" w:type="dxa"/>
            <w:tcBorders/>
            <w:vAlign w:val="center"/>
          </w:tcPr>
          <w:p>
            <w:pPr>
              <w:jc w:val="right"/>
            </w:pPr>
            <w:r>
              <w:rPr>
                <w:rFonts w:ascii="宋体" w:eastAsia="宋体" w:hAnsi="宋体" w:cs="宋体"/>
                <w:b w:val="0"/>
                <w:i w:val="0"/>
                <w:color w:val="000000"/>
                <w:sz w:val="18"/>
              </w:rPr>
              <w:t xml:space="preserve">52.41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158.77</w:t>
            </w:r>
          </w:p>
        </w:tc>
        <w:tc>
          <w:tcPr>
            <w:tcW w:w="1780" w:type="dxa"/>
            <w:tcBorders/>
            <w:vAlign w:val="center"/>
          </w:tcPr>
          <w:p>
            <w:pPr>
              <w:jc w:val="right"/>
            </w:pPr>
            <w:r>
              <w:rPr>
                <w:rFonts w:ascii="宋体" w:eastAsia="宋体" w:hAnsi="宋体" w:cs="宋体"/>
                <w:b w:val="0"/>
                <w:i w:val="0"/>
                <w:color w:val="000000"/>
                <w:sz w:val="18"/>
              </w:rPr>
              <w:t xml:space="preserve">158.77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158.77</w:t>
            </w:r>
          </w:p>
        </w:tc>
        <w:tc>
          <w:tcPr>
            <w:tcW w:w="1780" w:type="dxa"/>
            <w:tcBorders/>
            <w:vAlign w:val="center"/>
          </w:tcPr>
          <w:p>
            <w:pPr>
              <w:jc w:val="right"/>
            </w:pPr>
            <w:r>
              <w:rPr>
                <w:rFonts w:ascii="宋体" w:eastAsia="宋体" w:hAnsi="宋体" w:cs="宋体"/>
                <w:b w:val="0"/>
                <w:i w:val="0"/>
                <w:color w:val="000000"/>
                <w:sz w:val="18"/>
              </w:rPr>
              <w:t xml:space="preserve">158.77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158.77</w:t>
            </w:r>
          </w:p>
        </w:tc>
        <w:tc>
          <w:tcPr>
            <w:tcW w:w="1780" w:type="dxa"/>
            <w:tcBorders/>
            <w:vAlign w:val="center"/>
          </w:tcPr>
          <w:p>
            <w:pPr>
              <w:jc w:val="right"/>
            </w:pPr>
            <w:r>
              <w:rPr>
                <w:rFonts w:ascii="宋体" w:eastAsia="宋体" w:hAnsi="宋体" w:cs="宋体"/>
                <w:b w:val="0"/>
                <w:i w:val="0"/>
                <w:color w:val="000000"/>
                <w:sz w:val="18"/>
              </w:rPr>
              <w:t xml:space="preserve">158.77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1,258.83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147.79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325.80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16.57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296.34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241.81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27.75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124.85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27.99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43.08</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52.41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3.12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1.27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158.77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36.46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8.26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28.20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6.91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19.49</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59.76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0.71</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1,295.29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147.79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32.40</w:t>
            </w:r>
          </w:p>
        </w:tc>
        <w:tc>
          <w:tcPr>
            <w:tcW w:w="3092" w:type="dxa"/>
            <w:vAlign w:val="center"/>
          </w:tcPr>
          <w:p>
            <w:pPr>
              <w:jc w:val="right"/>
            </w:pPr>
            <w:r>
              <w:rPr>
                <w:rFonts w:ascii="宋体" w:eastAsia="宋体" w:hAnsi="宋体" w:cs="宋体"/>
                <w:b w:val="0"/>
                <w:i w:val="0"/>
                <w:color w:val="000000"/>
                <w:sz w:val="23"/>
              </w:rPr>
              <w:t xml:space="preserve">19.49</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32.40</w:t>
            </w:r>
          </w:p>
        </w:tc>
        <w:tc>
          <w:tcPr>
            <w:tcW w:w="3092" w:type="dxa"/>
            <w:tcBorders/>
            <w:vAlign w:val="center"/>
          </w:tcPr>
          <w:p>
            <w:pPr>
              <w:jc w:val="right"/>
            </w:pPr>
            <w:r>
              <w:rPr>
                <w:rFonts w:ascii="宋体" w:eastAsia="宋体" w:hAnsi="宋体" w:cs="宋体"/>
                <w:b w:val="0"/>
                <w:i w:val="0"/>
                <w:color w:val="000000"/>
                <w:sz w:val="23"/>
              </w:rPr>
              <w:t xml:space="preserve">19.49</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32.40</w:t>
            </w:r>
          </w:p>
        </w:tc>
        <w:tc>
          <w:tcPr>
            <w:tcW w:w="3092" w:type="dxa"/>
            <w:tcBorders/>
            <w:vAlign w:val="center"/>
          </w:tcPr>
          <w:p>
            <w:pPr>
              <w:jc w:val="right"/>
            </w:pPr>
            <w:r>
              <w:rPr>
                <w:rFonts w:ascii="宋体" w:eastAsia="宋体" w:hAnsi="宋体" w:cs="宋体"/>
                <w:b w:val="0"/>
                <w:i w:val="0"/>
                <w:color w:val="000000"/>
                <w:sz w:val="23"/>
              </w:rPr>
              <w:t xml:space="preserve">19.49</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部门：辽宁省沈阳市浑南区人民检察院</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搬家费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经费保障:财政资金较为紧张，想要足额保障我院的搬家费较为困难，导致足额发放率未能全部完成。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经费保障:财政资金较为紧张，想要足额保障我院的搬家费较为困难，导致足额发放率未能全部完成。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经费保障:财政资金较为紧张，想要足额保障我院的搬家费较为困难，导致正常运转率未能全部完成。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经费保障:财政资金较为紧张，想要足额保障我院的搬家费较为困难，导致发放到位率未能全部完成。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经费保障:财政资金较为紧张，想要足额保障我院的搬家费较为困难，导致发放到位率未能全部完成。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经费保障:财政资金较为紧张，想要足额保障我院的搬家费较为困难，导致正常运转率未能全部完成。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经费保障:财政资金较为紧张，想要足额保障我院的搬家费较为困难，导致按标准保障率未能全部完成。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经费保障:财政资金较为紧张，想要足额保障我院的搬家费较为困难，导致按标准保障率未能全部完成。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经费保障:财政资金较为紧张，想要足额保障我院的搬家费较为困难，导致未能有效保障单位平稳运行。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经费保障:财政资金较为紧张，想要足额保障我院的搬家费较为困难，导致未能有效保障单位平稳运行。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经费保障:财政资金较为紧张，足额保障我院的电子档案扫描费较为困难，导致该项目实际的保障水平较低。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经费保障:财政资金较为紧张，足额保障我院的电子档案扫描费较为困难，导致该项目实际的保障水平较低。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经费保障:财政资金较为紧张，想要足额保障我院的搬家费较为困难，导致足额实际的满意度比较低。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经费保障:财政资金较为紧张，想要足额保障我院的搬家费较为困难，导致该项目实际的满意度比较低。</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电子档案扫描费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推进诉讼档案精细化、数字化</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我院未能全部完成诉讼档案精细化、数字化相关工作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经费保障:财政资金较为紧张，足额保障我院的电子档案扫描费较为困难，导致足额交纳率未能全部完成。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经费保障:财政资金较为紧张，足额保障我院的电子档案扫描费较为困难，导致足额发放率未能全部完成。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经费保障:财政资金较为紧张，足额保障我院的电子档案扫描费较为困难，导致正常运转率未能全部完成。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经费保障:财政资金较为紧张，足额保障我院的电子档案扫描费较为困难，导致发放到位率未能全部完成。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对持续保障检察工作顺利开展的影响程度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顺利推进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经费保障:财政资金较为紧张，足额保障我院的电子档案扫描费较为困难，导致我院档案工作进展缓慢，对持续保障检察工作顺利开展效果较差</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经费保障:财政资金较为紧张，足额保障我院的电子档案扫描费较为困难，导致保障水平较差，未能全部完成。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法律宣传及普法专项经费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我院部分法律宣传工作未能按计划开展，影响法律宣传效果。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经费保障:财政资金较为紧张，足额保障我院的法律宣传及普法专项经费较为困难，导致足额发放率未能全部完成。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经费保障:财政资金较为紧张，足额保障我院的法律宣传及普法专项经费较为困难，导致足额发放率未能全部完成。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经费保障:财政资金较为紧张，足额保障我院的法律宣传及普法专项经费较为困难，导致正常运转率未能全部完成。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经费保障:财政资金较为紧张，足额保障我院的法律宣传及普法专项经费较为困难，导致发放到位率未能全部完成。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经费保障:财政资金较为紧张，足额保障我院的法律宣传及普法专项经费较为困难，导致正常运转率未能全部完成。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经费保障:财政资金较为紧张，足额保障我院的法律宣传及普法专项经费较为困难，导致发放到位率未能全部完成。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经费保障:财政资金较为紧张，足额保障我院的法律宣传及普法专项经费较为困难，导致按标准保障率未能全部完成。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经费保障:财政资金较为紧张，足额保障我院的法律宣传及普法专项经费较为困难，对我院平稳运行支持不足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经费保障:财政资金较为紧张，足额保障我院的法律宣传及普法专项经费较为困难，对我院平稳运行支持不足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经费保障:财政资金较为紧张，足额保障我院的法律宣传及普法专项经费较为困难，导致保障水平不足，未能全部完成。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经费保障:财政资金较为紧张，足额保障我院的法律宣传及普法专项经费较为困难，导致保障水平不足，未能全部完成。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经费保障:财政资金较为紧张，足额保障我院的法律宣传及普法专项经费较为困难，导致该项目满意度未达到预期目标。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经费保障:财政资金较为紧张，足额保障我院的法律宣传及普法专项经费较为困难，导致该项目满意度未达到预期目标。</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干部培训费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保障了我院培训工作的开展。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经费保障:财政资金较为紧张，足额保障我院的干部培训费较为困难，导致足额保障率未能全部完成。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累计培训人数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经费保障:财政资金较为紧张，足额保障我院的干部培训费较为困难，导致足额保障率未能全部完成。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累计培训人数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各项培训结业率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各项培训结业率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经费保障:财政资金较为紧张，足额保障我院的干部培训费较为困难，导致保障及时率未能全部完成。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经费保障:财政资金较为紧张，足额保障我院的干部培训费较为困难，导致保障及时率未能全部完成。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经费保障:财政资金较为紧张，足额保障我院的干部培训费较为困难，保障水平没有达到预期的效果。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经费保障:财政资金较为紧张，足额保障我院的干部培训费较为困难，导致保障水平没有达到预期的效果。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14.86430632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国家赔偿费用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保障国家赔偿金按时足额发放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我院已及时足额保障国家赔偿金的发放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优化法治环境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持续优化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我院已按照财政统一安排，及时缴纳了残疾人就业保障金。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98.78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接访费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73.71%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通过此项目的安排，完成上级要求的接访任务，化解信访矛盾，维护稳定环境。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完成了上级安排的接访任务，及时化解了信访矛盾，维护了稳定的法治环境。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8.37121495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505.76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422.14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通过此项目的安排，保障我院70名派遣制员工薪资待遇，保证派遣制员工的各项工作顺利开展。确保单位正常运转。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通过此项目的安排，保障了我院全体派遣制工作人员的薪资待遇，确保各项工作顺利开展，确保了单位的正常运转。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通过此项目的安排，保障我院网络及相关设备的正常运转，确保日常办公办案正常开展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经费保障:财政资金较为紧张，足额保障我院的网络服务费较为困难，导致足额保障率未能全部完成。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经费保障:财政资金较为紧张，足额保障我院的网络服务费较为困难，导致足额保障率未能全部完成。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经费保障:财政资金较为紧张，足额保障我院的网络服务费较为困难，导致保障及时率未能全部完成。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2.911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经费保障:财政资金较为紧张，足额保障我院的网络服务费较为困难，导致保障及时率未能全部完成。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经费保障:财政资金较为紧张，足额保障我院的网络服务费较为困难，导致了保障水平未能全部完成。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经费保障:财政资金较为紧张，足额保障我院的网络服务费较为困难，导致了保障水平未能全部完成。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16.04915065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行政事业单位人员奖励及疗休养工作经费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242.88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察官绩效标准为：1、员额检察官绩效3600元/月。2、检察辅助和司法行政人员3400元/月。计划为我院26名员额检察官和32名检察辅助及司法行政人员发放全年检察官绩效共计2428800元。激发检察干警工作热情，提高工作效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目标已完成，为我院员额检察官、检察辅助和司法行政人员足额发放检察官绩效206.1951万元，激发了干警工作热情，提升了工作效率。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98.49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专项印刷及订阅资料费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沈阳市浑南区人民检察院本级-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经费保障:财政资金较为紧张，足额保障我院的专项印刷费较为困难，导致足额发放率未能全部完成。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经费保障:财政资金较为紧张，足额保障我院的专项印刷费较为困难，导致足额保障率未能全部完成。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经费保障:财政资金较为紧张，足额保障我院的专项印刷费较为困难，导致足额发放率未能全部完成。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经费保障:财政资金较为紧张，足额保障我院的专项印刷费较为困难，导致正常运转率未能全部完成。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经费保障:财政资金较为紧张，足额保障我院的专项印刷费较为困难，导致正常运转率未能全部完成。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经费保障:财政资金较为紧张，足额保障我院的专项印刷费较为困难，导致发放到位率未能全部完成。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经费保障:财政资金较为紧张，足额保障我院的专项印刷费较为困难，导致发放到位率未能全部完成。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经费保障:财政资金较为紧张，足额保障我院的专项印刷费较为困难，导致保障及时率未能全部完成。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经费保障:财政资金较为紧张，足额保障我院的专项印刷费较为困难，导致按标准保障率未能全部完成。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经费保障:财政资金较为紧张，足额保障我院的专项印刷费较为困难，导致按标准保障率未能全部完成。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经费保障:财政资金较为紧张，足额保障我院的专项印刷费较为困难，导致该项目没有达到预期的保障效果。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经费保障:财政资金较为紧张，足额保障我院的专项印刷费较为困难，导致该项目没有达到预期的保障效果。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经费保障:财政资金较为紧张，足额保障我院的专项印刷费较为困难，导致该项目没有达到预期的保障效果。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经费保障:财政资金较为紧张，足额保障我院的专项印刷费较为困难，导致该项目没有达到预期的保障效果。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经费保障:财政资金较为紧张，足额保障我院的专项印刷费较为困难，导致满意度没有达到预期的效果。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经费保障:财政资金较为紧张，足额保障我院的专项印刷费较为困难，导致满意度没有达到预期的效果。</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经费保障:坚持过紧日子思想，仅将必要的支出列入预算，同时积极向财政部门申请资金，争取财政部门对我院的资金支持。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015001沈阳市浑南区人民检察院本级-210112000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1709.44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1709.44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295.77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1059.28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1059.27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45.52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45.52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保障我院正常办公办案，确保检察职能高效履行，进而营造本地区良好的法治环境。</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通过本年度预算的安排，保障了我院正常的办公办案，确保了检察高效履职，维护了本地区良好的法治环境。</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检察建议采纳率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生态环保类案件办结率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干警满意度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检察长亲办案件数量</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检察官培养机制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持续优化</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