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asciiTheme="minorEastAsia" w:hAnsiTheme="minorEastAsia" w:eastAsiaTheme="minorEastAsia"/>
          <w:b/>
          <w:sz w:val="52"/>
          <w:szCs w:val="52"/>
        </w:rPr>
      </w:pPr>
      <w:r>
        <w:rPr>
          <w:rFonts w:asciiTheme="minorEastAsia" w:hAnsiTheme="minorEastAsia" w:eastAsiaTheme="minorEastAsia"/>
          <w:b/>
          <w:sz w:val="52"/>
          <w:szCs w:val="52"/>
        </w:rPr>
        <w:t>沈阳市浑南区人民法院</w:t>
      </w:r>
    </w:p>
    <w:p>
      <w:pPr>
        <w:jc w:val="center"/>
        <w:rPr>
          <w:rFonts w:hint="eastAsia" w:asciiTheme="minorEastAsia" w:hAnsiTheme="minorEastAsia" w:eastAsiaTheme="minorEastAsia"/>
          <w:b/>
          <w:sz w:val="52"/>
          <w:szCs w:val="52"/>
          <w:lang w:eastAsia="zh-CN"/>
        </w:rPr>
      </w:pPr>
      <w:r>
        <w:rPr>
          <w:rFonts w:asciiTheme="minorEastAsia" w:hAnsiTheme="minorEastAsia" w:eastAsiaTheme="minorEastAsia"/>
          <w:b/>
          <w:sz w:val="52"/>
          <w:szCs w:val="52"/>
        </w:rPr>
        <w:t>2022年决算</w:t>
      </w:r>
      <w:r>
        <w:rPr>
          <w:rFonts w:hint="eastAsia" w:asciiTheme="minorEastAsia" w:hAnsiTheme="minorEastAsia" w:eastAsiaTheme="minorEastAsia"/>
          <w:b/>
          <w:sz w:val="52"/>
          <w:szCs w:val="52"/>
          <w:lang w:eastAsia="zh-CN"/>
        </w:rPr>
        <w:t>公开说明</w:t>
      </w: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spacing w:line="560" w:lineRule="exact"/>
        <w:jc w:val="center"/>
        <w:rPr>
          <w:rFonts w:hint="default"/>
          <w:b/>
          <w:sz w:val="44"/>
        </w:rPr>
      </w:pPr>
      <w:r>
        <w:rPr>
          <w:b/>
          <w:sz w:val="44"/>
        </w:rPr>
        <w:t>目  录</w:t>
      </w:r>
    </w:p>
    <w:p>
      <w:pPr>
        <w:spacing w:line="560" w:lineRule="exact"/>
        <w:rPr>
          <w:rFonts w:hint="default"/>
          <w:b/>
          <w:sz w:val="44"/>
          <w:u w:val="single"/>
        </w:rPr>
      </w:pPr>
    </w:p>
    <w:p>
      <w:pPr>
        <w:spacing w:line="560" w:lineRule="exact"/>
        <w:rPr>
          <w:rFonts w:hint="default"/>
          <w:b/>
          <w:sz w:val="44"/>
          <w:u w:val="single"/>
        </w:rPr>
      </w:pPr>
    </w:p>
    <w:p>
      <w:pPr>
        <w:spacing w:line="560" w:lineRule="exact"/>
        <w:rPr>
          <w:rFonts w:hint="default" w:ascii="黑体" w:hAnsi="黑体" w:eastAsia="黑体"/>
          <w:sz w:val="32"/>
        </w:rPr>
      </w:pPr>
      <w:r>
        <w:rPr>
          <w:rFonts w:ascii="黑体" w:hAnsi="黑体" w:eastAsia="黑体"/>
          <w:sz w:val="32"/>
        </w:rPr>
        <w:t>第一部分    沈阳市浑南区人民法院概况</w:t>
      </w:r>
    </w:p>
    <w:p>
      <w:pPr>
        <w:numPr>
          <w:ilvl w:val="0"/>
          <w:numId w:val="1"/>
        </w:numPr>
        <w:spacing w:line="560" w:lineRule="exact"/>
        <w:rPr>
          <w:rFonts w:hint="default" w:ascii="仿宋_GB2312" w:hAnsi="黑体" w:eastAsia="仿宋_GB2312"/>
          <w:sz w:val="32"/>
        </w:rPr>
      </w:pPr>
      <w:r>
        <w:rPr>
          <w:rFonts w:ascii="仿宋_GB2312" w:hAnsi="黑体" w:eastAsia="仿宋_GB2312"/>
          <w:sz w:val="32"/>
        </w:rPr>
        <w:t>主要职责</w:t>
      </w:r>
    </w:p>
    <w:p>
      <w:pPr>
        <w:numPr>
          <w:ilvl w:val="0"/>
          <w:numId w:val="1"/>
        </w:numPr>
        <w:spacing w:line="560" w:lineRule="exact"/>
        <w:rPr>
          <w:rFonts w:hint="default" w:ascii="仿宋_GB2312" w:hAnsi="黑体" w:eastAsia="仿宋_GB2312"/>
          <w:sz w:val="32"/>
        </w:rPr>
      </w:pPr>
      <w:r>
        <w:rPr>
          <w:rFonts w:ascii="仿宋_GB2312" w:hAnsi="黑体" w:eastAsia="仿宋_GB2312"/>
          <w:sz w:val="32"/>
        </w:rPr>
        <w:t>沈阳市浑南区人民法院构成</w:t>
      </w:r>
    </w:p>
    <w:p>
      <w:pPr>
        <w:spacing w:line="560" w:lineRule="exact"/>
        <w:rPr>
          <w:rFonts w:hint="default" w:ascii="黑体" w:hAnsi="黑体" w:eastAsia="黑体"/>
          <w:sz w:val="32"/>
        </w:rPr>
      </w:pPr>
      <w:r>
        <w:rPr>
          <w:rFonts w:ascii="黑体" w:hAnsi="黑体" w:eastAsia="黑体"/>
          <w:sz w:val="32"/>
        </w:rPr>
        <w:t>第二部分    沈阳市浑南区人民法院2022年决算情况说明</w:t>
      </w:r>
    </w:p>
    <w:p>
      <w:pPr>
        <w:pStyle w:val="13"/>
        <w:spacing w:line="560" w:lineRule="exact"/>
        <w:rPr>
          <w:rFonts w:ascii="仿宋_GB2312" w:eastAsia="仿宋_GB2312"/>
          <w:sz w:val="32"/>
        </w:rPr>
      </w:pPr>
      <w:r>
        <w:rPr>
          <w:rFonts w:ascii="仿宋_GB2312" w:eastAsia="仿宋_GB2312"/>
          <w:sz w:val="32"/>
        </w:rPr>
        <w:t>一、收入支出决算总体情况说明</w:t>
      </w:r>
    </w:p>
    <w:p>
      <w:pPr>
        <w:pStyle w:val="13"/>
        <w:spacing w:line="560" w:lineRule="exact"/>
        <w:rPr>
          <w:rFonts w:ascii="仿宋_GB2312" w:eastAsia="仿宋_GB2312"/>
          <w:sz w:val="32"/>
        </w:rPr>
      </w:pPr>
      <w:r>
        <w:rPr>
          <w:rFonts w:ascii="仿宋_GB2312" w:eastAsia="仿宋_GB2312"/>
          <w:sz w:val="32"/>
        </w:rPr>
        <w:t>二、财政拨款收入支出决算情况说明</w:t>
      </w:r>
    </w:p>
    <w:p>
      <w:pPr>
        <w:pStyle w:val="13"/>
        <w:spacing w:line="560" w:lineRule="exact"/>
        <w:rPr>
          <w:rFonts w:ascii="仿宋_GB2312" w:eastAsia="仿宋_GB2312"/>
          <w:sz w:val="32"/>
        </w:rPr>
      </w:pPr>
      <w:r>
        <w:rPr>
          <w:rFonts w:ascii="仿宋_GB2312" w:eastAsia="仿宋_GB2312"/>
          <w:sz w:val="32"/>
        </w:rPr>
        <w:t>三、一般公共预算财政拨款“三公”经费支出决算情况说明</w:t>
      </w:r>
    </w:p>
    <w:p>
      <w:pPr>
        <w:pStyle w:val="13"/>
        <w:spacing w:line="560" w:lineRule="exact"/>
        <w:rPr>
          <w:rFonts w:ascii="仿宋_GB2312" w:eastAsia="仿宋_GB2312"/>
          <w:sz w:val="32"/>
        </w:rPr>
      </w:pPr>
      <w:r>
        <w:rPr>
          <w:rFonts w:ascii="仿宋_GB2312" w:eastAsia="仿宋_GB2312"/>
          <w:sz w:val="32"/>
        </w:rPr>
        <w:t>四、一般公共预算财政拨款基本支出决算情况说明</w:t>
      </w:r>
    </w:p>
    <w:p>
      <w:pPr>
        <w:pStyle w:val="13"/>
        <w:spacing w:line="560" w:lineRule="exact"/>
        <w:rPr>
          <w:rFonts w:ascii="黑体" w:eastAsia="黑体"/>
          <w:sz w:val="32"/>
        </w:rPr>
      </w:pPr>
      <w:r>
        <w:rPr>
          <w:rFonts w:ascii="仿宋_GB2312" w:eastAsia="仿宋_GB2312"/>
          <w:sz w:val="32"/>
        </w:rPr>
        <w:t>五、其他重要事项的情况说明</w:t>
      </w:r>
    </w:p>
    <w:p>
      <w:pPr>
        <w:spacing w:line="560" w:lineRule="exact"/>
        <w:rPr>
          <w:rFonts w:hint="default" w:ascii="黑体" w:hAnsi="黑体" w:eastAsia="黑体"/>
          <w:sz w:val="32"/>
        </w:rPr>
      </w:pPr>
      <w:r>
        <w:rPr>
          <w:rFonts w:ascii="黑体" w:hAnsi="黑体" w:eastAsia="黑体"/>
          <w:sz w:val="32"/>
        </w:rPr>
        <w:t>第三部分    名词解释</w:t>
      </w:r>
    </w:p>
    <w:p>
      <w:pPr>
        <w:spacing w:line="560" w:lineRule="exact"/>
        <w:rPr>
          <w:rFonts w:hint="default" w:ascii="黑体" w:hAnsi="黑体" w:eastAsia="黑体"/>
          <w:sz w:val="32"/>
        </w:rPr>
      </w:pPr>
      <w:r>
        <w:rPr>
          <w:rFonts w:ascii="黑体" w:hAnsi="黑体" w:eastAsia="黑体"/>
          <w:sz w:val="32"/>
        </w:rPr>
        <w:t>第四部分    沈阳市浑南区人民法院2022年决算报表</w:t>
      </w:r>
    </w:p>
    <w:p>
      <w:pPr>
        <w:pStyle w:val="13"/>
        <w:spacing w:line="560" w:lineRule="exact"/>
        <w:rPr>
          <w:rFonts w:ascii="仿宋_GB2312" w:eastAsia="仿宋_GB2312"/>
          <w:sz w:val="32"/>
        </w:rPr>
      </w:pPr>
      <w:r>
        <w:rPr>
          <w:rFonts w:ascii="仿宋_GB2312" w:eastAsia="仿宋_GB2312"/>
          <w:sz w:val="32"/>
        </w:rPr>
        <w:t>一、收入支出决算总表</w:t>
      </w:r>
    </w:p>
    <w:p>
      <w:pPr>
        <w:pStyle w:val="13"/>
        <w:spacing w:line="560" w:lineRule="exact"/>
        <w:rPr>
          <w:rFonts w:ascii="仿宋_GB2312" w:eastAsia="仿宋_GB2312"/>
          <w:sz w:val="32"/>
        </w:rPr>
      </w:pPr>
      <w:r>
        <w:rPr>
          <w:rFonts w:ascii="仿宋_GB2312" w:eastAsia="仿宋_GB2312"/>
          <w:sz w:val="32"/>
        </w:rPr>
        <w:t>二、收入决算表</w:t>
      </w:r>
    </w:p>
    <w:p>
      <w:pPr>
        <w:pStyle w:val="13"/>
        <w:spacing w:line="560" w:lineRule="exact"/>
        <w:rPr>
          <w:rFonts w:ascii="仿宋_GB2312" w:eastAsia="仿宋_GB2312"/>
          <w:sz w:val="32"/>
        </w:rPr>
      </w:pPr>
      <w:r>
        <w:rPr>
          <w:rFonts w:ascii="仿宋_GB2312" w:eastAsia="仿宋_GB2312"/>
          <w:sz w:val="32"/>
        </w:rPr>
        <w:t>三、支出决算表</w:t>
      </w:r>
    </w:p>
    <w:p>
      <w:pPr>
        <w:pStyle w:val="13"/>
        <w:spacing w:line="560" w:lineRule="exact"/>
        <w:rPr>
          <w:rFonts w:ascii="仿宋_GB2312" w:eastAsia="仿宋_GB2312"/>
          <w:sz w:val="32"/>
        </w:rPr>
      </w:pPr>
      <w:r>
        <w:rPr>
          <w:rFonts w:ascii="仿宋_GB2312" w:eastAsia="仿宋_GB2312"/>
          <w:sz w:val="32"/>
        </w:rPr>
        <w:t>四、财政拨款收入支出决算总表</w:t>
      </w:r>
    </w:p>
    <w:p>
      <w:pPr>
        <w:pStyle w:val="13"/>
        <w:spacing w:line="560" w:lineRule="exact"/>
        <w:rPr>
          <w:rFonts w:ascii="仿宋_GB2312" w:eastAsia="仿宋_GB2312"/>
          <w:sz w:val="32"/>
        </w:rPr>
      </w:pPr>
      <w:r>
        <w:rPr>
          <w:rFonts w:ascii="仿宋_GB2312" w:eastAsia="仿宋_GB2312"/>
          <w:sz w:val="32"/>
        </w:rPr>
        <w:t>五、一般公共预算财政拨款支出决算表</w:t>
      </w:r>
    </w:p>
    <w:p>
      <w:pPr>
        <w:pStyle w:val="13"/>
        <w:spacing w:line="560" w:lineRule="exact"/>
        <w:rPr>
          <w:rFonts w:ascii="仿宋_GB2312" w:eastAsia="仿宋_GB2312"/>
          <w:sz w:val="32"/>
        </w:rPr>
      </w:pPr>
      <w:r>
        <w:rPr>
          <w:rFonts w:ascii="仿宋_GB2312" w:eastAsia="仿宋_GB2312"/>
          <w:sz w:val="32"/>
        </w:rPr>
        <w:t>六、一般公共预算财政拨款基本支出决算表</w:t>
      </w:r>
    </w:p>
    <w:p>
      <w:pPr>
        <w:pStyle w:val="13"/>
        <w:spacing w:line="560" w:lineRule="exact"/>
        <w:rPr>
          <w:rFonts w:ascii="仿宋_GB2312" w:eastAsia="仿宋_GB2312"/>
          <w:sz w:val="32"/>
        </w:rPr>
      </w:pPr>
      <w:r>
        <w:rPr>
          <w:rFonts w:hint="eastAsia" w:ascii="仿宋_GB2312" w:eastAsia="仿宋_GB2312"/>
          <w:sz w:val="32"/>
        </w:rPr>
        <w:t>七</w:t>
      </w:r>
      <w:r>
        <w:rPr>
          <w:rFonts w:ascii="仿宋_GB2312" w:eastAsia="仿宋_GB2312"/>
          <w:sz w:val="32"/>
        </w:rPr>
        <w:t>、一般公共预算财政拨款“三公”经费支出决算表</w:t>
      </w:r>
    </w:p>
    <w:p>
      <w:pPr>
        <w:pStyle w:val="13"/>
        <w:spacing w:line="560" w:lineRule="exact"/>
        <w:rPr>
          <w:rFonts w:ascii="仿宋_GB2312" w:eastAsia="仿宋_GB2312"/>
          <w:sz w:val="32"/>
        </w:rPr>
      </w:pPr>
      <w:r>
        <w:rPr>
          <w:rFonts w:hint="eastAsia" w:ascii="仿宋_GB2312" w:eastAsia="仿宋_GB2312"/>
          <w:sz w:val="32"/>
        </w:rPr>
        <w:t>八</w:t>
      </w:r>
      <w:r>
        <w:rPr>
          <w:rFonts w:ascii="仿宋_GB2312" w:eastAsia="仿宋_GB2312"/>
          <w:sz w:val="32"/>
        </w:rPr>
        <w:t>、政府性基金预算财政拨款收入支出决算表</w:t>
      </w:r>
    </w:p>
    <w:p>
      <w:pPr>
        <w:pStyle w:val="13"/>
        <w:spacing w:line="560" w:lineRule="exact"/>
        <w:rPr>
          <w:rFonts w:ascii="仿宋_GB2312" w:eastAsia="仿宋_GB2312"/>
          <w:sz w:val="32"/>
        </w:rPr>
      </w:pPr>
      <w:r>
        <w:rPr>
          <w:rFonts w:ascii="仿宋_GB2312" w:eastAsia="仿宋_GB2312"/>
          <w:sz w:val="32"/>
        </w:rPr>
        <w:t>九、国有资本经营预算财政拨款支出决算表</w:t>
      </w:r>
    </w:p>
    <w:p>
      <w:pPr>
        <w:spacing w:line="560" w:lineRule="exact"/>
        <w:rPr>
          <w:rFonts w:hint="default" w:ascii="黑体" w:hAnsi="黑体" w:eastAsia="黑体"/>
          <w:sz w:val="32"/>
        </w:rPr>
      </w:pPr>
      <w:r>
        <w:rPr>
          <w:rFonts w:ascii="黑体" w:hAnsi="黑体" w:eastAsia="黑体"/>
          <w:sz w:val="32"/>
        </w:rPr>
        <w:t>第五部分    附件</w:t>
      </w:r>
    </w:p>
    <w:p>
      <w:pPr>
        <w:spacing w:line="560" w:lineRule="exact"/>
        <w:rPr>
          <w:rFonts w:hint="default" w:ascii="黑体" w:hAnsi="黑体" w:eastAsia="黑体"/>
          <w:sz w:val="32"/>
        </w:rPr>
      </w:pPr>
    </w:p>
    <w:p>
      <w:pPr>
        <w:pStyle w:val="13"/>
        <w:spacing w:line="560" w:lineRule="atLeast"/>
        <w:ind w:firstLine="1807" w:firstLineChars="500"/>
        <w:rPr>
          <w:b/>
          <w:bCs/>
          <w:sz w:val="36"/>
          <w:szCs w:val="36"/>
        </w:rPr>
      </w:pPr>
      <w:r>
        <w:rPr>
          <w:rFonts w:hint="eastAsia"/>
          <w:b/>
          <w:bCs/>
          <w:sz w:val="36"/>
          <w:szCs w:val="36"/>
        </w:rPr>
        <w:t>第一部分 沈阳市浑南区人民法院概况</w:t>
      </w:r>
    </w:p>
    <w:p>
      <w:pPr>
        <w:pStyle w:val="13"/>
        <w:spacing w:beforeLines="50" w:afterLines="50" w:line="560" w:lineRule="atLeast"/>
        <w:ind w:firstLine="640" w:firstLineChars="200"/>
        <w:rPr>
          <w:rFonts w:ascii="黑体" w:hAnsi="黑体" w:eastAsia="黑体"/>
          <w:bCs/>
          <w:sz w:val="32"/>
          <w:szCs w:val="32"/>
        </w:rPr>
      </w:pPr>
      <w:r>
        <w:rPr>
          <w:rFonts w:hint="eastAsia" w:ascii="黑体" w:hAnsi="黑体" w:eastAsia="黑体"/>
          <w:bCs/>
          <w:sz w:val="32"/>
          <w:szCs w:val="32"/>
        </w:rPr>
        <w:t>一、主要职责</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（一）深入贯彻党的路线方针政策和决策部署，坚持党对法院工作的绝对领导，坚决维护党中央权威和集中统一领导，贯彻落实区委和上级法院工作部署和要求。</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（二）依法审理本院管辖的第一审刑事、民事、行政等案件和上级人民法院指定审理的案件。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（三）依法按审判监督程序审理各类再审案件。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（四）办理本院为赔偿义务机关的国家赔偿案件。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（五）对案件审理中发现的问题提出司法建议。</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（六）依法执行本院发生法律效力的裁判文书以及法律规定应当由本院执行的其他法律文书。</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（七）负责本院思想政治、教育培训、新闻宣传、监察等工作，按照干部管理权限管理法官和其他人员。</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（八）对人民调解委员会的调解工作进行业务指导。</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（九）负责其他应当由本院承办的事项。</w:t>
      </w:r>
    </w:p>
    <w:p>
      <w:pPr>
        <w:spacing w:line="560" w:lineRule="exact"/>
        <w:ind w:firstLine="640" w:firstLineChars="200"/>
        <w:rPr>
          <w:rFonts w:hint="default" w:ascii="黑体" w:eastAsia="黑体"/>
          <w:sz w:val="32"/>
        </w:rPr>
      </w:pPr>
      <w:r>
        <w:rPr>
          <w:rFonts w:ascii="黑体" w:eastAsia="黑体"/>
          <w:sz w:val="32"/>
        </w:rPr>
        <w:t>二、</w:t>
      </w:r>
      <w:r>
        <w:rPr>
          <w:rFonts w:ascii="黑体" w:hAnsi="黑体" w:eastAsia="黑体"/>
          <w:sz w:val="32"/>
        </w:rPr>
        <w:t>沈阳市浑南区人民法院</w:t>
      </w:r>
      <w:r>
        <w:rPr>
          <w:rFonts w:ascii="黑体" w:eastAsia="黑体"/>
          <w:sz w:val="32"/>
        </w:rPr>
        <w:t>决算单位构成</w:t>
      </w:r>
    </w:p>
    <w:p>
      <w:pPr>
        <w:spacing w:line="560" w:lineRule="exact"/>
        <w:ind w:firstLine="640" w:firstLineChars="200"/>
        <w:rPr>
          <w:rFonts w:hint="default" w:ascii="仿宋_GB2312" w:eastAsia="仿宋_GB2312"/>
          <w:color w:val="000000" w:themeColor="text1"/>
          <w:sz w:val="32"/>
        </w:rPr>
      </w:pPr>
      <w:r>
        <w:rPr>
          <w:rFonts w:ascii="仿宋_GB2312" w:eastAsia="仿宋_GB2312"/>
          <w:bCs/>
          <w:color w:val="000000" w:themeColor="text1"/>
          <w:sz w:val="32"/>
          <w:szCs w:val="32"/>
        </w:rPr>
        <w:t>纳入本单位2022年部门决算编制范围的是浑南区法院本级，本单位无下设机构。</w:t>
      </w:r>
    </w:p>
    <w:p>
      <w:pPr>
        <w:spacing w:line="560" w:lineRule="exact"/>
        <w:rPr>
          <w:rFonts w:hint="default" w:ascii="仿宋_GB2312" w:eastAsia="仿宋_GB2312"/>
          <w:sz w:val="32"/>
        </w:rPr>
      </w:pPr>
    </w:p>
    <w:p>
      <w:pPr>
        <w:spacing w:line="560" w:lineRule="exact"/>
        <w:rPr>
          <w:rFonts w:hint="default" w:ascii="仿宋_GB2312" w:eastAsia="仿宋_GB2312"/>
          <w:sz w:val="32"/>
        </w:rPr>
      </w:pPr>
    </w:p>
    <w:p>
      <w:pPr>
        <w:spacing w:line="560" w:lineRule="exact"/>
        <w:ind w:firstLine="723" w:firstLineChars="200"/>
        <w:jc w:val="center"/>
        <w:rPr>
          <w:rFonts w:hint="default" w:ascii="宋体" w:hAnsi="宋体"/>
          <w:b/>
          <w:sz w:val="36"/>
        </w:rPr>
      </w:pPr>
      <w:r>
        <w:rPr>
          <w:rFonts w:ascii="宋体" w:hAnsi="宋体"/>
          <w:b/>
          <w:sz w:val="36"/>
        </w:rPr>
        <w:t>第二部分  沈阳市浑南区人民法院2022年决算情况说明</w:t>
      </w:r>
    </w:p>
    <w:p>
      <w:pPr>
        <w:spacing w:line="560" w:lineRule="exact"/>
        <w:ind w:firstLine="640" w:firstLineChars="200"/>
        <w:jc w:val="center"/>
        <w:rPr>
          <w:rFonts w:hint="default" w:ascii="黑体" w:eastAsia="黑体"/>
          <w:sz w:val="32"/>
        </w:rPr>
      </w:pPr>
    </w:p>
    <w:p>
      <w:pPr>
        <w:spacing w:line="540" w:lineRule="exact"/>
        <w:ind w:firstLine="627" w:firstLineChars="196"/>
        <w:rPr>
          <w:rFonts w:hint="default" w:ascii="黑体" w:hAnsi="黑体" w:eastAsia="黑体"/>
          <w:sz w:val="32"/>
          <w:szCs w:val="32"/>
        </w:rPr>
      </w:pPr>
      <w:r>
        <w:rPr>
          <w:rFonts w:ascii="黑体" w:hAnsi="黑体" w:eastAsia="黑体"/>
          <w:sz w:val="32"/>
          <w:szCs w:val="32"/>
        </w:rPr>
        <w:t>一、收入支出决算总体情况说明</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（一）收入总计7307.05万元，包括：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1.财政拨款收入7307.05万元，占收入总计的100%。其中：一般公共预算财政拨款收入7307.05万元，政府性基金收入0万元，国有资本经营预算财政拨款收入0万元。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2.上年结转和结余0万元，占收入总计的0 %，没有形成该笔资金。</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 xml:space="preserve">与上年相比，今年收入增加166.38万元，增长2.33%，主要原因是我院2022年人员增加，基本支出有所增加，相应财政拨款收入随之增加。 </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（二）支出总计7307.05万元，包括：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1.基本支出3310万元，占支出总计的45.29%。主要是为保障机构正常运转、完成日常工作任务而发生的各项支出，其中：工资福利支出2945.07万元，对个人和家庭的补助支出35.06万元，商品和服务支出329.25万元。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2.项目支出3997.05万元，占支出总计的54.70%。主要包括办公费、劳务费、设备购置等业务支出。</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与上年相比，今年支出增加166.38万元，增长2.33%，主要原因是我院2022年人员增加，相应基本支出随之增加。</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（三）年末结转和结余0万元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与上年相比，今年结转结余与上年持平，主要原因是近两年在资金使用时未形成结余资金。</w:t>
      </w:r>
    </w:p>
    <w:p>
      <w:pPr>
        <w:spacing w:line="540" w:lineRule="exact"/>
        <w:ind w:firstLine="660"/>
        <w:rPr>
          <w:rFonts w:hint="default" w:ascii="黑体" w:hAnsi="黑体" w:eastAsia="黑体"/>
          <w:color w:val="000000" w:themeColor="text1"/>
          <w:sz w:val="32"/>
          <w:szCs w:val="32"/>
        </w:rPr>
      </w:pPr>
      <w:r>
        <w:rPr>
          <w:rFonts w:ascii="黑体" w:hAnsi="黑体" w:eastAsia="黑体"/>
          <w:color w:val="000000" w:themeColor="text1"/>
          <w:sz w:val="32"/>
          <w:szCs w:val="32"/>
        </w:rPr>
        <w:t>二、财政拨款收入支出决算情况说明</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（一）总体情况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2022年度财政拨款支出</w:t>
      </w:r>
      <w:r>
        <w:rPr>
          <w:rFonts w:ascii="楷体_GB2312" w:hAnsi="宋体" w:eastAsia="楷体_GB2312"/>
          <w:sz w:val="32"/>
          <w:szCs w:val="32"/>
        </w:rPr>
        <w:t>7307.05</w:t>
      </w:r>
      <w:r>
        <w:rPr>
          <w:rFonts w:ascii="仿宋_GB2312" w:hAnsi="宋体" w:eastAsia="仿宋_GB2312"/>
          <w:sz w:val="32"/>
          <w:szCs w:val="32"/>
        </w:rPr>
        <w:t>万元，其中：基本支出3310万元，项目支出3997.05万元。与上年相比，财政拨款支出增加166.38万元，增长2.33%，主要原因是我院2022年人员增加，相应基本支出随之增加。与年初预算相比，2022年度财政拨款支出完成年初预算的75.06%，其中：基本支出完成年初预算的93.85%，项目支出完成年初预算的64.39%。</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7307.05万元，按支出功能分类科目分，包括：一般公共服务支出79.91万元，占1.09%；公共安全支出6426.62万元，占87.95%；教育支出3.90万元，占0.05；社会保障和就业支出278.15万元，占3.80%；卫生健康支出105.36万元，占1.44%；住房保障支出413.11万元，占5.65%。</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 一般公共服务支出79.91万元，具体包括：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（1）一般公共服务支出（类）政府办公厅（室）及相关机构事务（款）信访事务（项）</w:t>
      </w:r>
      <w:r>
        <w:rPr>
          <w:rFonts w:ascii="仿宋_GB2312" w:hAnsi="宋体" w:eastAsia="仿宋_GB2312"/>
          <w:color w:val="000000" w:themeColor="text1"/>
          <w:sz w:val="32"/>
        </w:rPr>
        <w:t>79.91万元，</w:t>
      </w:r>
      <w:r>
        <w:rPr>
          <w:rFonts w:ascii="仿宋_GB2312" w:hAnsi="宋体" w:eastAsia="仿宋_GB2312"/>
          <w:sz w:val="32"/>
          <w:szCs w:val="32"/>
        </w:rPr>
        <w:t>主要是司法救助款支出。该项支出属突发性支出，未安排年初预算。</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 公共安全支出6426.62万元，包括：</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（1）</w:t>
      </w:r>
      <w:r>
        <w:rPr>
          <w:rFonts w:ascii="仿宋" w:hAnsi="仿宋" w:eastAsia="仿宋"/>
          <w:sz w:val="32"/>
          <w:szCs w:val="32"/>
        </w:rPr>
        <w:t>公共安全支出（类）法院（款）行政运行（项）</w:t>
      </w:r>
      <w:r>
        <w:rPr>
          <w:rFonts w:ascii="仿宋_GB2312" w:hAnsi="宋体" w:eastAsia="仿宋_GB2312"/>
          <w:color w:val="000000" w:themeColor="text1"/>
          <w:sz w:val="32"/>
        </w:rPr>
        <w:t>2513.37万元，主要是单位运行所需的人员工资、邮电费等费用支出,</w:t>
      </w:r>
      <w:r>
        <w:rPr>
          <w:rFonts w:ascii="仿宋_GB2312" w:hAnsi="仿宋_GB2312" w:eastAsia="仿宋_GB2312" w:cs="仿宋_GB2312"/>
          <w:color w:val="000000" w:themeColor="text1"/>
          <w:sz w:val="32"/>
          <w:szCs w:val="32"/>
        </w:rPr>
        <w:t xml:space="preserve"> 完成年初预算的97.06%</w:t>
      </w:r>
      <w:r>
        <w:rPr>
          <w:rFonts w:ascii="仿宋_GB2312" w:hAnsi="宋体" w:eastAsia="仿宋_GB2312"/>
          <w:color w:val="000000" w:themeColor="text1"/>
          <w:sz w:val="32"/>
        </w:rPr>
        <w:t>，决算数小于年初预算数的原因主要是受疫情等因素影响，公务用车运行维护费、办公费等支出有所减少。</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w:t>
      </w:r>
      <w:r>
        <w:rPr>
          <w:rFonts w:ascii="仿宋" w:hAnsi="仿宋" w:eastAsia="仿宋"/>
          <w:sz w:val="32"/>
          <w:szCs w:val="32"/>
        </w:rPr>
        <w:t>公共安全支出（类）法院（款）一般行政管理事务（项）</w:t>
      </w:r>
      <w:r>
        <w:rPr>
          <w:rFonts w:ascii="仿宋_GB2312" w:hAnsi="宋体" w:eastAsia="仿宋_GB2312"/>
          <w:color w:val="000000" w:themeColor="text1"/>
          <w:sz w:val="32"/>
        </w:rPr>
        <w:t>3678.22万元，主要是信息化平台建设费、办公家具购置等费用支出,</w:t>
      </w:r>
      <w:r>
        <w:rPr>
          <w:rFonts w:ascii="仿宋_GB2312" w:hAnsi="仿宋_GB2312" w:eastAsia="仿宋_GB2312" w:cs="仿宋_GB2312"/>
          <w:color w:val="000000" w:themeColor="text1"/>
          <w:sz w:val="32"/>
          <w:szCs w:val="32"/>
        </w:rPr>
        <w:t xml:space="preserve"> 完成年初预算的54.98%</w:t>
      </w:r>
      <w:r>
        <w:rPr>
          <w:rFonts w:ascii="仿宋_GB2312" w:hAnsi="宋体" w:eastAsia="仿宋_GB2312"/>
          <w:color w:val="000000" w:themeColor="text1"/>
          <w:sz w:val="32"/>
        </w:rPr>
        <w:t>，决算数小于年初预算数的原因主要是受疫情及政法大厦搬迁等因素影响，部分项目年底未能完成支付。</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w:t>
      </w:r>
      <w:r>
        <w:rPr>
          <w:rFonts w:ascii="仿宋" w:hAnsi="仿宋" w:eastAsia="仿宋"/>
          <w:sz w:val="32"/>
          <w:szCs w:val="32"/>
        </w:rPr>
        <w:t>公共安全支出（类）法院（款）</w:t>
      </w:r>
      <w:r>
        <w:rPr>
          <w:rFonts w:ascii="仿宋_GB2312" w:hAnsi="宋体" w:eastAsia="仿宋_GB2312"/>
          <w:color w:val="000000" w:themeColor="text1"/>
          <w:sz w:val="32"/>
        </w:rPr>
        <w:t>其他法院支出</w:t>
      </w:r>
      <w:r>
        <w:rPr>
          <w:rFonts w:ascii="仿宋" w:hAnsi="仿宋" w:eastAsia="仿宋"/>
          <w:sz w:val="32"/>
          <w:szCs w:val="32"/>
        </w:rPr>
        <w:t>（项）</w:t>
      </w:r>
      <w:r>
        <w:rPr>
          <w:rFonts w:ascii="仿宋_GB2312" w:hAnsi="宋体" w:eastAsia="仿宋_GB2312"/>
          <w:color w:val="000000" w:themeColor="text1"/>
          <w:sz w:val="32"/>
        </w:rPr>
        <w:t>235.03万元，主要是办案业务费及网络信息化发展费用支出,决算数大于年初预算数的原因主要是当年有项目为临时性项目支出，未安排年初预算。</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3.教育支出3.90万元，包括：</w:t>
      </w:r>
    </w:p>
    <w:p>
      <w:pPr>
        <w:spacing w:line="360" w:lineRule="auto"/>
        <w:ind w:firstLine="660"/>
        <w:rPr>
          <w:rFonts w:hint="default" w:ascii="仿宋_GB2312" w:hAnsi="宋体" w:eastAsia="仿宋_GB2312"/>
          <w:color w:val="000000" w:themeColor="text1"/>
          <w:sz w:val="32"/>
        </w:rPr>
      </w:pPr>
      <w:r>
        <w:rPr>
          <w:rFonts w:ascii="仿宋" w:hAnsi="仿宋" w:eastAsia="仿宋"/>
          <w:sz w:val="32"/>
          <w:szCs w:val="32"/>
        </w:rPr>
        <w:t>（1）教育支出（类）进修及培训（款）培训支出（项）</w:t>
      </w:r>
      <w:r>
        <w:rPr>
          <w:rFonts w:ascii="仿宋_GB2312" w:hAnsi="宋体" w:eastAsia="仿宋_GB2312"/>
          <w:color w:val="000000" w:themeColor="text1"/>
          <w:sz w:val="32"/>
        </w:rPr>
        <w:t>3.90万元，主要是参加省、市法院组织的续职培训及专项培训等差旅费及培训费支出,</w:t>
      </w:r>
      <w:r>
        <w:rPr>
          <w:rFonts w:ascii="仿宋_GB2312" w:hAnsi="仿宋_GB2312" w:eastAsia="仿宋_GB2312" w:cs="仿宋_GB2312"/>
          <w:color w:val="000000" w:themeColor="text1"/>
          <w:sz w:val="32"/>
          <w:szCs w:val="32"/>
        </w:rPr>
        <w:t xml:space="preserve"> 完成年初预算的39%</w:t>
      </w:r>
      <w:r>
        <w:rPr>
          <w:rFonts w:ascii="仿宋_GB2312" w:hAnsi="宋体" w:eastAsia="仿宋_GB2312"/>
          <w:color w:val="000000" w:themeColor="text1"/>
          <w:sz w:val="32"/>
        </w:rPr>
        <w:t>。决算数小于年初预算数的原因主要是受疫情影响培训支出减少。</w:t>
      </w:r>
    </w:p>
    <w:p>
      <w:pPr>
        <w:spacing w:line="360" w:lineRule="auto"/>
        <w:ind w:firstLine="640" w:firstLineChars="200"/>
        <w:rPr>
          <w:rFonts w:hint="default" w:ascii="仿宋_GB2312" w:hAnsi="宋体" w:eastAsia="仿宋_GB2312"/>
          <w:color w:val="000000" w:themeColor="text1"/>
          <w:sz w:val="32"/>
        </w:rPr>
      </w:pPr>
      <w:r>
        <w:rPr>
          <w:rFonts w:ascii="仿宋_GB2312" w:hAnsi="宋体" w:eastAsia="仿宋_GB2312"/>
          <w:color w:val="000000" w:themeColor="text1"/>
          <w:sz w:val="32"/>
        </w:rPr>
        <w:t>4. 社会保障和就业支出278.16万元，包括：</w:t>
      </w:r>
    </w:p>
    <w:p>
      <w:pPr>
        <w:spacing w:line="360" w:lineRule="auto"/>
        <w:ind w:firstLine="660"/>
        <w:rPr>
          <w:rFonts w:hint="default" w:ascii="仿宋_GB2312" w:hAnsi="宋体" w:eastAsia="仿宋_GB2312"/>
          <w:color w:val="000000"/>
          <w:sz w:val="32"/>
        </w:rPr>
      </w:pPr>
      <w:r>
        <w:rPr>
          <w:rFonts w:ascii="仿宋_GB2312" w:hAnsi="宋体" w:eastAsia="仿宋_GB2312"/>
          <w:color w:val="000000" w:themeColor="text1"/>
          <w:sz w:val="32"/>
        </w:rPr>
        <w:t>（1）</w:t>
      </w:r>
      <w:r>
        <w:rPr>
          <w:rFonts w:ascii="仿宋_GB2312" w:hAnsi="宋体" w:eastAsia="仿宋_GB2312"/>
          <w:sz w:val="32"/>
          <w:szCs w:val="32"/>
        </w:rPr>
        <w:t>社会保障和就业支出支出（类）行政事业单位养老支出（款）行政单位离退休（项）</w:t>
      </w:r>
      <w:r>
        <w:rPr>
          <w:rFonts w:ascii="仿宋_GB2312" w:hAnsi="宋体" w:eastAsia="仿宋_GB2312"/>
          <w:color w:val="000000" w:themeColor="text1"/>
          <w:sz w:val="32"/>
        </w:rPr>
        <w:t>33.88万元，主要是行政单位离休人员离休费及退休费支出,</w:t>
      </w:r>
      <w:r>
        <w:rPr>
          <w:rFonts w:ascii="仿宋_GB2312" w:hAnsi="仿宋_GB2312" w:eastAsia="仿宋_GB2312" w:cs="仿宋_GB2312"/>
          <w:color w:val="000000" w:themeColor="text1"/>
          <w:sz w:val="32"/>
          <w:szCs w:val="32"/>
        </w:rPr>
        <w:t xml:space="preserve"> 完成年初预算的98.89%</w:t>
      </w:r>
      <w:r>
        <w:rPr>
          <w:rFonts w:ascii="仿宋_GB2312" w:hAnsi="宋体" w:eastAsia="仿宋_GB2312"/>
          <w:color w:val="000000" w:themeColor="text1"/>
          <w:sz w:val="32"/>
        </w:rPr>
        <w:t>，决算数小于年</w:t>
      </w:r>
      <w:r>
        <w:rPr>
          <w:rFonts w:ascii="仿宋_GB2312" w:hAnsi="宋体" w:eastAsia="仿宋_GB2312"/>
          <w:color w:val="000000"/>
          <w:sz w:val="32"/>
        </w:rPr>
        <w:t>初预算数的原因主要是离退休人员有所减少。</w:t>
      </w:r>
    </w:p>
    <w:p>
      <w:pPr>
        <w:spacing w:line="360" w:lineRule="auto"/>
        <w:ind w:firstLine="660"/>
        <w:rPr>
          <w:rFonts w:hint="default" w:ascii="仿宋_GB2312" w:hAnsi="宋体" w:eastAsia="仿宋_GB2312"/>
          <w:color w:val="000000"/>
          <w:sz w:val="32"/>
        </w:rPr>
      </w:pPr>
      <w:r>
        <w:rPr>
          <w:rFonts w:ascii="仿宋_GB2312" w:hAnsi="宋体" w:eastAsia="仿宋_GB2312"/>
          <w:sz w:val="32"/>
        </w:rPr>
        <w:t>（2）</w:t>
      </w:r>
      <w:r>
        <w:rPr>
          <w:rFonts w:ascii="仿宋_GB2312" w:hAnsi="宋体" w:eastAsia="仿宋_GB2312"/>
          <w:sz w:val="32"/>
          <w:szCs w:val="32"/>
        </w:rPr>
        <w:t>社会保障和就业支出支出（类）行政事业单位养老支出（款） 机关事业单位基本养老保险缴费支出（项）</w:t>
      </w:r>
      <w:r>
        <w:rPr>
          <w:rFonts w:ascii="仿宋_GB2312" w:hAnsi="宋体" w:eastAsia="仿宋_GB2312"/>
          <w:sz w:val="32"/>
        </w:rPr>
        <w:t>238.20万元，</w:t>
      </w:r>
      <w:r>
        <w:rPr>
          <w:rFonts w:ascii="仿宋_GB2312" w:hAnsi="宋体" w:eastAsia="仿宋_GB2312"/>
          <w:color w:val="000000"/>
          <w:sz w:val="32"/>
        </w:rPr>
        <w:t>主要是机关单位人员基本养老保险支出，</w:t>
      </w:r>
      <w:r>
        <w:rPr>
          <w:rFonts w:ascii="仿宋_GB2312" w:hAnsi="仿宋_GB2312" w:eastAsia="仿宋_GB2312" w:cs="仿宋_GB2312"/>
          <w:color w:val="000000"/>
          <w:sz w:val="32"/>
          <w:szCs w:val="32"/>
        </w:rPr>
        <w:t>完成年初预算的</w:t>
      </w:r>
      <w:r>
        <w:rPr>
          <w:rFonts w:ascii="仿宋_GB2312" w:hAnsi="仿宋_GB2312" w:eastAsia="仿宋_GB2312" w:cs="仿宋_GB2312"/>
          <w:color w:val="000000" w:themeColor="text1"/>
          <w:sz w:val="32"/>
          <w:szCs w:val="32"/>
        </w:rPr>
        <w:t>124.64%</w:t>
      </w:r>
      <w:r>
        <w:rPr>
          <w:rFonts w:ascii="仿宋_GB2312" w:hAnsi="宋体" w:eastAsia="仿宋_GB2312"/>
          <w:color w:val="000000" w:themeColor="text1"/>
          <w:sz w:val="32"/>
        </w:rPr>
        <w:t>，</w:t>
      </w:r>
      <w:r>
        <w:rPr>
          <w:rFonts w:ascii="仿宋_GB2312" w:hAnsi="宋体" w:eastAsia="仿宋_GB2312"/>
          <w:color w:val="000000"/>
          <w:sz w:val="32"/>
        </w:rPr>
        <w:t>决算数大于年初预算数的原因主要是有人员增加，实际发生额增加。</w:t>
      </w:r>
    </w:p>
    <w:p>
      <w:pPr>
        <w:spacing w:line="360" w:lineRule="auto"/>
        <w:ind w:firstLine="660"/>
        <w:rPr>
          <w:rFonts w:hint="default" w:ascii="仿宋_GB2312" w:hAnsi="宋体" w:eastAsia="仿宋_GB2312"/>
          <w:color w:val="000000"/>
          <w:sz w:val="32"/>
        </w:rPr>
      </w:pPr>
      <w:r>
        <w:rPr>
          <w:rFonts w:ascii="仿宋_GB2312" w:hAnsi="宋体" w:eastAsia="仿宋_GB2312"/>
          <w:sz w:val="32"/>
        </w:rPr>
        <w:t>（3）</w:t>
      </w:r>
      <w:r>
        <w:rPr>
          <w:rFonts w:ascii="仿宋_GB2312" w:hAnsi="宋体" w:eastAsia="仿宋_GB2312"/>
          <w:sz w:val="32"/>
          <w:szCs w:val="32"/>
        </w:rPr>
        <w:t>社会保障和就业支出支出（类）行政事业单位养老支出（款）机关事业单位职业年金缴费支出（项）</w:t>
      </w:r>
      <w:r>
        <w:rPr>
          <w:rFonts w:ascii="仿宋_GB2312" w:hAnsi="宋体" w:eastAsia="仿宋_GB2312"/>
          <w:sz w:val="32"/>
        </w:rPr>
        <w:t>6.08万元，</w:t>
      </w:r>
      <w:r>
        <w:rPr>
          <w:rFonts w:ascii="仿宋_GB2312" w:hAnsi="宋体" w:eastAsia="仿宋_GB2312"/>
          <w:color w:val="000000"/>
          <w:sz w:val="32"/>
        </w:rPr>
        <w:t>主要是机关单位人员职业年金支出，</w:t>
      </w:r>
      <w:r>
        <w:rPr>
          <w:rFonts w:ascii="仿宋_GB2312" w:hAnsi="仿宋_GB2312" w:eastAsia="仿宋_GB2312" w:cs="仿宋_GB2312"/>
          <w:color w:val="000000"/>
          <w:sz w:val="32"/>
          <w:szCs w:val="32"/>
        </w:rPr>
        <w:t>完成年初预算的6.36%</w:t>
      </w:r>
      <w:r>
        <w:rPr>
          <w:rFonts w:ascii="仿宋_GB2312" w:hAnsi="宋体" w:eastAsia="仿宋_GB2312"/>
          <w:color w:val="000000"/>
          <w:sz w:val="32"/>
        </w:rPr>
        <w:t>，决算数小于年初预算数的原因主要是2022年退休人员当年未完成补缴，按实际发生列支。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5. 卫生健康支出105.36万元，包括：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rPr>
        <w:t>（1）</w:t>
      </w:r>
      <w:r>
        <w:rPr>
          <w:rFonts w:ascii="仿宋_GB2312" w:hAnsi="宋体" w:eastAsia="仿宋_GB2312"/>
          <w:sz w:val="32"/>
          <w:szCs w:val="32"/>
        </w:rPr>
        <w:t>卫生健康支出（类）行政事业单位医疗（款）行政单位医疗（项）</w:t>
      </w:r>
      <w:r>
        <w:rPr>
          <w:rFonts w:ascii="仿宋_GB2312" w:hAnsi="宋体" w:eastAsia="仿宋_GB2312"/>
          <w:sz w:val="32"/>
        </w:rPr>
        <w:t>97.98万元，主要是行政单位职工基本医疗保险缴费支出,</w:t>
      </w:r>
      <w:r>
        <w:rPr>
          <w:rFonts w:ascii="仿宋_GB2312" w:hAnsi="仿宋_GB2312" w:eastAsia="仿宋_GB2312" w:cs="仿宋_GB2312"/>
          <w:sz w:val="32"/>
          <w:szCs w:val="32"/>
        </w:rPr>
        <w:t xml:space="preserve"> 完成年初预算的97.23%</w:t>
      </w:r>
      <w:r>
        <w:rPr>
          <w:rFonts w:ascii="仿宋_GB2312" w:hAnsi="宋体" w:eastAsia="仿宋_GB2312"/>
          <w:sz w:val="32"/>
        </w:rPr>
        <w:t>，</w:t>
      </w:r>
      <w:r>
        <w:rPr>
          <w:rFonts w:ascii="仿宋_GB2312" w:hAnsi="宋体" w:eastAsia="仿宋_GB2312"/>
          <w:color w:val="000000"/>
          <w:sz w:val="32"/>
        </w:rPr>
        <w:t>决算数小于年初预算数的原因主要是有人员变化，按实际发生列支。</w:t>
      </w:r>
    </w:p>
    <w:p>
      <w:pPr>
        <w:spacing w:line="360" w:lineRule="auto"/>
        <w:ind w:firstLine="660"/>
        <w:rPr>
          <w:rFonts w:hint="default" w:ascii="仿宋_GB2312" w:hAnsi="宋体" w:eastAsia="仿宋_GB2312"/>
          <w:color w:val="000000"/>
          <w:sz w:val="32"/>
        </w:rPr>
      </w:pPr>
      <w:r>
        <w:rPr>
          <w:rFonts w:ascii="仿宋_GB2312" w:hAnsi="宋体" w:eastAsia="仿宋_GB2312"/>
          <w:sz w:val="32"/>
        </w:rPr>
        <w:t>（2）</w:t>
      </w:r>
      <w:r>
        <w:rPr>
          <w:rFonts w:ascii="仿宋_GB2312" w:hAnsi="宋体" w:eastAsia="仿宋_GB2312"/>
          <w:sz w:val="32"/>
          <w:szCs w:val="32"/>
        </w:rPr>
        <w:t>卫生健康支出（类）行政事业单位医疗（款）公务员医疗补助（项）</w:t>
      </w:r>
      <w:r>
        <w:rPr>
          <w:rFonts w:ascii="仿宋_GB2312" w:hAnsi="宋体" w:eastAsia="仿宋_GB2312"/>
          <w:sz w:val="32"/>
        </w:rPr>
        <w:t>7.38万元，主要是对公务员实行的医疗补助支出，完成年初预算的98.40%，</w:t>
      </w:r>
      <w:r>
        <w:rPr>
          <w:rFonts w:ascii="仿宋_GB2312" w:hAnsi="宋体" w:eastAsia="仿宋_GB2312"/>
          <w:color w:val="000000"/>
          <w:sz w:val="32"/>
        </w:rPr>
        <w:t>决算数小于年初预算数的原因主要是按现有人员实际发生列支。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6. 住房保障支出413.11万元，包括：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szCs w:val="32"/>
        </w:rPr>
        <w:t>（1）住房保障支出（类）住房改革支出（款）住房公积金（项）</w:t>
      </w:r>
      <w:r>
        <w:rPr>
          <w:rFonts w:ascii="仿宋_GB2312" w:hAnsi="宋体" w:eastAsia="仿宋_GB2312"/>
          <w:sz w:val="32"/>
        </w:rPr>
        <w:t>413.11万元，主要是职工住房公积金支出,</w:t>
      </w:r>
      <w:r>
        <w:rPr>
          <w:rFonts w:ascii="仿宋_GB2312" w:hAnsi="仿宋_GB2312" w:eastAsia="仿宋_GB2312" w:cs="仿宋_GB2312"/>
          <w:sz w:val="32"/>
          <w:szCs w:val="32"/>
        </w:rPr>
        <w:t xml:space="preserve"> 完成年初预算的94.53%</w:t>
      </w:r>
      <w:r>
        <w:rPr>
          <w:rFonts w:ascii="仿宋_GB2312" w:hAnsi="宋体" w:eastAsia="仿宋_GB2312"/>
          <w:sz w:val="32"/>
        </w:rPr>
        <w:t>，</w:t>
      </w:r>
      <w:r>
        <w:rPr>
          <w:rFonts w:ascii="仿宋_GB2312" w:hAnsi="宋体" w:eastAsia="仿宋_GB2312"/>
          <w:color w:val="000000"/>
          <w:sz w:val="32"/>
        </w:rPr>
        <w:t>决算数小于年初预算数的原因主要是按现有人员实际发生列支。</w:t>
      </w:r>
    </w:p>
    <w:p>
      <w:p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40" w:lineRule="exact"/>
        <w:ind w:firstLine="660"/>
        <w:rPr>
          <w:rFonts w:hint="default" w:ascii="仿宋_GB2312" w:hAnsi="仿宋_GB2312" w:eastAsia="仿宋_GB2312" w:cs="仿宋_GB2312"/>
          <w:b/>
          <w:color w:val="FF0000"/>
          <w:sz w:val="32"/>
          <w:szCs w:val="32"/>
        </w:rPr>
      </w:pPr>
      <w:r>
        <w:rPr>
          <w:rFonts w:ascii="黑体" w:hAnsi="黑体" w:eastAsia="黑体"/>
          <w:sz w:val="32"/>
          <w:szCs w:val="32"/>
        </w:rPr>
        <w:t>三、一般公共预算财政拨款“三公”经费支出决算情况</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2022年度一般公共预算财政拨款安排的“三公”经费支出51.6万元，完成全年预算的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年初预算数的主要原因是公务用车维护费。其中：因公出国（境）费0万元，公务接待费0万元，公务用车购置及运行维护费51.6万元。</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1.因公出国（境）费0万元，占“三公”经费支出的0%。2022年参加出国（境）团组0个，累计0人次。2022年因公出国（境）费与年初预算数相比减少0万元，下降0%，</w:t>
      </w:r>
      <w:r>
        <w:rPr>
          <w:rFonts w:ascii="仿宋_GB2312" w:hAnsi="仿宋_GB2312" w:eastAsia="仿宋_GB2312" w:cs="仿宋_GB2312"/>
          <w:color w:val="000000" w:themeColor="text1"/>
          <w:sz w:val="32"/>
          <w:szCs w:val="32"/>
        </w:rPr>
        <w:t>主要是无出国任务</w:t>
      </w:r>
      <w:r>
        <w:rPr>
          <w:rFonts w:ascii="仿宋_GB2312" w:hAnsi="宋体" w:eastAsia="仿宋_GB2312"/>
          <w:color w:val="000000" w:themeColor="text1"/>
          <w:sz w:val="32"/>
          <w:szCs w:val="32"/>
        </w:rPr>
        <w:t>。</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2.公务接待费0万元，占“三公”经费支出的0%。2022年国内公务接待累计0批次、0人、0万元；其中外事接待累计0批次、0人、0万元。2022年公务接待费与年初预算数相比减少0万元，下降0%，</w:t>
      </w:r>
      <w:r>
        <w:rPr>
          <w:rFonts w:ascii="仿宋_GB2312" w:hAnsi="仿宋_GB2312" w:eastAsia="仿宋_GB2312" w:cs="仿宋_GB2312"/>
          <w:color w:val="000000" w:themeColor="text1"/>
          <w:sz w:val="32"/>
          <w:szCs w:val="32"/>
        </w:rPr>
        <w:t>主要是无公务接待任务</w:t>
      </w:r>
      <w:r>
        <w:rPr>
          <w:rFonts w:ascii="仿宋_GB2312" w:hAnsi="宋体" w:eastAsia="仿宋_GB2312"/>
          <w:color w:val="000000" w:themeColor="text1"/>
          <w:sz w:val="32"/>
          <w:szCs w:val="32"/>
        </w:rPr>
        <w:t>。</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3.公务用车购置及运行费51.6万元，占“三公”经费支出的100%。完成全年预算的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年初预算数的主要原因是公务用车维护费。比上年减少31.58万元，下降37.96%，主要是2021年有公务用车购置费发生,2022年无此项费用发生。</w:t>
      </w:r>
    </w:p>
    <w:p>
      <w:pPr>
        <w:spacing w:line="540" w:lineRule="exact"/>
        <w:ind w:firstLine="645"/>
        <w:rPr>
          <w:rFonts w:ascii="仿宋_GB2312" w:eastAsia="仿宋_GB2312"/>
          <w:sz w:val="32"/>
        </w:rPr>
      </w:pPr>
      <w:r>
        <w:rPr>
          <w:rFonts w:ascii="仿宋_GB2312" w:hAnsi="宋体" w:eastAsia="仿宋_GB2312"/>
          <w:sz w:val="32"/>
          <w:szCs w:val="32"/>
        </w:rPr>
        <w:t>其中：公务用车购置费0万元,当年未发生此类费用。</w:t>
      </w:r>
      <w:r>
        <w:rPr>
          <w:rFonts w:ascii="仿宋_GB2312" w:eastAsia="仿宋_GB2312"/>
          <w:sz w:val="32"/>
        </w:rPr>
        <w:t>公务用车运行维护费51.6万元，主要用于车辆维修维护及燃油费等,截至年末使用一般公共预算财政拨款开支的公务用车保有量28辆。</w:t>
      </w:r>
    </w:p>
    <w:p>
      <w:pPr>
        <w:spacing w:line="540" w:lineRule="exact"/>
        <w:ind w:firstLine="645"/>
        <w:rPr>
          <w:rFonts w:hint="default" w:ascii="仿宋_GB2312" w:eastAsia="仿宋_GB2312"/>
          <w:sz w:val="32"/>
        </w:rPr>
      </w:pPr>
    </w:p>
    <w:p>
      <w:pPr>
        <w:spacing w:line="540" w:lineRule="exact"/>
        <w:ind w:firstLine="645"/>
        <w:rPr>
          <w:rFonts w:hint="default" w:ascii="黑体" w:hAnsi="黑体" w:eastAsia="黑体"/>
          <w:sz w:val="32"/>
          <w:szCs w:val="32"/>
        </w:rPr>
      </w:pPr>
      <w:r>
        <w:rPr>
          <w:rFonts w:ascii="黑体" w:hAnsi="黑体" w:eastAsia="黑体"/>
          <w:sz w:val="32"/>
          <w:szCs w:val="32"/>
        </w:rPr>
        <w:t>四、一般公共预算财政拨款基本支出决算情况说明</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基本支出3310万元，其中：人员经费2980.76万元，主要包括基本工资、津贴补贴、奖金、伙食补助费、机关事业单位基本养老保险缴费、职业年金缴费、职工基本医疗保险缴费、公务员医疗补助缴费、</w:t>
      </w:r>
      <w:r>
        <w:rPr>
          <w:rFonts w:ascii="仿宋_GB2312" w:eastAsia="仿宋_GB2312"/>
          <w:sz w:val="32"/>
        </w:rPr>
        <w:t>其他工资福利支出、</w:t>
      </w:r>
      <w:r>
        <w:rPr>
          <w:rFonts w:ascii="仿宋_GB2312" w:hAnsi="宋体" w:eastAsia="仿宋_GB2312"/>
          <w:sz w:val="32"/>
          <w:szCs w:val="32"/>
        </w:rPr>
        <w:t>离休费、退休费、生活补助、住房公积金；日常公用经费329.25万元，主要包括办公费、水费、电费、邮电费、取暖费、差旅费、维修（护）费、工会经费、公务用车运行维护费、其他交通费用、其他商品和服务支出。</w:t>
      </w:r>
    </w:p>
    <w:p>
      <w:pPr>
        <w:spacing w:line="540" w:lineRule="exact"/>
        <w:ind w:firstLine="640" w:firstLineChars="200"/>
        <w:rPr>
          <w:rFonts w:hint="default" w:ascii="黑体" w:hAnsi="黑体" w:eastAsia="黑体"/>
          <w:sz w:val="32"/>
          <w:szCs w:val="32"/>
        </w:rPr>
      </w:pPr>
      <w:r>
        <w:rPr>
          <w:rFonts w:ascii="黑体" w:hAnsi="黑体" w:eastAsia="黑体"/>
          <w:sz w:val="32"/>
          <w:szCs w:val="32"/>
        </w:rPr>
        <w:t>五、其他重要事项的情况说明</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2022年机关运行经费支出329.25万元，比上年增加20.15万元，增长6.51%，主要原因是邮电费及其他交通费用等支出有所增加。</w:t>
      </w:r>
    </w:p>
    <w:p>
      <w:pPr>
        <w:spacing w:line="540" w:lineRule="exact"/>
        <w:ind w:firstLine="643" w:firstLineChars="200"/>
        <w:rPr>
          <w:rFonts w:hint="default" w:ascii="仿宋_GB2312" w:hAnsi="仿宋_GB2312" w:eastAsia="仿宋_GB2312" w:cs="仿宋_GB2312"/>
          <w:b/>
          <w:color w:val="000000" w:themeColor="text1"/>
          <w:sz w:val="32"/>
          <w:szCs w:val="32"/>
          <w:highlight w:val="none"/>
        </w:rPr>
      </w:pPr>
      <w:r>
        <w:rPr>
          <w:rFonts w:ascii="楷体_GB2312" w:hAnsi="黑体" w:eastAsia="楷体_GB2312"/>
          <w:b/>
          <w:color w:val="000000" w:themeColor="text1"/>
          <w:sz w:val="32"/>
          <w:szCs w:val="32"/>
          <w:highlight w:val="none"/>
        </w:rPr>
        <w:t>（二）政府采购支出情况</w:t>
      </w:r>
    </w:p>
    <w:p>
      <w:pPr>
        <w:spacing w:line="540" w:lineRule="exact"/>
        <w:ind w:firstLine="640" w:firstLineChars="200"/>
        <w:rPr>
          <w:rFonts w:hint="default" w:ascii="仿宋_GB2312" w:hAnsi="黑体" w:eastAsia="仿宋_GB2312"/>
          <w:sz w:val="32"/>
          <w:szCs w:val="32"/>
          <w:highlight w:val="none"/>
        </w:rPr>
      </w:pPr>
      <w:r>
        <w:rPr>
          <w:rFonts w:ascii="仿宋_GB2312" w:hAnsi="黑体" w:eastAsia="仿宋_GB2312"/>
          <w:sz w:val="32"/>
          <w:szCs w:val="32"/>
          <w:highlight w:val="none"/>
        </w:rPr>
        <w:t>2022年政府采购支出总额2506.93万元，其中：政府采购货物支出2174.41万元，政府采购工程支出0万元，政府采购服务支出332.52万元。</w:t>
      </w:r>
      <w:r>
        <w:rPr>
          <w:rFonts w:ascii="仿宋_GB2312" w:eastAsia="仿宋_GB2312"/>
          <w:sz w:val="32"/>
          <w:szCs w:val="32"/>
          <w:highlight w:val="none"/>
        </w:rPr>
        <w:t>授予中小企业合同金额2426.83万元，占政府采购支出总额的96.24%，其中：授予小微企业合同金额2277.06万元，占政府采购支出总额的90.30%。</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（三）国有资产占用情况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截至2022年12月31日，共有车辆28辆，其中：副省级以上领导干部用车0辆，主要领导干部用车0辆，机要通讯用车0辆，应急保障用车1辆，执法执勤用车26辆，特种专业技术用车0辆，离退休干部用车0辆，其他用车1辆；单位价值50万元以上通用设备3台（套），单价100万元以上专用设备0台（套）。</w:t>
      </w:r>
    </w:p>
    <w:p>
      <w:pPr>
        <w:widowControl/>
        <w:spacing w:line="540" w:lineRule="exact"/>
        <w:ind w:firstLine="643" w:firstLineChars="200"/>
        <w:jc w:val="left"/>
        <w:rPr>
          <w:rFonts w:hint="default" w:ascii="楷体_GB2312" w:hAnsi="宋体" w:eastAsia="楷体_GB2312" w:cs="楷体_GB2312"/>
          <w:b/>
          <w:sz w:val="32"/>
          <w:szCs w:val="32"/>
        </w:rPr>
      </w:pPr>
      <w:r>
        <w:rPr>
          <w:rFonts w:ascii="楷体_GB2312" w:hAnsi="宋体" w:eastAsia="楷体_GB2312" w:cs="楷体_GB2312"/>
          <w:b/>
          <w:sz w:val="32"/>
          <w:szCs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本单位不涉及特定项目类绩效评价。根据预算绩效管理要求，</w:t>
      </w:r>
      <w:r>
        <w:rPr>
          <w:rFonts w:hint="eastAsia" w:hAnsi="宋体" w:eastAsia="仿宋_GB2312" w:cs="仿宋_GB2312"/>
          <w:sz w:val="32"/>
          <w:szCs w:val="32"/>
          <w:lang w:eastAsia="zh-CN"/>
        </w:rPr>
        <w:t>本部门</w:t>
      </w:r>
      <w:r>
        <w:rPr>
          <w:rFonts w:hAnsi="宋体" w:eastAsia="仿宋_GB2312" w:cs="仿宋_GB2312"/>
          <w:sz w:val="32"/>
          <w:szCs w:val="32"/>
        </w:rPr>
        <w:t>开展整体绩效自评，涉及资金7069.17万元。《部门（单位）整体绩效自评表》见附件。</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hAnsi="宋体" w:eastAsia="仿宋_GB2312" w:cs="仿宋_GB2312"/>
          <w:sz w:val="32"/>
          <w:szCs w:val="32"/>
        </w:rPr>
        <w:t>本单位不涉及特定项目类绩效评价。</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建议继续全额安排。</w:t>
      </w:r>
    </w:p>
    <w:p>
      <w:pPr>
        <w:widowControl/>
        <w:spacing w:line="520" w:lineRule="exact"/>
        <w:ind w:firstLine="643" w:firstLineChars="200"/>
        <w:jc w:val="left"/>
        <w:rPr>
          <w:rFonts w:hint="default"/>
          <w:sz w:val="32"/>
          <w:szCs w:val="32"/>
        </w:rPr>
      </w:pPr>
      <w:r>
        <w:rPr>
          <w:rFonts w:ascii="仿宋_GB2312" w:hAnsi="宋体" w:eastAsia="仿宋_GB2312" w:cs="仿宋_GB2312"/>
          <w:b/>
          <w:bCs/>
          <w:sz w:val="32"/>
          <w:szCs w:val="32"/>
        </w:rPr>
        <w:t>4.财政评价结果。</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该单位整体绩效自评效果较好，望你单位继续加强资金管理，发挥资金效益。</w:t>
      </w:r>
    </w:p>
    <w:p>
      <w:pPr>
        <w:spacing w:line="560" w:lineRule="exact"/>
        <w:jc w:val="center"/>
        <w:rPr>
          <w:rFonts w:hint="default" w:ascii="黑体" w:eastAsia="黑体"/>
          <w:sz w:val="36"/>
        </w:rPr>
      </w:pPr>
      <w:r>
        <w:rPr>
          <w:rFonts w:ascii="宋体" w:hAnsi="宋体"/>
          <w:b/>
          <w:sz w:val="36"/>
        </w:rPr>
        <w:t>第三部分 名词解释</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1.财政拨款收入：</w:t>
      </w:r>
      <w:r>
        <w:rPr>
          <w:rFonts w:ascii="仿宋_GB2312" w:eastAsia="仿宋_GB2312"/>
          <w:sz w:val="32"/>
          <w:szCs w:val="32"/>
        </w:rPr>
        <w:t>指单位从同级财政部门取得的财政预算资金。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2.上级补助收入：</w:t>
      </w:r>
      <w:r>
        <w:rPr>
          <w:rFonts w:ascii="仿宋_GB2312" w:eastAsia="仿宋_GB2312"/>
          <w:sz w:val="32"/>
          <w:szCs w:val="32"/>
        </w:rPr>
        <w:t>指单位从主管部门和上级单位取得的非财政性补助收入。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3.事业收入：</w:t>
      </w:r>
      <w:r>
        <w:rPr>
          <w:rFonts w:ascii="仿宋_GB2312" w:eastAsia="仿宋_GB2312"/>
          <w:sz w:val="32"/>
          <w:szCs w:val="32"/>
        </w:rPr>
        <w:t>指事业单位开展专业业务活动及辅助活动所取得的收入。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4.经营收入：</w:t>
      </w:r>
      <w:r>
        <w:rPr>
          <w:rFonts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5.附属单位上缴收入：</w:t>
      </w:r>
      <w:r>
        <w:rPr>
          <w:rFonts w:ascii="仿宋_GB2312" w:eastAsia="仿宋_GB2312"/>
          <w:sz w:val="32"/>
          <w:szCs w:val="32"/>
        </w:rPr>
        <w:t>指单位附属的独立核算单位按照规定上缴的收入。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6.其他收入：</w:t>
      </w:r>
      <w:r>
        <w:rPr>
          <w:rFonts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7.用事业基金弥补收支差额：</w:t>
      </w:r>
      <w:r>
        <w:rPr>
          <w:rFonts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8.上年结转和结余：</w:t>
      </w:r>
      <w:r>
        <w:rPr>
          <w:rFonts w:ascii="仿宋_GB2312" w:eastAsia="仿宋_GB2312"/>
          <w:sz w:val="32"/>
          <w:szCs w:val="32"/>
        </w:rPr>
        <w:t>指以前年度尚未完成、结转到本年按有关规定继续使用的资金。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9.基本支出：</w:t>
      </w:r>
      <w:r>
        <w:rPr>
          <w:rFonts w:ascii="仿宋_GB2312" w:eastAsia="仿宋_GB2312"/>
          <w:sz w:val="32"/>
          <w:szCs w:val="32"/>
        </w:rPr>
        <w:t>指保障机构正常运转、完成日常工作任务而发生的人员支出和公用支出。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10.项目支出：</w:t>
      </w:r>
      <w:r>
        <w:rPr>
          <w:rFonts w:ascii="仿宋_GB2312" w:eastAsia="仿宋_GB2312"/>
          <w:sz w:val="32"/>
          <w:szCs w:val="32"/>
        </w:rPr>
        <w:t>指在基本支出之外为完成特定行政任务和事业发展目标所发生的支出。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11.上缴上级支出：</w:t>
      </w:r>
      <w:r>
        <w:rPr>
          <w:rFonts w:ascii="仿宋_GB2312" w:eastAsia="仿宋_GB2312"/>
          <w:sz w:val="32"/>
          <w:szCs w:val="32"/>
        </w:rPr>
        <w:t>指事业单位按照财政部门和主管部门的规定上缴上级单位的支出。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12.经营支出：</w:t>
      </w:r>
      <w:r>
        <w:rPr>
          <w:rFonts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default" w:ascii="仿宋_GB2312" w:eastAsia="仿宋_GB2312"/>
          <w:b/>
          <w:sz w:val="32"/>
          <w:szCs w:val="32"/>
        </w:rPr>
      </w:pPr>
      <w:r>
        <w:rPr>
          <w:rFonts w:ascii="仿宋_GB2312" w:eastAsia="仿宋_GB2312"/>
          <w:b/>
          <w:sz w:val="32"/>
          <w:szCs w:val="32"/>
        </w:rPr>
        <w:t>13.对附属单位补助支出：</w:t>
      </w:r>
      <w:r>
        <w:rPr>
          <w:rFonts w:ascii="仿宋_GB2312" w:eastAsia="仿宋_GB2312"/>
          <w:sz w:val="32"/>
          <w:szCs w:val="32"/>
        </w:rPr>
        <w:t>指事业单位用财政补助收入之外的收入对附属单位补助发生的支出。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14.“三公”经费：</w:t>
      </w:r>
      <w:r>
        <w:rPr>
          <w:rFonts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620" w:lineRule="exact"/>
        <w:ind w:firstLine="643" w:firstLineChars="200"/>
        <w:rPr>
          <w:rFonts w:hint="default" w:ascii="仿宋_GB2312" w:eastAsia="仿宋_GB2312"/>
          <w:sz w:val="32"/>
        </w:rPr>
      </w:pPr>
      <w:r>
        <w:rPr>
          <w:rFonts w:ascii="仿宋_GB2312" w:eastAsia="仿宋_GB2312"/>
          <w:b/>
          <w:sz w:val="32"/>
        </w:rPr>
        <w:t>15.机关运行经费：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540" w:lineRule="exact"/>
        <w:ind w:firstLine="640" w:firstLineChars="200"/>
        <w:rPr>
          <w:rFonts w:hint="default" w:ascii="仿宋_GB2312" w:eastAsia="仿宋_GB2312"/>
          <w:sz w:val="32"/>
          <w:szCs w:val="32"/>
        </w:rPr>
      </w:pPr>
    </w:p>
    <w:p>
      <w:pPr>
        <w:spacing w:line="620" w:lineRule="exact"/>
        <w:ind w:firstLine="643" w:firstLineChars="200"/>
        <w:rPr>
          <w:rFonts w:hint="default" w:ascii="仿宋_GB2312" w:eastAsia="仿宋_GB2312"/>
          <w:sz w:val="32"/>
        </w:rPr>
      </w:pPr>
      <w:r>
        <w:rPr>
          <w:rFonts w:ascii="仿宋_GB2312" w:eastAsia="仿宋_GB2312"/>
          <w:b/>
          <w:sz w:val="32"/>
        </w:rPr>
        <w:t>16.一般公共服务支出（类）政府办公厅(室)及相关机构事务（款）信访事务（项）：</w:t>
      </w:r>
      <w:r>
        <w:rPr>
          <w:rFonts w:ascii="仿宋_GB2312" w:eastAsia="仿宋_GB2312"/>
          <w:sz w:val="32"/>
        </w:rPr>
        <w:t>反映各级政府用于接待群众来信来访方面的支出。</w:t>
      </w:r>
    </w:p>
    <w:p>
      <w:pPr>
        <w:pStyle w:val="2"/>
        <w:spacing w:line="620" w:lineRule="exact"/>
        <w:ind w:firstLine="643" w:firstLineChars="200"/>
        <w:rPr>
          <w:szCs w:val="32"/>
        </w:rPr>
      </w:pPr>
      <w:r>
        <w:rPr>
          <w:rFonts w:hint="eastAsia"/>
          <w:b/>
          <w:szCs w:val="32"/>
        </w:rPr>
        <w:t>17.公共安全支出（类）法院（款）行政运行（项）</w:t>
      </w:r>
      <w:r>
        <w:rPr>
          <w:rFonts w:hint="eastAsia"/>
          <w:szCs w:val="32"/>
        </w:rPr>
        <w:t>：反映行政单位（包括实行公务员管理的事业单位）的基本支出。</w:t>
      </w:r>
    </w:p>
    <w:p>
      <w:pPr>
        <w:pStyle w:val="2"/>
        <w:spacing w:line="620" w:lineRule="exact"/>
        <w:ind w:firstLine="643" w:firstLineChars="200"/>
        <w:rPr>
          <w:szCs w:val="32"/>
        </w:rPr>
      </w:pPr>
      <w:r>
        <w:rPr>
          <w:rFonts w:hint="eastAsia"/>
          <w:b/>
          <w:szCs w:val="32"/>
        </w:rPr>
        <w:t>18.公共安全支出（类）法院（款）一般行政管理事务（项）：</w:t>
      </w:r>
      <w:r>
        <w:rPr>
          <w:rFonts w:hint="eastAsia"/>
          <w:szCs w:val="32"/>
        </w:rPr>
        <w:t>反映行政单位（包括实行公务员管理的事业单位）未单独设置项级科目的其他项目支出。</w:t>
      </w:r>
    </w:p>
    <w:p>
      <w:pPr>
        <w:pStyle w:val="2"/>
        <w:spacing w:line="620" w:lineRule="exact"/>
        <w:ind w:firstLine="643" w:firstLineChars="200"/>
        <w:rPr>
          <w:szCs w:val="32"/>
        </w:rPr>
      </w:pPr>
      <w:r>
        <w:rPr>
          <w:rFonts w:hint="eastAsia"/>
          <w:b/>
          <w:szCs w:val="32"/>
        </w:rPr>
        <w:t>19.公共安全支出（类）法院（款）其他法院支出（项）：</w:t>
      </w:r>
      <w:r>
        <w:rPr>
          <w:rFonts w:hint="eastAsia"/>
          <w:szCs w:val="32"/>
        </w:rPr>
        <w:t>反映上述项目以外其他用于法院方面的支出。</w:t>
      </w:r>
    </w:p>
    <w:p>
      <w:pPr>
        <w:pStyle w:val="2"/>
        <w:spacing w:line="620" w:lineRule="exact"/>
        <w:ind w:firstLine="643" w:firstLineChars="200"/>
        <w:rPr>
          <w:szCs w:val="32"/>
        </w:rPr>
      </w:pPr>
      <w:r>
        <w:rPr>
          <w:rFonts w:hint="eastAsia"/>
          <w:b/>
          <w:szCs w:val="32"/>
        </w:rPr>
        <w:t>20、教育支出（类）进修及培训（款）培训支出（项）：</w:t>
      </w:r>
      <w:r>
        <w:rPr>
          <w:rFonts w:hint="eastAsia"/>
          <w:szCs w:val="32"/>
        </w:rPr>
        <w:t>反映各部门安排的用于培训的支出。教育部门的师资培训、党校、行政学院等专业干部教育机构的支出，以及退役士兵、转业士官的培训支出，不在本科目反映。</w:t>
      </w:r>
    </w:p>
    <w:p>
      <w:pPr>
        <w:spacing w:line="620" w:lineRule="exact"/>
        <w:ind w:firstLine="643" w:firstLineChars="200"/>
        <w:rPr>
          <w:rFonts w:hint="default" w:ascii="仿宋_GB2312" w:eastAsia="仿宋_GB2312"/>
          <w:sz w:val="32"/>
        </w:rPr>
      </w:pPr>
      <w:r>
        <w:rPr>
          <w:rFonts w:ascii="仿宋_GB2312" w:eastAsia="仿宋_GB2312"/>
          <w:b/>
          <w:sz w:val="32"/>
        </w:rPr>
        <w:t>21.社会保障和就业支出（类）行政事业单位养老支出（款）行政单位离退休（项）：</w:t>
      </w:r>
      <w:r>
        <w:rPr>
          <w:rFonts w:ascii="仿宋_GB2312" w:eastAsia="仿宋_GB2312"/>
          <w:sz w:val="32"/>
        </w:rPr>
        <w:t>反映行政单位（包括实行公务员管理的事业单位）开支的离退休经费。</w:t>
      </w:r>
    </w:p>
    <w:p>
      <w:pPr>
        <w:spacing w:line="620" w:lineRule="exact"/>
        <w:ind w:firstLine="643" w:firstLineChars="200"/>
        <w:rPr>
          <w:rFonts w:hint="default" w:ascii="仿宋_GB2312" w:eastAsia="仿宋_GB2312"/>
          <w:sz w:val="32"/>
        </w:rPr>
      </w:pPr>
      <w:r>
        <w:rPr>
          <w:rFonts w:ascii="仿宋_GB2312" w:eastAsia="仿宋_GB2312"/>
          <w:b/>
          <w:sz w:val="32"/>
        </w:rPr>
        <w:t>22.社会保障和就业支出（类）行政事业单位养老支出（款）机关事业单位基本养老保险缴费支出（项）：</w:t>
      </w:r>
      <w:r>
        <w:rPr>
          <w:rFonts w:ascii="仿宋_GB2312" w:eastAsia="仿宋_GB2312"/>
          <w:sz w:val="32"/>
        </w:rPr>
        <w:t>反映机关事业单位实施养老保险制度由单位缴纳的基本养老保险费支出。</w:t>
      </w:r>
    </w:p>
    <w:p>
      <w:pPr>
        <w:spacing w:line="620" w:lineRule="exact"/>
        <w:ind w:firstLine="643" w:firstLineChars="200"/>
        <w:rPr>
          <w:rFonts w:hint="default" w:ascii="仿宋_GB2312" w:eastAsia="仿宋_GB2312"/>
          <w:sz w:val="32"/>
        </w:rPr>
      </w:pPr>
      <w:r>
        <w:rPr>
          <w:rFonts w:ascii="仿宋_GB2312" w:eastAsia="仿宋_GB2312"/>
          <w:b/>
          <w:sz w:val="32"/>
        </w:rPr>
        <w:t>23.社会保障和就业支出（类）行政事业单位养老支出（款）机关事业单位职业年金缴费支出（项）：</w:t>
      </w:r>
      <w:r>
        <w:rPr>
          <w:rFonts w:ascii="仿宋_GB2312" w:eastAsia="仿宋_GB2312"/>
          <w:sz w:val="32"/>
        </w:rPr>
        <w:t>反映机关事业单位实施养老保险制度由单位实际缴纳的职业年金支出。</w:t>
      </w:r>
    </w:p>
    <w:p>
      <w:pPr>
        <w:spacing w:line="620" w:lineRule="exact"/>
        <w:ind w:firstLine="643" w:firstLineChars="200"/>
        <w:rPr>
          <w:rFonts w:hint="default" w:ascii="仿宋_GB2312" w:eastAsia="仿宋_GB2312"/>
          <w:sz w:val="32"/>
        </w:rPr>
      </w:pPr>
      <w:r>
        <w:rPr>
          <w:rFonts w:ascii="仿宋_GB2312" w:eastAsia="仿宋_GB2312"/>
          <w:b/>
          <w:sz w:val="32"/>
        </w:rPr>
        <w:t>24.卫生健康支出（类）行政事业单位医疗（款）行政单位医疗（项）：</w:t>
      </w:r>
      <w:r>
        <w:rPr>
          <w:rFonts w:ascii="仿宋_GB2312" w:eastAsia="仿宋_GB2312"/>
          <w:sz w:val="32"/>
        </w:rPr>
        <w:t>反映财政部门安排的行政单位（包括实行公务员管理的事业单位）基本医疗保险缴费经费，未参加医疗保险的行政单位的公费医疗经费，按国家规定享受离休人员、红军老战士待遇人员的医疗经费。</w:t>
      </w:r>
    </w:p>
    <w:p>
      <w:pPr>
        <w:spacing w:line="620" w:lineRule="exact"/>
        <w:ind w:firstLine="643" w:firstLineChars="200"/>
        <w:rPr>
          <w:rFonts w:hint="default" w:ascii="仿宋_GB2312" w:eastAsia="仿宋_GB2312"/>
          <w:sz w:val="32"/>
        </w:rPr>
      </w:pPr>
      <w:r>
        <w:rPr>
          <w:rFonts w:ascii="仿宋_GB2312" w:eastAsia="仿宋_GB2312"/>
          <w:b/>
          <w:sz w:val="32"/>
        </w:rPr>
        <w:t>25.卫生健康支出（类）行政事业单位医疗（款）公务员医疗补助（项）：</w:t>
      </w:r>
      <w:r>
        <w:rPr>
          <w:rFonts w:ascii="仿宋_GB2312" w:eastAsia="仿宋_GB2312"/>
          <w:sz w:val="32"/>
        </w:rPr>
        <w:t>反映财政部门安排的公务员医疗补助经费。</w:t>
      </w:r>
    </w:p>
    <w:p>
      <w:pPr>
        <w:spacing w:line="620" w:lineRule="exact"/>
        <w:ind w:firstLine="643" w:firstLineChars="200"/>
        <w:rPr>
          <w:rFonts w:hint="default" w:ascii="仿宋_GB2312" w:eastAsia="仿宋_GB2312"/>
          <w:sz w:val="32"/>
        </w:rPr>
      </w:pPr>
      <w:r>
        <w:rPr>
          <w:rFonts w:ascii="仿宋_GB2312" w:eastAsia="仿宋_GB2312"/>
          <w:b/>
          <w:sz w:val="32"/>
        </w:rPr>
        <w:t>26.住房保障支出（类）住房改革支出（款）住房公积金（项）：</w:t>
      </w:r>
      <w:r>
        <w:rPr>
          <w:rFonts w:ascii="仿宋_GB2312" w:eastAsia="仿宋_GB2312"/>
          <w:sz w:val="32"/>
        </w:rPr>
        <w:t>反映行政事业单位按人力资源和社会保障部、财政部规定的基本工资和津贴补贴以及规定比例为职工缴纳的住房公积金。</w:t>
      </w: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rPr>
          <w:rFonts w:hint="default" w:ascii="仿宋_GB2312" w:eastAsia="仿宋_GB2312"/>
          <w:sz w:val="32"/>
        </w:rPr>
        <w:sectPr>
          <w:headerReference r:id="rId3" w:type="default"/>
          <w:footerReference r:id="rId4" w:type="default"/>
          <w:pgSz w:w="11906" w:h="16838"/>
          <w:pgMar w:top="1440" w:right="1417" w:bottom="1440" w:left="1417" w:header="851" w:footer="992" w:gutter="0"/>
          <w:cols w:space="720" w:num="1"/>
          <w:docGrid w:type="lines" w:linePitch="324" w:charSpace="0"/>
        </w:sectPr>
      </w:pPr>
    </w:p>
    <w:p>
      <w:pPr>
        <w:spacing w:line="620" w:lineRule="exact"/>
        <w:rPr>
          <w:rFonts w:hint="default" w:ascii="仿宋_GB2312" w:eastAsia="仿宋_GB2312"/>
          <w:sz w:val="32"/>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hint="default" w:ascii="宋体" w:hAnsi="宋体"/>
          <w:b/>
          <w:sz w:val="36"/>
        </w:rPr>
      </w:pPr>
      <w:r>
        <w:rPr>
          <w:rFonts w:ascii="宋体" w:hAnsi="宋体"/>
          <w:b/>
          <w:sz w:val="36"/>
        </w:rPr>
        <w:t>第四部分 沈阳市浑南区人民法院2022年度决算表</w:t>
      </w: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hint="default"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ascii="宋体" w:hAnsi="宋体"/>
          <w:b/>
          <w:sz w:val="36"/>
        </w:rPr>
      </w:pPr>
    </w:p>
    <w:p>
      <w:pPr>
        <w:spacing w:line="560" w:lineRule="exact"/>
        <w:jc w:val="center"/>
        <w:rPr>
          <w:rFonts w:hint="default" w:ascii="宋体" w:hAnsi="宋体"/>
          <w:b/>
          <w:sz w:val="36"/>
        </w:rPr>
      </w:pPr>
      <w:bookmarkStart w:id="0" w:name="_GoBack"/>
      <w:bookmarkEnd w:id="0"/>
      <w:r>
        <w:rPr>
          <w:rFonts w:ascii="宋体" w:hAnsi="宋体"/>
          <w:b/>
          <w:sz w:val="36"/>
        </w:rPr>
        <w:t>第五部分 附件</w:t>
      </w:r>
    </w:p>
    <w:sectPr>
      <w:pgSz w:w="16838" w:h="11906" w:orient="landscape"/>
      <w:pgMar w:top="1417" w:right="1440" w:bottom="1417" w:left="1440" w:header="851" w:footer="992" w:gutter="0"/>
      <w:cols w:space="720" w:num="1"/>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r>
      <w:rPr>
        <w:rFonts w:hint="default"/>
      </w:rPr>
      <w:pict>
        <v:shape id="_x0000_s2049" o:spid="_x0000_s2049" o:spt="202" type="#_x0000_t202" style="position:absolute;left:0pt;margin-top:0pt;height:10.35pt;width:9.0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rFonts w:hint="default"/>
                    <w:sz w:val="18"/>
                  </w:rPr>
                </w:pPr>
                <w:r>
                  <w:rPr>
                    <w:sz w:val="18"/>
                  </w:rPr>
                  <w:fldChar w:fldCharType="begin"/>
                </w:r>
                <w:r>
                  <w:rPr>
                    <w:sz w:val="18"/>
                  </w:rPr>
                  <w:instrText xml:space="preserve"> PAGE  \* MERGEFORMAT </w:instrText>
                </w:r>
                <w:r>
                  <w:rPr>
                    <w:sz w:val="18"/>
                  </w:rPr>
                  <w:fldChar w:fldCharType="separate"/>
                </w:r>
                <w:r>
                  <w:rPr>
                    <w:rFonts w:hint="default"/>
                    <w:sz w:val="18"/>
                  </w:rPr>
                  <w:t>12</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212"/>
        <w:tab w:val="clear" w:pos="4153"/>
      </w:tabs>
      <w:rPr>
        <w:rFonts w:hint="default"/>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3F07F"/>
    <w:multiLevelType w:val="multilevel"/>
    <w:tmpl w:val="0003F07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righ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right"/>
      <w:pPr>
        <w:tabs>
          <w:tab w:val="left" w:pos="3780"/>
        </w:tabs>
        <w:ind w:left="378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62"/>
  <w:displayVerticalDrawingGridEvery w:val="2"/>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adjustLineHeightInTable/>
    <w:useFELayout/>
    <w:compatSetting w:name="compatibilityMode" w:uri="http://schemas.microsoft.com/office/word" w:val="12"/>
  </w:compat>
  <w:docVars>
    <w:docVar w:name="commondata" w:val="eyJoZGlkIjoiOWQwNTI5OTU5YTU2NGY4YzQwYWJiNTY3YmJiNmQ5OTEifQ=="/>
  </w:docVars>
  <w:rsids>
    <w:rsidRoot w:val="00172A27"/>
    <w:rsid w:val="000004F6"/>
    <w:rsid w:val="00001DAD"/>
    <w:rsid w:val="0000221F"/>
    <w:rsid w:val="00005F81"/>
    <w:rsid w:val="00007B66"/>
    <w:rsid w:val="00011B91"/>
    <w:rsid w:val="00022C9F"/>
    <w:rsid w:val="00027725"/>
    <w:rsid w:val="0003012D"/>
    <w:rsid w:val="00035002"/>
    <w:rsid w:val="000452E7"/>
    <w:rsid w:val="000507F9"/>
    <w:rsid w:val="00061888"/>
    <w:rsid w:val="00071435"/>
    <w:rsid w:val="0007255C"/>
    <w:rsid w:val="00072774"/>
    <w:rsid w:val="00076053"/>
    <w:rsid w:val="00091A6F"/>
    <w:rsid w:val="000963E1"/>
    <w:rsid w:val="000A0B7A"/>
    <w:rsid w:val="000A628E"/>
    <w:rsid w:val="000A6538"/>
    <w:rsid w:val="000A6C55"/>
    <w:rsid w:val="000B14FE"/>
    <w:rsid w:val="000B1BAB"/>
    <w:rsid w:val="000B43E8"/>
    <w:rsid w:val="000B4DB6"/>
    <w:rsid w:val="000C0954"/>
    <w:rsid w:val="000D0981"/>
    <w:rsid w:val="000E0DCF"/>
    <w:rsid w:val="000E313D"/>
    <w:rsid w:val="000E43E0"/>
    <w:rsid w:val="000E682D"/>
    <w:rsid w:val="000E7EB4"/>
    <w:rsid w:val="000F09E4"/>
    <w:rsid w:val="000F1089"/>
    <w:rsid w:val="000F1DE4"/>
    <w:rsid w:val="000F292D"/>
    <w:rsid w:val="000F3D78"/>
    <w:rsid w:val="000F4A22"/>
    <w:rsid w:val="000F4EC3"/>
    <w:rsid w:val="001100A2"/>
    <w:rsid w:val="00112BCA"/>
    <w:rsid w:val="001333EF"/>
    <w:rsid w:val="00133E5E"/>
    <w:rsid w:val="00166CAF"/>
    <w:rsid w:val="00172A27"/>
    <w:rsid w:val="00180B37"/>
    <w:rsid w:val="0018551B"/>
    <w:rsid w:val="00185DDC"/>
    <w:rsid w:val="001A1CBF"/>
    <w:rsid w:val="001B1D5F"/>
    <w:rsid w:val="001B4C35"/>
    <w:rsid w:val="001D2123"/>
    <w:rsid w:val="001D590A"/>
    <w:rsid w:val="001E7494"/>
    <w:rsid w:val="001E74A1"/>
    <w:rsid w:val="001F2D7C"/>
    <w:rsid w:val="00212FB9"/>
    <w:rsid w:val="002219CD"/>
    <w:rsid w:val="00235228"/>
    <w:rsid w:val="00235A51"/>
    <w:rsid w:val="00236CF3"/>
    <w:rsid w:val="00257E4F"/>
    <w:rsid w:val="002720D0"/>
    <w:rsid w:val="00272EDF"/>
    <w:rsid w:val="00280CB7"/>
    <w:rsid w:val="00286682"/>
    <w:rsid w:val="002A0D4D"/>
    <w:rsid w:val="002A2C92"/>
    <w:rsid w:val="002A7571"/>
    <w:rsid w:val="002C037C"/>
    <w:rsid w:val="002C0C70"/>
    <w:rsid w:val="002C44D4"/>
    <w:rsid w:val="002D56A8"/>
    <w:rsid w:val="002D7B43"/>
    <w:rsid w:val="002E26C1"/>
    <w:rsid w:val="002E67D7"/>
    <w:rsid w:val="002F0016"/>
    <w:rsid w:val="002F586F"/>
    <w:rsid w:val="002F67F7"/>
    <w:rsid w:val="003116AA"/>
    <w:rsid w:val="00315329"/>
    <w:rsid w:val="00320FFF"/>
    <w:rsid w:val="00346054"/>
    <w:rsid w:val="00351D6E"/>
    <w:rsid w:val="003605A8"/>
    <w:rsid w:val="003800F1"/>
    <w:rsid w:val="00384671"/>
    <w:rsid w:val="00390926"/>
    <w:rsid w:val="003A105D"/>
    <w:rsid w:val="003B098F"/>
    <w:rsid w:val="003B1ED6"/>
    <w:rsid w:val="003B423B"/>
    <w:rsid w:val="003C0D08"/>
    <w:rsid w:val="003C2A4D"/>
    <w:rsid w:val="003C4FCB"/>
    <w:rsid w:val="003D15C1"/>
    <w:rsid w:val="003F0245"/>
    <w:rsid w:val="00406D55"/>
    <w:rsid w:val="0040738F"/>
    <w:rsid w:val="00420EBC"/>
    <w:rsid w:val="004211E3"/>
    <w:rsid w:val="00437DEA"/>
    <w:rsid w:val="0044429A"/>
    <w:rsid w:val="0045001A"/>
    <w:rsid w:val="004544EB"/>
    <w:rsid w:val="0045707B"/>
    <w:rsid w:val="00471702"/>
    <w:rsid w:val="00477378"/>
    <w:rsid w:val="004827B1"/>
    <w:rsid w:val="00484749"/>
    <w:rsid w:val="00494906"/>
    <w:rsid w:val="00495248"/>
    <w:rsid w:val="00495630"/>
    <w:rsid w:val="00496233"/>
    <w:rsid w:val="004D1437"/>
    <w:rsid w:val="004D2501"/>
    <w:rsid w:val="004D6E72"/>
    <w:rsid w:val="004D7B1D"/>
    <w:rsid w:val="004E0F53"/>
    <w:rsid w:val="004E1528"/>
    <w:rsid w:val="004E3793"/>
    <w:rsid w:val="004E7573"/>
    <w:rsid w:val="004F7681"/>
    <w:rsid w:val="005036DE"/>
    <w:rsid w:val="00506453"/>
    <w:rsid w:val="00525F44"/>
    <w:rsid w:val="005334F1"/>
    <w:rsid w:val="00535A14"/>
    <w:rsid w:val="00536536"/>
    <w:rsid w:val="00537D58"/>
    <w:rsid w:val="00540CE9"/>
    <w:rsid w:val="00546ADA"/>
    <w:rsid w:val="00564F6A"/>
    <w:rsid w:val="0056771D"/>
    <w:rsid w:val="00567BB2"/>
    <w:rsid w:val="0057500C"/>
    <w:rsid w:val="00585ACF"/>
    <w:rsid w:val="00593087"/>
    <w:rsid w:val="0059758F"/>
    <w:rsid w:val="005B2508"/>
    <w:rsid w:val="005B2C6D"/>
    <w:rsid w:val="005E3F11"/>
    <w:rsid w:val="005E7C85"/>
    <w:rsid w:val="005F352E"/>
    <w:rsid w:val="005F3EBE"/>
    <w:rsid w:val="00604D66"/>
    <w:rsid w:val="00607B81"/>
    <w:rsid w:val="0061103F"/>
    <w:rsid w:val="00612C46"/>
    <w:rsid w:val="00613C57"/>
    <w:rsid w:val="00616462"/>
    <w:rsid w:val="00625D25"/>
    <w:rsid w:val="0063560D"/>
    <w:rsid w:val="0064311A"/>
    <w:rsid w:val="0066354A"/>
    <w:rsid w:val="00665478"/>
    <w:rsid w:val="00665A86"/>
    <w:rsid w:val="006742BE"/>
    <w:rsid w:val="00675356"/>
    <w:rsid w:val="00677927"/>
    <w:rsid w:val="006818E8"/>
    <w:rsid w:val="0069341E"/>
    <w:rsid w:val="00694694"/>
    <w:rsid w:val="006B1314"/>
    <w:rsid w:val="006B3610"/>
    <w:rsid w:val="006C0174"/>
    <w:rsid w:val="006C309D"/>
    <w:rsid w:val="006C73F8"/>
    <w:rsid w:val="006C7CB2"/>
    <w:rsid w:val="006D144C"/>
    <w:rsid w:val="006D3C20"/>
    <w:rsid w:val="006D5F1A"/>
    <w:rsid w:val="006D6932"/>
    <w:rsid w:val="006E1120"/>
    <w:rsid w:val="006F0871"/>
    <w:rsid w:val="006F16BA"/>
    <w:rsid w:val="006F24AA"/>
    <w:rsid w:val="00711333"/>
    <w:rsid w:val="007201FB"/>
    <w:rsid w:val="007248E7"/>
    <w:rsid w:val="00732A54"/>
    <w:rsid w:val="00735201"/>
    <w:rsid w:val="007426B6"/>
    <w:rsid w:val="0074552E"/>
    <w:rsid w:val="007472B0"/>
    <w:rsid w:val="0075322B"/>
    <w:rsid w:val="00777C65"/>
    <w:rsid w:val="0078152E"/>
    <w:rsid w:val="00781A52"/>
    <w:rsid w:val="00784262"/>
    <w:rsid w:val="00795B3B"/>
    <w:rsid w:val="00796FE1"/>
    <w:rsid w:val="007A311E"/>
    <w:rsid w:val="007A3373"/>
    <w:rsid w:val="007A3A89"/>
    <w:rsid w:val="007B36FF"/>
    <w:rsid w:val="007B646E"/>
    <w:rsid w:val="007C4958"/>
    <w:rsid w:val="007D5DFC"/>
    <w:rsid w:val="007D6597"/>
    <w:rsid w:val="007E0B4E"/>
    <w:rsid w:val="00806172"/>
    <w:rsid w:val="00811E07"/>
    <w:rsid w:val="008213D5"/>
    <w:rsid w:val="00821824"/>
    <w:rsid w:val="0083521B"/>
    <w:rsid w:val="0083595E"/>
    <w:rsid w:val="0083769E"/>
    <w:rsid w:val="008642BA"/>
    <w:rsid w:val="00872A45"/>
    <w:rsid w:val="00873032"/>
    <w:rsid w:val="008761F4"/>
    <w:rsid w:val="008800EC"/>
    <w:rsid w:val="00881C6F"/>
    <w:rsid w:val="00886B69"/>
    <w:rsid w:val="008919BC"/>
    <w:rsid w:val="008A60CA"/>
    <w:rsid w:val="008C7144"/>
    <w:rsid w:val="008D0BC6"/>
    <w:rsid w:val="008D6C16"/>
    <w:rsid w:val="008E009F"/>
    <w:rsid w:val="008E3198"/>
    <w:rsid w:val="008F1BF4"/>
    <w:rsid w:val="008F1E32"/>
    <w:rsid w:val="008F3D48"/>
    <w:rsid w:val="009016D1"/>
    <w:rsid w:val="00904B49"/>
    <w:rsid w:val="00911732"/>
    <w:rsid w:val="00914266"/>
    <w:rsid w:val="00927FB8"/>
    <w:rsid w:val="0093414A"/>
    <w:rsid w:val="009348D5"/>
    <w:rsid w:val="00937AA5"/>
    <w:rsid w:val="00941BC8"/>
    <w:rsid w:val="00945409"/>
    <w:rsid w:val="009536FA"/>
    <w:rsid w:val="00982E0B"/>
    <w:rsid w:val="00997609"/>
    <w:rsid w:val="0099763F"/>
    <w:rsid w:val="009A0C98"/>
    <w:rsid w:val="009A5C24"/>
    <w:rsid w:val="009B70D1"/>
    <w:rsid w:val="009C7756"/>
    <w:rsid w:val="009D1B5D"/>
    <w:rsid w:val="009D6BF8"/>
    <w:rsid w:val="009E410B"/>
    <w:rsid w:val="009E5048"/>
    <w:rsid w:val="009F5208"/>
    <w:rsid w:val="00A0395B"/>
    <w:rsid w:val="00A0742F"/>
    <w:rsid w:val="00A10133"/>
    <w:rsid w:val="00A414B6"/>
    <w:rsid w:val="00A5772B"/>
    <w:rsid w:val="00A67824"/>
    <w:rsid w:val="00A84365"/>
    <w:rsid w:val="00A87067"/>
    <w:rsid w:val="00A870E0"/>
    <w:rsid w:val="00A87BB0"/>
    <w:rsid w:val="00A94C69"/>
    <w:rsid w:val="00AA472B"/>
    <w:rsid w:val="00AA525B"/>
    <w:rsid w:val="00AC49FD"/>
    <w:rsid w:val="00AD128A"/>
    <w:rsid w:val="00AD1D89"/>
    <w:rsid w:val="00AD715E"/>
    <w:rsid w:val="00AE3842"/>
    <w:rsid w:val="00AF5C0E"/>
    <w:rsid w:val="00AF695D"/>
    <w:rsid w:val="00B167D5"/>
    <w:rsid w:val="00B17FC0"/>
    <w:rsid w:val="00B33085"/>
    <w:rsid w:val="00B352A6"/>
    <w:rsid w:val="00B360B9"/>
    <w:rsid w:val="00B4687B"/>
    <w:rsid w:val="00B46EEA"/>
    <w:rsid w:val="00B61B99"/>
    <w:rsid w:val="00B74739"/>
    <w:rsid w:val="00B83D34"/>
    <w:rsid w:val="00B84655"/>
    <w:rsid w:val="00B974F7"/>
    <w:rsid w:val="00BB4904"/>
    <w:rsid w:val="00BC1127"/>
    <w:rsid w:val="00BC34EC"/>
    <w:rsid w:val="00BC5849"/>
    <w:rsid w:val="00BD7949"/>
    <w:rsid w:val="00BF517B"/>
    <w:rsid w:val="00C033E9"/>
    <w:rsid w:val="00C0392A"/>
    <w:rsid w:val="00C06712"/>
    <w:rsid w:val="00C109C2"/>
    <w:rsid w:val="00C11CD2"/>
    <w:rsid w:val="00C14B26"/>
    <w:rsid w:val="00C31C99"/>
    <w:rsid w:val="00C3465D"/>
    <w:rsid w:val="00C356DD"/>
    <w:rsid w:val="00C47163"/>
    <w:rsid w:val="00C53728"/>
    <w:rsid w:val="00C72A79"/>
    <w:rsid w:val="00C7421C"/>
    <w:rsid w:val="00C81CBC"/>
    <w:rsid w:val="00C84270"/>
    <w:rsid w:val="00C84D24"/>
    <w:rsid w:val="00C87907"/>
    <w:rsid w:val="00CB6423"/>
    <w:rsid w:val="00CC3D5C"/>
    <w:rsid w:val="00CC3D66"/>
    <w:rsid w:val="00CE2B60"/>
    <w:rsid w:val="00CE7553"/>
    <w:rsid w:val="00CF2F58"/>
    <w:rsid w:val="00D0087B"/>
    <w:rsid w:val="00D10C5B"/>
    <w:rsid w:val="00D14D86"/>
    <w:rsid w:val="00D17B20"/>
    <w:rsid w:val="00D212A9"/>
    <w:rsid w:val="00D26501"/>
    <w:rsid w:val="00D30696"/>
    <w:rsid w:val="00D34FED"/>
    <w:rsid w:val="00D420F8"/>
    <w:rsid w:val="00D50771"/>
    <w:rsid w:val="00D55D62"/>
    <w:rsid w:val="00D56C84"/>
    <w:rsid w:val="00D67634"/>
    <w:rsid w:val="00D82BA7"/>
    <w:rsid w:val="00D9638E"/>
    <w:rsid w:val="00DA297C"/>
    <w:rsid w:val="00DA60DC"/>
    <w:rsid w:val="00DB0C42"/>
    <w:rsid w:val="00DB35A6"/>
    <w:rsid w:val="00DD3785"/>
    <w:rsid w:val="00DF572F"/>
    <w:rsid w:val="00E07166"/>
    <w:rsid w:val="00E111E4"/>
    <w:rsid w:val="00E17D37"/>
    <w:rsid w:val="00E250E9"/>
    <w:rsid w:val="00E26B9B"/>
    <w:rsid w:val="00E27F0E"/>
    <w:rsid w:val="00E32C3B"/>
    <w:rsid w:val="00E33947"/>
    <w:rsid w:val="00E37D11"/>
    <w:rsid w:val="00E633CE"/>
    <w:rsid w:val="00E738B9"/>
    <w:rsid w:val="00E77A08"/>
    <w:rsid w:val="00EA3E7C"/>
    <w:rsid w:val="00EB15FF"/>
    <w:rsid w:val="00EB342F"/>
    <w:rsid w:val="00EB3CD8"/>
    <w:rsid w:val="00EB53AD"/>
    <w:rsid w:val="00ED18F2"/>
    <w:rsid w:val="00EF006D"/>
    <w:rsid w:val="00EF2BA7"/>
    <w:rsid w:val="00F00CFA"/>
    <w:rsid w:val="00F01749"/>
    <w:rsid w:val="00F0316A"/>
    <w:rsid w:val="00F0343A"/>
    <w:rsid w:val="00F116A0"/>
    <w:rsid w:val="00F13F72"/>
    <w:rsid w:val="00F224DF"/>
    <w:rsid w:val="00F22C28"/>
    <w:rsid w:val="00F260DC"/>
    <w:rsid w:val="00F35E80"/>
    <w:rsid w:val="00F42326"/>
    <w:rsid w:val="00F437A1"/>
    <w:rsid w:val="00F4506D"/>
    <w:rsid w:val="00F53D5C"/>
    <w:rsid w:val="00F576DF"/>
    <w:rsid w:val="00F60674"/>
    <w:rsid w:val="00F60F0F"/>
    <w:rsid w:val="00F647CF"/>
    <w:rsid w:val="00F64CA3"/>
    <w:rsid w:val="00F72750"/>
    <w:rsid w:val="00F72B51"/>
    <w:rsid w:val="00F76660"/>
    <w:rsid w:val="00F81B9D"/>
    <w:rsid w:val="00F87016"/>
    <w:rsid w:val="00F904AC"/>
    <w:rsid w:val="00F92339"/>
    <w:rsid w:val="00F92E28"/>
    <w:rsid w:val="00FA355C"/>
    <w:rsid w:val="00FB559F"/>
    <w:rsid w:val="00FB584D"/>
    <w:rsid w:val="00FB6141"/>
    <w:rsid w:val="00FC0269"/>
    <w:rsid w:val="00FC0FFA"/>
    <w:rsid w:val="00FC2AC2"/>
    <w:rsid w:val="00FD1DA6"/>
    <w:rsid w:val="00FD361A"/>
    <w:rsid w:val="00FD4494"/>
    <w:rsid w:val="00FD49EE"/>
    <w:rsid w:val="00FD5B1D"/>
    <w:rsid w:val="00FE12DF"/>
    <w:rsid w:val="00FE20A8"/>
    <w:rsid w:val="00FF7D5E"/>
    <w:rsid w:val="01D61292"/>
    <w:rsid w:val="028B7ABC"/>
    <w:rsid w:val="042A3CE5"/>
    <w:rsid w:val="05A526B2"/>
    <w:rsid w:val="06832BC0"/>
    <w:rsid w:val="077B1AD3"/>
    <w:rsid w:val="08E9332E"/>
    <w:rsid w:val="09CB009E"/>
    <w:rsid w:val="09D654FD"/>
    <w:rsid w:val="0AF21185"/>
    <w:rsid w:val="0E611DA6"/>
    <w:rsid w:val="0EAF40A4"/>
    <w:rsid w:val="0EF13C13"/>
    <w:rsid w:val="128D65FD"/>
    <w:rsid w:val="13C80904"/>
    <w:rsid w:val="19A91329"/>
    <w:rsid w:val="1CD55FDE"/>
    <w:rsid w:val="1CD96BE2"/>
    <w:rsid w:val="1E260E02"/>
    <w:rsid w:val="20695B39"/>
    <w:rsid w:val="216F2E69"/>
    <w:rsid w:val="21B34857"/>
    <w:rsid w:val="225F01F3"/>
    <w:rsid w:val="234704F0"/>
    <w:rsid w:val="23F30609"/>
    <w:rsid w:val="249D521F"/>
    <w:rsid w:val="250D45D9"/>
    <w:rsid w:val="26DC5ACE"/>
    <w:rsid w:val="27BA54BC"/>
    <w:rsid w:val="2A8668D4"/>
    <w:rsid w:val="2C676DE9"/>
    <w:rsid w:val="2DBA0995"/>
    <w:rsid w:val="2EA2760D"/>
    <w:rsid w:val="306814F8"/>
    <w:rsid w:val="3157337F"/>
    <w:rsid w:val="32C722DC"/>
    <w:rsid w:val="339461AC"/>
    <w:rsid w:val="37C4140A"/>
    <w:rsid w:val="3C131D5E"/>
    <w:rsid w:val="3CF93F15"/>
    <w:rsid w:val="3D9F37A9"/>
    <w:rsid w:val="3E222A01"/>
    <w:rsid w:val="3E8A6C2A"/>
    <w:rsid w:val="3EE86FC3"/>
    <w:rsid w:val="41D00C05"/>
    <w:rsid w:val="447659E0"/>
    <w:rsid w:val="44DD0888"/>
    <w:rsid w:val="46550474"/>
    <w:rsid w:val="47E51E85"/>
    <w:rsid w:val="484E6031"/>
    <w:rsid w:val="4B603035"/>
    <w:rsid w:val="4DAE305F"/>
    <w:rsid w:val="50C2318C"/>
    <w:rsid w:val="51CC0920"/>
    <w:rsid w:val="552F4050"/>
    <w:rsid w:val="553B58E4"/>
    <w:rsid w:val="59373B6B"/>
    <w:rsid w:val="5AD1170E"/>
    <w:rsid w:val="5C56150A"/>
    <w:rsid w:val="65732701"/>
    <w:rsid w:val="659D17B6"/>
    <w:rsid w:val="690A31E2"/>
    <w:rsid w:val="69AB2D6B"/>
    <w:rsid w:val="6A670F20"/>
    <w:rsid w:val="6B524693"/>
    <w:rsid w:val="6B8922FC"/>
    <w:rsid w:val="6B8D0D02"/>
    <w:rsid w:val="6BF36128"/>
    <w:rsid w:val="6EDD48F2"/>
    <w:rsid w:val="70045FA1"/>
    <w:rsid w:val="7058635C"/>
    <w:rsid w:val="74753C1E"/>
    <w:rsid w:val="7B9E7E5E"/>
    <w:rsid w:val="7C57180B"/>
    <w:rsid w:val="7D98349C"/>
    <w:rsid w:val="7E676FEC"/>
    <w:rsid w:val="7FBA7C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unhideWhenUsed/>
    <w:qFormat/>
    <w:uiPriority w:val="0"/>
    <w:pPr>
      <w:spacing w:line="540" w:lineRule="exact"/>
      <w:ind w:firstLine="525"/>
    </w:pPr>
    <w:rPr>
      <w:rFonts w:hint="default" w:ascii="仿宋_GB2312" w:eastAsia="仿宋_GB2312"/>
      <w:sz w:val="32"/>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unhideWhenUsed/>
    <w:qFormat/>
    <w:uiPriority w:val="99"/>
    <w:rPr>
      <w:rFonts w:hint="default"/>
      <w:sz w:val="24"/>
    </w:rPr>
  </w:style>
  <w:style w:type="character" w:customStyle="1" w:styleId="9">
    <w:name w:val="font11"/>
    <w:basedOn w:val="7"/>
    <w:qFormat/>
    <w:uiPriority w:val="0"/>
    <w:rPr>
      <w:rFonts w:hint="eastAsia" w:ascii="宋体" w:hAnsi="宋体" w:eastAsia="宋体" w:cs="宋体"/>
      <w:color w:val="000000"/>
      <w:sz w:val="21"/>
      <w:szCs w:val="21"/>
      <w:u w:val="none"/>
    </w:rPr>
  </w:style>
  <w:style w:type="character" w:customStyle="1" w:styleId="10">
    <w:name w:val="font21"/>
    <w:basedOn w:val="7"/>
    <w:qFormat/>
    <w:uiPriority w:val="0"/>
    <w:rPr>
      <w:rFonts w:hint="eastAsia" w:ascii="宋体" w:hAnsi="宋体" w:eastAsia="宋体" w:cs="宋体"/>
      <w:color w:val="000000"/>
      <w:sz w:val="21"/>
      <w:szCs w:val="21"/>
      <w:u w:val="none"/>
    </w:rPr>
  </w:style>
  <w:style w:type="character" w:customStyle="1" w:styleId="11">
    <w:name w:val="font01"/>
    <w:basedOn w:val="7"/>
    <w:qFormat/>
    <w:uiPriority w:val="0"/>
    <w:rPr>
      <w:rFonts w:hint="default" w:ascii="Times New Roman" w:hAnsi="Times New Roman" w:cs="Times New Roman"/>
      <w:color w:val="000000"/>
      <w:sz w:val="21"/>
      <w:szCs w:val="21"/>
      <w:u w:val="none"/>
    </w:rPr>
  </w:style>
  <w:style w:type="paragraph" w:customStyle="1" w:styleId="12">
    <w:name w:val="_Style 2"/>
    <w:basedOn w:val="1"/>
    <w:unhideWhenUsed/>
    <w:qFormat/>
    <w:uiPriority w:val="99"/>
    <w:pPr>
      <w:widowControl/>
      <w:jc w:val="left"/>
    </w:pPr>
  </w:style>
  <w:style w:type="paragraph" w:customStyle="1" w:styleId="13">
    <w:name w:val="p0"/>
    <w:basedOn w:val="1"/>
    <w:qFormat/>
    <w:uiPriority w:val="0"/>
    <w:pPr>
      <w:widowControl/>
    </w:pPr>
    <w:rPr>
      <w:rFonts w:hint="default" w:ascii="宋体" w:hAnsi="宋体" w:cs="宋体"/>
      <w:kern w:val="0"/>
      <w:szCs w:val="21"/>
    </w:rPr>
  </w:style>
  <w:style w:type="character" w:customStyle="1" w:styleId="14">
    <w:name w:val="正文文本缩进 Char"/>
    <w:basedOn w:val="7"/>
    <w:link w:val="2"/>
    <w:qFormat/>
    <w:uiPriority w:val="0"/>
    <w:rPr>
      <w:rFonts w:ascii="仿宋_GB2312" w:eastAsia="仿宋_GB2312"/>
      <w:kern w:val="2"/>
      <w:sz w:val="32"/>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ED1B9-7631-493E-B342-AD0A0E8300D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14</Pages>
  <Words>5711</Words>
  <Characters>6270</Characters>
  <Lines>45</Lines>
  <Paragraphs>12</Paragraphs>
  <TotalTime>11</TotalTime>
  <ScaleCrop>false</ScaleCrop>
  <LinksUpToDate>false</LinksUpToDate>
  <CharactersWithSpaces>6312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2023-05-15T08:57:00Z</dcterms:created>
  <dc:creator>lenovo</dc:creator>
  <cp:lastModifiedBy>初初</cp:lastModifiedBy>
  <cp:lastPrinted>2017-11-06T05:48:00Z</cp:lastPrinted>
  <dcterms:modified xsi:type="dcterms:W3CDTF">2023-09-11T02:08:20Z</dcterms:modified>
  <dc:title>沈阳市财政局部门决算</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00EE2E70C7F04DD0A1F52289CC0AB104</vt:lpwstr>
  </property>
</Properties>
</file>