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辽宁省沈阳市浑南区人民法院</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辽宁省沈阳市浑南区人民法院</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辽宁省沈阳市浑南区人民法院</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辽宁省沈阳市浑南区人民法院</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辽宁省沈阳市浑南区人民法院</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辽宁省沈阳市浑南区人民法院概况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（一）深入贯彻党的路线方针政策和决策部署，坚持党对法院工作的绝对领导，坚决维护党中央权威和集中统一领导，贯彻落实区委和上级法院工作部署和要求。</w:t>
        <w:br/>
        <w:t xml:space="preserve">    （二）依法审理本院管辖的第一审刑事、民事、行政等案件和上级人民法院指定审理的案件。</w:t>
        <w:br/>
        <w:t xml:space="preserve">    （三）依法按审判监督程序审理各类再审案件。</w:t>
        <w:br/>
        <w:t xml:space="preserve">    （四）办理本院为赔偿义务机关的国家赔偿案件。</w:t>
        <w:br/>
        <w:t xml:space="preserve">    （五）对案件审理中发现的问题提出司法建议。</w:t>
        <w:br/>
        <w:t xml:space="preserve">    （六）依法执行本院发生法律效力的裁判文书以及法律规定应当由本院执行的其他法律文书。</w:t>
        <w:br/>
        <w:t xml:space="preserve">    （七）负责本院思想政治、教育培训、新闻宣传、监察等工作，按照干部管理权限管理法官和其他人员。</w:t>
        <w:br/>
        <w:t xml:space="preserve">    （八）对人民调解委员会的调解工作进行业务指导。</w:t>
        <w:br/>
        <w:t xml:space="preserve">    （九）负责其他应当由本院承办的事项。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辽宁省沈阳市浑南区人民法院</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浑南区法院本级，本单位无下设机构。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6023.31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6023.31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6023.31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减少1089.37万元，降低15.32%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厉行节约，压缩支出经费，基本支出有所降低，相应财政拨款收入随之降低</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6023.31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3020.35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50.14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工资福利支出2683.49万元；商品和服务支出315.99万元；对个人和家庭的补助20.86万元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3002.96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49.86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主要包括办公费、劳务费、设备购置等业务支出。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减少1089.37万元，降低15.32%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厉行节约，压缩支出经费，相应的基本支出有所降低</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减少0.00万元，降低100.00%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今年未产生结转结余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6023.31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3020.35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3002.96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减少1089.30万元，降低15.32%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厉行节约，压缩支出经费，相应的财政拨款支出有所降低</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69.18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84.59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58.47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2024年度一般公共预算财政拨款支出6023.31万元。按支出功能分类科目分，包括：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2.00万元,主要是司法救助款等支出，完成年初预算的100%，决算数与年初预算数存在差异的主要原因是该项支出属突发性支出，未安排年初预算，后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2.公共安全支出5253.32万元，具体包括：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类）法院（款）行政运行（项）2262.36万元,主要是单位运行所需的人员工资、邮电费等支出，完成年初预算的84.34%，决算数与年初预算数存在差异的主要原因是厉行节约，压缩经费，相应的费用有所降低。</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类）法院（款）一般行政管理事务（项）2990.96万元,主要是信息化平台建设费、办公家具购置等支出，完成年初预算的58.35%，决算数与年初预算数存在差异的主要原因是部分项目年底未完成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3.教育支出10.00万元，具体包括：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10.00万元,主要是参加省、市法院组织的续职培训及专项培训等差旅费及培训费等支出，完成年初预算的100%，决算数与年初预算数存在差异的主要原因是按实际发生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4.社会保障和就业支出325.21万元，具体包括：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19.60万元,主要是行政单位离休人员离休费及退休费等支出，完成年初预算的100.87%，决算数与年初预算数存在差异的主要原因是有人员增多，实际发生额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256.14万元,主要是机关单位人员基本养老保险等支出，完成年初预算的91.01%，决算数与年初预算数存在差异的主要原因是有人员减少，实际发生额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49.47万元,主要是机关单位人员职业年金等支出，完成年初预算的100%，决算数与年初预算数存在差异的主要原因是2024年退休人员当年未完成补缴，按实际发生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5.卫生健康支出106.35万元，具体包括：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106.35万元,主要是行政单位职工基本医疗保险缴费等支出，完成年初预算的93.73%，决算数与年初预算数存在差异的主要原因是有人员变化，按实际发生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6.住房保障支出326.42万元，具体包括：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（1）住房保障支出（类）住房改革支出（款）住房公积金（项）326.42万元,主要是职工住房公积金等支出，完成年初预算的70.2%，决算数与年初预算数存在差异的主要原因是基数调整，按实际发生列支。</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47.92</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63.39</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厉行节约，公务用车运行维护费有所减少</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47.92</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47.92</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63.39</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厉行节约，公务用车运行维护费有所减少</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比上年减少29.84万元，降低38.37%</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厉行节约，公务用车运行维护费有所减少</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47.92</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主要用于车辆维修维护及燃油费等，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28</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3020.34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2704.35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315.99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315.99</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比上年增加62.46万元，增长24.64%</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邮电费及其他交通费用等支出有所增加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489.44</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489.44</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434.69</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88.81</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434.69</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100.00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88.81</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28</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28</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具体而言，本年度我部门共组织对24个项目实施了绩效评价。从预算资金来源看，涉及一般公共预算的项目24个，涉及政府性基金预算的项目0个，涉及国有资本经营预算的项目0个。</w:t>
        <w:br/>
        <w:t xml:space="preserve">    上述评价工作共涉及财政资金2985.32万元。其中，一般公共预算资金2985.32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3个；得分在60分（含）至80分、等级为“中”的项目有3；得分在60分以下、等级为“差”的项目有12个。各项目自评发现，部分项目存在执行率低问题，如：预算执行进度偏慢、个别效益指标未能完全达成等，已要求相关项目单位分析原因并制定改进措施。</w:t>
        <w:br/>
        <w:t xml:space="preserve">    3.部门重点评价情况及结果。</w:t>
        <w:br/>
        <w:t xml:space="preserve">    我部门未涉及部门重点评价。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16.一般公共服务支出（类）政府办公厅(室)及相关机构事务（款）信访事务（项）：反映各级政府用于接待群众来信来访方面的支出。</w:t>
        <w:br/>
        <w:t xml:space="preserve">    17.公共安全支出（类）法院（款）行政运行（项）：反映行政单位（包括实行公务员管理的事业单位）的基本支出。</w:t>
        <w:br/>
        <w:t xml:space="preserve">    18.公共安全支出（类）法院（款）一般行政管理事务（项）：反映行政单位（包括实行公务员管理的事业单位）未单独设置项级科目的其他项目支出。</w:t>
        <w:br/>
        <w:t xml:space="preserve">    19、教育支出（类）进修及培训（款）培训支出（项）：反映各部门安排的用于培训的支出。教育部门的师资培训、党校、行政学院等专业干部教育机构的支出，以及退役士兵、转业士官的培训支出，不在本科目反映。</w:t>
        <w:br/>
        <w:t xml:space="preserve">    20.社会保障和就业支出（类）行政事业单位养老支出（款）行政单位离退休（项）：反映行政单位（包括实行公务员管理的事业单位）开支的离退休经费。</w:t>
        <w:br/>
        <w:t xml:space="preserve">    21.社会保障和就业支出（类）行政事业单位养老支出（款）机关事业单位基本养老保险缴费支出（项）：反映机关事业单位实施养老保险制度由单位缴纳的基本养老保险费支出。</w:t>
        <w:br/>
        <w:t xml:space="preserve">    22.社会保障和就业支出（类）行政事业单位养老支出（款）机关事业单位职业年金缴费支出（项）：反映机关事业单位实施养老保险制度由单位实际缴纳的职业年金支出。</w:t>
        <w:br/>
        <w:t xml:space="preserve">    23.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br/>
        <w:t xml:space="preserve">    24.住房保障支出（类）住房改革支出（款）住房公积金（项）：反映行政事业单位按人力资源和社会保障部、财政部规定的基本工资和津贴补贴以及规定比例为职工缴纳的住房公积金。</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6,023.31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jc w:val="right"/>
            </w:pPr>
            <w:r>
              <w:rPr>
                <w:rFonts w:ascii="宋体" w:eastAsia="宋体" w:hAnsi="宋体" w:cs="宋体"/>
                <w:b w:val="0"/>
                <w:i w:val="0"/>
                <w:color w:val="000000"/>
                <w:sz w:val="16"/>
              </w:rPr>
              <w:t xml:space="preserve">5,253.32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10.00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325.22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106.35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326.42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6,023.31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6,023.31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6,023.31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6,023.31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6,023.31</w:t>
            </w:r>
          </w:p>
        </w:tc>
        <w:tc>
          <w:tcPr>
            <w:tcW w:w="960" w:type="dxa"/>
            <w:tcBorders/>
            <w:vAlign w:val="center"/>
          </w:tcPr>
          <w:p>
            <w:pPr>
              <w:jc w:val="right"/>
            </w:pPr>
            <w:r>
              <w:rPr>
                <w:rFonts w:ascii="宋体" w:eastAsia="宋体" w:hAnsi="宋体" w:cs="宋体"/>
                <w:b/>
                <w:i w:val="0"/>
                <w:color w:val="000000"/>
                <w:sz w:val="13"/>
              </w:rPr>
              <w:t xml:space="preserve">6,023.31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jc w:val="right"/>
            </w:pPr>
            <w:r>
              <w:rPr>
                <w:rFonts w:ascii="宋体" w:eastAsia="宋体" w:hAnsi="宋体" w:cs="宋体"/>
                <w:b w:val="0"/>
                <w:i w:val="0"/>
                <w:color w:val="000000"/>
                <w:sz w:val="13"/>
              </w:rPr>
              <w:t xml:space="preserve">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w:t>
            </w:r>
          </w:p>
        </w:tc>
        <w:tc>
          <w:tcPr>
            <w:tcW w:w="3200" w:type="dxa"/>
            <w:tcBorders/>
            <w:vAlign w:val="center"/>
          </w:tcPr>
          <w:p>
            <w:pPr>
              <w:jc w:val="left"/>
            </w:pPr>
            <w:r>
              <w:rPr>
                <w:rFonts w:ascii="宋体" w:eastAsia="宋体" w:hAnsi="宋体" w:cs="宋体"/>
                <w:b w:val="0"/>
                <w:i w:val="0"/>
                <w:color w:val="000000"/>
                <w:sz w:val="13"/>
              </w:rPr>
              <w:t xml:space="preserve">公共安全支出</w:t>
            </w:r>
          </w:p>
        </w:tc>
        <w:tc>
          <w:tcPr>
            <w:tcW w:w="960" w:type="dxa"/>
            <w:tcBorders/>
            <w:vAlign w:val="center"/>
          </w:tcPr>
          <w:p>
            <w:pPr>
              <w:jc w:val="right"/>
            </w:pPr>
            <w:r>
              <w:rPr>
                <w:rFonts w:ascii="宋体" w:eastAsia="宋体" w:hAnsi="宋体" w:cs="宋体"/>
                <w:b w:val="0"/>
                <w:i w:val="0"/>
                <w:color w:val="000000"/>
                <w:sz w:val="13"/>
              </w:rPr>
              <w:t xml:space="preserve">5,253.32</w:t>
            </w:r>
          </w:p>
        </w:tc>
        <w:tc>
          <w:tcPr>
            <w:tcW w:w="960" w:type="dxa"/>
            <w:tcBorders/>
            <w:vAlign w:val="center"/>
          </w:tcPr>
          <w:p>
            <w:pPr>
              <w:jc w:val="right"/>
            </w:pPr>
            <w:r>
              <w:rPr>
                <w:rFonts w:ascii="宋体" w:eastAsia="宋体" w:hAnsi="宋体" w:cs="宋体"/>
                <w:b w:val="0"/>
                <w:i w:val="0"/>
                <w:color w:val="000000"/>
                <w:sz w:val="13"/>
              </w:rPr>
              <w:t xml:space="preserve">5,253.32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w:t>
            </w:r>
          </w:p>
        </w:tc>
        <w:tc>
          <w:tcPr>
            <w:tcW w:w="3200" w:type="dxa"/>
            <w:tcBorders/>
            <w:vAlign w:val="center"/>
          </w:tcPr>
          <w:p>
            <w:pPr>
              <w:jc w:val="left"/>
            </w:pPr>
            <w:r>
              <w:rPr>
                <w:rFonts w:ascii="宋体" w:eastAsia="宋体" w:hAnsi="宋体" w:cs="宋体"/>
                <w:b w:val="0"/>
                <w:i w:val="0"/>
                <w:color w:val="000000"/>
                <w:sz w:val="13"/>
              </w:rPr>
              <w:t xml:space="preserve">法院</w:t>
            </w:r>
          </w:p>
        </w:tc>
        <w:tc>
          <w:tcPr>
            <w:tcW w:w="960" w:type="dxa"/>
            <w:tcBorders/>
            <w:vAlign w:val="center"/>
          </w:tcPr>
          <w:p>
            <w:pPr>
              <w:jc w:val="right"/>
            </w:pPr>
            <w:r>
              <w:rPr>
                <w:rFonts w:ascii="宋体" w:eastAsia="宋体" w:hAnsi="宋体" w:cs="宋体"/>
                <w:b w:val="0"/>
                <w:i w:val="0"/>
                <w:color w:val="000000"/>
                <w:sz w:val="13"/>
              </w:rPr>
              <w:t xml:space="preserve">5,253.32</w:t>
            </w:r>
          </w:p>
        </w:tc>
        <w:tc>
          <w:tcPr>
            <w:tcW w:w="960" w:type="dxa"/>
            <w:tcBorders/>
            <w:vAlign w:val="center"/>
          </w:tcPr>
          <w:p>
            <w:pPr>
              <w:jc w:val="right"/>
            </w:pPr>
            <w:r>
              <w:rPr>
                <w:rFonts w:ascii="宋体" w:eastAsia="宋体" w:hAnsi="宋体" w:cs="宋体"/>
                <w:b w:val="0"/>
                <w:i w:val="0"/>
                <w:color w:val="000000"/>
                <w:sz w:val="13"/>
              </w:rPr>
              <w:t xml:space="preserve">5,253.32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2,262.36</w:t>
            </w:r>
          </w:p>
        </w:tc>
        <w:tc>
          <w:tcPr>
            <w:tcW w:w="960" w:type="dxa"/>
            <w:tcBorders/>
            <w:vAlign w:val="center"/>
          </w:tcPr>
          <w:p>
            <w:pPr>
              <w:jc w:val="right"/>
            </w:pPr>
            <w:r>
              <w:rPr>
                <w:rFonts w:ascii="宋体" w:eastAsia="宋体" w:hAnsi="宋体" w:cs="宋体"/>
                <w:b w:val="0"/>
                <w:i w:val="0"/>
                <w:color w:val="000000"/>
                <w:sz w:val="13"/>
              </w:rPr>
              <w:t xml:space="preserve">2,262.36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2,990.96</w:t>
            </w:r>
          </w:p>
        </w:tc>
        <w:tc>
          <w:tcPr>
            <w:tcW w:w="960" w:type="dxa"/>
            <w:tcBorders/>
            <w:vAlign w:val="center"/>
          </w:tcPr>
          <w:p>
            <w:pPr>
              <w:jc w:val="right"/>
            </w:pPr>
            <w:r>
              <w:rPr>
                <w:rFonts w:ascii="宋体" w:eastAsia="宋体" w:hAnsi="宋体" w:cs="宋体"/>
                <w:b w:val="0"/>
                <w:i w:val="0"/>
                <w:color w:val="000000"/>
                <w:sz w:val="13"/>
              </w:rPr>
              <w:t xml:space="preserve">2,990.96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325.21</w:t>
            </w:r>
          </w:p>
        </w:tc>
        <w:tc>
          <w:tcPr>
            <w:tcW w:w="960" w:type="dxa"/>
            <w:tcBorders/>
            <w:vAlign w:val="center"/>
          </w:tcPr>
          <w:p>
            <w:pPr>
              <w:jc w:val="right"/>
            </w:pPr>
            <w:r>
              <w:rPr>
                <w:rFonts w:ascii="宋体" w:eastAsia="宋体" w:hAnsi="宋体" w:cs="宋体"/>
                <w:b w:val="0"/>
                <w:i w:val="0"/>
                <w:color w:val="000000"/>
                <w:sz w:val="13"/>
              </w:rPr>
              <w:t xml:space="preserve">325.21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325.21</w:t>
            </w:r>
          </w:p>
        </w:tc>
        <w:tc>
          <w:tcPr>
            <w:tcW w:w="960" w:type="dxa"/>
            <w:tcBorders/>
            <w:vAlign w:val="center"/>
          </w:tcPr>
          <w:p>
            <w:pPr>
              <w:jc w:val="right"/>
            </w:pPr>
            <w:r>
              <w:rPr>
                <w:rFonts w:ascii="宋体" w:eastAsia="宋体" w:hAnsi="宋体" w:cs="宋体"/>
                <w:b w:val="0"/>
                <w:i w:val="0"/>
                <w:color w:val="000000"/>
                <w:sz w:val="13"/>
              </w:rPr>
              <w:t xml:space="preserve">325.21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19.60</w:t>
            </w:r>
          </w:p>
        </w:tc>
        <w:tc>
          <w:tcPr>
            <w:tcW w:w="960" w:type="dxa"/>
            <w:tcBorders/>
            <w:vAlign w:val="center"/>
          </w:tcPr>
          <w:p>
            <w:pPr>
              <w:jc w:val="right"/>
            </w:pPr>
            <w:r>
              <w:rPr>
                <w:rFonts w:ascii="宋体" w:eastAsia="宋体" w:hAnsi="宋体" w:cs="宋体"/>
                <w:b w:val="0"/>
                <w:i w:val="0"/>
                <w:color w:val="000000"/>
                <w:sz w:val="13"/>
              </w:rPr>
              <w:t xml:space="preserve">19.60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256.14</w:t>
            </w:r>
          </w:p>
        </w:tc>
        <w:tc>
          <w:tcPr>
            <w:tcW w:w="960" w:type="dxa"/>
            <w:tcBorders/>
            <w:vAlign w:val="center"/>
          </w:tcPr>
          <w:p>
            <w:pPr>
              <w:jc w:val="right"/>
            </w:pPr>
            <w:r>
              <w:rPr>
                <w:rFonts w:ascii="宋体" w:eastAsia="宋体" w:hAnsi="宋体" w:cs="宋体"/>
                <w:b w:val="0"/>
                <w:i w:val="0"/>
                <w:color w:val="000000"/>
                <w:sz w:val="13"/>
              </w:rPr>
              <w:t xml:space="preserve">256.14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49.47</w:t>
            </w:r>
          </w:p>
        </w:tc>
        <w:tc>
          <w:tcPr>
            <w:tcW w:w="960" w:type="dxa"/>
            <w:tcBorders/>
            <w:vAlign w:val="center"/>
          </w:tcPr>
          <w:p>
            <w:pPr>
              <w:jc w:val="right"/>
            </w:pPr>
            <w:r>
              <w:rPr>
                <w:rFonts w:ascii="宋体" w:eastAsia="宋体" w:hAnsi="宋体" w:cs="宋体"/>
                <w:b w:val="0"/>
                <w:i w:val="0"/>
                <w:color w:val="000000"/>
                <w:sz w:val="13"/>
              </w:rPr>
              <w:t xml:space="preserve">49.47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106.35</w:t>
            </w:r>
          </w:p>
        </w:tc>
        <w:tc>
          <w:tcPr>
            <w:tcW w:w="960" w:type="dxa"/>
            <w:tcBorders/>
            <w:vAlign w:val="center"/>
          </w:tcPr>
          <w:p>
            <w:pPr>
              <w:jc w:val="right"/>
            </w:pPr>
            <w:r>
              <w:rPr>
                <w:rFonts w:ascii="宋体" w:eastAsia="宋体" w:hAnsi="宋体" w:cs="宋体"/>
                <w:b w:val="0"/>
                <w:i w:val="0"/>
                <w:color w:val="000000"/>
                <w:sz w:val="13"/>
              </w:rPr>
              <w:t xml:space="preserve">106.35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106.35</w:t>
            </w:r>
          </w:p>
        </w:tc>
        <w:tc>
          <w:tcPr>
            <w:tcW w:w="960" w:type="dxa"/>
            <w:tcBorders/>
            <w:vAlign w:val="center"/>
          </w:tcPr>
          <w:p>
            <w:pPr>
              <w:jc w:val="right"/>
            </w:pPr>
            <w:r>
              <w:rPr>
                <w:rFonts w:ascii="宋体" w:eastAsia="宋体" w:hAnsi="宋体" w:cs="宋体"/>
                <w:b w:val="0"/>
                <w:i w:val="0"/>
                <w:color w:val="000000"/>
                <w:sz w:val="13"/>
              </w:rPr>
              <w:t xml:space="preserve">106.35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106.35</w:t>
            </w:r>
          </w:p>
        </w:tc>
        <w:tc>
          <w:tcPr>
            <w:tcW w:w="960" w:type="dxa"/>
            <w:tcBorders/>
            <w:vAlign w:val="center"/>
          </w:tcPr>
          <w:p>
            <w:pPr>
              <w:jc w:val="right"/>
            </w:pPr>
            <w:r>
              <w:rPr>
                <w:rFonts w:ascii="宋体" w:eastAsia="宋体" w:hAnsi="宋体" w:cs="宋体"/>
                <w:b w:val="0"/>
                <w:i w:val="0"/>
                <w:color w:val="000000"/>
                <w:sz w:val="13"/>
              </w:rPr>
              <w:t xml:space="preserve">106.35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326.42</w:t>
            </w:r>
          </w:p>
        </w:tc>
        <w:tc>
          <w:tcPr>
            <w:tcW w:w="960" w:type="dxa"/>
            <w:tcBorders/>
            <w:vAlign w:val="center"/>
          </w:tcPr>
          <w:p>
            <w:pPr>
              <w:jc w:val="right"/>
            </w:pPr>
            <w:r>
              <w:rPr>
                <w:rFonts w:ascii="宋体" w:eastAsia="宋体" w:hAnsi="宋体" w:cs="宋体"/>
                <w:b w:val="0"/>
                <w:i w:val="0"/>
                <w:color w:val="000000"/>
                <w:sz w:val="13"/>
              </w:rPr>
              <w:t xml:space="preserve">326.42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326.42</w:t>
            </w:r>
          </w:p>
        </w:tc>
        <w:tc>
          <w:tcPr>
            <w:tcW w:w="960" w:type="dxa"/>
            <w:tcBorders/>
            <w:vAlign w:val="center"/>
          </w:tcPr>
          <w:p>
            <w:pPr>
              <w:jc w:val="right"/>
            </w:pPr>
            <w:r>
              <w:rPr>
                <w:rFonts w:ascii="宋体" w:eastAsia="宋体" w:hAnsi="宋体" w:cs="宋体"/>
                <w:b w:val="0"/>
                <w:i w:val="0"/>
                <w:color w:val="000000"/>
                <w:sz w:val="13"/>
              </w:rPr>
              <w:t xml:space="preserve">326.42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326.42</w:t>
            </w:r>
          </w:p>
        </w:tc>
        <w:tc>
          <w:tcPr>
            <w:tcW w:w="960" w:type="dxa"/>
            <w:tcBorders/>
            <w:vAlign w:val="center"/>
          </w:tcPr>
          <w:p>
            <w:pPr>
              <w:jc w:val="right"/>
            </w:pPr>
            <w:r>
              <w:rPr>
                <w:rFonts w:ascii="宋体" w:eastAsia="宋体" w:hAnsi="宋体" w:cs="宋体"/>
                <w:b w:val="0"/>
                <w:i w:val="0"/>
                <w:color w:val="000000"/>
                <w:sz w:val="13"/>
              </w:rPr>
              <w:t xml:space="preserve">326.42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6,023.31</w:t>
            </w:r>
          </w:p>
        </w:tc>
        <w:tc>
          <w:tcPr>
            <w:tcW w:w="1060" w:type="dxa"/>
            <w:tcBorders/>
            <w:vAlign w:val="center"/>
          </w:tcPr>
          <w:p>
            <w:pPr>
              <w:jc w:val="right"/>
            </w:pPr>
            <w:r>
              <w:rPr>
                <w:rFonts w:ascii="宋体" w:eastAsia="宋体" w:hAnsi="宋体" w:cs="宋体"/>
                <w:b/>
                <w:i w:val="0"/>
                <w:color w:val="000000"/>
                <w:sz w:val="14"/>
              </w:rPr>
              <w:t xml:space="preserve">3,020.35</w:t>
            </w:r>
          </w:p>
        </w:tc>
        <w:tc>
          <w:tcPr>
            <w:tcW w:w="1060" w:type="dxa"/>
            <w:tcBorders/>
            <w:vAlign w:val="center"/>
          </w:tcPr>
          <w:p>
            <w:pPr>
              <w:jc w:val="right"/>
            </w:pPr>
            <w:r>
              <w:rPr>
                <w:rFonts w:ascii="宋体" w:eastAsia="宋体" w:hAnsi="宋体" w:cs="宋体"/>
                <w:b/>
                <w:i w:val="0"/>
                <w:color w:val="000000"/>
                <w:sz w:val="14"/>
              </w:rPr>
              <w:t xml:space="preserve">3,002.96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w:t>
            </w:r>
          </w:p>
        </w:tc>
        <w:tc>
          <w:tcPr>
            <w:tcW w:w="3440" w:type="dxa"/>
            <w:tcBorders/>
            <w:vAlign w:val="center"/>
          </w:tcPr>
          <w:p>
            <w:pPr>
              <w:jc w:val="left"/>
            </w:pPr>
            <w:r>
              <w:rPr>
                <w:rFonts w:ascii="宋体" w:eastAsia="宋体" w:hAnsi="宋体" w:cs="宋体"/>
                <w:b w:val="0"/>
                <w:i w:val="0"/>
                <w:color w:val="000000"/>
                <w:sz w:val="14"/>
              </w:rPr>
              <w:t xml:space="preserve">公共安全支出</w:t>
            </w:r>
          </w:p>
        </w:tc>
        <w:tc>
          <w:tcPr>
            <w:tcW w:w="1060" w:type="dxa"/>
            <w:tcBorders/>
            <w:vAlign w:val="center"/>
          </w:tcPr>
          <w:p>
            <w:pPr>
              <w:jc w:val="right"/>
            </w:pPr>
            <w:r>
              <w:rPr>
                <w:rFonts w:ascii="宋体" w:eastAsia="宋体" w:hAnsi="宋体" w:cs="宋体"/>
                <w:b w:val="0"/>
                <w:i w:val="0"/>
                <w:color w:val="000000"/>
                <w:sz w:val="14"/>
              </w:rPr>
              <w:t xml:space="preserve">5,253.32</w:t>
            </w:r>
          </w:p>
        </w:tc>
        <w:tc>
          <w:tcPr>
            <w:tcW w:w="1060" w:type="dxa"/>
            <w:tcBorders/>
            <w:vAlign w:val="center"/>
          </w:tcPr>
          <w:p>
            <w:pPr>
              <w:jc w:val="right"/>
            </w:pPr>
            <w:r>
              <w:rPr>
                <w:rFonts w:ascii="宋体" w:eastAsia="宋体" w:hAnsi="宋体" w:cs="宋体"/>
                <w:b w:val="0"/>
                <w:i w:val="0"/>
                <w:color w:val="000000"/>
                <w:sz w:val="14"/>
              </w:rPr>
              <w:t xml:space="preserve">2,262.36</w:t>
            </w:r>
          </w:p>
        </w:tc>
        <w:tc>
          <w:tcPr>
            <w:tcW w:w="1060" w:type="dxa"/>
            <w:tcBorders/>
            <w:vAlign w:val="center"/>
          </w:tcPr>
          <w:p>
            <w:pPr>
              <w:jc w:val="right"/>
            </w:pPr>
            <w:r>
              <w:rPr>
                <w:rFonts w:ascii="宋体" w:eastAsia="宋体" w:hAnsi="宋体" w:cs="宋体"/>
                <w:b w:val="0"/>
                <w:i w:val="0"/>
                <w:color w:val="000000"/>
                <w:sz w:val="14"/>
              </w:rPr>
              <w:t xml:space="preserve">2,990.96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w:t>
            </w:r>
          </w:p>
        </w:tc>
        <w:tc>
          <w:tcPr>
            <w:tcW w:w="3440" w:type="dxa"/>
            <w:tcBorders/>
            <w:vAlign w:val="center"/>
          </w:tcPr>
          <w:p>
            <w:pPr>
              <w:jc w:val="left"/>
            </w:pPr>
            <w:r>
              <w:rPr>
                <w:rFonts w:ascii="宋体" w:eastAsia="宋体" w:hAnsi="宋体" w:cs="宋体"/>
                <w:b w:val="0"/>
                <w:i w:val="0"/>
                <w:color w:val="000000"/>
                <w:sz w:val="14"/>
              </w:rPr>
              <w:t xml:space="preserve">法院</w:t>
            </w:r>
          </w:p>
        </w:tc>
        <w:tc>
          <w:tcPr>
            <w:tcW w:w="1060" w:type="dxa"/>
            <w:tcBorders/>
            <w:vAlign w:val="center"/>
          </w:tcPr>
          <w:p>
            <w:pPr>
              <w:jc w:val="right"/>
            </w:pPr>
            <w:r>
              <w:rPr>
                <w:rFonts w:ascii="宋体" w:eastAsia="宋体" w:hAnsi="宋体" w:cs="宋体"/>
                <w:b w:val="0"/>
                <w:i w:val="0"/>
                <w:color w:val="000000"/>
                <w:sz w:val="14"/>
              </w:rPr>
              <w:t xml:space="preserve">5,253.32</w:t>
            </w:r>
          </w:p>
        </w:tc>
        <w:tc>
          <w:tcPr>
            <w:tcW w:w="1060" w:type="dxa"/>
            <w:tcBorders/>
            <w:vAlign w:val="center"/>
          </w:tcPr>
          <w:p>
            <w:pPr>
              <w:jc w:val="right"/>
            </w:pPr>
            <w:r>
              <w:rPr>
                <w:rFonts w:ascii="宋体" w:eastAsia="宋体" w:hAnsi="宋体" w:cs="宋体"/>
                <w:b w:val="0"/>
                <w:i w:val="0"/>
                <w:color w:val="000000"/>
                <w:sz w:val="14"/>
              </w:rPr>
              <w:t xml:space="preserve">2,262.36</w:t>
            </w:r>
          </w:p>
        </w:tc>
        <w:tc>
          <w:tcPr>
            <w:tcW w:w="1060" w:type="dxa"/>
            <w:tcBorders/>
            <w:vAlign w:val="center"/>
          </w:tcPr>
          <w:p>
            <w:pPr>
              <w:jc w:val="right"/>
            </w:pPr>
            <w:r>
              <w:rPr>
                <w:rFonts w:ascii="宋体" w:eastAsia="宋体" w:hAnsi="宋体" w:cs="宋体"/>
                <w:b w:val="0"/>
                <w:i w:val="0"/>
                <w:color w:val="000000"/>
                <w:sz w:val="14"/>
              </w:rPr>
              <w:t xml:space="preserve">2,990.96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2,262.36</w:t>
            </w:r>
          </w:p>
        </w:tc>
        <w:tc>
          <w:tcPr>
            <w:tcW w:w="1060" w:type="dxa"/>
            <w:tcBorders/>
            <w:vAlign w:val="center"/>
          </w:tcPr>
          <w:p>
            <w:pPr>
              <w:jc w:val="right"/>
            </w:pPr>
            <w:r>
              <w:rPr>
                <w:rFonts w:ascii="宋体" w:eastAsia="宋体" w:hAnsi="宋体" w:cs="宋体"/>
                <w:b w:val="0"/>
                <w:i w:val="0"/>
                <w:color w:val="000000"/>
                <w:sz w:val="14"/>
              </w:rPr>
              <w:t xml:space="preserve">2,262.36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2,990.96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2,990.96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325.21</w:t>
            </w:r>
          </w:p>
        </w:tc>
        <w:tc>
          <w:tcPr>
            <w:tcW w:w="1060" w:type="dxa"/>
            <w:tcBorders/>
            <w:vAlign w:val="center"/>
          </w:tcPr>
          <w:p>
            <w:pPr>
              <w:jc w:val="right"/>
            </w:pPr>
            <w:r>
              <w:rPr>
                <w:rFonts w:ascii="宋体" w:eastAsia="宋体" w:hAnsi="宋体" w:cs="宋体"/>
                <w:b w:val="0"/>
                <w:i w:val="0"/>
                <w:color w:val="000000"/>
                <w:sz w:val="14"/>
              </w:rPr>
              <w:t xml:space="preserve">325.21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325.21</w:t>
            </w:r>
          </w:p>
        </w:tc>
        <w:tc>
          <w:tcPr>
            <w:tcW w:w="1060" w:type="dxa"/>
            <w:tcBorders/>
            <w:vAlign w:val="center"/>
          </w:tcPr>
          <w:p>
            <w:pPr>
              <w:jc w:val="right"/>
            </w:pPr>
            <w:r>
              <w:rPr>
                <w:rFonts w:ascii="宋体" w:eastAsia="宋体" w:hAnsi="宋体" w:cs="宋体"/>
                <w:b w:val="0"/>
                <w:i w:val="0"/>
                <w:color w:val="000000"/>
                <w:sz w:val="14"/>
              </w:rPr>
              <w:t xml:space="preserve">325.21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19.60</w:t>
            </w:r>
          </w:p>
        </w:tc>
        <w:tc>
          <w:tcPr>
            <w:tcW w:w="1060" w:type="dxa"/>
            <w:tcBorders/>
            <w:vAlign w:val="center"/>
          </w:tcPr>
          <w:p>
            <w:pPr>
              <w:jc w:val="right"/>
            </w:pPr>
            <w:r>
              <w:rPr>
                <w:rFonts w:ascii="宋体" w:eastAsia="宋体" w:hAnsi="宋体" w:cs="宋体"/>
                <w:b w:val="0"/>
                <w:i w:val="0"/>
                <w:color w:val="000000"/>
                <w:sz w:val="14"/>
              </w:rPr>
              <w:t xml:space="preserve">19.60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256.14</w:t>
            </w:r>
          </w:p>
        </w:tc>
        <w:tc>
          <w:tcPr>
            <w:tcW w:w="1060" w:type="dxa"/>
            <w:tcBorders/>
            <w:vAlign w:val="center"/>
          </w:tcPr>
          <w:p>
            <w:pPr>
              <w:jc w:val="right"/>
            </w:pPr>
            <w:r>
              <w:rPr>
                <w:rFonts w:ascii="宋体" w:eastAsia="宋体" w:hAnsi="宋体" w:cs="宋体"/>
                <w:b w:val="0"/>
                <w:i w:val="0"/>
                <w:color w:val="000000"/>
                <w:sz w:val="14"/>
              </w:rPr>
              <w:t xml:space="preserve">256.14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49.47</w:t>
            </w:r>
          </w:p>
        </w:tc>
        <w:tc>
          <w:tcPr>
            <w:tcW w:w="1060" w:type="dxa"/>
            <w:tcBorders/>
            <w:vAlign w:val="center"/>
          </w:tcPr>
          <w:p>
            <w:pPr>
              <w:jc w:val="right"/>
            </w:pPr>
            <w:r>
              <w:rPr>
                <w:rFonts w:ascii="宋体" w:eastAsia="宋体" w:hAnsi="宋体" w:cs="宋体"/>
                <w:b w:val="0"/>
                <w:i w:val="0"/>
                <w:color w:val="000000"/>
                <w:sz w:val="14"/>
              </w:rPr>
              <w:t xml:space="preserve">49.47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106.35</w:t>
            </w:r>
          </w:p>
        </w:tc>
        <w:tc>
          <w:tcPr>
            <w:tcW w:w="1060" w:type="dxa"/>
            <w:tcBorders/>
            <w:vAlign w:val="center"/>
          </w:tcPr>
          <w:p>
            <w:pPr>
              <w:jc w:val="right"/>
            </w:pPr>
            <w:r>
              <w:rPr>
                <w:rFonts w:ascii="宋体" w:eastAsia="宋体" w:hAnsi="宋体" w:cs="宋体"/>
                <w:b w:val="0"/>
                <w:i w:val="0"/>
                <w:color w:val="000000"/>
                <w:sz w:val="14"/>
              </w:rPr>
              <w:t xml:space="preserve">106.35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106.35</w:t>
            </w:r>
          </w:p>
        </w:tc>
        <w:tc>
          <w:tcPr>
            <w:tcW w:w="1060" w:type="dxa"/>
            <w:tcBorders/>
            <w:vAlign w:val="center"/>
          </w:tcPr>
          <w:p>
            <w:pPr>
              <w:jc w:val="right"/>
            </w:pPr>
            <w:r>
              <w:rPr>
                <w:rFonts w:ascii="宋体" w:eastAsia="宋体" w:hAnsi="宋体" w:cs="宋体"/>
                <w:b w:val="0"/>
                <w:i w:val="0"/>
                <w:color w:val="000000"/>
                <w:sz w:val="14"/>
              </w:rPr>
              <w:t xml:space="preserve">106.35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106.35</w:t>
            </w:r>
          </w:p>
        </w:tc>
        <w:tc>
          <w:tcPr>
            <w:tcW w:w="1060" w:type="dxa"/>
            <w:tcBorders/>
            <w:vAlign w:val="center"/>
          </w:tcPr>
          <w:p>
            <w:pPr>
              <w:jc w:val="right"/>
            </w:pPr>
            <w:r>
              <w:rPr>
                <w:rFonts w:ascii="宋体" w:eastAsia="宋体" w:hAnsi="宋体" w:cs="宋体"/>
                <w:b w:val="0"/>
                <w:i w:val="0"/>
                <w:color w:val="000000"/>
                <w:sz w:val="14"/>
              </w:rPr>
              <w:t xml:space="preserve">106.35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326.42</w:t>
            </w:r>
          </w:p>
        </w:tc>
        <w:tc>
          <w:tcPr>
            <w:tcW w:w="1060" w:type="dxa"/>
            <w:tcBorders/>
            <w:vAlign w:val="center"/>
          </w:tcPr>
          <w:p>
            <w:pPr>
              <w:jc w:val="right"/>
            </w:pPr>
            <w:r>
              <w:rPr>
                <w:rFonts w:ascii="宋体" w:eastAsia="宋体" w:hAnsi="宋体" w:cs="宋体"/>
                <w:b w:val="0"/>
                <w:i w:val="0"/>
                <w:color w:val="000000"/>
                <w:sz w:val="14"/>
              </w:rPr>
              <w:t xml:space="preserve">326.42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326.42</w:t>
            </w:r>
          </w:p>
        </w:tc>
        <w:tc>
          <w:tcPr>
            <w:tcW w:w="1060" w:type="dxa"/>
            <w:tcBorders/>
            <w:vAlign w:val="center"/>
          </w:tcPr>
          <w:p>
            <w:pPr>
              <w:jc w:val="right"/>
            </w:pPr>
            <w:r>
              <w:rPr>
                <w:rFonts w:ascii="宋体" w:eastAsia="宋体" w:hAnsi="宋体" w:cs="宋体"/>
                <w:b w:val="0"/>
                <w:i w:val="0"/>
                <w:color w:val="000000"/>
                <w:sz w:val="14"/>
              </w:rPr>
              <w:t xml:space="preserve">326.42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326.42</w:t>
            </w:r>
          </w:p>
        </w:tc>
        <w:tc>
          <w:tcPr>
            <w:tcW w:w="1060" w:type="dxa"/>
            <w:tcBorders/>
            <w:vAlign w:val="center"/>
          </w:tcPr>
          <w:p>
            <w:pPr>
              <w:jc w:val="right"/>
            </w:pPr>
            <w:r>
              <w:rPr>
                <w:rFonts w:ascii="宋体" w:eastAsia="宋体" w:hAnsi="宋体" w:cs="宋体"/>
                <w:b w:val="0"/>
                <w:i w:val="0"/>
                <w:color w:val="000000"/>
                <w:sz w:val="14"/>
              </w:rPr>
              <w:t xml:space="preserve">326.42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6,023.31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2.00</w:t>
            </w:r>
          </w:p>
        </w:tc>
        <w:tc>
          <w:tcPr>
            <w:tcW w:w="1100" w:type="dxa"/>
            <w:tcBorders/>
            <w:vAlign w:val="center"/>
          </w:tcPr>
          <w:p>
            <w:pPr>
              <w:jc w:val="right"/>
            </w:pPr>
            <w:r>
              <w:rPr>
                <w:rFonts w:ascii="宋体" w:eastAsia="宋体" w:hAnsi="宋体" w:cs="宋体"/>
                <w:b w:val="0"/>
                <w:i w:val="0"/>
                <w:color w:val="000000"/>
                <w:sz w:val="14"/>
              </w:rPr>
              <w:t xml:space="preserve">2.00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jc w:val="right"/>
            </w:pPr>
            <w:r>
              <w:rPr>
                <w:rFonts w:ascii="宋体" w:eastAsia="宋体" w:hAnsi="宋体" w:cs="宋体"/>
                <w:b w:val="0"/>
                <w:i w:val="0"/>
                <w:color w:val="000000"/>
                <w:sz w:val="14"/>
              </w:rPr>
              <w:t xml:space="preserve">5,253.32</w:t>
            </w:r>
          </w:p>
        </w:tc>
        <w:tc>
          <w:tcPr>
            <w:tcW w:w="1100" w:type="dxa"/>
            <w:tcBorders/>
            <w:vAlign w:val="center"/>
          </w:tcPr>
          <w:p>
            <w:pPr>
              <w:jc w:val="right"/>
            </w:pPr>
            <w:r>
              <w:rPr>
                <w:rFonts w:ascii="宋体" w:eastAsia="宋体" w:hAnsi="宋体" w:cs="宋体"/>
                <w:b w:val="0"/>
                <w:i w:val="0"/>
                <w:color w:val="000000"/>
                <w:sz w:val="14"/>
              </w:rPr>
              <w:t xml:space="preserve">5,253.32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10.00</w:t>
            </w:r>
          </w:p>
        </w:tc>
        <w:tc>
          <w:tcPr>
            <w:tcW w:w="1100" w:type="dxa"/>
            <w:tcBorders/>
            <w:vAlign w:val="center"/>
          </w:tcPr>
          <w:p>
            <w:pPr>
              <w:jc w:val="right"/>
            </w:pPr>
            <w:r>
              <w:rPr>
                <w:rFonts w:ascii="宋体" w:eastAsia="宋体" w:hAnsi="宋体" w:cs="宋体"/>
                <w:b w:val="0"/>
                <w:i w:val="0"/>
                <w:color w:val="000000"/>
                <w:sz w:val="14"/>
              </w:rPr>
              <w:t xml:space="preserve">10.00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325.22</w:t>
            </w:r>
          </w:p>
        </w:tc>
        <w:tc>
          <w:tcPr>
            <w:tcW w:w="1100" w:type="dxa"/>
            <w:tcBorders/>
            <w:vAlign w:val="center"/>
          </w:tcPr>
          <w:p>
            <w:pPr>
              <w:jc w:val="right"/>
            </w:pPr>
            <w:r>
              <w:rPr>
                <w:rFonts w:ascii="宋体" w:eastAsia="宋体" w:hAnsi="宋体" w:cs="宋体"/>
                <w:b w:val="0"/>
                <w:i w:val="0"/>
                <w:color w:val="000000"/>
                <w:sz w:val="14"/>
              </w:rPr>
              <w:t xml:space="preserve">325.22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106.35</w:t>
            </w:r>
          </w:p>
        </w:tc>
        <w:tc>
          <w:tcPr>
            <w:tcW w:w="1100" w:type="dxa"/>
            <w:tcBorders/>
            <w:vAlign w:val="center"/>
          </w:tcPr>
          <w:p>
            <w:pPr>
              <w:jc w:val="right"/>
            </w:pPr>
            <w:r>
              <w:rPr>
                <w:rFonts w:ascii="宋体" w:eastAsia="宋体" w:hAnsi="宋体" w:cs="宋体"/>
                <w:b w:val="0"/>
                <w:i w:val="0"/>
                <w:color w:val="000000"/>
                <w:sz w:val="14"/>
              </w:rPr>
              <w:t xml:space="preserve">106.35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326.42</w:t>
            </w:r>
          </w:p>
        </w:tc>
        <w:tc>
          <w:tcPr>
            <w:tcW w:w="1100" w:type="dxa"/>
            <w:tcBorders/>
            <w:vAlign w:val="center"/>
          </w:tcPr>
          <w:p>
            <w:pPr>
              <w:jc w:val="right"/>
            </w:pPr>
            <w:r>
              <w:rPr>
                <w:rFonts w:ascii="宋体" w:eastAsia="宋体" w:hAnsi="宋体" w:cs="宋体"/>
                <w:b w:val="0"/>
                <w:i w:val="0"/>
                <w:color w:val="000000"/>
                <w:sz w:val="14"/>
              </w:rPr>
              <w:t xml:space="preserve">326.42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6,023.31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6,023.31</w:t>
            </w:r>
          </w:p>
        </w:tc>
        <w:tc>
          <w:tcPr>
            <w:tcW w:w="1100" w:type="dxa"/>
            <w:tcBorders/>
            <w:vAlign w:val="center"/>
          </w:tcPr>
          <w:p>
            <w:pPr>
              <w:jc w:val="right"/>
            </w:pPr>
            <w:r>
              <w:rPr>
                <w:rFonts w:ascii="宋体" w:eastAsia="宋体" w:hAnsi="宋体" w:cs="宋体"/>
                <w:b w:val="0"/>
                <w:i w:val="0"/>
                <w:color w:val="000000"/>
                <w:sz w:val="14"/>
              </w:rPr>
              <w:t xml:space="preserve">6,023.31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6,023.31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6,023.31</w:t>
            </w:r>
          </w:p>
        </w:tc>
        <w:tc>
          <w:tcPr>
            <w:tcW w:w="1100" w:type="dxa"/>
            <w:tcBorders/>
            <w:vAlign w:val="center"/>
          </w:tcPr>
          <w:p>
            <w:pPr>
              <w:jc w:val="right"/>
            </w:pPr>
            <w:r>
              <w:rPr>
                <w:rFonts w:ascii="宋体" w:eastAsia="宋体" w:hAnsi="宋体" w:cs="宋体"/>
                <w:b w:val="0"/>
                <w:i w:val="0"/>
                <w:color w:val="000000"/>
                <w:sz w:val="14"/>
              </w:rPr>
              <w:t xml:space="preserve">6,023.31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6,023.31</w:t>
            </w:r>
          </w:p>
        </w:tc>
        <w:tc>
          <w:tcPr>
            <w:tcW w:w="1780" w:type="dxa"/>
            <w:tcBorders/>
            <w:vAlign w:val="center"/>
          </w:tcPr>
          <w:p>
            <w:pPr>
              <w:jc w:val="right"/>
            </w:pPr>
            <w:r>
              <w:rPr>
                <w:rFonts w:ascii="宋体" w:eastAsia="宋体" w:hAnsi="宋体" w:cs="宋体"/>
                <w:b/>
                <w:i w:val="0"/>
                <w:color w:val="000000"/>
                <w:sz w:val="18"/>
              </w:rPr>
              <w:t xml:space="preserve">3,020.35</w:t>
            </w:r>
          </w:p>
        </w:tc>
        <w:tc>
          <w:tcPr>
            <w:tcW w:w="1772" w:type="dxa"/>
            <w:tcBorders/>
            <w:vAlign w:val="center"/>
          </w:tcPr>
          <w:p>
            <w:pPr>
              <w:jc w:val="right"/>
            </w:pPr>
            <w:r>
              <w:rPr>
                <w:rFonts w:ascii="宋体" w:eastAsia="宋体" w:hAnsi="宋体" w:cs="宋体"/>
                <w:b/>
                <w:i w:val="0"/>
                <w:color w:val="000000"/>
                <w:sz w:val="18"/>
              </w:rPr>
              <w:t xml:space="preserve">3,002.96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w:t>
            </w:r>
          </w:p>
        </w:tc>
        <w:tc>
          <w:tcPr>
            <w:tcW w:w="4300" w:type="dxa"/>
            <w:tcBorders/>
            <w:vAlign w:val="center"/>
          </w:tcPr>
          <w:p>
            <w:pPr>
              <w:jc w:val="left"/>
            </w:pPr>
            <w:r>
              <w:rPr>
                <w:rFonts w:ascii="宋体" w:eastAsia="宋体" w:hAnsi="宋体" w:cs="宋体"/>
                <w:b w:val="0"/>
                <w:i w:val="0"/>
                <w:color w:val="000000"/>
                <w:sz w:val="18"/>
              </w:rPr>
              <w:t xml:space="preserve">公共安全支出</w:t>
            </w:r>
          </w:p>
        </w:tc>
        <w:tc>
          <w:tcPr>
            <w:tcW w:w="1780" w:type="dxa"/>
            <w:tcBorders/>
            <w:vAlign w:val="center"/>
          </w:tcPr>
          <w:p>
            <w:pPr>
              <w:jc w:val="right"/>
            </w:pPr>
            <w:r>
              <w:rPr>
                <w:rFonts w:ascii="宋体" w:eastAsia="宋体" w:hAnsi="宋体" w:cs="宋体"/>
                <w:b w:val="0"/>
                <w:i w:val="0"/>
                <w:color w:val="000000"/>
                <w:sz w:val="18"/>
              </w:rPr>
              <w:t xml:space="preserve">5,253.32</w:t>
            </w:r>
          </w:p>
        </w:tc>
        <w:tc>
          <w:tcPr>
            <w:tcW w:w="1780" w:type="dxa"/>
            <w:tcBorders/>
            <w:vAlign w:val="center"/>
          </w:tcPr>
          <w:p>
            <w:pPr>
              <w:jc w:val="right"/>
            </w:pPr>
            <w:r>
              <w:rPr>
                <w:rFonts w:ascii="宋体" w:eastAsia="宋体" w:hAnsi="宋体" w:cs="宋体"/>
                <w:b w:val="0"/>
                <w:i w:val="0"/>
                <w:color w:val="000000"/>
                <w:sz w:val="18"/>
              </w:rPr>
              <w:t xml:space="preserve">2,262.36</w:t>
            </w:r>
          </w:p>
        </w:tc>
        <w:tc>
          <w:tcPr>
            <w:tcW w:w="1772" w:type="dxa"/>
            <w:tcBorders/>
            <w:vAlign w:val="center"/>
          </w:tcPr>
          <w:p>
            <w:pPr>
              <w:jc w:val="right"/>
            </w:pPr>
            <w:r>
              <w:rPr>
                <w:rFonts w:ascii="宋体" w:eastAsia="宋体" w:hAnsi="宋体" w:cs="宋体"/>
                <w:b w:val="0"/>
                <w:i w:val="0"/>
                <w:color w:val="000000"/>
                <w:sz w:val="18"/>
              </w:rPr>
              <w:t xml:space="preserve">2,990.96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w:t>
            </w:r>
          </w:p>
        </w:tc>
        <w:tc>
          <w:tcPr>
            <w:tcW w:w="4300" w:type="dxa"/>
            <w:tcBorders/>
            <w:vAlign w:val="center"/>
          </w:tcPr>
          <w:p>
            <w:pPr>
              <w:jc w:val="left"/>
            </w:pPr>
            <w:r>
              <w:rPr>
                <w:rFonts w:ascii="宋体" w:eastAsia="宋体" w:hAnsi="宋体" w:cs="宋体"/>
                <w:b w:val="0"/>
                <w:i w:val="0"/>
                <w:color w:val="000000"/>
                <w:sz w:val="18"/>
              </w:rPr>
              <w:t xml:space="preserve">法院</w:t>
            </w:r>
          </w:p>
        </w:tc>
        <w:tc>
          <w:tcPr>
            <w:tcW w:w="1780" w:type="dxa"/>
            <w:tcBorders/>
            <w:vAlign w:val="center"/>
          </w:tcPr>
          <w:p>
            <w:pPr>
              <w:jc w:val="right"/>
            </w:pPr>
            <w:r>
              <w:rPr>
                <w:rFonts w:ascii="宋体" w:eastAsia="宋体" w:hAnsi="宋体" w:cs="宋体"/>
                <w:b w:val="0"/>
                <w:i w:val="0"/>
                <w:color w:val="000000"/>
                <w:sz w:val="18"/>
              </w:rPr>
              <w:t xml:space="preserve">5,253.32</w:t>
            </w:r>
          </w:p>
        </w:tc>
        <w:tc>
          <w:tcPr>
            <w:tcW w:w="1780" w:type="dxa"/>
            <w:tcBorders/>
            <w:vAlign w:val="center"/>
          </w:tcPr>
          <w:p>
            <w:pPr>
              <w:jc w:val="right"/>
            </w:pPr>
            <w:r>
              <w:rPr>
                <w:rFonts w:ascii="宋体" w:eastAsia="宋体" w:hAnsi="宋体" w:cs="宋体"/>
                <w:b w:val="0"/>
                <w:i w:val="0"/>
                <w:color w:val="000000"/>
                <w:sz w:val="18"/>
              </w:rPr>
              <w:t xml:space="preserve">2,262.36</w:t>
            </w:r>
          </w:p>
        </w:tc>
        <w:tc>
          <w:tcPr>
            <w:tcW w:w="1772" w:type="dxa"/>
            <w:tcBorders/>
            <w:vAlign w:val="center"/>
          </w:tcPr>
          <w:p>
            <w:pPr>
              <w:jc w:val="right"/>
            </w:pPr>
            <w:r>
              <w:rPr>
                <w:rFonts w:ascii="宋体" w:eastAsia="宋体" w:hAnsi="宋体" w:cs="宋体"/>
                <w:b w:val="0"/>
                <w:i w:val="0"/>
                <w:color w:val="000000"/>
                <w:sz w:val="18"/>
              </w:rPr>
              <w:t xml:space="preserve">2,990.96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2,262.36</w:t>
            </w:r>
          </w:p>
        </w:tc>
        <w:tc>
          <w:tcPr>
            <w:tcW w:w="1780" w:type="dxa"/>
            <w:tcBorders/>
            <w:vAlign w:val="center"/>
          </w:tcPr>
          <w:p>
            <w:pPr>
              <w:jc w:val="right"/>
            </w:pPr>
            <w:r>
              <w:rPr>
                <w:rFonts w:ascii="宋体" w:eastAsia="宋体" w:hAnsi="宋体" w:cs="宋体"/>
                <w:b w:val="0"/>
                <w:i w:val="0"/>
                <w:color w:val="000000"/>
                <w:sz w:val="18"/>
              </w:rPr>
              <w:t xml:space="preserve">2,262.36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2,990.96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2,990.96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325.21</w:t>
            </w:r>
          </w:p>
        </w:tc>
        <w:tc>
          <w:tcPr>
            <w:tcW w:w="1780" w:type="dxa"/>
            <w:tcBorders/>
            <w:vAlign w:val="center"/>
          </w:tcPr>
          <w:p>
            <w:pPr>
              <w:jc w:val="right"/>
            </w:pPr>
            <w:r>
              <w:rPr>
                <w:rFonts w:ascii="宋体" w:eastAsia="宋体" w:hAnsi="宋体" w:cs="宋体"/>
                <w:b w:val="0"/>
                <w:i w:val="0"/>
                <w:color w:val="000000"/>
                <w:sz w:val="18"/>
              </w:rPr>
              <w:t xml:space="preserve">325.21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325.21</w:t>
            </w:r>
          </w:p>
        </w:tc>
        <w:tc>
          <w:tcPr>
            <w:tcW w:w="1780" w:type="dxa"/>
            <w:tcBorders/>
            <w:vAlign w:val="center"/>
          </w:tcPr>
          <w:p>
            <w:pPr>
              <w:jc w:val="right"/>
            </w:pPr>
            <w:r>
              <w:rPr>
                <w:rFonts w:ascii="宋体" w:eastAsia="宋体" w:hAnsi="宋体" w:cs="宋体"/>
                <w:b w:val="0"/>
                <w:i w:val="0"/>
                <w:color w:val="000000"/>
                <w:sz w:val="18"/>
              </w:rPr>
              <w:t xml:space="preserve">325.21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19.60</w:t>
            </w:r>
          </w:p>
        </w:tc>
        <w:tc>
          <w:tcPr>
            <w:tcW w:w="1780" w:type="dxa"/>
            <w:tcBorders/>
            <w:vAlign w:val="center"/>
          </w:tcPr>
          <w:p>
            <w:pPr>
              <w:jc w:val="right"/>
            </w:pPr>
            <w:r>
              <w:rPr>
                <w:rFonts w:ascii="宋体" w:eastAsia="宋体" w:hAnsi="宋体" w:cs="宋体"/>
                <w:b w:val="0"/>
                <w:i w:val="0"/>
                <w:color w:val="000000"/>
                <w:sz w:val="18"/>
              </w:rPr>
              <w:t xml:space="preserve">19.60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256.14</w:t>
            </w:r>
          </w:p>
        </w:tc>
        <w:tc>
          <w:tcPr>
            <w:tcW w:w="1780" w:type="dxa"/>
            <w:tcBorders/>
            <w:vAlign w:val="center"/>
          </w:tcPr>
          <w:p>
            <w:pPr>
              <w:jc w:val="right"/>
            </w:pPr>
            <w:r>
              <w:rPr>
                <w:rFonts w:ascii="宋体" w:eastAsia="宋体" w:hAnsi="宋体" w:cs="宋体"/>
                <w:b w:val="0"/>
                <w:i w:val="0"/>
                <w:color w:val="000000"/>
                <w:sz w:val="18"/>
              </w:rPr>
              <w:t xml:space="preserve">256.14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49.47</w:t>
            </w:r>
          </w:p>
        </w:tc>
        <w:tc>
          <w:tcPr>
            <w:tcW w:w="1780" w:type="dxa"/>
            <w:tcBorders/>
            <w:vAlign w:val="center"/>
          </w:tcPr>
          <w:p>
            <w:pPr>
              <w:jc w:val="right"/>
            </w:pPr>
            <w:r>
              <w:rPr>
                <w:rFonts w:ascii="宋体" w:eastAsia="宋体" w:hAnsi="宋体" w:cs="宋体"/>
                <w:b w:val="0"/>
                <w:i w:val="0"/>
                <w:color w:val="000000"/>
                <w:sz w:val="18"/>
              </w:rPr>
              <w:t xml:space="preserve">49.47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106.35</w:t>
            </w:r>
          </w:p>
        </w:tc>
        <w:tc>
          <w:tcPr>
            <w:tcW w:w="1780" w:type="dxa"/>
            <w:tcBorders/>
            <w:vAlign w:val="center"/>
          </w:tcPr>
          <w:p>
            <w:pPr>
              <w:jc w:val="right"/>
            </w:pPr>
            <w:r>
              <w:rPr>
                <w:rFonts w:ascii="宋体" w:eastAsia="宋体" w:hAnsi="宋体" w:cs="宋体"/>
                <w:b w:val="0"/>
                <w:i w:val="0"/>
                <w:color w:val="000000"/>
                <w:sz w:val="18"/>
              </w:rPr>
              <w:t xml:space="preserve">106.35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106.35</w:t>
            </w:r>
          </w:p>
        </w:tc>
        <w:tc>
          <w:tcPr>
            <w:tcW w:w="1780" w:type="dxa"/>
            <w:tcBorders/>
            <w:vAlign w:val="center"/>
          </w:tcPr>
          <w:p>
            <w:pPr>
              <w:jc w:val="right"/>
            </w:pPr>
            <w:r>
              <w:rPr>
                <w:rFonts w:ascii="宋体" w:eastAsia="宋体" w:hAnsi="宋体" w:cs="宋体"/>
                <w:b w:val="0"/>
                <w:i w:val="0"/>
                <w:color w:val="000000"/>
                <w:sz w:val="18"/>
              </w:rPr>
              <w:t xml:space="preserve">106.35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106.35</w:t>
            </w:r>
          </w:p>
        </w:tc>
        <w:tc>
          <w:tcPr>
            <w:tcW w:w="1780" w:type="dxa"/>
            <w:tcBorders/>
            <w:vAlign w:val="center"/>
          </w:tcPr>
          <w:p>
            <w:pPr>
              <w:jc w:val="right"/>
            </w:pPr>
            <w:r>
              <w:rPr>
                <w:rFonts w:ascii="宋体" w:eastAsia="宋体" w:hAnsi="宋体" w:cs="宋体"/>
                <w:b w:val="0"/>
                <w:i w:val="0"/>
                <w:color w:val="000000"/>
                <w:sz w:val="18"/>
              </w:rPr>
              <w:t xml:space="preserve">106.35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326.42</w:t>
            </w:r>
          </w:p>
        </w:tc>
        <w:tc>
          <w:tcPr>
            <w:tcW w:w="1780" w:type="dxa"/>
            <w:tcBorders/>
            <w:vAlign w:val="center"/>
          </w:tcPr>
          <w:p>
            <w:pPr>
              <w:jc w:val="right"/>
            </w:pPr>
            <w:r>
              <w:rPr>
                <w:rFonts w:ascii="宋体" w:eastAsia="宋体" w:hAnsi="宋体" w:cs="宋体"/>
                <w:b w:val="0"/>
                <w:i w:val="0"/>
                <w:color w:val="000000"/>
                <w:sz w:val="18"/>
              </w:rPr>
              <w:t xml:space="preserve">326.42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326.42</w:t>
            </w:r>
          </w:p>
        </w:tc>
        <w:tc>
          <w:tcPr>
            <w:tcW w:w="1780" w:type="dxa"/>
            <w:tcBorders/>
            <w:vAlign w:val="center"/>
          </w:tcPr>
          <w:p>
            <w:pPr>
              <w:jc w:val="right"/>
            </w:pPr>
            <w:r>
              <w:rPr>
                <w:rFonts w:ascii="宋体" w:eastAsia="宋体" w:hAnsi="宋体" w:cs="宋体"/>
                <w:b w:val="0"/>
                <w:i w:val="0"/>
                <w:color w:val="000000"/>
                <w:sz w:val="18"/>
              </w:rPr>
              <w:t xml:space="preserve">326.42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326.42</w:t>
            </w:r>
          </w:p>
        </w:tc>
        <w:tc>
          <w:tcPr>
            <w:tcW w:w="1780" w:type="dxa"/>
            <w:tcBorders/>
            <w:vAlign w:val="center"/>
          </w:tcPr>
          <w:p>
            <w:pPr>
              <w:jc w:val="right"/>
            </w:pPr>
            <w:r>
              <w:rPr>
                <w:rFonts w:ascii="宋体" w:eastAsia="宋体" w:hAnsi="宋体" w:cs="宋体"/>
                <w:b w:val="0"/>
                <w:i w:val="0"/>
                <w:color w:val="000000"/>
                <w:sz w:val="18"/>
              </w:rPr>
              <w:t xml:space="preserve">326.42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2,683.49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315.99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688.70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26.44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631.22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6.02</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561.16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57.62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256.14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8.15</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49.47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85.33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106.35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5.91</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6.40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326.42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20.86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19.60</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47.92</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120.84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2,704.35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315.99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75.60</w:t>
            </w:r>
          </w:p>
        </w:tc>
        <w:tc>
          <w:tcPr>
            <w:tcW w:w="3092" w:type="dxa"/>
            <w:vAlign w:val="center"/>
          </w:tcPr>
          <w:p>
            <w:pPr>
              <w:jc w:val="right"/>
            </w:pPr>
            <w:r>
              <w:rPr>
                <w:rFonts w:ascii="宋体" w:eastAsia="宋体" w:hAnsi="宋体" w:cs="宋体"/>
                <w:b w:val="0"/>
                <w:i w:val="0"/>
                <w:color w:val="000000"/>
                <w:sz w:val="23"/>
              </w:rPr>
              <w:t xml:space="preserve">47.92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75.60</w:t>
            </w:r>
          </w:p>
        </w:tc>
        <w:tc>
          <w:tcPr>
            <w:tcW w:w="3092" w:type="dxa"/>
            <w:tcBorders/>
            <w:vAlign w:val="center"/>
          </w:tcPr>
          <w:p>
            <w:pPr>
              <w:jc w:val="right"/>
            </w:pPr>
            <w:r>
              <w:rPr>
                <w:rFonts w:ascii="宋体" w:eastAsia="宋体" w:hAnsi="宋体" w:cs="宋体"/>
                <w:b w:val="0"/>
                <w:i w:val="0"/>
                <w:color w:val="000000"/>
                <w:sz w:val="23"/>
              </w:rPr>
              <w:t xml:space="preserve">47.92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75.60</w:t>
            </w:r>
          </w:p>
        </w:tc>
        <w:tc>
          <w:tcPr>
            <w:tcW w:w="3092" w:type="dxa"/>
            <w:tcBorders/>
            <w:vAlign w:val="center"/>
          </w:tcPr>
          <w:p>
            <w:pPr>
              <w:jc w:val="right"/>
            </w:pPr>
            <w:r>
              <w:rPr>
                <w:rFonts w:ascii="宋体" w:eastAsia="宋体" w:hAnsi="宋体" w:cs="宋体"/>
                <w:b w:val="0"/>
                <w:i w:val="0"/>
                <w:color w:val="000000"/>
                <w:sz w:val="23"/>
              </w:rPr>
              <w:t xml:space="preserve">47.92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014001沈阳市浑南区人民法院本级-210112000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3570.55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3570.55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2208.97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2208.96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616.22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616.22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82.76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贯彻方针政策，保障法院运行，提高审判质效，维护司法公正。</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保障了法院的基本运行和审判工作的正常开展，提高审判工作的质量和效率，保证各项工作高质高效、稳步推进、及时完成。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案件流程合规率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法官审判业务能力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能力提升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办公家具购置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广大干警提供更便捷的工作条件，优质的办公环境，提升干警对于工作的热情，提高工作效率；增加了法庭、调解室、会议室的数量，配套了信息化设备，推进审判法庭、会议室、调解区、办公区等智能化、信息化建设，便于浑南区人民法院推进司法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因现有财力不足等因素影响，2024年我院办公家具购置费用执行17.26万元。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保障审判法庭运转面积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打造良好的办公环境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提持续升法院司法形象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31.31269337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2024年我院进行了办公楼维修维护，但因财政资金紧张，未进行付款。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设备破损维修率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经费保障:因财政资金紧张因素影响，我院2024年办公楼维修维护费用执行0元，足额保障率为0%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经费保障:因财政资金紧张因素影响，我院2024年办公楼维修维护费用执行0元，足额保障率为0%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经费保障:因财政资金紧张因素影响，我院2024年办公楼维修维护费用执行0元，保障及时率为0%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经费保障:因财政资金紧张因素影响，我院2024年办公楼维修维护费用执行0元，按标准保障率为0%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经费保障:因财政资金紧张因素影响，我院2024年办公楼维修维护费用执行0元，保障水平有待进一步提高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经费保障:因财政资金紧张因素影响，我院2024年办公楼维修维护费用执行0元，保障水平有待进一步提高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办公用房取暖相关费用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2024年我院办公用房取暖费用执行11万元，保障了派出人民法庭的冬季供暖需求，维护派出人民法庭的正常运转。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采暖费面积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2024年档案电子化建设及归档管理项目未执行。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经费保障:由于财政资金紧张等因素影响，2024年我单位档案电子化建设及归档管理项目未执行。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经费保障:由于财政资金紧张等因素影响，2024年我单位档案电子化建设及归档管理项目未执行。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档案扫描加工完成率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经费保障:由于财政资金紧张等因素影响，2024年我单位档案电子化建设及归档管理项目未执行。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工作正常开展率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经费保障:由于财政资金紧张等因素影响，2024年我单位档案电子化建设及归档管理项目未执行。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法律文书耗材费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因现有财力不足等因素影响，2024年我院法律文书耗材费执行46.5万元，基本保障法院工作的正常开展，满足案件从受理到开庭记录直至形成判决所有法律文书耗材的需要。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经费保障:因现有财力不足等因素影响，2024年我院法律文书耗材费用执行46.5万元，足额发放率为77.5%</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执法平台运行平稳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打造良好的办公环境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部门办公正常运行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法律文书印刷费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因现有财力不足等因素影响，2024年我院法律文书印刷费用执行5万元。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经费保障:因财政资金紧张因素影响，我院2024年法律文书印刷费用执行5万元，足额保障率为33.33%</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印刷宣传材料内容合格率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经费保障:因财政资金紧张因素影响，我院2024年法律文书印刷费用执行5万元，保障水平有待进一步提高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7.83333333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法院服装购置费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上级法院的相关要求及最高院法发（2001）4号文件等相关文件、及服装更换需要。执行上级法院相关要求，统一着装、规范化管理，更好体现司法工作人员的严谨、勤勉的工作作风，树立司法活动的公正、威严形象。为贯彻落实党中央和省市区委关于优化法治化营商环境建设工作部署，坚持以习近平新时代中国特色社会主义思想为指导，坚持服务大局。</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已为我院司法审判工作人员采购服装共146413元，基本保障法院工作的正常运转。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采购警察服装数量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执法制式服装配备率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服装质量验收合格率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提持续升法院司法形象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国家赔偿费用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完成张洪阁宣告无罪给付国家赔偿款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已完成给付对张洪阁宣告无罪的国家赔偿款。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57.67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索赔申请审核率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基础业务培训费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2024年我院基础业务培训费执行10万元，提升了我院干警执法办案的专业素养，助力法院队伍革命化、正规化、专业化、职业化发展。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培训学员计划完成率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检法绩效奖励及公务员评优奖励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中央司法改革文件，落实省人力资源社会保障厅、省财政厅《关于印发法官检察官和司法辅助人员工资制度改革试点实施意见的通知》（辽人社发〔2016〕13号）、《关于做好全省法官检察官绩效考核奖金核定工作的通知》（辽人社〔2017〕132号）。保障法官检察官工资收入高于当地公务员人均工资一定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2024年我院检法绩效奖励及公务员评优奖励执行391.16万元，做到了及时、准确地发放法检绩效奖金，保障了在编干警的福利待遇。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执法人员培训区域覆盖率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奖金发放到位率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各奖种奖金发放标准达标率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保障当事人合法权益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法院公信力不断提升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8.32505993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为了规范残疾人就业保障金征收使用管理，促进残疾人就业，保障残疾人权益，将残疾人就业保障金纳入预算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2024年浑南区法院积极配合残联与财政部门，全年按时足额缴纳残疾人就业保障金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发布就业信息数量的完成率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1251.29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习近平总书记关于“坚持把非诉讼纠纷解决机制挺在前面”和“加快构建立体化、多元化、精细化的诉讼程序体系”的重要指示精神，经沈阳市中级人民法院申请，沈阳市人民政府批准，沈阳市人力资源和社会保障局积极围绕多元化纠纷解决机制和现代化诉讼服务体系“两项建设”的推进，就全市两级法院诉讼服务中心转型升级需增加审判辅助人员，保障派遣制人员工资待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2024年我院派遣人员经费执行1251.29万元，充分保障了我院派遣制人员的工资待遇，保障了法院工作的正常开展。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劳务派遣合法性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应聘人员成功签约率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人民陪审员补助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充分保障人民群众参与司法的民主权利；充分发挥人民陪审员参审作用，已达到案件审判结果被广大群众所理解及接受，有助于减少矛盾激化，促进社会和谐。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因现有财力不足等因素影响，2024年我院发放陪审员补助6.57万元，基本保障法院工作的正常开展，保障人民群众参与司法的民主权利，促进社会的和谐稳定和国家的长治久安。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庭审直播运行稳定性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应聘人员成功签约率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人民调解中心调解员补助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成立劳动合同纠纷调解室、医疗纠纷调解室、物业纠纷调解室、合同纠纷调解室、道交纠纷调解室、家事纠纷调解室等特色调解室的基础上，聘请有专业经验的特邀调解员，进一步扩大与行业组织和各调解组织的合作，积极参与人民调解、社区调解，提升调解能力和服务能力。充分认识并推进诉前调解和人民法院多元解纷机制建设，努力让人民群众在每一个案件中感受公平正义，工作成效经得住群众的检验，最终落实到人民群众的获得感、幸福感和安全感。通过诉前调解和多元化调解机制，让纠纷能够快速解决，能够非常方便、便利的解决，化解纠纷矛盾，减少诉讼增量，提高审判质效和审判效率，为人民解忧，为法官减负。参与党委领导下的溯源治理，把自身的解决纠纷工作纳入到国家治理体系中统筹谋划的要求，主动融入党委领导大调解格局中，社会调解优先，法院诉讼断后，法院发挥解决纠纷专家作用，为社会调解提供有力的保障，充分发挥诉前调解工作的作用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因现有财力不足等因素影响，2024年我院发放调解员补助30.06万元，基本保障调解工作的正常开展，从源头上减少诉讼增量，提高审判质效和审判效率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参与人民调解工作数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劳动人事争议调解成功率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民事案件调解率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司法事务智能协同集约化</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2024年我院进行了司法事务智能协同集约化项目，但因财政资金紧张，导致未能及时付款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运维人员培训覆盖率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经费保障:因财政资金紧张因素影响，我院2024年司法事务智能协同集约化执行0元，足额保障率为0%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数字化加工准确率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经费保障:因财政资金紧张因素影响，我院2024年司法事务智能协同集约化执行0元，保障及时率为0%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经费保障:因财政资金紧张因素影响，我院2024年司法事务智能协同集约化执行0元，按标准保障率为0%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经费保障:因财政资金紧张因素影响，我院2024年司法事务智能协同集约化执行0元，保障水平有待进一步提高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退诉讼费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979.99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中华人民共和国民事诉讼法》、《诉讼费用交纳办法》及《沈阳市中级人民法院关于向胜诉方退还诉讼费的规定》，当事人进行民事诉讼、行政诉讼，应当交纳诉讼费用。目前，我院在受理多数案件时，全额收取诉讼费用，待案件审结完毕，部分案件按照结案方式予以减退诉讼费。根据最高院《中华人民共和国民事诉讼法解释》207条，胜诉方预交但不应负担的诉讼费，人民法院应当退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因现有财力不足等因素影响，我院2024年办理退诉讼费业务979.99万元，基本保障法院工作的正常运行以及当事人的合法权益。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保障聘任制书记员数量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保障当事人合法权益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切实保障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法院公信力不断提升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17.53326805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2024年我院完成了对桃仙法庭的绿化维护工作，但因财政资金紧张，导致未能及时付款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经费保障:因财政资金紧张等因素影响，我院2024年外聘劳务经费执行0元，足额保障率为0%.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经费保障:因财政资金紧张等因素影响，我院2024年外聘劳务经费执行0元，保障率及时率为0%.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经费保障:因财政资金紧张等因素影响，我院2024年外聘劳务经费执行0元，按标准保障率为0%.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经费保障:因财政资金紧张等因素影响，我院2024年外聘劳务经费执行0元，保障水平有待提高。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经费保障:因财政资金紧张等因素影响，我院2024年外聘劳务经费执行0元，保障水平有待提高。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因财政资金紧张等因素影响，我院执行网络服务费13.85万元。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经费保障:因财政资金紧张等因素影响，我院执行网络服务费13.85万元，足额保障率为25%。</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网络带宽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网络外包合同合规率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网络外包合同规范性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经费保障:因财政资金紧张等因素影响，我院执行网络服务费13.85万元，保障及时率为25%。</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经费保障:因财政资金紧张等因素影响，我院执行网络服务费13.85万元，按标准保障率为25%。</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经费保障:因财政资金紧张等因素影响，我院执行网络服务费13.85万元，保障水平有待进一步提高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不断提升法院公信力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9.31970909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上级关于信访稳控工作的指示，派出干警按照区维稳办和上级法院要求完成驻京（值班）、省、市及全国两会、中央首长北戴河休养、党代会期间等重要活动（会议）的稳控任务，依照上级指令完成各项维稳工作要求，确保国家、省、市重要会议和活动的顺利进行，维护社会安定团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2024年我院信访维稳专项资金执行39.82万元，进一步提升信访稳控工作的时效性和实质性，保障我院工作的正常开展。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出动执法人员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现有执法车辆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普法宣传效果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不断提升法院公信力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信息化平台建设经费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以习近平新时代中国特色社会主义思想为指导，深入贯彻全面依法治国战略、网络强国战略，围绕人民法院信息化4.0版建设任务，以“基础共用、业务协同、数据共享、安全可控、好用易用、便捷高效”为目标，推进法院信息化建设再上新台阶，形成面向法官、诉讼参与人、社会公众和政务部门的全业务智能办理、全流程智能辅助、全要素智能管理、全方位智能服务的智慧法院新格局，打造智慧法院品牌新形象。按照“上台阶、创一流”的工作定位，坚持目标导向、问题导向和效果导向，聚焦信息化服务司法办案、大数据分析研判和基层基础建设，为法制化营商环境提供科技支撑，从强基础、推应用、改局面三个方面着手，形成上下一体、精细化、闭环管理的信息化建设与应用新态势。基于全面、科学、创新、发展的法院信息化顶层设计成果，总体建成以数据知识服务为中心、以“智慧审判、智慧执行、智慧服务、智慧管理”协同应用为重点、以智慧一体云网为基础、以主动安全体系为后盾、以质效运维体系为保障的智慧法院新格局，对内服务法官和助力提升审判执行质效，对外服务人民群众和社会经济发展，切实推动和保障法院整体工作高质量发展。完成辽宁智慧法院必建项目要求，推进集约送达分中心建立，推进五化法庭建设，推广执行无纸化办案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2024年我院进行了信息化平台建设项目，但因财政资金紧张，未进行付款。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故障修复完成率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运维人员培训覆盖率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网络外包合同合规率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信息系统运维验收合格率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法院公信力不断提升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法院干警满意度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邮寄费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院主要的工作是审理各种民事、行政、行政等类型的案件，其中民事案件占据绝大多数。现在浑南区人数逐年增多，案件数也随着剧增，在沈阳市来看，仅次于沈河区和和平区，排在第三位。在办理案件的过程中，很多时候都需要向当事人邮寄各种材料，比如：起诉状、诉讼费预缴通知单、案件受理通知书、举证通知书、廉政监督卡等。在案件办理过程中，也需要向当事人送达管辖异议申请书、追加被告申请书、鉴定申请书等。案件结案时，要送达判决书、裁定书、调解书等。这些文件有的是可以通过电子送达的方式送达，但是像判决书、裁定书、调解书等文书，不能电子送达，只能通过邮寄纸质文书的方式进行送达，所以邮寄送达的法院必然采用的送达方式。我院一直与邮政EMS合作，邮局安排专门人员投递法院的文书，服务较好，得到大家的一致好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2024年我院邮寄费用执行40万元，使法律文书送达到当事人，减少因送达不及时而产生的纠纷和误解，降低了诉讼成本。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邮政业业务总量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亿元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其他:因现有财力不足等因素影响，2024年我院邮寄费用执行40万元，邮政业业务总量40万元。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邮政业从业人数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其他:中国邮政政务中心派驻我院邮政业从业人数为1人，负责文书类文件邮件录入及收寄工作。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其他:建议明年做预算时调整指标值，根据现有实际合理设置指标值，提高项目预算指标的精准度</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邮件妥收率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邮件丢失损毁率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其他:预算项目指标设置不合理，邮件丢失损毁率指标运算符号应是小于号，邮件丢失损毁率越小才能更好的保障当事人的合法权益，保障法院工作的正常开展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其他:建议明年做预算时调整指标值，根据现有实际合理设置指标值，提高项目预算指标的精准度</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法院公信力不断提升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提持续升法院司法形象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9.44444444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执法办案经费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我院2024年执法办案经费执行50万元，推进法院审判执行等各项工作全面发展。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经费保障:因财政资金紧张等因素影响，我院2024年执法办案经费执行50万元，足额保障率为50%，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执法人员培训区域覆盖率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办案效果优良率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经费保障:因财政资金紧张因素影响，我院2024年执法办案经费执行50万元，足额保障率为50%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专网建设费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我院2024年专网建设费执行10万元，进一步提高了我院审判工作效率。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经费保障:因财政资金紧张等因素影响，我院2024年专网建设费用执行10万元，足额保障率为36%。</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经费保障:因财政资金紧张等因素影响，我院2024年专网建设费用执行10万元，足额保障率为36%。</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保障科技法庭庭审直播数量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其他:设置指标值不合理，没有根据实际合理设置指标值，我院科技法庭庭审直播数量应为2间。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其他:建议明年做预算时调整指标值，根据现有实际合理设置指标值，提高项目预算指标的精准度</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庭审直播运行稳定性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经费保障:因财政资金紧张等因素影响，我院2024年专网建设费用执行10万元，保障及时率为36%。</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经费保障:因财政资金紧张等因素影响，我院2024年专网建设费用执行10万元，按标准保障率为36%。</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经费保障:因财政资金紧张因素影响，我院2024年专网建设费有费用执行10万元，保障水平有待进一步提高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经费保障:因财政资金紧张因素影响，我院2024年专网建设费有费用执行10万元，保障水平有待进一步提高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54.65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沈阳市浑南区人民法院本级-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智慧法院建设与应用推进方案（2021-2023）、《中基层法院（含人民法庭）2022年信息化建设内容指导》、《基层法院信息化建设方向参考增补》、《全省法院关于加强基层基础建设的意见》、《新时代人民法庭建设五化达标活动实施方案征求意见》、《全省示范人民法庭评选活动实施办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我院2024年专用设备购置经费执行2.72万元，因财政资金紧张等因素影响，未能及时付款。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经费保障:我院2024年专用设备购置经费执行2.72万元，因财政资金紧张等因素影响，未能及时付款。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经费保障:建议继续全额安排，保障单位基本运行和各项工作顺利开展，提高与财政部门的协调配合，保障资金及时到位</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不断提升法院公信力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提高单位信息化网络安全指标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18.59533824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