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rPr>
      </w:pPr>
      <w:r>
        <w:rPr>
          <w:rFonts w:ascii="宋体" w:hAnsi="宋体"/>
          <w:b/>
          <w:sz w:val="52"/>
          <w:szCs w:val="52"/>
        </w:rPr>
        <w:t>沈阳市浑南区高坎街道办事处</w:t>
      </w:r>
    </w:p>
    <w:p>
      <w:pPr>
        <w:spacing w:line="540" w:lineRule="exact"/>
        <w:ind w:firstLine="2088" w:firstLineChars="400"/>
        <w:rPr>
          <w:rFonts w:hint="eastAsia" w:ascii="宋体" w:hAnsi="宋体" w:eastAsia="宋体"/>
          <w:b/>
          <w:color w:val="FF0000"/>
          <w:sz w:val="52"/>
          <w:szCs w:val="52"/>
          <w:lang w:eastAsia="zh-CN"/>
        </w:rPr>
      </w:pPr>
      <w:r>
        <w:rPr>
          <w:rFonts w:ascii="宋体" w:hAnsi="宋体"/>
          <w:b/>
          <w:sz w:val="52"/>
          <w:szCs w:val="52"/>
        </w:rPr>
        <w:t xml:space="preserve"> 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 沈阳市浑南区高坎街道办事处概况</w:t>
      </w:r>
    </w:p>
    <w:p>
      <w:pPr>
        <w:pStyle w:val="6"/>
        <w:numPr>
          <w:ilvl w:val="0"/>
          <w:numId w:val="1"/>
        </w:numPr>
        <w:spacing w:line="560" w:lineRule="exact"/>
        <w:ind w:firstLine="640"/>
        <w:rPr>
          <w:rFonts w:hint="default" w:ascii="黑体" w:eastAsia="黑体"/>
          <w:sz w:val="32"/>
        </w:rPr>
      </w:pPr>
      <w:r>
        <w:rPr>
          <w:rFonts w:ascii="黑体" w:eastAsia="黑体"/>
          <w:sz w:val="32"/>
        </w:rPr>
        <w:t>主要职责</w:t>
      </w:r>
    </w:p>
    <w:p>
      <w:pPr>
        <w:pStyle w:val="6"/>
        <w:spacing w:line="560" w:lineRule="exact"/>
        <w:ind w:firstLine="640" w:firstLineChars="200"/>
        <w:rPr>
          <w:rFonts w:hint="default" w:ascii="仿宋" w:hAnsi="仿宋" w:eastAsia="仿宋" w:cs="仿宋"/>
          <w:sz w:val="32"/>
        </w:rPr>
      </w:pPr>
      <w:r>
        <w:rPr>
          <w:rFonts w:ascii="仿宋" w:hAnsi="仿宋" w:eastAsia="仿宋" w:cs="仿宋"/>
          <w:sz w:val="32"/>
        </w:rPr>
        <w:t>(一)宣传贯彻党的理论和路线方针政策以及上级党组织的决策部署，团结并组织党员、干部和群众，努力完成本街道各项任务。</w:t>
      </w:r>
    </w:p>
    <w:p>
      <w:pPr>
        <w:pStyle w:val="6"/>
        <w:spacing w:line="560" w:lineRule="exact"/>
        <w:ind w:firstLine="320" w:firstLineChars="100"/>
        <w:rPr>
          <w:rFonts w:hint="default" w:ascii="仿宋" w:hAnsi="仿宋" w:eastAsia="仿宋" w:cs="仿宋"/>
          <w:sz w:val="32"/>
        </w:rPr>
      </w:pPr>
      <w:r>
        <w:rPr>
          <w:rFonts w:ascii="仿宋" w:hAnsi="仿宋" w:eastAsia="仿宋" w:cs="仿宋"/>
          <w:sz w:val="32"/>
        </w:rPr>
        <w:t>（二）讨论决定本街道加强党的建设、“两邻”基层治理、优化营商环境、推动城市更新、提升民生福祉、统筹社区发展、组织公共服务、实施公共管理、维护公共安全、动员社会参与、指导基层自治等方面的重要问题。</w:t>
      </w:r>
    </w:p>
    <w:p>
      <w:pPr>
        <w:pStyle w:val="6"/>
        <w:spacing w:line="560" w:lineRule="exact"/>
        <w:ind w:firstLine="320" w:firstLineChars="100"/>
        <w:rPr>
          <w:rFonts w:hint="default" w:ascii="仿宋" w:hAnsi="仿宋" w:eastAsia="仿宋" w:cs="仿宋"/>
          <w:sz w:val="32"/>
        </w:rPr>
      </w:pPr>
      <w:r>
        <w:rPr>
          <w:rFonts w:ascii="仿宋" w:hAnsi="仿宋" w:eastAsia="仿宋" w:cs="仿宋"/>
          <w:sz w:val="32"/>
        </w:rPr>
        <w:t>（三）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p>
    <w:p>
      <w:pPr>
        <w:pStyle w:val="6"/>
        <w:spacing w:line="560" w:lineRule="exact"/>
        <w:ind w:firstLine="320" w:firstLineChars="100"/>
        <w:rPr>
          <w:rFonts w:hint="default" w:ascii="仿宋" w:hAnsi="仿宋" w:eastAsia="仿宋" w:cs="仿宋"/>
          <w:sz w:val="32"/>
        </w:rPr>
      </w:pPr>
      <w:r>
        <w:rPr>
          <w:rFonts w:ascii="仿宋" w:hAnsi="仿宋" w:eastAsia="仿宋" w:cs="仿宋"/>
          <w:sz w:val="32"/>
        </w:rPr>
        <w:t>（四）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p>
    <w:p>
      <w:pPr>
        <w:pStyle w:val="6"/>
        <w:spacing w:line="560" w:lineRule="exact"/>
        <w:ind w:firstLine="640" w:firstLineChars="200"/>
        <w:rPr>
          <w:rFonts w:hint="default" w:ascii="仿宋" w:hAnsi="仿宋" w:eastAsia="仿宋" w:cs="仿宋"/>
          <w:sz w:val="32"/>
        </w:rPr>
      </w:pPr>
      <w:r>
        <w:rPr>
          <w:rFonts w:ascii="仿宋" w:hAnsi="仿宋" w:eastAsia="仿宋" w:cs="仿宋"/>
          <w:sz w:val="32"/>
        </w:rPr>
        <w:t>（五）领导街道人大工作委员会、办事处和工会、共青团、妇联等群团组织及人民武装部等组织，支持和保证街道行政组织、经济组织和群众自治组织充分行使职权。</w:t>
      </w:r>
    </w:p>
    <w:p>
      <w:pPr>
        <w:pStyle w:val="6"/>
        <w:spacing w:line="560" w:lineRule="exact"/>
        <w:ind w:firstLine="640" w:firstLineChars="200"/>
        <w:rPr>
          <w:rFonts w:hint="default" w:ascii="仿宋" w:hAnsi="仿宋" w:eastAsia="仿宋" w:cs="仿宋"/>
          <w:sz w:val="32"/>
        </w:rPr>
      </w:pPr>
      <w:r>
        <w:rPr>
          <w:rFonts w:ascii="仿宋" w:hAnsi="仿宋" w:eastAsia="仿宋" w:cs="仿宋"/>
          <w:sz w:val="32"/>
        </w:rPr>
        <w:t>（六）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p>
    <w:p>
      <w:pPr>
        <w:pStyle w:val="6"/>
        <w:spacing w:line="560" w:lineRule="exact"/>
        <w:ind w:firstLine="640" w:firstLineChars="200"/>
        <w:rPr>
          <w:rFonts w:hint="default" w:ascii="仿宋" w:hAnsi="仿宋" w:eastAsia="仿宋" w:cs="仿宋"/>
          <w:sz w:val="32"/>
        </w:rPr>
      </w:pPr>
      <w:r>
        <w:rPr>
          <w:rFonts w:ascii="仿宋" w:hAnsi="仿宋" w:eastAsia="仿宋" w:cs="仿宋"/>
          <w:sz w:val="32"/>
        </w:rPr>
        <w:t>（七）聚焦“老百姓的事有人管，管得有条有理管到位；老百姓的苦有人问，问寒问暖问到家”，深入推进民生品牌打造、常态化小区疫情防控、“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p>
    <w:p>
      <w:pPr>
        <w:pStyle w:val="6"/>
        <w:spacing w:line="560" w:lineRule="exact"/>
        <w:ind w:firstLine="640" w:firstLineChars="200"/>
        <w:rPr>
          <w:rFonts w:hint="default" w:ascii="黑体" w:eastAsia="黑体"/>
          <w:sz w:val="32"/>
        </w:rPr>
      </w:pPr>
      <w:r>
        <w:rPr>
          <w:rFonts w:ascii="仿宋" w:hAnsi="仿宋" w:eastAsia="仿宋" w:cs="仿宋"/>
          <w:sz w:val="32"/>
        </w:rPr>
        <w:t>（八）完成区委交办的其他任务。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val="0"/>
          <w:bCs/>
          <w:sz w:val="32"/>
          <w:szCs w:val="32"/>
        </w:rPr>
      </w:pPr>
      <w:r>
        <w:rPr>
          <w:rFonts w:ascii="仿宋_GB2312" w:hAnsi="仿宋_GB2312" w:eastAsia="仿宋_GB2312" w:cs="仿宋_GB2312"/>
          <w:b w:val="0"/>
          <w:bCs/>
          <w:sz w:val="32"/>
          <w:szCs w:val="32"/>
        </w:rPr>
        <w:t>纳入本</w:t>
      </w:r>
      <w:r>
        <w:rPr>
          <w:rFonts w:hint="eastAsia" w:ascii="仿宋_GB2312" w:hAnsi="仿宋_GB2312" w:eastAsia="仿宋_GB2312" w:cs="仿宋_GB2312"/>
          <w:b w:val="0"/>
          <w:bCs/>
          <w:sz w:val="32"/>
          <w:szCs w:val="32"/>
          <w:lang w:eastAsia="zh-CN"/>
        </w:rPr>
        <w:t>部门</w:t>
      </w:r>
      <w:r>
        <w:rPr>
          <w:rFonts w:ascii="仿宋_GB2312" w:hAnsi="仿宋_GB2312" w:eastAsia="仿宋_GB2312" w:cs="仿宋_GB2312"/>
          <w:b w:val="0"/>
          <w:bCs/>
          <w:sz w:val="32"/>
          <w:szCs w:val="32"/>
        </w:rPr>
        <w:t>2022年决算编制范围的是浑南区高坎街道办事处本级，</w:t>
      </w:r>
      <w:r>
        <w:rPr>
          <w:rFonts w:ascii="仿宋_GB2312" w:hAnsi="仿宋_GB2312" w:eastAsia="仿宋_GB2312" w:cs="仿宋_GB2312"/>
          <w:b w:val="0"/>
          <w:bCs/>
          <w:sz w:val="32"/>
          <w:szCs w:val="32"/>
        </w:rPr>
        <w:t>本</w:t>
      </w:r>
      <w:r>
        <w:rPr>
          <w:rFonts w:hint="eastAsia" w:ascii="仿宋_GB2312" w:hAnsi="仿宋_GB2312" w:eastAsia="仿宋_GB2312" w:cs="仿宋_GB2312"/>
          <w:b w:val="0"/>
          <w:bCs/>
          <w:sz w:val="32"/>
          <w:szCs w:val="32"/>
          <w:lang w:eastAsia="zh-CN"/>
        </w:rPr>
        <w:t>部门</w:t>
      </w:r>
      <w:r>
        <w:rPr>
          <w:rFonts w:ascii="仿宋_GB2312" w:hAnsi="仿宋_GB2312" w:eastAsia="仿宋_GB2312" w:cs="仿宋_GB2312"/>
          <w:b w:val="0"/>
          <w:bCs/>
          <w:sz w:val="32"/>
          <w:szCs w:val="32"/>
        </w:rPr>
        <w:t>无下设机构。</w:t>
      </w:r>
    </w:p>
    <w:p>
      <w:pPr>
        <w:pStyle w:val="6"/>
        <w:numPr>
          <w:ilvl w:val="0"/>
          <w:numId w:val="2"/>
        </w:numPr>
        <w:spacing w:line="560" w:lineRule="exact"/>
        <w:jc w:val="center"/>
        <w:rPr>
          <w:rFonts w:hint="default"/>
          <w:b/>
          <w:sz w:val="36"/>
        </w:rPr>
      </w:pPr>
      <w:r>
        <w:rPr>
          <w:b/>
          <w:sz w:val="36"/>
        </w:rPr>
        <w:t>沈阳市浑南区高坎街道办事处</w:t>
      </w:r>
    </w:p>
    <w:p>
      <w:pPr>
        <w:pStyle w:val="6"/>
        <w:spacing w:line="560" w:lineRule="exact"/>
        <w:ind w:firstLine="2530" w:firstLineChars="700"/>
        <w:rPr>
          <w:rFonts w:hint="default"/>
          <w:b/>
          <w:sz w:val="36"/>
        </w:rPr>
      </w:pPr>
      <w:r>
        <w:rPr>
          <w:b/>
          <w:sz w:val="36"/>
        </w:rPr>
        <w:t>2022年决算情况说明</w:t>
      </w: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color w:val="auto"/>
          <w:sz w:val="32"/>
        </w:rPr>
      </w:pPr>
      <w:r>
        <w:rPr>
          <w:rFonts w:ascii="楷体_GB2312" w:eastAsia="楷体_GB2312"/>
          <w:b/>
          <w:sz w:val="32"/>
        </w:rPr>
        <w:t>（一）收入总</w:t>
      </w:r>
      <w:r>
        <w:rPr>
          <w:rFonts w:ascii="楷体_GB2312" w:eastAsia="楷体_GB2312"/>
          <w:b/>
          <w:color w:val="auto"/>
          <w:sz w:val="32"/>
        </w:rPr>
        <w:t>计2336.65万元，包括：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1.财政拨款收入2302.09万元，占收入总计的98.5</w:t>
      </w:r>
      <w:r>
        <w:rPr>
          <w:rFonts w:hint="default" w:ascii="仿宋_GB2312" w:eastAsia="仿宋_GB2312"/>
          <w:sz w:val="32"/>
        </w:rPr>
        <w:t>2</w:t>
      </w:r>
      <w:r>
        <w:rPr>
          <w:rFonts w:ascii="仿宋_GB2312" w:eastAsia="仿宋_GB2312"/>
          <w:sz w:val="32"/>
        </w:rPr>
        <w:t>%。其中：一般公共预算财政拨款收入2080.61万元，政府性基金收入221.48万元，国有资本经营预算财政拨款收入0万元。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.上年结转和结余34.57万元，占收入总计的1.</w:t>
      </w:r>
      <w:r>
        <w:rPr>
          <w:rFonts w:hint="default" w:ascii="仿宋_GB2312" w:eastAsia="仿宋_GB2312"/>
          <w:sz w:val="32"/>
        </w:rPr>
        <w:t>48</w:t>
      </w:r>
      <w:r>
        <w:rPr>
          <w:rFonts w:ascii="仿宋_GB2312" w:eastAsia="仿宋_GB2312"/>
          <w:sz w:val="32"/>
        </w:rPr>
        <w:t>%。主要是以前年度基本人员类经费、信访事务等原因形成的结余。</w:t>
      </w:r>
    </w:p>
    <w:p>
      <w:pPr>
        <w:pStyle w:val="6"/>
        <w:spacing w:line="560" w:lineRule="exact"/>
        <w:ind w:firstLine="660"/>
        <w:rPr>
          <w:rFonts w:hint="default" w:ascii="仿宋" w:hAnsi="仿宋" w:eastAsia="仿宋" w:cs="仿宋"/>
          <w:sz w:val="32"/>
        </w:rPr>
      </w:pPr>
      <w:r>
        <w:rPr>
          <w:rFonts w:ascii="仿宋_GB2312" w:eastAsia="仿宋_GB2312"/>
          <w:sz w:val="32"/>
        </w:rPr>
        <w:t>与上年相比，今年收入减少2660.39万元，降低</w:t>
      </w:r>
      <w:r>
        <w:rPr>
          <w:rFonts w:hint="default" w:ascii="仿宋_GB2312" w:eastAsia="仿宋_GB2312"/>
          <w:sz w:val="32"/>
        </w:rPr>
        <w:t>53.24</w:t>
      </w:r>
      <w:r>
        <w:rPr>
          <w:rFonts w:ascii="仿宋_GB2312" w:eastAsia="仿宋_GB2312"/>
          <w:sz w:val="32"/>
        </w:rPr>
        <w:t>%，主要原因：征地和拆迁补偿项目的减少</w:t>
      </w:r>
      <w:r>
        <w:rPr>
          <w:rFonts w:ascii="仿宋" w:hAnsi="仿宋" w:eastAsia="仿宋" w:cs="仿宋"/>
          <w:sz w:val="32"/>
        </w:rPr>
        <w:t>。</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w:t>
      </w:r>
      <w:r>
        <w:rPr>
          <w:rFonts w:ascii="楷体_GB2312" w:eastAsia="楷体_GB2312"/>
          <w:b/>
          <w:color w:val="auto"/>
          <w:sz w:val="32"/>
        </w:rPr>
        <w:t>计2302.09万元，</w:t>
      </w:r>
      <w:r>
        <w:rPr>
          <w:rFonts w:ascii="楷体_GB2312" w:eastAsia="楷体_GB2312"/>
          <w:b/>
          <w:sz w:val="32"/>
        </w:rPr>
        <w:t>包括：</w:t>
      </w:r>
    </w:p>
    <w:p>
      <w:pPr>
        <w:pStyle w:val="6"/>
        <w:spacing w:line="560" w:lineRule="exact"/>
        <w:ind w:firstLine="660"/>
        <w:rPr>
          <w:rFonts w:hint="default" w:ascii="仿宋_GB2312" w:eastAsia="仿宋_GB2312"/>
          <w:sz w:val="32"/>
        </w:rPr>
      </w:pPr>
      <w:r>
        <w:rPr>
          <w:rFonts w:ascii="仿宋_GB2312" w:eastAsia="仿宋_GB2312"/>
          <w:sz w:val="32"/>
        </w:rPr>
        <w:t xml:space="preserve"> 1.基本支出669.51万元，占支出总计的29.</w:t>
      </w:r>
      <w:r>
        <w:rPr>
          <w:rFonts w:hint="default" w:ascii="仿宋_GB2312" w:eastAsia="仿宋_GB2312"/>
          <w:sz w:val="32"/>
        </w:rPr>
        <w:t>08</w:t>
      </w:r>
      <w:r>
        <w:rPr>
          <w:rFonts w:ascii="仿宋_GB2312" w:eastAsia="仿宋_GB2312"/>
          <w:sz w:val="32"/>
        </w:rPr>
        <w:t>%。主要是为保障机构正常运转、完成日常工作任务而发生的各项支出，其中：工资福利支出582.87万元，对个人和家庭的补助支出8.1万元，商品和服务支出77.44万元，资本性支出1.09万元。</w:t>
      </w:r>
    </w:p>
    <w:p>
      <w:pPr>
        <w:pStyle w:val="6"/>
        <w:spacing w:line="560" w:lineRule="exact"/>
        <w:ind w:firstLine="660"/>
        <w:rPr>
          <w:rFonts w:hint="default" w:ascii="仿宋_GB2312" w:eastAsia="仿宋_GB2312"/>
          <w:sz w:val="32"/>
        </w:rPr>
      </w:pPr>
      <w:r>
        <w:rPr>
          <w:rFonts w:ascii="仿宋_GB2312" w:eastAsia="仿宋_GB2312"/>
          <w:sz w:val="32"/>
        </w:rPr>
        <w:t>2.项目支出1632.58万元，占支出总计的70.9</w:t>
      </w:r>
      <w:r>
        <w:rPr>
          <w:rFonts w:hint="default" w:ascii="仿宋_GB2312" w:eastAsia="仿宋_GB2312"/>
          <w:sz w:val="32"/>
        </w:rPr>
        <w:t>2</w:t>
      </w:r>
      <w:r>
        <w:rPr>
          <w:rFonts w:ascii="仿宋_GB2312" w:eastAsia="仿宋_GB2312"/>
          <w:sz w:val="32"/>
        </w:rPr>
        <w:t>%。主要包括其他农村生活救助、征地和拆迁补偿、其他节能环保、信访事务等业务支出。</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与上年相比，今年支出减少2660.39万元，降低</w:t>
      </w:r>
      <w:r>
        <w:rPr>
          <w:rFonts w:hint="default" w:ascii="仿宋_GB2312" w:eastAsia="仿宋_GB2312"/>
          <w:sz w:val="32"/>
        </w:rPr>
        <w:t>53.61</w:t>
      </w:r>
      <w:r>
        <w:rPr>
          <w:rFonts w:ascii="仿宋_GB2312" w:eastAsia="仿宋_GB2312"/>
          <w:sz w:val="32"/>
        </w:rPr>
        <w:t>%，主要原因：征地和拆迁补偿项目的减少。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（三）年末结转和结余34.57万元</w:t>
      </w:r>
    </w:p>
    <w:p>
      <w:pPr>
        <w:pStyle w:val="6"/>
        <w:spacing w:line="560" w:lineRule="exact"/>
        <w:ind w:firstLine="660"/>
        <w:rPr>
          <w:rFonts w:hint="default" w:ascii="仿宋_GB2312" w:eastAsia="仿宋_GB2312"/>
          <w:sz w:val="32"/>
        </w:rPr>
      </w:pPr>
      <w:r>
        <w:rPr>
          <w:rFonts w:ascii="仿宋_GB2312" w:eastAsia="仿宋_GB2312"/>
          <w:sz w:val="32"/>
        </w:rPr>
        <w:t>主要是以前年度基本人员类经费、信访事务等原因形成的结余。与上年持平。</w:t>
      </w:r>
    </w:p>
    <w:p>
      <w:pPr>
        <w:pStyle w:val="6"/>
        <w:numPr>
          <w:ilvl w:val="0"/>
          <w:numId w:val="3"/>
        </w:numPr>
        <w:spacing w:line="560" w:lineRule="exact"/>
        <w:ind w:firstLine="660"/>
        <w:rPr>
          <w:rFonts w:hint="default" w:ascii="黑体" w:eastAsia="黑体"/>
          <w:sz w:val="32"/>
        </w:rPr>
      </w:pPr>
      <w:r>
        <w:rPr>
          <w:rFonts w:ascii="黑体" w:eastAsia="黑体"/>
          <w:sz w:val="32"/>
        </w:rPr>
        <w:t>财政拨款收入支出决算情况说明</w:t>
      </w:r>
    </w:p>
    <w:p>
      <w:pPr>
        <w:pStyle w:val="6"/>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2022年度财政拨款支出2302.09万元，其中：基本支出669.51万元，项目支出1632.58万元。与上年相比，财政拨款支出减少2660.39万元，降低</w:t>
      </w:r>
      <w:r>
        <w:rPr>
          <w:rFonts w:hint="default" w:ascii="仿宋_GB2312" w:eastAsia="仿宋_GB2312"/>
          <w:sz w:val="32"/>
        </w:rPr>
        <w:t>53.61</w:t>
      </w:r>
      <w:r>
        <w:rPr>
          <w:rFonts w:ascii="仿宋_GB2312" w:eastAsia="仿宋_GB2312"/>
          <w:sz w:val="32"/>
        </w:rPr>
        <w:t>%，主要原因：征地补偿款的减少。与年初预算相比，2022年度财政拨款支出完成年初预算的90.3%，其中：基本支出完成年初预算的93%，项目支出完成年初预算的89.2%。</w:t>
      </w:r>
    </w:p>
    <w:p>
      <w:pPr>
        <w:numPr>
          <w:ilvl w:val="0"/>
          <w:numId w:val="4"/>
        </w:num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一般公共预算财政拨款支出情况。</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2022年度一般公共预算财政拨款支出2080.61万元，按支出功能分类科目分，包括：一般公共服务支出1400.5</w:t>
      </w:r>
      <w:r>
        <w:rPr>
          <w:rFonts w:hint="default" w:ascii="仿宋_GB2312" w:hAnsi="宋体" w:eastAsia="仿宋_GB2312"/>
          <w:sz w:val="32"/>
          <w:szCs w:val="32"/>
        </w:rPr>
        <w:t>8</w:t>
      </w:r>
      <w:r>
        <w:rPr>
          <w:rFonts w:ascii="仿宋_GB2312" w:hAnsi="宋体" w:eastAsia="仿宋_GB2312"/>
          <w:sz w:val="32"/>
          <w:szCs w:val="32"/>
        </w:rPr>
        <w:t>万元，占67.32%。国防支出1.98万，占0.1%。文化旅游体育与传媒支出0.23万元，占0.01%。社会保障和就业支出103.84万元，占4.99%。卫生健康支出133.52万元，占6.42%。节能环保支出27.48万元，占1.32%。城乡社区支出117.42万元，占5.64%。农林水支出185.67万元，占8.92%。住房保障支出72.89万元，占3.5%。灾害防治及应急管理支出37.01万元，占1.78%。</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1.一般公共服务支出1400.5</w:t>
      </w:r>
      <w:r>
        <w:rPr>
          <w:rFonts w:hint="default" w:ascii="仿宋_GB2312" w:hAnsi="宋体" w:eastAsia="仿宋_GB2312"/>
          <w:sz w:val="32"/>
          <w:szCs w:val="32"/>
        </w:rPr>
        <w:t>8</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（1）一般公共服务支出（类）人大事务（款）一般行政管理事务支出（项）</w:t>
      </w:r>
      <w:r>
        <w:rPr>
          <w:rFonts w:hint="default" w:ascii="仿宋_GB2312" w:hAnsi="宋体" w:eastAsia="仿宋_GB2312"/>
          <w:sz w:val="32"/>
          <w:szCs w:val="32"/>
        </w:rPr>
        <w:t>1.9</w:t>
      </w:r>
      <w:r>
        <w:rPr>
          <w:rFonts w:ascii="仿宋_GB2312" w:hAnsi="宋体" w:eastAsia="仿宋_GB2312"/>
          <w:sz w:val="32"/>
          <w:szCs w:val="32"/>
        </w:rPr>
        <w:t>万元，主要是人大换届选举工作经费等支出。完成年初预算的90.48</w:t>
      </w:r>
      <w:r>
        <w:rPr>
          <w:rFonts w:hint="default" w:ascii="仿宋_GB2312" w:hAnsi="宋体" w:eastAsia="仿宋_GB2312"/>
          <w:sz w:val="32"/>
          <w:szCs w:val="32"/>
        </w:rPr>
        <w:t>%，</w:t>
      </w:r>
      <w:r>
        <w:rPr>
          <w:rFonts w:ascii="仿宋_GB2312" w:hAnsi="宋体" w:eastAsia="仿宋_GB2312"/>
          <w:sz w:val="32"/>
          <w:szCs w:val="32"/>
        </w:rPr>
        <w:t>决算数小于年初预算数的原因主要是严格管控资金，减少经费支出。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（2）一般公共服务支出（类）政府办公厅（室）及相关机构事务（款）行政运行（项）</w:t>
      </w:r>
      <w:r>
        <w:rPr>
          <w:rFonts w:hint="default" w:ascii="仿宋_GB2312" w:hAnsi="宋体" w:eastAsia="仿宋_GB2312"/>
          <w:sz w:val="32"/>
          <w:szCs w:val="32"/>
        </w:rPr>
        <w:t>508.14</w:t>
      </w:r>
      <w:r>
        <w:rPr>
          <w:rFonts w:ascii="仿宋_GB2312" w:hAnsi="宋体" w:eastAsia="仿宋_GB2312"/>
          <w:sz w:val="32"/>
          <w:szCs w:val="32"/>
        </w:rPr>
        <w:t>万元，主要是职工工资、遗属补贴、伙食补助、以及保证街道正常运转的人员经费、办公经费、水电费等支出，完成年初预算的89.57%，决算数小于年初预算数的原因主要是街道人员增减变动，导致职工工资津补贴变动等。</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（3）一般公共服务支出（类）政府办公厅（室）及相关机构事务（款）一般行政管理事务（项）</w:t>
      </w:r>
      <w:r>
        <w:rPr>
          <w:rFonts w:hint="default" w:ascii="仿宋_GB2312" w:hAnsi="宋体" w:eastAsia="仿宋_GB2312"/>
          <w:sz w:val="32"/>
          <w:szCs w:val="32"/>
        </w:rPr>
        <w:t>20.66</w:t>
      </w:r>
      <w:r>
        <w:rPr>
          <w:rFonts w:ascii="仿宋_GB2312" w:hAnsi="宋体" w:eastAsia="仿宋_GB2312"/>
          <w:sz w:val="32"/>
          <w:szCs w:val="32"/>
        </w:rPr>
        <w:t>万元，主要是村财工作经费、雇员派遣公益性岗位等支出，完成年初预算的99.80%，决算数小于年初预算数的原因主要是人员的增减变动等。</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（4）一般公共服务支出（类）政府办公厅（室）及相关机构事务（款）信访事务（项）2</w:t>
      </w:r>
      <w:r>
        <w:rPr>
          <w:rFonts w:hint="default" w:ascii="仿宋_GB2312" w:hAnsi="宋体" w:eastAsia="仿宋_GB2312"/>
          <w:sz w:val="32"/>
          <w:szCs w:val="32"/>
        </w:rPr>
        <w:t>91.7</w:t>
      </w:r>
      <w:r>
        <w:rPr>
          <w:rFonts w:ascii="仿宋_GB2312" w:hAnsi="宋体" w:eastAsia="仿宋_GB2312"/>
          <w:sz w:val="32"/>
          <w:szCs w:val="32"/>
        </w:rPr>
        <w:t>万元，主要是街道解决上访人员困难救助等相关支出。完成年初预算的291.7%，决算数大于年初预算数的原因主要是街道信访事件多，导致控访经费支出增加。</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（5）一般公共服务支出（类）政府办公厅（室）及相关机构事务（款）其他政府办公厅（室）及相关机构事务支出（项）</w:t>
      </w:r>
      <w:r>
        <w:rPr>
          <w:rFonts w:hint="default" w:ascii="仿宋_GB2312" w:hAnsi="宋体" w:eastAsia="仿宋_GB2312"/>
          <w:sz w:val="32"/>
          <w:szCs w:val="32"/>
        </w:rPr>
        <w:t>532.54</w:t>
      </w:r>
      <w:r>
        <w:rPr>
          <w:rFonts w:ascii="仿宋_GB2312" w:hAnsi="宋体" w:eastAsia="仿宋_GB2312"/>
          <w:sz w:val="32"/>
          <w:szCs w:val="32"/>
        </w:rPr>
        <w:t>万元，主要是机动经费、内退及抗美援朝人员补助、经济统计工作经费等支出。完成年初预算的63.99%，决算数小于年初预算数的原因主要是严格管控资金，减少经费支出。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（6）一般公共服务支出（类）财政事务（款）一般行政管理事务（项）</w:t>
      </w:r>
      <w:r>
        <w:rPr>
          <w:rFonts w:hint="default" w:ascii="仿宋_GB2312" w:hAnsi="宋体" w:eastAsia="仿宋_GB2312"/>
          <w:sz w:val="32"/>
          <w:szCs w:val="32"/>
        </w:rPr>
        <w:t>0.94</w:t>
      </w:r>
      <w:r>
        <w:rPr>
          <w:rFonts w:ascii="仿宋_GB2312" w:hAnsi="宋体" w:eastAsia="仿宋_GB2312"/>
          <w:sz w:val="32"/>
          <w:szCs w:val="32"/>
        </w:rPr>
        <w:t>万元。主要是街道财务软件维护费、财务相关工作经费的支出。完成年初预算的26.86</w:t>
      </w:r>
      <w:r>
        <w:rPr>
          <w:rFonts w:hint="default" w:ascii="仿宋_GB2312" w:hAnsi="宋体" w:eastAsia="仿宋_GB2312"/>
          <w:sz w:val="32"/>
          <w:szCs w:val="32"/>
        </w:rPr>
        <w:t>%，</w:t>
      </w:r>
      <w:r>
        <w:rPr>
          <w:rFonts w:ascii="仿宋_GB2312" w:hAnsi="宋体" w:eastAsia="仿宋_GB2312"/>
          <w:sz w:val="32"/>
          <w:szCs w:val="32"/>
        </w:rPr>
        <w:t>决算数小于年初预算数的原因主要是严格管控资金，减少经费支出。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7</w:t>
      </w:r>
      <w:r>
        <w:rPr>
          <w:rFonts w:ascii="仿宋_GB2312" w:hAnsi="宋体" w:eastAsia="仿宋_GB2312"/>
          <w:sz w:val="32"/>
          <w:szCs w:val="32"/>
        </w:rPr>
        <w:t>）一般公共服务支出（类）纪检监察事务（款）其他纪检监察事务支出（项）3</w:t>
      </w:r>
      <w:r>
        <w:rPr>
          <w:rFonts w:hint="default" w:ascii="仿宋_GB2312" w:hAnsi="宋体" w:eastAsia="仿宋_GB2312"/>
          <w:sz w:val="32"/>
          <w:szCs w:val="32"/>
        </w:rPr>
        <w:t>3.01</w:t>
      </w:r>
      <w:r>
        <w:rPr>
          <w:rFonts w:ascii="仿宋_GB2312" w:hAnsi="宋体" w:eastAsia="仿宋_GB2312"/>
          <w:sz w:val="32"/>
          <w:szCs w:val="32"/>
        </w:rPr>
        <w:t>万元。主要是正风肃纪监督员补助、纪检统战工作经费支出。完成年初预算的93.25%，决算数小于年初预算数的原因主要是正风肃纪监督员人员变化。</w:t>
      </w:r>
    </w:p>
    <w:p>
      <w:pPr>
        <w:spacing w:line="560" w:lineRule="exact"/>
        <w:ind w:firstLine="660"/>
        <w:rPr>
          <w:rFonts w:hint="default" w:ascii="仿宋_GB2312" w:hAnsi="宋体" w:eastAsia="仿宋_GB2312"/>
          <w:sz w:val="32"/>
          <w:szCs w:val="32"/>
          <w:highlight w:val="yellow"/>
        </w:rPr>
      </w:pPr>
      <w:r>
        <w:rPr>
          <w:rFonts w:ascii="仿宋_GB2312" w:hAnsi="宋体" w:eastAsia="仿宋_GB2312"/>
          <w:sz w:val="32"/>
          <w:szCs w:val="32"/>
        </w:rPr>
        <w:t>（</w:t>
      </w:r>
      <w:r>
        <w:rPr>
          <w:rFonts w:hint="default" w:ascii="仿宋_GB2312" w:hAnsi="宋体" w:eastAsia="仿宋_GB2312"/>
          <w:sz w:val="32"/>
          <w:szCs w:val="32"/>
        </w:rPr>
        <w:t>8</w:t>
      </w:r>
      <w:r>
        <w:rPr>
          <w:rFonts w:ascii="仿宋_GB2312" w:hAnsi="宋体" w:eastAsia="仿宋_GB2312"/>
          <w:sz w:val="32"/>
          <w:szCs w:val="32"/>
        </w:rPr>
        <w:t>）一般公共服务支出（类）群众团体事务（款）其他群众团体事务支出（项）0.</w:t>
      </w:r>
      <w:r>
        <w:rPr>
          <w:rFonts w:hint="default" w:ascii="仿宋_GB2312" w:hAnsi="宋体" w:eastAsia="仿宋_GB2312"/>
          <w:sz w:val="32"/>
          <w:szCs w:val="32"/>
        </w:rPr>
        <w:t>94</w:t>
      </w:r>
      <w:r>
        <w:rPr>
          <w:rFonts w:ascii="仿宋_GB2312" w:hAnsi="宋体" w:eastAsia="仿宋_GB2312"/>
          <w:sz w:val="32"/>
          <w:szCs w:val="32"/>
        </w:rPr>
        <w:t>万元。主要是群团工作经费支出。完成年初预算的47%，决算数小于年初预算数的原因主要是严格管控资金，减少经费支出。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9</w:t>
      </w:r>
      <w:r>
        <w:rPr>
          <w:rFonts w:ascii="仿宋_GB2312" w:hAnsi="宋体" w:eastAsia="仿宋_GB2312"/>
          <w:sz w:val="32"/>
          <w:szCs w:val="32"/>
        </w:rPr>
        <w:t>）一般公共服务支出（类）党委办公厅（室）及相关机构事务（款）其他党委办公厅（室）及相关机构事务支出</w:t>
      </w:r>
      <w:r>
        <w:rPr>
          <w:rFonts w:hint="default" w:ascii="仿宋_GB2312" w:hAnsi="宋体" w:eastAsia="仿宋_GB2312"/>
          <w:sz w:val="32"/>
          <w:szCs w:val="32"/>
        </w:rPr>
        <w:t>5.86</w:t>
      </w:r>
      <w:r>
        <w:rPr>
          <w:rFonts w:ascii="仿宋_GB2312" w:hAnsi="宋体" w:eastAsia="仿宋_GB2312"/>
          <w:sz w:val="32"/>
          <w:szCs w:val="32"/>
        </w:rPr>
        <w:t>万元。主要是街道党建活动、订购党建书籍等支出。完成年初预算的58.6%，决算数小于年初预算数的原因主要是严格管控资金减少经费支出。</w:t>
      </w:r>
    </w:p>
    <w:p>
      <w:pPr>
        <w:spacing w:line="560" w:lineRule="exact"/>
        <w:ind w:firstLine="660"/>
        <w:rPr>
          <w:rFonts w:hint="default" w:ascii="仿宋_GB2312" w:hAnsi="宋体" w:eastAsia="仿宋_GB2312"/>
          <w:color w:val="auto"/>
          <w:sz w:val="32"/>
          <w:szCs w:val="32"/>
          <w:highlight w:val="none"/>
        </w:rPr>
      </w:pPr>
      <w:r>
        <w:rPr>
          <w:rFonts w:ascii="仿宋_GB2312" w:hAnsi="宋体" w:eastAsia="仿宋_GB2312"/>
          <w:sz w:val="32"/>
          <w:szCs w:val="32"/>
        </w:rPr>
        <w:t>（1</w:t>
      </w:r>
      <w:r>
        <w:rPr>
          <w:rFonts w:hint="default" w:ascii="仿宋_GB2312" w:hAnsi="宋体" w:eastAsia="仿宋_GB2312"/>
          <w:sz w:val="32"/>
          <w:szCs w:val="32"/>
        </w:rPr>
        <w:t>0</w:t>
      </w:r>
      <w:r>
        <w:rPr>
          <w:rFonts w:ascii="仿宋_GB2312" w:hAnsi="宋体" w:eastAsia="仿宋_GB2312"/>
          <w:sz w:val="32"/>
          <w:szCs w:val="32"/>
        </w:rPr>
        <w:t>）一般公共服务支出（类）组织事务（款）其他组织事务支出（项）</w:t>
      </w:r>
      <w:r>
        <w:rPr>
          <w:rFonts w:hint="default" w:ascii="仿宋_GB2312" w:hAnsi="宋体" w:eastAsia="仿宋_GB2312"/>
          <w:sz w:val="32"/>
          <w:szCs w:val="32"/>
        </w:rPr>
        <w:t>2</w:t>
      </w:r>
      <w:r>
        <w:rPr>
          <w:rFonts w:ascii="仿宋_GB2312" w:hAnsi="宋体" w:eastAsia="仿宋_GB2312"/>
          <w:sz w:val="32"/>
          <w:szCs w:val="32"/>
        </w:rPr>
        <w:t>万元。</w:t>
      </w:r>
      <w:r>
        <w:rPr>
          <w:rFonts w:ascii="仿宋_GB2312" w:hAnsi="宋体" w:eastAsia="仿宋_GB2312"/>
          <w:color w:val="auto"/>
          <w:sz w:val="32"/>
          <w:szCs w:val="32"/>
          <w:highlight w:val="none"/>
        </w:rPr>
        <w:t>主要是党建经费上级专项资金。年初无此项预算。</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default" w:ascii="仿宋_GB2312" w:hAnsi="宋体" w:eastAsia="仿宋_GB2312"/>
          <w:sz w:val="32"/>
          <w:szCs w:val="32"/>
        </w:rPr>
        <w:t>1</w:t>
      </w:r>
      <w:r>
        <w:rPr>
          <w:rFonts w:ascii="仿宋_GB2312" w:hAnsi="宋体" w:eastAsia="仿宋_GB2312"/>
          <w:sz w:val="32"/>
          <w:szCs w:val="32"/>
        </w:rPr>
        <w:t>）一般公共服务支出（类）宣传事务（款）其他宣传事务支出（项）</w:t>
      </w:r>
      <w:r>
        <w:rPr>
          <w:rFonts w:hint="default" w:ascii="仿宋_GB2312" w:hAnsi="宋体" w:eastAsia="仿宋_GB2312"/>
          <w:sz w:val="32"/>
          <w:szCs w:val="32"/>
        </w:rPr>
        <w:t>2.89</w:t>
      </w:r>
      <w:r>
        <w:rPr>
          <w:rFonts w:ascii="仿宋_GB2312" w:hAnsi="宋体" w:eastAsia="仿宋_GB2312"/>
          <w:sz w:val="32"/>
          <w:szCs w:val="32"/>
        </w:rPr>
        <w:t>万元。主要是宣传活动经费支出。完成年初预算的96.33%，决算数小于年初预算数的原因主要是严格管控资金，减少经费支出。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2.国防支出1.9</w:t>
      </w:r>
      <w:r>
        <w:rPr>
          <w:rFonts w:hint="default" w:ascii="仿宋_GB2312" w:hAnsi="宋体" w:eastAsia="仿宋_GB2312"/>
          <w:sz w:val="32"/>
          <w:szCs w:val="32"/>
        </w:rPr>
        <w:t>8</w:t>
      </w:r>
      <w:r>
        <w:rPr>
          <w:rFonts w:ascii="仿宋_GB2312" w:hAnsi="宋体" w:eastAsia="仿宋_GB2312"/>
          <w:sz w:val="32"/>
          <w:szCs w:val="32"/>
        </w:rPr>
        <w:t>万，具体包括：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（1）国防支出（类）国防动员（款）其他国防动员支出（项）1.9</w:t>
      </w:r>
      <w:r>
        <w:rPr>
          <w:rFonts w:hint="default" w:ascii="仿宋_GB2312" w:hAnsi="宋体" w:eastAsia="仿宋_GB2312"/>
          <w:sz w:val="32"/>
          <w:szCs w:val="32"/>
        </w:rPr>
        <w:t>8</w:t>
      </w:r>
      <w:r>
        <w:rPr>
          <w:rFonts w:ascii="仿宋_GB2312" w:hAnsi="宋体" w:eastAsia="仿宋_GB2312"/>
          <w:sz w:val="32"/>
          <w:szCs w:val="32"/>
        </w:rPr>
        <w:t>万元。主要是武装工作经费支出。完成年初预算的99%，决算数小于年初预算数的原因是严格管控资金，减少经费支出。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3.文化旅游体育与传媒支出</w:t>
      </w:r>
      <w:r>
        <w:rPr>
          <w:rFonts w:hint="default" w:ascii="仿宋_GB2312" w:hAnsi="宋体" w:eastAsia="仿宋_GB2312"/>
          <w:sz w:val="32"/>
          <w:szCs w:val="32"/>
        </w:rPr>
        <w:t>0.23</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（1）文化旅游体育与传媒支出（类）文化和旅游（款）其他文化和旅游支出（项）</w:t>
      </w:r>
      <w:r>
        <w:rPr>
          <w:rFonts w:hint="default" w:ascii="仿宋_GB2312" w:hAnsi="宋体" w:eastAsia="仿宋_GB2312"/>
          <w:sz w:val="32"/>
          <w:szCs w:val="32"/>
        </w:rPr>
        <w:t>0.23</w:t>
      </w:r>
      <w:r>
        <w:rPr>
          <w:rFonts w:ascii="仿宋_GB2312" w:hAnsi="宋体" w:eastAsia="仿宋_GB2312"/>
          <w:sz w:val="32"/>
          <w:szCs w:val="32"/>
        </w:rPr>
        <w:t>万元。主要是文体活动经费支出。完成年初预算的7.67%，决算数小于年初预算数的原因是严格管控资金，减少经费支出。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4.社会保障和就业支出</w:t>
      </w:r>
      <w:r>
        <w:rPr>
          <w:rFonts w:hint="default" w:ascii="仿宋_GB2312" w:hAnsi="宋体" w:eastAsia="仿宋_GB2312"/>
          <w:sz w:val="32"/>
          <w:szCs w:val="32"/>
        </w:rPr>
        <w:t>103.84</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（1）社会保障和就业支出（类）民政管理事务（款）基层政权建设和社区治理（项）</w:t>
      </w:r>
      <w:r>
        <w:rPr>
          <w:rFonts w:hint="default" w:ascii="仿宋_GB2312" w:hAnsi="宋体" w:eastAsia="仿宋_GB2312"/>
          <w:sz w:val="32"/>
          <w:szCs w:val="32"/>
        </w:rPr>
        <w:t>36.07</w:t>
      </w:r>
      <w:r>
        <w:rPr>
          <w:rFonts w:ascii="仿宋_GB2312" w:hAnsi="宋体" w:eastAsia="仿宋_GB2312"/>
          <w:sz w:val="32"/>
          <w:szCs w:val="32"/>
        </w:rPr>
        <w:t>万元。主要是城市社区办公、水电等工作经费、党建工作经费支出。完成年初预算的116.35%。决算数大于年初预算数的原因是城市社区工作经费的支出增加。</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（2）社会保障和就业支出（类）行政事业单位养老支出（款）行政单位离退休（项）6.</w:t>
      </w:r>
      <w:r>
        <w:rPr>
          <w:rFonts w:hint="default" w:ascii="仿宋_GB2312" w:hAnsi="宋体" w:eastAsia="仿宋_GB2312"/>
          <w:sz w:val="32"/>
          <w:szCs w:val="32"/>
        </w:rPr>
        <w:t>29</w:t>
      </w:r>
      <w:r>
        <w:rPr>
          <w:rFonts w:ascii="仿宋_GB2312" w:hAnsi="宋体" w:eastAsia="仿宋_GB2312"/>
          <w:sz w:val="32"/>
          <w:szCs w:val="32"/>
        </w:rPr>
        <w:t>万元。主要是街道退休人员采暖费补贴支出，完成年初预算的97.22%，决算数小于年初预算数的原因是退休人数的变动。</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w:t>
      </w:r>
      <w:r>
        <w:rPr>
          <w:rFonts w:hint="default" w:ascii="仿宋_GB2312" w:hAnsi="宋体" w:eastAsia="仿宋_GB2312"/>
          <w:sz w:val="32"/>
          <w:szCs w:val="32"/>
        </w:rPr>
        <w:t>48.43</w:t>
      </w:r>
      <w:r>
        <w:rPr>
          <w:rFonts w:ascii="仿宋_GB2312" w:hAnsi="宋体" w:eastAsia="仿宋_GB2312"/>
          <w:sz w:val="32"/>
          <w:szCs w:val="32"/>
        </w:rPr>
        <w:t>万元。主要是街道人员养老保险经费支出，完成年初预算的147.88%，决算数大于年初预算数的原因是街道人员变动，养老保险缴费基数的变化等。</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（4）社会保障和就业支出（类）行政事业单位养老支出（款）机关事业单位职业年金缴费支出（项）</w:t>
      </w:r>
      <w:r>
        <w:rPr>
          <w:rFonts w:hint="default" w:ascii="仿宋_GB2312" w:hAnsi="宋体" w:eastAsia="仿宋_GB2312"/>
          <w:sz w:val="32"/>
          <w:szCs w:val="32"/>
        </w:rPr>
        <w:t>12.8</w:t>
      </w:r>
      <w:r>
        <w:rPr>
          <w:rFonts w:ascii="仿宋_GB2312" w:hAnsi="宋体" w:eastAsia="仿宋_GB2312"/>
          <w:sz w:val="32"/>
          <w:szCs w:val="32"/>
        </w:rPr>
        <w:t>万元。主要是街道人员职业年金经费支出，完成年初预算的78.14%，决算数小于年初预算数的原因是在职人员只缴纳个人部分，对当年退休人员补缴单位部分及利息款。</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（5）社会保障和就业支出（类）残疾人事业（款）其他残疾人事业支出（项）</w:t>
      </w:r>
      <w:r>
        <w:rPr>
          <w:rFonts w:hint="default" w:ascii="仿宋_GB2312" w:hAnsi="宋体" w:eastAsia="仿宋_GB2312"/>
          <w:sz w:val="32"/>
          <w:szCs w:val="32"/>
        </w:rPr>
        <w:t>0.1</w:t>
      </w:r>
      <w:r>
        <w:rPr>
          <w:rFonts w:ascii="仿宋_GB2312" w:hAnsi="宋体" w:eastAsia="仿宋_GB2312"/>
          <w:sz w:val="32"/>
          <w:szCs w:val="32"/>
        </w:rPr>
        <w:t>万元。主要是残联换届经费支出，年初无预算。</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（6）社会保障和就业支出（类）其他生活救助（款）其他农村生活救助（项）</w:t>
      </w:r>
      <w:r>
        <w:rPr>
          <w:rFonts w:hint="default" w:ascii="仿宋_GB2312" w:hAnsi="宋体" w:eastAsia="仿宋_GB2312"/>
          <w:sz w:val="32"/>
          <w:szCs w:val="32"/>
        </w:rPr>
        <w:t>0.15</w:t>
      </w:r>
      <w:r>
        <w:rPr>
          <w:rFonts w:ascii="仿宋_GB2312" w:hAnsi="宋体" w:eastAsia="仿宋_GB2312"/>
          <w:sz w:val="32"/>
          <w:szCs w:val="32"/>
        </w:rPr>
        <w:t>万元。完成年初预算的5%，主要是解决街道内困难群体应急救助经费支出，决算数小于年初预算数的原因是严格管控资金，减少经费支出。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5.卫生健康支出</w:t>
      </w:r>
      <w:r>
        <w:rPr>
          <w:rFonts w:hint="default" w:ascii="仿宋_GB2312" w:hAnsi="宋体" w:eastAsia="仿宋_GB2312"/>
          <w:sz w:val="32"/>
          <w:szCs w:val="32"/>
        </w:rPr>
        <w:t>133.52</w:t>
      </w:r>
      <w:r>
        <w:rPr>
          <w:rFonts w:ascii="仿宋_GB2312" w:hAnsi="宋体" w:eastAsia="仿宋_GB2312"/>
          <w:sz w:val="32"/>
          <w:szCs w:val="32"/>
        </w:rPr>
        <w:t>万元，具体包括：</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（1）卫生健康支出（类）基层医疗卫生机构（款）其他基层医疗卫生机构支出（项）</w:t>
      </w:r>
      <w:r>
        <w:rPr>
          <w:rFonts w:hint="default" w:ascii="仿宋_GB2312" w:hAnsi="宋体" w:eastAsia="仿宋_GB2312"/>
          <w:sz w:val="32"/>
          <w:szCs w:val="32"/>
        </w:rPr>
        <w:t>5.35</w:t>
      </w:r>
      <w:r>
        <w:rPr>
          <w:rFonts w:ascii="仿宋_GB2312" w:hAnsi="宋体" w:eastAsia="仿宋_GB2312"/>
          <w:sz w:val="32"/>
          <w:szCs w:val="32"/>
        </w:rPr>
        <w:t>万元。完成年初预算的59.44%，主要是街道域内7个村卫生室水电采暖费经费支出，决算数小于年初预算数的原因是严格管控资金，减少经费支出。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（2）卫生健康支出（类）公共卫生（款）重大公共卫生服务（项）</w:t>
      </w:r>
      <w:r>
        <w:rPr>
          <w:rFonts w:hint="default" w:ascii="仿宋_GB2312" w:hAnsi="宋体" w:eastAsia="仿宋_GB2312"/>
          <w:sz w:val="32"/>
          <w:szCs w:val="32"/>
        </w:rPr>
        <w:t>107.21</w:t>
      </w:r>
      <w:r>
        <w:rPr>
          <w:rFonts w:ascii="仿宋_GB2312" w:hAnsi="宋体" w:eastAsia="仿宋_GB2312"/>
          <w:sz w:val="32"/>
          <w:szCs w:val="32"/>
        </w:rPr>
        <w:t>万元。主要是疫情防控、核酸检测人员餐费等支出。年初无此项预算。</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）卫生健康支出（类）行政事业单位医疗（款）行政单位医疗（项）18.</w:t>
      </w:r>
      <w:r>
        <w:rPr>
          <w:rFonts w:hint="default" w:ascii="仿宋_GB2312" w:hAnsi="宋体" w:eastAsia="仿宋_GB2312"/>
          <w:sz w:val="32"/>
          <w:szCs w:val="32"/>
        </w:rPr>
        <w:t>79</w:t>
      </w:r>
      <w:r>
        <w:rPr>
          <w:rFonts w:ascii="仿宋_GB2312" w:hAnsi="宋体" w:eastAsia="仿宋_GB2312"/>
          <w:sz w:val="32"/>
          <w:szCs w:val="32"/>
        </w:rPr>
        <w:t>万元。主要是街道在职人员医疗保险单位费用支出。完成年初预算的106.70%，决算数大于年初预算数的原因主要是街道人员变动，医保基数调增等。</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）卫生健康支出（类）行政事业单位医疗（款）公务员医疗补助（项）2.</w:t>
      </w:r>
      <w:r>
        <w:rPr>
          <w:rFonts w:hint="default" w:ascii="仿宋_GB2312" w:hAnsi="宋体" w:eastAsia="仿宋_GB2312"/>
          <w:sz w:val="32"/>
          <w:szCs w:val="32"/>
        </w:rPr>
        <w:t>17</w:t>
      </w:r>
      <w:r>
        <w:rPr>
          <w:rFonts w:ascii="仿宋_GB2312" w:hAnsi="宋体" w:eastAsia="仿宋_GB2312"/>
          <w:sz w:val="32"/>
          <w:szCs w:val="32"/>
        </w:rPr>
        <w:t>万。主要是街道在职及退休人员医疗补助支出。完成年初预算的101.40%，决算数大于年初预算数的原因主要是街道人员变动。</w:t>
      </w:r>
    </w:p>
    <w:p>
      <w:pPr>
        <w:spacing w:line="560" w:lineRule="exact"/>
        <w:ind w:firstLine="660"/>
        <w:rPr>
          <w:rFonts w:hint="default" w:ascii="仿宋_GB2312" w:hAnsi="宋体" w:eastAsia="仿宋_GB2312"/>
          <w:color w:val="auto"/>
          <w:sz w:val="32"/>
          <w:szCs w:val="32"/>
        </w:rPr>
      </w:pPr>
      <w:r>
        <w:rPr>
          <w:rFonts w:ascii="仿宋_GB2312" w:hAnsi="宋体" w:eastAsia="仿宋_GB2312"/>
          <w:color w:val="auto"/>
          <w:sz w:val="32"/>
          <w:szCs w:val="32"/>
        </w:rPr>
        <w:t>6.节能环保支出</w:t>
      </w:r>
      <w:r>
        <w:rPr>
          <w:rFonts w:hint="default" w:ascii="仿宋_GB2312" w:hAnsi="宋体" w:eastAsia="仿宋_GB2312"/>
          <w:color w:val="auto"/>
          <w:sz w:val="32"/>
          <w:szCs w:val="32"/>
        </w:rPr>
        <w:t>27.48</w:t>
      </w:r>
      <w:r>
        <w:rPr>
          <w:rFonts w:ascii="仿宋_GB2312" w:hAnsi="宋体" w:eastAsia="仿宋_GB2312"/>
          <w:color w:val="auto"/>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color w:val="auto"/>
          <w:sz w:val="32"/>
          <w:szCs w:val="32"/>
        </w:rPr>
        <w:t>（1）节能环保支出（类）污染防治（款）大气（项）</w:t>
      </w:r>
      <w:r>
        <w:rPr>
          <w:rFonts w:hint="default" w:ascii="仿宋_GB2312" w:hAnsi="宋体" w:eastAsia="仿宋_GB2312"/>
          <w:color w:val="auto"/>
          <w:sz w:val="32"/>
          <w:szCs w:val="32"/>
        </w:rPr>
        <w:t>27.48</w:t>
      </w:r>
      <w:r>
        <w:rPr>
          <w:rFonts w:ascii="仿宋_GB2312" w:hAnsi="宋体" w:eastAsia="仿宋_GB2312"/>
          <w:color w:val="auto"/>
          <w:sz w:val="32"/>
          <w:szCs w:val="32"/>
        </w:rPr>
        <w:t>万元。主要是秸秆禁烧巡查工作经费支出。完成年初预算的49.96%，决算</w:t>
      </w:r>
      <w:r>
        <w:rPr>
          <w:rFonts w:ascii="仿宋_GB2312" w:hAnsi="宋体" w:eastAsia="仿宋_GB2312"/>
          <w:sz w:val="32"/>
          <w:szCs w:val="32"/>
        </w:rPr>
        <w:t>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7.城乡社区支出</w:t>
      </w:r>
      <w:r>
        <w:rPr>
          <w:rFonts w:hint="default" w:ascii="仿宋_GB2312" w:hAnsi="宋体" w:eastAsia="仿宋_GB2312"/>
          <w:sz w:val="32"/>
          <w:szCs w:val="32"/>
        </w:rPr>
        <w:t>117.42</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）城乡社区支出（类）城乡社区管理事务（款）其他城乡社区管理事务支出（项）</w:t>
      </w:r>
      <w:r>
        <w:rPr>
          <w:rFonts w:hint="default" w:ascii="仿宋_GB2312" w:hAnsi="宋体" w:eastAsia="仿宋_GB2312"/>
          <w:sz w:val="32"/>
          <w:szCs w:val="32"/>
        </w:rPr>
        <w:t>40</w:t>
      </w:r>
      <w:r>
        <w:rPr>
          <w:rFonts w:ascii="仿宋_GB2312" w:hAnsi="宋体" w:eastAsia="仿宋_GB2312"/>
          <w:sz w:val="32"/>
          <w:szCs w:val="32"/>
        </w:rPr>
        <w:t>万元。主要是征收人员工作加班补助、车补等支出。完成年初预算的50%。决算数小于年初预算数的原因是征收人员变动以及控制项目经费的支出。</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）城乡社区支出（类）城乡社区环境卫生（款）城乡社区环境卫生（项）</w:t>
      </w:r>
      <w:r>
        <w:rPr>
          <w:rFonts w:hint="default" w:ascii="仿宋_GB2312" w:hAnsi="宋体" w:eastAsia="仿宋_GB2312"/>
          <w:sz w:val="32"/>
          <w:szCs w:val="32"/>
        </w:rPr>
        <w:t>19</w:t>
      </w:r>
      <w:r>
        <w:rPr>
          <w:rFonts w:ascii="仿宋_GB2312" w:hAnsi="宋体" w:eastAsia="仿宋_GB2312"/>
          <w:sz w:val="32"/>
          <w:szCs w:val="32"/>
        </w:rPr>
        <w:t>万元。主要是街道老旧小区应急维修工作经费支出。完成年初预算的10%，决算数小于年初预算数的原因是严格管控资金，减少经费支出。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）城乡社区支出（类）其他城乡社区支出（款）其他城乡社区支出（项）5</w:t>
      </w:r>
      <w:r>
        <w:rPr>
          <w:rFonts w:hint="default" w:ascii="仿宋_GB2312" w:hAnsi="宋体" w:eastAsia="仿宋_GB2312"/>
          <w:sz w:val="32"/>
          <w:szCs w:val="32"/>
        </w:rPr>
        <w:t>8.42</w:t>
      </w:r>
      <w:r>
        <w:rPr>
          <w:rFonts w:ascii="仿宋_GB2312" w:hAnsi="宋体" w:eastAsia="仿宋_GB2312"/>
          <w:sz w:val="32"/>
          <w:szCs w:val="32"/>
        </w:rPr>
        <w:t>万元。主要是社会稳定维护专项经费支出。年初无此项预算。</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8.农林水支出</w:t>
      </w:r>
      <w:r>
        <w:rPr>
          <w:rFonts w:hint="default" w:ascii="仿宋_GB2312" w:hAnsi="宋体" w:eastAsia="仿宋_GB2312"/>
          <w:sz w:val="32"/>
          <w:szCs w:val="32"/>
        </w:rPr>
        <w:t>185.67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1</w:t>
      </w:r>
      <w:r>
        <w:rPr>
          <w:rFonts w:ascii="仿宋_GB2312" w:hAnsi="宋体" w:eastAsia="仿宋_GB2312"/>
          <w:sz w:val="32"/>
          <w:szCs w:val="32"/>
        </w:rPr>
        <w:t>）农林水支出（类）农业农村（款）行业业务管理（项）</w:t>
      </w:r>
      <w:r>
        <w:rPr>
          <w:rFonts w:hint="default" w:ascii="仿宋_GB2312" w:hAnsi="宋体" w:eastAsia="仿宋_GB2312"/>
          <w:sz w:val="32"/>
          <w:szCs w:val="32"/>
        </w:rPr>
        <w:t>15</w:t>
      </w:r>
      <w:r>
        <w:rPr>
          <w:rFonts w:ascii="仿宋_GB2312" w:hAnsi="宋体" w:eastAsia="仿宋_GB2312"/>
          <w:sz w:val="32"/>
          <w:szCs w:val="32"/>
        </w:rPr>
        <w:t>万元。主要是村务监督委员会工作经费支出。完成年初预算的100%。</w:t>
      </w:r>
    </w:p>
    <w:p>
      <w:pPr>
        <w:spacing w:line="560" w:lineRule="exact"/>
        <w:ind w:firstLine="660"/>
        <w:rPr>
          <w:rFonts w:hint="default" w:ascii="仿宋_GB2312" w:hAnsi="宋体" w:eastAsia="仿宋_GB2312"/>
          <w:color w:val="auto"/>
          <w:sz w:val="32"/>
          <w:szCs w:val="32"/>
        </w:rPr>
      </w:pPr>
      <w:r>
        <w:rPr>
          <w:rFonts w:ascii="仿宋_GB2312" w:hAnsi="宋体" w:eastAsia="仿宋_GB2312"/>
          <w:sz w:val="32"/>
          <w:szCs w:val="32"/>
        </w:rPr>
        <w:t>（</w:t>
      </w:r>
      <w:r>
        <w:rPr>
          <w:rFonts w:hint="default" w:ascii="仿宋_GB2312" w:hAnsi="宋体" w:eastAsia="仿宋_GB2312"/>
          <w:sz w:val="32"/>
          <w:szCs w:val="32"/>
        </w:rPr>
        <w:t>2</w:t>
      </w:r>
      <w:r>
        <w:rPr>
          <w:rFonts w:ascii="仿宋_GB2312" w:hAnsi="宋体" w:eastAsia="仿宋_GB2312"/>
          <w:sz w:val="32"/>
          <w:szCs w:val="32"/>
        </w:rPr>
        <w:t>）</w:t>
      </w:r>
      <w:r>
        <w:rPr>
          <w:rFonts w:ascii="仿宋_GB2312" w:hAnsi="宋体" w:eastAsia="仿宋_GB2312"/>
          <w:color w:val="auto"/>
          <w:sz w:val="32"/>
          <w:szCs w:val="32"/>
        </w:rPr>
        <w:t>农林水支出（类）农业农村（款）农村社会事业（项）</w:t>
      </w:r>
      <w:r>
        <w:rPr>
          <w:rFonts w:hint="default" w:ascii="仿宋_GB2312" w:hAnsi="宋体" w:eastAsia="仿宋_GB2312"/>
          <w:color w:val="auto"/>
          <w:sz w:val="32"/>
          <w:szCs w:val="32"/>
        </w:rPr>
        <w:t>29.87</w:t>
      </w:r>
      <w:r>
        <w:rPr>
          <w:rFonts w:ascii="仿宋_GB2312" w:hAnsi="宋体" w:eastAsia="仿宋_GB2312"/>
          <w:color w:val="auto"/>
          <w:sz w:val="32"/>
          <w:szCs w:val="32"/>
        </w:rPr>
        <w:t>万元。主要是村庄清理经费支出、户厕清掏支出。完成年初预算的13.11%。决算数小于年初预算数的原因是加强资金管控，减少经费支出。</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3</w:t>
      </w:r>
      <w:r>
        <w:rPr>
          <w:rFonts w:ascii="仿宋_GB2312" w:hAnsi="宋体" w:eastAsia="仿宋_GB2312"/>
          <w:sz w:val="32"/>
          <w:szCs w:val="32"/>
        </w:rPr>
        <w:t>）农林水支出（类）农业农村（款）其他农业农村支出（项）</w:t>
      </w:r>
      <w:r>
        <w:rPr>
          <w:rFonts w:hint="default" w:ascii="仿宋_GB2312" w:hAnsi="宋体" w:eastAsia="仿宋_GB2312"/>
          <w:sz w:val="32"/>
          <w:szCs w:val="32"/>
        </w:rPr>
        <w:t>51.3</w:t>
      </w:r>
      <w:r>
        <w:rPr>
          <w:rFonts w:ascii="仿宋_GB2312" w:hAnsi="宋体" w:eastAsia="仿宋_GB2312"/>
          <w:sz w:val="32"/>
          <w:szCs w:val="32"/>
        </w:rPr>
        <w:t>万元。主要是街道疫情防控经费支出。年初无此项预算。</w:t>
      </w:r>
    </w:p>
    <w:p>
      <w:pPr>
        <w:spacing w:line="540" w:lineRule="exact"/>
        <w:ind w:firstLine="64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4</w:t>
      </w:r>
      <w:r>
        <w:rPr>
          <w:rFonts w:ascii="仿宋_GB2312" w:hAnsi="宋体" w:eastAsia="仿宋_GB2312"/>
          <w:sz w:val="32"/>
          <w:szCs w:val="32"/>
        </w:rPr>
        <w:t>）农林水支出（类）水利（款）防汛（项）</w:t>
      </w:r>
      <w:r>
        <w:rPr>
          <w:rFonts w:hint="default" w:ascii="仿宋_GB2312" w:hAnsi="宋体" w:eastAsia="仿宋_GB2312"/>
          <w:sz w:val="32"/>
          <w:szCs w:val="32"/>
        </w:rPr>
        <w:t>10</w:t>
      </w:r>
      <w:r>
        <w:rPr>
          <w:rFonts w:ascii="仿宋_GB2312" w:hAnsi="宋体" w:eastAsia="仿宋_GB2312"/>
          <w:sz w:val="32"/>
          <w:szCs w:val="32"/>
        </w:rPr>
        <w:t>万元。主要用于街道防汛期间的工作经费。完成年初预算的100%。</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w:t>
      </w:r>
      <w:r>
        <w:rPr>
          <w:rFonts w:hint="default" w:ascii="仿宋_GB2312" w:hAnsi="宋体" w:eastAsia="仿宋_GB2312"/>
          <w:sz w:val="32"/>
          <w:szCs w:val="32"/>
        </w:rPr>
        <w:t>5</w:t>
      </w:r>
      <w:r>
        <w:rPr>
          <w:rFonts w:ascii="仿宋_GB2312" w:hAnsi="宋体" w:eastAsia="仿宋_GB2312"/>
          <w:sz w:val="32"/>
          <w:szCs w:val="32"/>
        </w:rPr>
        <w:t>）农林水支出（类）水利（款）农村人畜饮水（项）4.</w:t>
      </w:r>
      <w:r>
        <w:rPr>
          <w:rFonts w:hint="default" w:ascii="仿宋_GB2312" w:hAnsi="宋体" w:eastAsia="仿宋_GB2312"/>
          <w:sz w:val="32"/>
          <w:szCs w:val="32"/>
        </w:rPr>
        <w:t>5</w:t>
      </w:r>
      <w:r>
        <w:rPr>
          <w:rFonts w:ascii="仿宋_GB2312" w:hAnsi="宋体" w:eastAsia="仿宋_GB2312"/>
          <w:sz w:val="32"/>
          <w:szCs w:val="32"/>
        </w:rPr>
        <w:t>万元。主要是农村饮水管维修、维护费支出。完成年初预算的100%。</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w:t>
      </w:r>
      <w:r>
        <w:rPr>
          <w:rFonts w:hint="default" w:ascii="仿宋_GB2312" w:hAnsi="宋体" w:eastAsia="仿宋_GB2312"/>
          <w:sz w:val="32"/>
          <w:szCs w:val="32"/>
        </w:rPr>
        <w:t>6</w:t>
      </w:r>
      <w:r>
        <w:rPr>
          <w:rFonts w:ascii="仿宋_GB2312" w:hAnsi="宋体" w:eastAsia="仿宋_GB2312"/>
          <w:sz w:val="32"/>
          <w:szCs w:val="32"/>
        </w:rPr>
        <w:t>）农林水支出（类）农村综合改革（款）对村民委</w:t>
      </w:r>
      <w:r>
        <w:rPr>
          <w:rFonts w:ascii="仿宋_GB2312" w:hAnsi="宋体" w:eastAsia="仿宋_GB2312"/>
          <w:sz w:val="32"/>
          <w:szCs w:val="32"/>
          <w:highlight w:val="none"/>
        </w:rPr>
        <w:t>员会和村党支部的补助（项）</w:t>
      </w:r>
      <w:r>
        <w:rPr>
          <w:rFonts w:hint="default" w:ascii="仿宋_GB2312" w:hAnsi="宋体" w:eastAsia="仿宋_GB2312"/>
          <w:sz w:val="32"/>
          <w:szCs w:val="32"/>
          <w:highlight w:val="none"/>
        </w:rPr>
        <w:t>75</w:t>
      </w:r>
      <w:r>
        <w:rPr>
          <w:rFonts w:ascii="仿宋_GB2312" w:hAnsi="宋体" w:eastAsia="仿宋_GB2312"/>
          <w:sz w:val="32"/>
          <w:szCs w:val="32"/>
          <w:highlight w:val="none"/>
        </w:rPr>
        <w:t>万元。主要是涉农社区党建及办公经费支出。完成年初预算的90.91%，决算数小于年初预算数的原因是加强资金管控，减少经费支出。</w:t>
      </w:r>
    </w:p>
    <w:p>
      <w:pPr>
        <w:spacing w:line="560" w:lineRule="exact"/>
        <w:ind w:firstLine="660"/>
        <w:rPr>
          <w:rFonts w:hint="default" w:ascii="仿宋_GB2312" w:hAnsi="宋体" w:eastAsia="仿宋_GB2312"/>
          <w:sz w:val="32"/>
          <w:szCs w:val="32"/>
          <w:highlight w:val="none"/>
        </w:rPr>
      </w:pPr>
      <w:r>
        <w:rPr>
          <w:rFonts w:hint="default" w:ascii="仿宋_GB2312" w:hAnsi="宋体" w:eastAsia="仿宋_GB2312"/>
          <w:sz w:val="32"/>
          <w:szCs w:val="32"/>
          <w:highlight w:val="none"/>
        </w:rPr>
        <w:t>9.</w:t>
      </w:r>
      <w:r>
        <w:rPr>
          <w:rFonts w:ascii="仿宋_GB2312" w:hAnsi="宋体" w:eastAsia="仿宋_GB2312"/>
          <w:sz w:val="32"/>
          <w:szCs w:val="32"/>
          <w:highlight w:val="none"/>
        </w:rPr>
        <w:t>住房保障支出</w:t>
      </w:r>
      <w:r>
        <w:rPr>
          <w:rFonts w:hint="default" w:ascii="仿宋_GB2312" w:hAnsi="宋体" w:eastAsia="仿宋_GB2312"/>
          <w:sz w:val="32"/>
          <w:szCs w:val="32"/>
          <w:highlight w:val="none"/>
        </w:rPr>
        <w:t>72.89</w:t>
      </w:r>
      <w:r>
        <w:rPr>
          <w:rFonts w:ascii="仿宋_GB2312" w:hAnsi="宋体" w:eastAsia="仿宋_GB2312"/>
          <w:sz w:val="32"/>
          <w:szCs w:val="32"/>
          <w:highlight w:val="none"/>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（1）住房保障支出（类）住房改革支出（款）住房公积金（项）</w:t>
      </w:r>
      <w:r>
        <w:rPr>
          <w:rFonts w:hint="default" w:ascii="仿宋_GB2312" w:hAnsi="宋体" w:eastAsia="仿宋_GB2312"/>
          <w:sz w:val="32"/>
          <w:szCs w:val="32"/>
          <w:highlight w:val="none"/>
        </w:rPr>
        <w:t>72.89</w:t>
      </w:r>
      <w:r>
        <w:rPr>
          <w:rFonts w:ascii="仿宋_GB2312" w:hAnsi="宋体" w:eastAsia="仿宋_GB2312"/>
          <w:sz w:val="32"/>
          <w:szCs w:val="32"/>
          <w:highlight w:val="none"/>
        </w:rPr>
        <w:t>万元。主要用于街道在职人员公积金单位承担部分。完成年初预算的94.42%，决算数小于年初预算数的原因是街道人员变化。</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w:t>
      </w:r>
      <w:r>
        <w:rPr>
          <w:rFonts w:hint="default" w:ascii="仿宋_GB2312" w:hAnsi="宋体" w:eastAsia="仿宋_GB2312"/>
          <w:sz w:val="32"/>
          <w:szCs w:val="32"/>
          <w:highlight w:val="none"/>
        </w:rPr>
        <w:t>0</w:t>
      </w:r>
      <w:r>
        <w:rPr>
          <w:rFonts w:ascii="仿宋_GB2312" w:hAnsi="宋体" w:eastAsia="仿宋_GB2312"/>
          <w:sz w:val="32"/>
          <w:szCs w:val="32"/>
          <w:highlight w:val="none"/>
        </w:rPr>
        <w:t>.灾害防治及应急管理支出</w:t>
      </w:r>
      <w:r>
        <w:rPr>
          <w:rFonts w:hint="default" w:ascii="仿宋_GB2312" w:hAnsi="宋体" w:eastAsia="仿宋_GB2312"/>
          <w:sz w:val="32"/>
          <w:szCs w:val="32"/>
          <w:highlight w:val="none"/>
        </w:rPr>
        <w:t>37.01</w:t>
      </w:r>
      <w:r>
        <w:rPr>
          <w:rFonts w:ascii="仿宋_GB2312" w:hAnsi="宋体" w:eastAsia="仿宋_GB2312"/>
          <w:sz w:val="32"/>
          <w:szCs w:val="32"/>
          <w:highlight w:val="none"/>
        </w:rPr>
        <w:t>万元，具体包括：</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（1）灾害防治及应急管理支出(类）应急管理事务（款）安全监管（项）</w:t>
      </w:r>
      <w:r>
        <w:rPr>
          <w:rFonts w:hint="default" w:ascii="仿宋_GB2312" w:hAnsi="宋体" w:eastAsia="仿宋_GB2312"/>
          <w:sz w:val="32"/>
          <w:szCs w:val="32"/>
          <w:highlight w:val="none"/>
        </w:rPr>
        <w:t>2.01</w:t>
      </w:r>
      <w:r>
        <w:rPr>
          <w:rFonts w:ascii="仿宋_GB2312" w:hAnsi="宋体" w:eastAsia="仿宋_GB2312"/>
          <w:sz w:val="32"/>
          <w:szCs w:val="32"/>
          <w:highlight w:val="none"/>
        </w:rPr>
        <w:t>万元。主要是安全生产工作经费支出。完成年初预算的40.2%，决算数小于年初预算数的原因是加强资金管控，减少经费支出。</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w:t>
      </w:r>
      <w:r>
        <w:rPr>
          <w:rFonts w:hint="default" w:ascii="仿宋_GB2312" w:hAnsi="宋体" w:eastAsia="仿宋_GB2312"/>
          <w:sz w:val="32"/>
          <w:szCs w:val="32"/>
          <w:highlight w:val="none"/>
        </w:rPr>
        <w:t>2</w:t>
      </w:r>
      <w:r>
        <w:rPr>
          <w:rFonts w:ascii="仿宋_GB2312" w:hAnsi="宋体" w:eastAsia="仿宋_GB2312"/>
          <w:sz w:val="32"/>
          <w:szCs w:val="32"/>
          <w:highlight w:val="none"/>
        </w:rPr>
        <w:t>）灾害防治及应急管理支出(类）消防救援事务（款）消防应急救援（项）</w:t>
      </w:r>
      <w:r>
        <w:rPr>
          <w:rFonts w:hint="default" w:ascii="仿宋_GB2312" w:hAnsi="宋体" w:eastAsia="仿宋_GB2312"/>
          <w:sz w:val="32"/>
          <w:szCs w:val="32"/>
          <w:highlight w:val="none"/>
        </w:rPr>
        <w:t>35</w:t>
      </w:r>
      <w:r>
        <w:rPr>
          <w:rFonts w:ascii="仿宋_GB2312" w:hAnsi="宋体" w:eastAsia="仿宋_GB2312"/>
          <w:sz w:val="32"/>
          <w:szCs w:val="32"/>
          <w:highlight w:val="none"/>
        </w:rPr>
        <w:t>万元。主要是森林防火支出。完成年初预算的50%，决算数小于年初预算数的原因是加强资金管控，减少经费支出。</w:t>
      </w:r>
    </w:p>
    <w:p>
      <w:pPr>
        <w:spacing w:line="540" w:lineRule="exact"/>
        <w:ind w:firstLine="643" w:firstLineChars="200"/>
        <w:outlineLvl w:val="2"/>
        <w:rPr>
          <w:rFonts w:hint="default" w:ascii="黑体" w:hAnsi="黑体" w:eastAsia="黑体" w:cs="黑体"/>
          <w:b/>
          <w:color w:val="FF0000"/>
          <w:sz w:val="32"/>
          <w:szCs w:val="32"/>
          <w:highlight w:val="none"/>
        </w:rPr>
      </w:pPr>
      <w:r>
        <w:rPr>
          <w:rFonts w:ascii="楷体_GB2312" w:hAnsi="宋体" w:eastAsia="楷体_GB2312"/>
          <w:b/>
          <w:sz w:val="32"/>
          <w:szCs w:val="32"/>
          <w:highlight w:val="none"/>
        </w:rPr>
        <w:t>（三）政府性基金预算财政拨款支出情况。</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2022年度政府性基金预算财政拨款支出221.48万元，按支出功能分类科目分，包括：城乡社区支出221.48万元，占100%。</w:t>
      </w:r>
    </w:p>
    <w:p>
      <w:pPr>
        <w:numPr>
          <w:ilvl w:val="0"/>
          <w:numId w:val="5"/>
        </w:num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城乡社区支出221.48万元，具体包括：城乡社区支出（类）国有土地使用权出让收入安排的支出（款）征地和拆迁补偿支出（项）221.48万元。主要是征收补偿款支出。年初无此项预算。</w:t>
      </w:r>
    </w:p>
    <w:p>
      <w:pPr>
        <w:spacing w:line="560" w:lineRule="exact"/>
        <w:ind w:firstLine="660"/>
        <w:rPr>
          <w:rFonts w:hint="default" w:ascii="楷体_GB2312" w:hAnsi="宋体" w:eastAsia="楷体_GB2312"/>
          <w:b/>
          <w:sz w:val="32"/>
          <w:szCs w:val="32"/>
          <w:highlight w:val="none"/>
        </w:rPr>
      </w:pPr>
      <w:r>
        <w:rPr>
          <w:rFonts w:ascii="楷体_GB2312" w:hAnsi="宋体" w:eastAsia="楷体_GB2312"/>
          <w:b/>
          <w:sz w:val="32"/>
          <w:szCs w:val="32"/>
          <w:highlight w:val="none"/>
        </w:rPr>
        <w:t>（四）国有资本经营预算财政拨款支出情况。</w:t>
      </w:r>
    </w:p>
    <w:p>
      <w:pPr>
        <w:spacing w:line="560" w:lineRule="exact"/>
        <w:ind w:firstLine="660"/>
        <w:rPr>
          <w:rFonts w:hint="default" w:ascii="仿宋" w:hAnsi="仿宋" w:eastAsia="仿宋" w:cs="仿宋"/>
          <w:bCs/>
          <w:sz w:val="32"/>
          <w:szCs w:val="32"/>
          <w:highlight w:val="none"/>
        </w:rPr>
      </w:pPr>
      <w:r>
        <w:rPr>
          <w:rFonts w:ascii="仿宋" w:hAnsi="仿宋" w:eastAsia="仿宋" w:cs="仿宋"/>
          <w:bCs/>
          <w:sz w:val="32"/>
          <w:szCs w:val="32"/>
          <w:highlight w:val="none"/>
        </w:rPr>
        <w:t>本年未发生此项资金。</w:t>
      </w:r>
    </w:p>
    <w:p>
      <w:pPr>
        <w:pStyle w:val="6"/>
        <w:spacing w:line="560" w:lineRule="exact"/>
        <w:ind w:firstLine="660"/>
        <w:rPr>
          <w:rFonts w:hint="default" w:ascii="黑体" w:eastAsia="黑体"/>
          <w:sz w:val="32"/>
          <w:highlight w:val="none"/>
        </w:rPr>
      </w:pPr>
      <w:r>
        <w:rPr>
          <w:rFonts w:ascii="黑体" w:eastAsia="黑体"/>
          <w:sz w:val="32"/>
          <w:highlight w:val="none"/>
        </w:rPr>
        <w:t>三、一般公共预算财政拨款“三公”经费支出决算情况说明</w:t>
      </w:r>
    </w:p>
    <w:p>
      <w:pPr>
        <w:spacing w:line="540" w:lineRule="exact"/>
        <w:ind w:firstLine="645"/>
        <w:rPr>
          <w:rFonts w:hint="default" w:ascii="仿宋_GB2312" w:hAnsi="宋体" w:eastAsia="仿宋_GB2312"/>
          <w:sz w:val="32"/>
          <w:szCs w:val="32"/>
          <w:highlight w:val="none"/>
        </w:rPr>
      </w:pPr>
      <w:r>
        <w:rPr>
          <w:rFonts w:ascii="仿宋_GB2312" w:hAnsi="宋体" w:eastAsia="仿宋_GB2312"/>
          <w:sz w:val="32"/>
          <w:szCs w:val="32"/>
          <w:highlight w:val="none"/>
        </w:rPr>
        <w:t>2022年度一般公共预算财政拨款安排的“三公”经费支出0万元，完成全年预算的0%。其中：因公出国（境）费0万元，公务接待费0万元，公务用车购置及运行维护费0万元。</w:t>
      </w:r>
    </w:p>
    <w:p>
      <w:pPr>
        <w:spacing w:line="540" w:lineRule="exact"/>
        <w:ind w:firstLine="645"/>
        <w:rPr>
          <w:rFonts w:hint="default" w:ascii="仿宋_GB2312" w:hAnsi="宋体" w:eastAsia="仿宋_GB2312"/>
          <w:sz w:val="32"/>
          <w:szCs w:val="32"/>
          <w:highlight w:val="none"/>
        </w:rPr>
      </w:pPr>
      <w:r>
        <w:rPr>
          <w:rFonts w:ascii="仿宋_GB2312" w:hAnsi="宋体" w:eastAsia="仿宋_GB2312"/>
          <w:sz w:val="32"/>
          <w:szCs w:val="32"/>
          <w:highlight w:val="none"/>
        </w:rPr>
        <w:t>1.因公出国（境）费0万元，占“三公”经费支出的0%。2022年参加出国（境）团组0个，累计0人次。2022年因公出国（境）费比上年减少0万元，下降0%，主要是无出国任务。</w:t>
      </w:r>
    </w:p>
    <w:p>
      <w:pPr>
        <w:spacing w:line="540" w:lineRule="exact"/>
        <w:ind w:firstLine="645"/>
        <w:rPr>
          <w:rFonts w:hint="default" w:ascii="仿宋_GB2312" w:hAnsi="宋体" w:eastAsia="仿宋_GB2312"/>
          <w:sz w:val="32"/>
          <w:szCs w:val="32"/>
          <w:highlight w:val="none"/>
        </w:rPr>
      </w:pPr>
      <w:r>
        <w:rPr>
          <w:rFonts w:ascii="仿宋_GB2312" w:hAnsi="宋体" w:eastAsia="仿宋_GB2312"/>
          <w:sz w:val="32"/>
          <w:szCs w:val="32"/>
          <w:highlight w:val="none"/>
        </w:rPr>
        <w:t>2.公务接待费0万元，占“三公”经费支出的0%。完成全年预算的0%。2022年国内公务接待累计0批次、0人、0万元；其中外事接待累计0批次、0人、0万元。2022年公务接待费比上年减少0万元，下降0%，主要是无此业务。</w:t>
      </w:r>
    </w:p>
    <w:p>
      <w:pPr>
        <w:spacing w:line="540" w:lineRule="exact"/>
        <w:ind w:firstLine="645"/>
        <w:rPr>
          <w:rFonts w:hint="default" w:ascii="仿宋_GB2312" w:hAnsi="宋体" w:eastAsia="仿宋_GB2312"/>
          <w:color w:val="auto"/>
          <w:sz w:val="32"/>
          <w:szCs w:val="32"/>
          <w:highlight w:val="none"/>
        </w:rPr>
      </w:pPr>
      <w:r>
        <w:rPr>
          <w:rFonts w:ascii="仿宋_GB2312" w:hAnsi="宋体" w:eastAsia="仿宋_GB2312"/>
          <w:sz w:val="32"/>
          <w:szCs w:val="32"/>
          <w:highlight w:val="none"/>
        </w:rPr>
        <w:t>3.公务用车购置及运行费0万元，占“三公”经费支出的0%。完成全年预算的0%。比上年减少0万元，下降0%，</w:t>
      </w:r>
      <w:r>
        <w:rPr>
          <w:rFonts w:ascii="仿宋_GB2312" w:hAnsi="宋体" w:eastAsia="仿宋_GB2312"/>
          <w:color w:val="auto"/>
          <w:sz w:val="32"/>
          <w:szCs w:val="32"/>
          <w:highlight w:val="none"/>
        </w:rPr>
        <w:t>主要是无此业务。</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color w:val="auto"/>
          <w:sz w:val="32"/>
          <w:highlight w:val="none"/>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color w:val="auto"/>
          <w:sz w:val="32"/>
          <w:highlight w:val="none"/>
        </w:rPr>
        <w:t>。</w:t>
      </w:r>
    </w:p>
    <w:p>
      <w:pPr>
        <w:pStyle w:val="6"/>
        <w:spacing w:line="560" w:lineRule="exact"/>
        <w:ind w:firstLine="645"/>
        <w:rPr>
          <w:rFonts w:hint="default" w:ascii="黑体" w:eastAsia="黑体"/>
          <w:sz w:val="32"/>
          <w:highlight w:val="none"/>
        </w:rPr>
      </w:pPr>
      <w:r>
        <w:rPr>
          <w:rFonts w:ascii="黑体" w:eastAsia="黑体"/>
          <w:sz w:val="32"/>
          <w:highlight w:val="none"/>
        </w:rPr>
        <w:t>四、一般公共预算财政拨款基本支出决算情况说明</w:t>
      </w:r>
    </w:p>
    <w:p>
      <w:pPr>
        <w:pStyle w:val="6"/>
        <w:spacing w:line="560" w:lineRule="exact"/>
        <w:ind w:firstLine="645"/>
        <w:rPr>
          <w:rFonts w:hint="default" w:ascii="仿宋_GB2312" w:eastAsia="仿宋_GB2312"/>
          <w:sz w:val="32"/>
          <w:highlight w:val="none"/>
        </w:rPr>
      </w:pPr>
      <w:r>
        <w:rPr>
          <w:rFonts w:ascii="仿宋_GB2312" w:eastAsia="仿宋_GB2312"/>
          <w:sz w:val="32"/>
          <w:highlight w:val="none"/>
        </w:rPr>
        <w:t>2022年度一般公共预算财政拨款基本支出669.51万元，其中：人员经费590.97万元，主要包括基本工资、津贴补贴、奖金、其他社会保障缴费、机关事业单位基本养老保险缴费、其他工资福利支出、离休费、退休费、抚恤金、生活补助、奖励金、住房公积金、采暖补贴、其他对个人和家庭补助的支出；日常公用经费78.54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highlight w:val="none"/>
        </w:rPr>
      </w:pPr>
      <w:r>
        <w:rPr>
          <w:rFonts w:ascii="黑体" w:eastAsia="黑体"/>
          <w:sz w:val="32"/>
          <w:highlight w:val="none"/>
        </w:rPr>
        <w:t>五、其他重要事项的情况说明</w:t>
      </w:r>
    </w:p>
    <w:p>
      <w:pPr>
        <w:pStyle w:val="6"/>
        <w:spacing w:line="560" w:lineRule="exact"/>
        <w:ind w:firstLine="640"/>
        <w:rPr>
          <w:rFonts w:hint="default" w:ascii="楷体_GB2312" w:eastAsia="楷体_GB2312"/>
          <w:b/>
          <w:sz w:val="32"/>
          <w:highlight w:val="none"/>
        </w:rPr>
      </w:pPr>
      <w:r>
        <w:rPr>
          <w:rFonts w:ascii="楷体_GB2312" w:eastAsia="楷体_GB2312"/>
          <w:b/>
          <w:sz w:val="32"/>
          <w:highlight w:val="none"/>
        </w:rPr>
        <w:t>（一）机关运行经费支出情况。</w:t>
      </w:r>
    </w:p>
    <w:p>
      <w:pPr>
        <w:pStyle w:val="6"/>
        <w:spacing w:line="560" w:lineRule="exact"/>
        <w:ind w:firstLine="640"/>
        <w:rPr>
          <w:rFonts w:hint="default" w:ascii="仿宋_GB2312" w:eastAsia="仿宋_GB2312"/>
          <w:sz w:val="32"/>
          <w:highlight w:val="none"/>
        </w:rPr>
      </w:pPr>
      <w:r>
        <w:rPr>
          <w:rFonts w:ascii="仿宋_GB2312" w:eastAsia="仿宋_GB2312"/>
          <w:sz w:val="32"/>
          <w:highlight w:val="none"/>
        </w:rPr>
        <w:t>2022年度机关运行经费支出78.54万元，比上年决算数减少26.52万元，降低</w:t>
      </w:r>
      <w:r>
        <w:rPr>
          <w:rFonts w:hint="default" w:ascii="仿宋_GB2312" w:eastAsia="仿宋_GB2312"/>
          <w:sz w:val="32"/>
          <w:highlight w:val="none"/>
        </w:rPr>
        <w:t>25.24</w:t>
      </w:r>
      <w:r>
        <w:rPr>
          <w:rFonts w:ascii="仿宋_GB2312" w:eastAsia="仿宋_GB2312"/>
          <w:sz w:val="32"/>
          <w:highlight w:val="none"/>
        </w:rPr>
        <w:t>%，主要原因是加强资金管理，减少公用经费支出。</w:t>
      </w:r>
    </w:p>
    <w:p>
      <w:pPr>
        <w:pStyle w:val="6"/>
        <w:numPr>
          <w:ilvl w:val="0"/>
          <w:numId w:val="6"/>
        </w:numPr>
        <w:spacing w:line="560" w:lineRule="exact"/>
        <w:ind w:firstLine="640"/>
        <w:rPr>
          <w:rFonts w:hint="default" w:ascii="楷体_GB2312" w:eastAsia="楷体_GB2312"/>
          <w:b/>
          <w:sz w:val="32"/>
          <w:highlight w:val="none"/>
        </w:rPr>
      </w:pPr>
      <w:r>
        <w:rPr>
          <w:rFonts w:ascii="楷体_GB2312" w:eastAsia="楷体_GB2312"/>
          <w:b/>
          <w:sz w:val="32"/>
          <w:highlight w:val="none"/>
        </w:rPr>
        <w:t>政府采购支出情况。</w:t>
      </w:r>
    </w:p>
    <w:p>
      <w:pPr>
        <w:pStyle w:val="6"/>
        <w:spacing w:line="560" w:lineRule="exact"/>
        <w:ind w:firstLine="640" w:firstLineChars="200"/>
        <w:rPr>
          <w:rFonts w:hint="default" w:ascii="仿宋_GB2312" w:eastAsia="仿宋_GB2312"/>
          <w:sz w:val="32"/>
          <w:highlight w:val="none"/>
        </w:rPr>
      </w:pPr>
      <w:r>
        <w:rPr>
          <w:rFonts w:ascii="仿宋_GB2312" w:eastAsia="仿宋_GB2312"/>
          <w:sz w:val="32"/>
          <w:highlight w:val="none"/>
        </w:rPr>
        <w:t>2022年政府采购支出总额0万元，其中：政府采购货物支出0万元，政府采购工程支出0万元，政府采购服务支出0万元。授予中小企业合同金额0万元，占政府采购支出总额的0%，其中：授予小微企业合同金额0万元，占政府采购支出总额的0%；货物采购授予中小企业合同金额占货物支出金额的0%；工程采购授予中小企业合同金额占工程支出金额的0%；服务采购授予中小企业合同金额占服务支出金额的0%。</w:t>
      </w:r>
    </w:p>
    <w:p>
      <w:pPr>
        <w:pStyle w:val="6"/>
        <w:numPr>
          <w:ilvl w:val="0"/>
          <w:numId w:val="6"/>
        </w:numPr>
        <w:spacing w:line="560" w:lineRule="exact"/>
        <w:ind w:firstLine="640"/>
        <w:rPr>
          <w:rFonts w:hint="default" w:ascii="楷体_GB2312" w:eastAsia="楷体_GB2312"/>
          <w:b/>
          <w:sz w:val="32"/>
          <w:highlight w:val="none"/>
        </w:rPr>
      </w:pPr>
      <w:r>
        <w:rPr>
          <w:rFonts w:ascii="楷体_GB2312" w:eastAsia="楷体_GB2312"/>
          <w:b/>
          <w:sz w:val="32"/>
          <w:highlight w:val="none"/>
        </w:rPr>
        <w:t>国有资产占用情况。</w:t>
      </w:r>
    </w:p>
    <w:p>
      <w:pPr>
        <w:pStyle w:val="6"/>
        <w:spacing w:line="560" w:lineRule="exact"/>
        <w:ind w:firstLine="640" w:firstLineChars="200"/>
        <w:rPr>
          <w:rFonts w:hint="default" w:ascii="仿宋_GB2312" w:eastAsia="仿宋_GB2312"/>
          <w:sz w:val="32"/>
          <w:highlight w:val="none"/>
        </w:rPr>
      </w:pPr>
      <w:r>
        <w:rPr>
          <w:rFonts w:ascii="仿宋_GB2312" w:eastAsia="仿宋_GB2312"/>
          <w:sz w:val="32"/>
          <w:highlight w:val="none"/>
        </w:rPr>
        <w:t>截至2022年12月31日，共有车辆</w:t>
      </w:r>
      <w:r>
        <w:rPr>
          <w:rFonts w:hint="default" w:ascii="仿宋_GB2312" w:eastAsia="仿宋_GB2312"/>
          <w:sz w:val="32"/>
          <w:highlight w:val="none"/>
        </w:rPr>
        <w:t>0</w:t>
      </w:r>
      <w:r>
        <w:rPr>
          <w:rFonts w:ascii="仿宋_GB2312" w:eastAsia="仿宋_GB2312"/>
          <w:sz w:val="32"/>
          <w:highlight w:val="none"/>
        </w:rPr>
        <w:t>辆，其中：副省级以上领导干部用车</w:t>
      </w:r>
      <w:r>
        <w:rPr>
          <w:rFonts w:hint="default" w:ascii="仿宋_GB2312" w:eastAsia="仿宋_GB2312"/>
          <w:sz w:val="32"/>
          <w:highlight w:val="none"/>
        </w:rPr>
        <w:t>0</w:t>
      </w:r>
      <w:r>
        <w:rPr>
          <w:rFonts w:ascii="仿宋_GB2312" w:eastAsia="仿宋_GB2312"/>
          <w:sz w:val="32"/>
          <w:highlight w:val="none"/>
        </w:rPr>
        <w:t>辆，主要领导干部用车</w:t>
      </w:r>
      <w:r>
        <w:rPr>
          <w:rFonts w:hint="default" w:ascii="仿宋_GB2312" w:eastAsia="仿宋_GB2312"/>
          <w:sz w:val="32"/>
          <w:highlight w:val="none"/>
        </w:rPr>
        <w:t>0</w:t>
      </w:r>
      <w:r>
        <w:rPr>
          <w:rFonts w:ascii="仿宋_GB2312" w:eastAsia="仿宋_GB2312"/>
          <w:sz w:val="32"/>
          <w:highlight w:val="none"/>
        </w:rPr>
        <w:t>辆，机要通讯用车</w:t>
      </w:r>
      <w:r>
        <w:rPr>
          <w:rFonts w:hint="default" w:ascii="仿宋_GB2312" w:eastAsia="仿宋_GB2312"/>
          <w:sz w:val="32"/>
          <w:highlight w:val="none"/>
        </w:rPr>
        <w:t>0</w:t>
      </w:r>
      <w:r>
        <w:rPr>
          <w:rFonts w:ascii="仿宋_GB2312" w:eastAsia="仿宋_GB2312"/>
          <w:sz w:val="32"/>
          <w:highlight w:val="none"/>
        </w:rPr>
        <w:t>辆，应急保障用车</w:t>
      </w:r>
      <w:r>
        <w:rPr>
          <w:rFonts w:hint="default" w:ascii="仿宋_GB2312" w:eastAsia="仿宋_GB2312"/>
          <w:sz w:val="32"/>
          <w:highlight w:val="none"/>
        </w:rPr>
        <w:t>0</w:t>
      </w:r>
      <w:r>
        <w:rPr>
          <w:rFonts w:ascii="仿宋_GB2312" w:eastAsia="仿宋_GB2312"/>
          <w:sz w:val="32"/>
          <w:highlight w:val="none"/>
        </w:rPr>
        <w:t>辆，执法执勤用车</w:t>
      </w:r>
      <w:r>
        <w:rPr>
          <w:rFonts w:hint="default" w:ascii="仿宋_GB2312" w:eastAsia="仿宋_GB2312"/>
          <w:sz w:val="32"/>
          <w:highlight w:val="none"/>
        </w:rPr>
        <w:t>0</w:t>
      </w:r>
      <w:r>
        <w:rPr>
          <w:rFonts w:ascii="仿宋_GB2312" w:eastAsia="仿宋_GB2312"/>
          <w:sz w:val="32"/>
          <w:highlight w:val="none"/>
        </w:rPr>
        <w:t>辆，特种专业技术用车</w:t>
      </w:r>
      <w:r>
        <w:rPr>
          <w:rFonts w:hint="default" w:ascii="仿宋_GB2312" w:eastAsia="仿宋_GB2312"/>
          <w:sz w:val="32"/>
          <w:highlight w:val="none"/>
        </w:rPr>
        <w:t>0</w:t>
      </w:r>
      <w:r>
        <w:rPr>
          <w:rFonts w:ascii="仿宋_GB2312" w:eastAsia="仿宋_GB2312"/>
          <w:sz w:val="32"/>
          <w:highlight w:val="none"/>
        </w:rPr>
        <w:t>辆，离退休干部用车</w:t>
      </w:r>
      <w:r>
        <w:rPr>
          <w:rFonts w:hint="default" w:ascii="仿宋_GB2312" w:eastAsia="仿宋_GB2312"/>
          <w:sz w:val="32"/>
          <w:highlight w:val="none"/>
        </w:rPr>
        <w:t>0</w:t>
      </w:r>
      <w:r>
        <w:rPr>
          <w:rFonts w:ascii="仿宋_GB2312" w:eastAsia="仿宋_GB2312"/>
          <w:sz w:val="32"/>
          <w:highlight w:val="none"/>
        </w:rPr>
        <w:t>辆，其他用车</w:t>
      </w:r>
      <w:r>
        <w:rPr>
          <w:rFonts w:hint="default" w:ascii="仿宋_GB2312" w:eastAsia="仿宋_GB2312"/>
          <w:sz w:val="32"/>
          <w:highlight w:val="none"/>
        </w:rPr>
        <w:t>0</w:t>
      </w:r>
      <w:r>
        <w:rPr>
          <w:rFonts w:ascii="仿宋_GB2312" w:eastAsia="仿宋_GB2312"/>
          <w:sz w:val="32"/>
          <w:highlight w:val="none"/>
        </w:rPr>
        <w:t>辆；单位价值50万元以上通用设备</w:t>
      </w:r>
      <w:r>
        <w:rPr>
          <w:rFonts w:hint="default" w:ascii="仿宋_GB2312" w:eastAsia="仿宋_GB2312"/>
          <w:sz w:val="32"/>
          <w:highlight w:val="none"/>
        </w:rPr>
        <w:t>0</w:t>
      </w:r>
      <w:r>
        <w:rPr>
          <w:rFonts w:ascii="仿宋_GB2312" w:eastAsia="仿宋_GB2312"/>
          <w:sz w:val="32"/>
          <w:highlight w:val="none"/>
        </w:rPr>
        <w:t>台（套），单价100万元以上专用设备</w:t>
      </w:r>
      <w:r>
        <w:rPr>
          <w:rFonts w:hint="default" w:ascii="仿宋_GB2312" w:eastAsia="仿宋_GB2312"/>
          <w:sz w:val="32"/>
          <w:highlight w:val="none"/>
        </w:rPr>
        <w:t>0</w:t>
      </w:r>
      <w:r>
        <w:rPr>
          <w:rFonts w:ascii="仿宋_GB2312" w:eastAsia="仿宋_GB2312"/>
          <w:sz w:val="32"/>
          <w:highlight w:val="none"/>
        </w:rPr>
        <w:t>台（套）。</w:t>
      </w:r>
    </w:p>
    <w:p>
      <w:pPr>
        <w:widowControl/>
        <w:spacing w:line="540" w:lineRule="exact"/>
        <w:ind w:firstLine="643" w:firstLineChars="200"/>
        <w:jc w:val="left"/>
        <w:rPr>
          <w:rFonts w:hint="default"/>
          <w:b/>
          <w:color w:val="FF0000"/>
          <w:highlight w:val="none"/>
        </w:rPr>
      </w:pPr>
      <w:r>
        <w:rPr>
          <w:rFonts w:ascii="楷体_GB2312" w:eastAsia="楷体_GB2312"/>
          <w:b/>
          <w:sz w:val="32"/>
          <w:highlight w:val="none"/>
        </w:rPr>
        <w:t>（四）预算绩效管理工作开展情况。</w:t>
      </w:r>
    </w:p>
    <w:p>
      <w:pPr>
        <w:widowControl/>
        <w:spacing w:line="520" w:lineRule="exact"/>
        <w:ind w:firstLine="643" w:firstLineChars="200"/>
        <w:jc w:val="left"/>
        <w:rPr>
          <w:rFonts w:hint="default" w:ascii="仿宋_GB2312" w:hAnsi="仿宋_GB2312" w:eastAsia="仿宋_GB2312" w:cs="仿宋_GB2312"/>
          <w:highlight w:val="none"/>
        </w:rPr>
      </w:pPr>
      <w:r>
        <w:rPr>
          <w:rFonts w:ascii="仿宋_GB2312" w:hAnsi="仿宋_GB2312" w:eastAsia="仿宋_GB2312" w:cs="仿宋_GB2312"/>
          <w:b/>
          <w:sz w:val="32"/>
          <w:szCs w:val="32"/>
          <w:highlight w:val="none"/>
          <w:lang w:bidi="ar"/>
        </w:rPr>
        <w:t>1.绩效评价工作开展情况。</w:t>
      </w:r>
    </w:p>
    <w:p>
      <w:pPr>
        <w:widowControl/>
        <w:spacing w:line="520" w:lineRule="exact"/>
        <w:ind w:firstLine="640" w:firstLineChars="200"/>
        <w:jc w:val="left"/>
        <w:rPr>
          <w:rFonts w:hint="default"/>
          <w:highlight w:val="none"/>
        </w:rPr>
      </w:pPr>
      <w:r>
        <w:rPr>
          <w:rFonts w:hAnsi="宋体" w:eastAsia="仿宋_GB2312" w:cs="仿宋_GB2312"/>
          <w:sz w:val="32"/>
          <w:szCs w:val="32"/>
          <w:highlight w:val="none"/>
          <w:lang w:bidi="ar"/>
        </w:rPr>
        <w:t>组织对</w:t>
      </w:r>
      <w:r>
        <w:rPr>
          <w:rFonts w:hint="eastAsia" w:hAnsi="宋体" w:eastAsia="仿宋_GB2312" w:cs="仿宋_GB2312"/>
          <w:sz w:val="32"/>
          <w:szCs w:val="32"/>
          <w:highlight w:val="none"/>
          <w:lang w:eastAsia="zh-CN" w:bidi="ar"/>
        </w:rPr>
        <w:t>我部门</w:t>
      </w:r>
      <w:r>
        <w:rPr>
          <w:rFonts w:hAnsi="宋体" w:eastAsia="仿宋_GB2312" w:cs="仿宋_GB2312"/>
          <w:color w:val="auto"/>
          <w:sz w:val="32"/>
          <w:szCs w:val="32"/>
          <w:highlight w:val="none"/>
          <w:lang w:bidi="ar"/>
        </w:rPr>
        <w:t>开展整体绩效自评，涉及资金</w:t>
      </w:r>
      <w:r>
        <w:rPr>
          <w:rFonts w:hint="eastAsia" w:ascii="仿宋_GB2312" w:hAnsi="宋体" w:eastAsia="仿宋_GB2312" w:cs="仿宋_GB2312"/>
          <w:color w:val="auto"/>
          <w:sz w:val="32"/>
          <w:szCs w:val="32"/>
          <w:highlight w:val="none"/>
          <w:lang w:val="en-US" w:eastAsia="zh-CN" w:bidi="ar"/>
        </w:rPr>
        <w:t>2302.09</w:t>
      </w:r>
      <w:r>
        <w:rPr>
          <w:rFonts w:hAnsi="宋体" w:eastAsia="仿宋_GB2312" w:cs="仿宋_GB2312"/>
          <w:color w:val="auto"/>
          <w:sz w:val="32"/>
          <w:szCs w:val="32"/>
          <w:highlight w:val="none"/>
          <w:lang w:bidi="ar"/>
        </w:rPr>
        <w:t>万</w:t>
      </w:r>
      <w:r>
        <w:rPr>
          <w:rFonts w:hAnsi="宋体" w:eastAsia="仿宋_GB2312" w:cs="仿宋_GB2312"/>
          <w:sz w:val="32"/>
          <w:szCs w:val="32"/>
          <w:highlight w:val="none"/>
          <w:lang w:bidi="ar"/>
        </w:rPr>
        <w:t>元。《部门（单位）整体绩效自评表》见附件。</w:t>
      </w:r>
    </w:p>
    <w:p>
      <w:pPr>
        <w:widowControl/>
        <w:spacing w:line="520" w:lineRule="exact"/>
        <w:ind w:firstLine="640" w:firstLineChars="200"/>
        <w:jc w:val="left"/>
        <w:rPr>
          <w:rFonts w:hint="default" w:hAnsi="宋体" w:eastAsia="仿宋_GB2312" w:cs="仿宋_GB2312"/>
          <w:sz w:val="32"/>
          <w:szCs w:val="32"/>
          <w:highlight w:val="none"/>
          <w:lang w:val="en" w:bidi="ar"/>
        </w:rPr>
      </w:pPr>
      <w:r>
        <w:rPr>
          <w:rFonts w:hAnsi="宋体" w:eastAsia="仿宋_GB2312" w:cs="仿宋_GB2312"/>
          <w:sz w:val="32"/>
          <w:szCs w:val="32"/>
          <w:highlight w:val="none"/>
          <w:lang w:bidi="ar"/>
        </w:rPr>
        <w:t>本单位</w:t>
      </w:r>
      <w:r>
        <w:rPr>
          <w:rFonts w:ascii="仿宋" w:hAnsi="仿宋" w:eastAsia="仿宋"/>
          <w:sz w:val="32"/>
          <w:highlight w:val="none"/>
        </w:rPr>
        <w:t>组织对“</w:t>
      </w:r>
      <w:r>
        <w:rPr>
          <w:rFonts w:hint="eastAsia" w:ascii="仿宋" w:hAnsi="仿宋" w:eastAsia="仿宋"/>
          <w:sz w:val="32"/>
          <w:highlight w:val="none"/>
        </w:rPr>
        <w:t>人大政协经费</w:t>
      </w:r>
      <w:r>
        <w:rPr>
          <w:rFonts w:ascii="仿宋" w:hAnsi="仿宋" w:eastAsia="仿宋"/>
          <w:sz w:val="32"/>
          <w:highlight w:val="none"/>
        </w:rPr>
        <w:t>”“村财工作经费”等</w:t>
      </w:r>
      <w:r>
        <w:rPr>
          <w:rFonts w:hint="eastAsia" w:ascii="仿宋_GB2312" w:hAnsi="宋体" w:eastAsia="仿宋_GB2312" w:cs="仿宋_GB2312"/>
          <w:sz w:val="32"/>
          <w:szCs w:val="32"/>
          <w:highlight w:val="none"/>
          <w:lang w:val="en-US" w:eastAsia="zh-CN" w:bidi="ar"/>
        </w:rPr>
        <w:t>51</w:t>
      </w:r>
      <w:r>
        <w:rPr>
          <w:rFonts w:ascii="仿宋" w:hAnsi="仿宋" w:eastAsia="仿宋"/>
          <w:sz w:val="32"/>
          <w:highlight w:val="none"/>
        </w:rPr>
        <w:t xml:space="preserve"> 个项目开展了部门评价，</w:t>
      </w:r>
      <w:r>
        <w:rPr>
          <w:rFonts w:hAnsi="宋体" w:eastAsia="仿宋_GB2312" w:cs="仿宋_GB2312"/>
          <w:sz w:val="32"/>
          <w:szCs w:val="32"/>
          <w:highlight w:val="none"/>
          <w:lang w:bidi="ar"/>
        </w:rPr>
        <w:t>涉及资金</w:t>
      </w:r>
      <w:r>
        <w:rPr>
          <w:rFonts w:ascii="仿宋_GB2312" w:hAnsi="宋体" w:eastAsia="仿宋_GB2312" w:cs="仿宋_GB2312"/>
          <w:sz w:val="32"/>
          <w:szCs w:val="32"/>
          <w:highlight w:val="none"/>
          <w:lang w:bidi="ar"/>
        </w:rPr>
        <w:t>1632.58</w:t>
      </w:r>
      <w:r>
        <w:rPr>
          <w:rFonts w:hAnsi="宋体" w:eastAsia="仿宋_GB2312" w:cs="仿宋_GB2312"/>
          <w:sz w:val="32"/>
          <w:szCs w:val="32"/>
          <w:highlight w:val="none"/>
          <w:lang w:bidi="ar"/>
        </w:rPr>
        <w:t>万元</w:t>
      </w:r>
      <w:r>
        <w:rPr>
          <w:rFonts w:ascii="仿宋_GB2312" w:hAnsi="宋体" w:eastAsia="仿宋_GB2312" w:cs="仿宋_GB2312"/>
          <w:sz w:val="32"/>
          <w:szCs w:val="32"/>
          <w:highlight w:val="none"/>
          <w:lang w:bidi="ar"/>
        </w:rPr>
        <w:t>（其中：一般公共预算资金1411.1万元，政府性基金预算资金221.48万元，）</w:t>
      </w:r>
      <w:r>
        <w:rPr>
          <w:rFonts w:hAnsi="宋体" w:eastAsia="仿宋_GB2312" w:cs="仿宋_GB2312"/>
          <w:sz w:val="32"/>
          <w:szCs w:val="32"/>
          <w:highlight w:val="none"/>
          <w:lang w:bidi="ar"/>
        </w:rPr>
        <w:t>。从评价情况来看，均已完成绩效评价工作</w:t>
      </w:r>
      <w:r>
        <w:rPr>
          <w:rFonts w:hAnsi="宋体" w:eastAsia="仿宋_GB2312" w:cs="仿宋_GB2312"/>
          <w:sz w:val="32"/>
          <w:szCs w:val="32"/>
          <w:highlight w:val="none"/>
          <w:lang w:val="en" w:bidi="ar"/>
        </w:rPr>
        <w:t>。</w:t>
      </w:r>
    </w:p>
    <w:p>
      <w:pPr>
        <w:widowControl/>
        <w:spacing w:line="520" w:lineRule="exact"/>
        <w:ind w:firstLine="643" w:firstLineChars="200"/>
        <w:jc w:val="left"/>
        <w:rPr>
          <w:rFonts w:hint="default" w:ascii="仿宋_GB2312" w:hAnsi="宋体" w:eastAsia="仿宋_GB2312" w:cs="仿宋_GB2312"/>
          <w:b/>
          <w:bCs/>
          <w:sz w:val="32"/>
          <w:szCs w:val="32"/>
          <w:highlight w:val="none"/>
          <w:lang w:bidi="ar"/>
        </w:rPr>
      </w:pPr>
      <w:r>
        <w:rPr>
          <w:rFonts w:ascii="仿宋_GB2312" w:hAnsi="宋体" w:eastAsia="仿宋_GB2312" w:cs="仿宋_GB2312"/>
          <w:b/>
          <w:bCs/>
          <w:sz w:val="32"/>
          <w:szCs w:val="32"/>
          <w:highlight w:val="none"/>
          <w:lang w:bidi="ar"/>
        </w:rPr>
        <w:t>2.项目绩效自评结果。</w:t>
      </w:r>
    </w:p>
    <w:p>
      <w:pPr>
        <w:widowControl/>
        <w:spacing w:line="520" w:lineRule="exact"/>
        <w:ind w:firstLine="640" w:firstLineChars="200"/>
        <w:jc w:val="left"/>
        <w:rPr>
          <w:rFonts w:hint="default" w:ascii="仿宋_GB2312" w:hAnsi="宋体" w:eastAsia="仿宋_GB2312" w:cs="仿宋_GB2312"/>
          <w:sz w:val="32"/>
          <w:szCs w:val="32"/>
          <w:highlight w:val="none"/>
          <w:lang w:bidi="ar"/>
        </w:rPr>
      </w:pPr>
      <w:r>
        <w:rPr>
          <w:rFonts w:ascii="仿宋_GB2312" w:hAnsi="宋体" w:eastAsia="仿宋_GB2312" w:cs="仿宋_GB2312"/>
          <w:sz w:val="32"/>
          <w:szCs w:val="32"/>
          <w:highlight w:val="none"/>
          <w:lang w:bidi="ar"/>
        </w:rPr>
        <w:t>本部门在2022年度决算中反映土地开发支出等1个项目绩效自评结果。</w:t>
      </w:r>
    </w:p>
    <w:p>
      <w:pPr>
        <w:widowControl/>
        <w:spacing w:line="520" w:lineRule="exact"/>
        <w:ind w:firstLine="640" w:firstLineChars="200"/>
        <w:jc w:val="left"/>
        <w:rPr>
          <w:rFonts w:hint="default" w:ascii="仿宋_GB2312" w:hAnsi="宋体" w:eastAsia="仿宋_GB2312" w:cs="仿宋_GB2312"/>
          <w:sz w:val="32"/>
          <w:szCs w:val="32"/>
          <w:highlight w:val="none"/>
          <w:lang w:bidi="ar"/>
        </w:rPr>
      </w:pPr>
      <w:r>
        <w:rPr>
          <w:rFonts w:ascii="仿宋_GB2312" w:hAnsi="宋体" w:eastAsia="仿宋_GB2312" w:cs="仿宋_GB2312"/>
          <w:sz w:val="32"/>
          <w:szCs w:val="32"/>
          <w:highlight w:val="none"/>
          <w:lang w:bidi="ar"/>
        </w:rPr>
        <w:t>（1）“土地开发支出”项目自评综述：根据年初设定的绩效目标，项目自评得分100分。项目全年预算数为</w:t>
      </w:r>
      <w:r>
        <w:rPr>
          <w:rFonts w:hint="eastAsia" w:ascii="仿宋_GB2312" w:hAnsi="宋体" w:eastAsia="仿宋_GB2312" w:cs="仿宋_GB2312"/>
          <w:sz w:val="32"/>
          <w:szCs w:val="32"/>
          <w:highlight w:val="none"/>
          <w:lang w:val="en-US" w:eastAsia="zh-CN" w:bidi="ar"/>
        </w:rPr>
        <w:t>221.48</w:t>
      </w:r>
      <w:r>
        <w:rPr>
          <w:rFonts w:ascii="仿宋_GB2312" w:hAnsi="宋体" w:eastAsia="仿宋_GB2312" w:cs="仿宋_GB2312"/>
          <w:sz w:val="32"/>
          <w:szCs w:val="32"/>
          <w:highlight w:val="none"/>
          <w:lang w:bidi="ar"/>
        </w:rPr>
        <w:t>万元，执行数为</w:t>
      </w:r>
      <w:r>
        <w:rPr>
          <w:rFonts w:hint="eastAsia" w:ascii="仿宋_GB2312" w:hAnsi="宋体" w:eastAsia="仿宋_GB2312" w:cs="仿宋_GB2312"/>
          <w:sz w:val="32"/>
          <w:szCs w:val="32"/>
          <w:highlight w:val="none"/>
          <w:lang w:val="en-US" w:eastAsia="zh-CN" w:bidi="ar"/>
        </w:rPr>
        <w:t>221.48</w:t>
      </w:r>
      <w:r>
        <w:rPr>
          <w:rFonts w:ascii="仿宋_GB2312" w:hAnsi="宋体" w:eastAsia="仿宋_GB2312" w:cs="仿宋_GB2312"/>
          <w:sz w:val="32"/>
          <w:szCs w:val="32"/>
          <w:highlight w:val="none"/>
          <w:lang w:bidi="ar"/>
        </w:rPr>
        <w:t>万元，完成预算的100%。项目绩效目标完成情况：保障征收补偿项目的正常运转。</w:t>
      </w:r>
    </w:p>
    <w:p>
      <w:pPr>
        <w:widowControl/>
        <w:spacing w:line="520" w:lineRule="exact"/>
        <w:ind w:firstLine="640" w:firstLineChars="200"/>
        <w:jc w:val="left"/>
        <w:rPr>
          <w:rFonts w:hint="default" w:ascii="仿宋_GB2312" w:hAnsi="宋体" w:eastAsia="仿宋_GB2312" w:cs="仿宋_GB2312"/>
          <w:sz w:val="32"/>
          <w:szCs w:val="32"/>
          <w:lang w:bidi="ar"/>
        </w:rPr>
      </w:pPr>
      <w:r>
        <w:rPr>
          <w:rFonts w:ascii="仿宋_GB2312" w:hAnsi="宋体" w:eastAsia="仿宋_GB2312" w:cs="仿宋_GB2312"/>
          <w:sz w:val="32"/>
          <w:szCs w:val="32"/>
          <w:lang w:bidi="ar"/>
        </w:rPr>
        <w:t>《预算（项目）政策绩效自评表》见附件。</w:t>
      </w:r>
    </w:p>
    <w:p>
      <w:pPr>
        <w:widowControl/>
        <w:numPr>
          <w:numId w:val="0"/>
        </w:numPr>
        <w:spacing w:line="520" w:lineRule="exact"/>
        <w:ind w:left="660" w:leftChars="0"/>
        <w:jc w:val="left"/>
        <w:rPr>
          <w:rFonts w:ascii="仿宋_GB2312" w:hAnsi="宋体" w:eastAsia="仿宋_GB2312" w:cs="仿宋_GB2312"/>
          <w:b/>
          <w:bCs/>
          <w:sz w:val="32"/>
          <w:szCs w:val="32"/>
          <w:lang w:bidi="ar"/>
        </w:rPr>
      </w:pPr>
      <w:r>
        <w:rPr>
          <w:rFonts w:hint="eastAsia" w:ascii="仿宋_GB2312" w:hAnsi="宋体" w:eastAsia="仿宋_GB2312" w:cs="仿宋_GB2312"/>
          <w:b/>
          <w:bCs/>
          <w:sz w:val="32"/>
          <w:szCs w:val="32"/>
          <w:lang w:val="en-US" w:eastAsia="zh-CN" w:bidi="ar"/>
        </w:rPr>
        <w:t>3.</w:t>
      </w:r>
      <w:r>
        <w:rPr>
          <w:rFonts w:ascii="仿宋_GB2312" w:hAnsi="宋体" w:eastAsia="仿宋_GB2312" w:cs="仿宋_GB2312"/>
          <w:b/>
          <w:bCs/>
          <w:sz w:val="32"/>
          <w:szCs w:val="32"/>
          <w:lang w:bidi="ar"/>
        </w:rPr>
        <w:t>部门评价结果。</w:t>
      </w:r>
    </w:p>
    <w:p>
      <w:pPr>
        <w:widowControl/>
        <w:spacing w:line="520" w:lineRule="exact"/>
        <w:ind w:firstLine="640" w:firstLineChars="200"/>
        <w:jc w:val="left"/>
        <w:rPr>
          <w:rFonts w:hint="default" w:ascii="仿宋_GB2312" w:hAnsi="宋体" w:eastAsia="仿宋_GB2312" w:cs="仿宋_GB2312"/>
          <w:sz w:val="32"/>
          <w:szCs w:val="32"/>
          <w:highlight w:val="none"/>
          <w:lang w:bidi="ar"/>
        </w:rPr>
      </w:pPr>
      <w:r>
        <w:rPr>
          <w:rFonts w:ascii="仿宋_GB2312" w:hAnsi="宋体" w:eastAsia="仿宋_GB2312" w:cs="仿宋_GB2312"/>
          <w:sz w:val="32"/>
          <w:szCs w:val="32"/>
          <w:highlight w:val="none"/>
          <w:lang w:bidi="ar"/>
        </w:rPr>
        <w:t>根据预算</w:t>
      </w:r>
      <w:r>
        <w:rPr>
          <w:rFonts w:hAnsi="宋体" w:eastAsia="仿宋_GB2312" w:cs="仿宋_GB2312"/>
          <w:sz w:val="32"/>
          <w:szCs w:val="32"/>
          <w:highlight w:val="none"/>
          <w:lang w:bidi="ar"/>
        </w:rPr>
        <w:t>绩效</w:t>
      </w:r>
      <w:r>
        <w:rPr>
          <w:rFonts w:ascii="仿宋_GB2312" w:hAnsi="宋体" w:eastAsia="仿宋_GB2312" w:cs="仿宋_GB2312"/>
          <w:sz w:val="32"/>
          <w:szCs w:val="32"/>
          <w:highlight w:val="none"/>
          <w:lang w:bidi="ar"/>
        </w:rPr>
        <w:t>管理要求，本部门组织对</w:t>
      </w:r>
      <w:r>
        <w:rPr>
          <w:rFonts w:ascii="仿宋_GB2312" w:hAnsi="宋体" w:eastAsia="仿宋_GB2312" w:cs="宋体"/>
          <w:sz w:val="32"/>
          <w:szCs w:val="32"/>
          <w:highlight w:val="none"/>
          <w:lang w:bidi="ar"/>
        </w:rPr>
        <w:t>2022</w:t>
      </w:r>
      <w:r>
        <w:rPr>
          <w:rFonts w:ascii="仿宋_GB2312" w:hAnsi="宋体" w:eastAsia="仿宋_GB2312" w:cs="仿宋_GB2312"/>
          <w:sz w:val="32"/>
          <w:szCs w:val="32"/>
          <w:highlight w:val="none"/>
          <w:lang w:bidi="ar"/>
        </w:rPr>
        <w:t>年度预算项目支出全面开展绩效自评，共涉及预算支出项目1个（其中：一般公共预算项目0个，政府性基金预算项目0个），涉及资金</w:t>
      </w:r>
      <w:r>
        <w:rPr>
          <w:rFonts w:hint="eastAsia" w:ascii="仿宋_GB2312" w:hAnsi="宋体" w:eastAsia="仿宋_GB2312" w:cs="仿宋_GB2312"/>
          <w:sz w:val="32"/>
          <w:szCs w:val="32"/>
          <w:highlight w:val="none"/>
          <w:lang w:val="en-US" w:eastAsia="zh-CN" w:bidi="ar"/>
        </w:rPr>
        <w:t>221.48</w:t>
      </w:r>
      <w:r>
        <w:rPr>
          <w:rFonts w:ascii="仿宋_GB2312" w:hAnsi="宋体" w:eastAsia="仿宋_GB2312" w:cs="仿宋_GB2312"/>
          <w:sz w:val="32"/>
          <w:szCs w:val="32"/>
          <w:highlight w:val="none"/>
          <w:lang w:bidi="ar"/>
        </w:rPr>
        <w:t>万元（其中：一般公共预算资金0万元，政府性基金预算资金0万元），自评覆盖率（开展绩效自评的项目数</w:t>
      </w:r>
      <w:r>
        <w:rPr>
          <w:rFonts w:ascii="仿宋_GB2312" w:hAnsi="宋体" w:eastAsia="仿宋_GB2312" w:cs="宋体"/>
          <w:sz w:val="32"/>
          <w:szCs w:val="32"/>
          <w:highlight w:val="none"/>
          <w:lang w:bidi="ar"/>
        </w:rPr>
        <w:t>/年初批复绩效目标的项目数*100%）达到</w:t>
      </w:r>
      <w:r>
        <w:rPr>
          <w:rFonts w:ascii="仿宋_GB2312" w:hAnsi="宋体" w:eastAsia="仿宋_GB2312" w:cs="仿宋_GB2312"/>
          <w:sz w:val="32"/>
          <w:szCs w:val="32"/>
          <w:highlight w:val="none"/>
          <w:lang w:bidi="ar"/>
        </w:rPr>
        <w:t>100</w:t>
      </w:r>
      <w:r>
        <w:rPr>
          <w:rFonts w:ascii="仿宋_GB2312" w:hAnsi="宋体" w:eastAsia="仿宋_GB2312" w:cs="宋体"/>
          <w:sz w:val="32"/>
          <w:szCs w:val="32"/>
          <w:highlight w:val="none"/>
          <w:lang w:bidi="ar"/>
        </w:rPr>
        <w:t>%，自评平均分（开展绩效自评的项目分数总和/开展绩效自评的项目数）</w:t>
      </w:r>
      <w:r>
        <w:rPr>
          <w:rFonts w:ascii="仿宋_GB2312" w:hAnsi="宋体" w:eastAsia="仿宋_GB2312" w:cs="仿宋_GB2312"/>
          <w:sz w:val="32"/>
          <w:szCs w:val="32"/>
          <w:highlight w:val="none"/>
          <w:lang w:bidi="ar"/>
        </w:rPr>
        <w:t>100分。</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2022年我单位积极开展各项工作，</w:t>
      </w:r>
      <w:r>
        <w:rPr>
          <w:rFonts w:hint="eastAsia" w:ascii="仿宋" w:hAnsi="仿宋" w:eastAsia="仿宋" w:cs="仿宋"/>
          <w:sz w:val="32"/>
          <w:szCs w:val="32"/>
        </w:rPr>
        <w:t>整体绩效</w:t>
      </w:r>
      <w:r>
        <w:rPr>
          <w:rFonts w:hint="eastAsia" w:ascii="仿宋" w:hAnsi="仿宋" w:eastAsia="仿宋" w:cs="仿宋"/>
          <w:sz w:val="32"/>
          <w:szCs w:val="32"/>
          <w:lang w:eastAsia="zh-CN"/>
        </w:rPr>
        <w:t>和项目绩效评价</w:t>
      </w:r>
      <w:r>
        <w:rPr>
          <w:rFonts w:hint="eastAsia" w:ascii="仿宋" w:hAnsi="仿宋" w:eastAsia="仿宋" w:cs="仿宋"/>
          <w:sz w:val="32"/>
          <w:szCs w:val="32"/>
        </w:rPr>
        <w:t>效果较好，</w:t>
      </w:r>
      <w:r>
        <w:rPr>
          <w:rFonts w:hint="eastAsia" w:ascii="仿宋" w:hAnsi="仿宋" w:eastAsia="仿宋" w:cs="仿宋"/>
          <w:sz w:val="32"/>
          <w:szCs w:val="32"/>
          <w:lang w:eastAsia="zh-CN"/>
        </w:rPr>
        <w:t>日后我</w:t>
      </w:r>
      <w:r>
        <w:rPr>
          <w:rFonts w:hint="eastAsia" w:ascii="仿宋" w:hAnsi="仿宋" w:eastAsia="仿宋" w:cs="仿宋"/>
          <w:sz w:val="32"/>
          <w:szCs w:val="32"/>
        </w:rPr>
        <w:t>单位继续加强资金</w:t>
      </w:r>
      <w:r>
        <w:rPr>
          <w:rFonts w:hint="eastAsia" w:ascii="仿宋" w:hAnsi="仿宋" w:eastAsia="仿宋" w:cs="仿宋"/>
          <w:sz w:val="32"/>
          <w:szCs w:val="32"/>
          <w:lang w:eastAsia="zh-CN"/>
        </w:rPr>
        <w:t>管</w:t>
      </w:r>
      <w:r>
        <w:rPr>
          <w:rFonts w:hint="eastAsia" w:ascii="仿宋" w:hAnsi="仿宋" w:eastAsia="仿宋" w:cs="仿宋"/>
          <w:sz w:val="32"/>
          <w:szCs w:val="32"/>
        </w:rPr>
        <w:t>理，</w:t>
      </w:r>
      <w:r>
        <w:rPr>
          <w:rFonts w:hint="eastAsia" w:ascii="仿宋" w:hAnsi="仿宋" w:eastAsia="仿宋" w:cs="仿宋"/>
          <w:sz w:val="32"/>
          <w:szCs w:val="32"/>
          <w:lang w:eastAsia="zh-CN"/>
        </w:rPr>
        <w:t>最大限度</w:t>
      </w:r>
      <w:r>
        <w:rPr>
          <w:rFonts w:hint="eastAsia" w:ascii="仿宋" w:hAnsi="仿宋" w:eastAsia="仿宋" w:cs="仿宋"/>
          <w:sz w:val="32"/>
          <w:szCs w:val="32"/>
        </w:rPr>
        <w:t>发挥资金</w:t>
      </w:r>
      <w:r>
        <w:rPr>
          <w:rFonts w:hint="eastAsia" w:ascii="仿宋" w:hAnsi="仿宋" w:eastAsia="仿宋" w:cs="仿宋"/>
          <w:sz w:val="32"/>
          <w:szCs w:val="32"/>
          <w:lang w:eastAsia="zh-CN"/>
        </w:rPr>
        <w:t>使用</w:t>
      </w:r>
      <w:r>
        <w:rPr>
          <w:rFonts w:hint="eastAsia" w:ascii="仿宋" w:hAnsi="仿宋" w:eastAsia="仿宋" w:cs="仿宋"/>
          <w:sz w:val="32"/>
          <w:szCs w:val="32"/>
        </w:rPr>
        <w:t>效益</w:t>
      </w:r>
      <w:r>
        <w:rPr>
          <w:rFonts w:hint="eastAsia" w:ascii="仿宋" w:hAnsi="仿宋" w:eastAsia="仿宋" w:cs="仿宋"/>
          <w:sz w:val="32"/>
          <w:szCs w:val="32"/>
          <w:lang w:eastAsia="zh-CN"/>
        </w:rPr>
        <w:t>。</w:t>
      </w:r>
    </w:p>
    <w:p>
      <w:pPr>
        <w:ind w:firstLine="643" w:firstLineChars="200"/>
        <w:rPr>
          <w:rFonts w:ascii="仿宋_GB2312" w:hAnsi="宋体" w:eastAsia="仿宋_GB2312" w:cs="仿宋_GB2312"/>
          <w:b/>
          <w:bCs/>
          <w:sz w:val="32"/>
          <w:szCs w:val="32"/>
          <w:lang w:bidi="ar"/>
        </w:rPr>
      </w:pPr>
      <w:r>
        <w:rPr>
          <w:rFonts w:ascii="仿宋_GB2312" w:hAnsi="宋体" w:eastAsia="仿宋_GB2312" w:cs="仿宋_GB2312"/>
          <w:b/>
          <w:bCs/>
          <w:sz w:val="32"/>
          <w:szCs w:val="32"/>
          <w:lang w:bidi="ar"/>
        </w:rPr>
        <w:t>4.财政评价结果。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该项目绩效自评效果较好，类似项目财政将继续安排，用好财政资金，发挥资金效益。</w:t>
      </w:r>
    </w:p>
    <w:p>
      <w:pPr>
        <w:widowControl/>
        <w:spacing w:line="520" w:lineRule="exact"/>
        <w:ind w:firstLine="640" w:firstLineChars="200"/>
        <w:jc w:val="left"/>
        <w:rPr>
          <w:rFonts w:hint="default"/>
          <w:sz w:val="32"/>
          <w:szCs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ascii="仿宋_GB2312" w:hAnsi="仿宋_GB2312" w:eastAsia="仿宋_GB2312" w:cs="仿宋_GB2312"/>
          <w:b/>
          <w:sz w:val="52"/>
          <w:szCs w:val="52"/>
        </w:rPr>
      </w:pPr>
      <w:r>
        <w:rPr>
          <w:rFonts w:ascii="仿宋_GB2312" w:hAnsi="仿宋_GB2312" w:eastAsia="仿宋_GB2312" w:cs="仿宋_GB2312"/>
          <w:b/>
          <w:sz w:val="52"/>
          <w:szCs w:val="52"/>
        </w:rPr>
        <w:t>第四部分 沈阳市浑南区高坎街道办事处</w:t>
      </w:r>
    </w:p>
    <w:p>
      <w:pPr>
        <w:pStyle w:val="6"/>
        <w:spacing w:line="560" w:lineRule="atLeast"/>
        <w:jc w:val="center"/>
        <w:rPr>
          <w:rFonts w:hint="default"/>
          <w:b/>
          <w:sz w:val="36"/>
        </w:rPr>
      </w:pPr>
      <w:r>
        <w:rPr>
          <w:rFonts w:ascii="仿宋_GB2312" w:hAnsi="仿宋_GB2312" w:eastAsia="仿宋_GB2312" w:cs="仿宋_GB2312"/>
          <w:b/>
          <w:sz w:val="52"/>
          <w:szCs w:val="52"/>
        </w:rPr>
        <w:t xml:space="preserve">        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7"/>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bookmarkStart w:id="0" w:name="_GoBack"/>
      <w:bookmarkEnd w:id="0"/>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CE4A7"/>
    <w:multiLevelType w:val="singleLevel"/>
    <w:tmpl w:val="812CE4A7"/>
    <w:lvl w:ilvl="0" w:tentative="0">
      <w:start w:val="1"/>
      <w:numFmt w:val="decimal"/>
      <w:lvlText w:val="%1."/>
      <w:lvlJc w:val="left"/>
      <w:pPr>
        <w:tabs>
          <w:tab w:val="left" w:pos="312"/>
        </w:tabs>
      </w:pPr>
    </w:lvl>
  </w:abstractNum>
  <w:abstractNum w:abstractNumId="1">
    <w:nsid w:val="DC5D1ED7"/>
    <w:multiLevelType w:val="singleLevel"/>
    <w:tmpl w:val="DC5D1ED7"/>
    <w:lvl w:ilvl="0" w:tentative="0">
      <w:start w:val="2"/>
      <w:numFmt w:val="chineseCounting"/>
      <w:suff w:val="space"/>
      <w:lvlText w:val="第%1部分"/>
      <w:lvlJc w:val="left"/>
      <w:rPr>
        <w:rFonts w:hint="eastAsia"/>
      </w:rPr>
    </w:lvl>
  </w:abstractNum>
  <w:abstractNum w:abstractNumId="2">
    <w:nsid w:val="2D233006"/>
    <w:multiLevelType w:val="singleLevel"/>
    <w:tmpl w:val="2D233006"/>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4A4D8E3B"/>
    <w:multiLevelType w:val="singleLevel"/>
    <w:tmpl w:val="4A4D8E3B"/>
    <w:lvl w:ilvl="0" w:tentative="0">
      <w:start w:val="2"/>
      <w:numFmt w:val="chineseCounting"/>
      <w:suff w:val="nothing"/>
      <w:lvlText w:val="（%1）"/>
      <w:lvlJc w:val="left"/>
      <w:rPr>
        <w:rFonts w:hint="eastAsia"/>
      </w:rPr>
    </w:lvl>
  </w:abstractNum>
  <w:abstractNum w:abstractNumId="5">
    <w:nsid w:val="4B8D695E"/>
    <w:multiLevelType w:val="singleLevel"/>
    <w:tmpl w:val="4B8D695E"/>
    <w:lvl w:ilvl="0" w:tentative="0">
      <w:start w:val="1"/>
      <w:numFmt w:val="chineseCounting"/>
      <w:suff w:val="nothing"/>
      <w:lvlText w:val="%1、"/>
      <w:lvlJc w:val="left"/>
      <w:rPr>
        <w:rFonts w:hint="eastAsia"/>
      </w:rPr>
    </w:lvl>
  </w:abstractNum>
  <w:abstractNum w:abstractNumId="6">
    <w:nsid w:val="7B291B58"/>
    <w:multiLevelType w:val="singleLevel"/>
    <w:tmpl w:val="7B291B58"/>
    <w:lvl w:ilvl="0" w:tentative="0">
      <w:start w:val="2"/>
      <w:numFmt w:val="chineseCounting"/>
      <w:suff w:val="nothing"/>
      <w:lvlText w:val="%1、"/>
      <w:lvlJc w:val="left"/>
      <w:rPr>
        <w:rFonts w:hint="eastAsia"/>
      </w:rPr>
    </w:lvl>
  </w:abstractNum>
  <w:num w:numId="1">
    <w:abstractNumId w:val="5"/>
  </w:num>
  <w:num w:numId="2">
    <w:abstractNumId w:val="1"/>
  </w:num>
  <w:num w:numId="3">
    <w:abstractNumId w:val="6"/>
  </w:num>
  <w:num w:numId="4">
    <w:abstractNumId w:val="4"/>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32291"/>
    <w:rsid w:val="00035CBC"/>
    <w:rsid w:val="00053FB0"/>
    <w:rsid w:val="000572B4"/>
    <w:rsid w:val="00060165"/>
    <w:rsid w:val="000920ED"/>
    <w:rsid w:val="000A14BE"/>
    <w:rsid w:val="000B1027"/>
    <w:rsid w:val="000B596F"/>
    <w:rsid w:val="000E4D3E"/>
    <w:rsid w:val="000F3D43"/>
    <w:rsid w:val="00100607"/>
    <w:rsid w:val="00105313"/>
    <w:rsid w:val="00124ED3"/>
    <w:rsid w:val="00131E75"/>
    <w:rsid w:val="001537B0"/>
    <w:rsid w:val="001556CD"/>
    <w:rsid w:val="00177415"/>
    <w:rsid w:val="00182CD0"/>
    <w:rsid w:val="00190CE1"/>
    <w:rsid w:val="001A3142"/>
    <w:rsid w:val="001B77B1"/>
    <w:rsid w:val="001D0B4A"/>
    <w:rsid w:val="001D5D16"/>
    <w:rsid w:val="001E44BC"/>
    <w:rsid w:val="001F12D5"/>
    <w:rsid w:val="001F69E1"/>
    <w:rsid w:val="00207642"/>
    <w:rsid w:val="00213CDF"/>
    <w:rsid w:val="00224565"/>
    <w:rsid w:val="00235003"/>
    <w:rsid w:val="002748EE"/>
    <w:rsid w:val="00283EDD"/>
    <w:rsid w:val="002902C7"/>
    <w:rsid w:val="0029182D"/>
    <w:rsid w:val="00293BC3"/>
    <w:rsid w:val="002B6930"/>
    <w:rsid w:val="00306F43"/>
    <w:rsid w:val="0031396A"/>
    <w:rsid w:val="00320394"/>
    <w:rsid w:val="0032214E"/>
    <w:rsid w:val="00332C6D"/>
    <w:rsid w:val="00342E31"/>
    <w:rsid w:val="00372D16"/>
    <w:rsid w:val="00373F79"/>
    <w:rsid w:val="0038444A"/>
    <w:rsid w:val="00387684"/>
    <w:rsid w:val="00397416"/>
    <w:rsid w:val="003A05A4"/>
    <w:rsid w:val="003A3E1E"/>
    <w:rsid w:val="003C54B6"/>
    <w:rsid w:val="003D0C94"/>
    <w:rsid w:val="003D7269"/>
    <w:rsid w:val="003F2EED"/>
    <w:rsid w:val="003F5C48"/>
    <w:rsid w:val="00401092"/>
    <w:rsid w:val="0042294C"/>
    <w:rsid w:val="0042413D"/>
    <w:rsid w:val="0044142C"/>
    <w:rsid w:val="00484B97"/>
    <w:rsid w:val="00485722"/>
    <w:rsid w:val="00485E6A"/>
    <w:rsid w:val="004A1A5F"/>
    <w:rsid w:val="004A42CC"/>
    <w:rsid w:val="004B5EDA"/>
    <w:rsid w:val="004C398A"/>
    <w:rsid w:val="004D621D"/>
    <w:rsid w:val="004F01D2"/>
    <w:rsid w:val="00502774"/>
    <w:rsid w:val="005052F9"/>
    <w:rsid w:val="00505889"/>
    <w:rsid w:val="00512F98"/>
    <w:rsid w:val="00515513"/>
    <w:rsid w:val="0052657F"/>
    <w:rsid w:val="005269E8"/>
    <w:rsid w:val="0057273A"/>
    <w:rsid w:val="005812D3"/>
    <w:rsid w:val="005814A4"/>
    <w:rsid w:val="0058194E"/>
    <w:rsid w:val="00582D91"/>
    <w:rsid w:val="005872D0"/>
    <w:rsid w:val="00590A8D"/>
    <w:rsid w:val="00591205"/>
    <w:rsid w:val="00596CB5"/>
    <w:rsid w:val="005A2057"/>
    <w:rsid w:val="005A4D7B"/>
    <w:rsid w:val="005C4DCE"/>
    <w:rsid w:val="005D6246"/>
    <w:rsid w:val="005F5C9D"/>
    <w:rsid w:val="005F5E16"/>
    <w:rsid w:val="00610810"/>
    <w:rsid w:val="006117DD"/>
    <w:rsid w:val="0061271C"/>
    <w:rsid w:val="00620A79"/>
    <w:rsid w:val="00651C36"/>
    <w:rsid w:val="00653BFD"/>
    <w:rsid w:val="00653F63"/>
    <w:rsid w:val="006659B0"/>
    <w:rsid w:val="006673F0"/>
    <w:rsid w:val="0067443F"/>
    <w:rsid w:val="00684DC1"/>
    <w:rsid w:val="0068707C"/>
    <w:rsid w:val="006B2B95"/>
    <w:rsid w:val="006B61D6"/>
    <w:rsid w:val="006D5EAB"/>
    <w:rsid w:val="00711B4C"/>
    <w:rsid w:val="00713EF1"/>
    <w:rsid w:val="00732BA8"/>
    <w:rsid w:val="00734F61"/>
    <w:rsid w:val="00740D7F"/>
    <w:rsid w:val="00742611"/>
    <w:rsid w:val="007508E4"/>
    <w:rsid w:val="00753B9D"/>
    <w:rsid w:val="00756329"/>
    <w:rsid w:val="007635FD"/>
    <w:rsid w:val="00774EE0"/>
    <w:rsid w:val="00785606"/>
    <w:rsid w:val="00794A6F"/>
    <w:rsid w:val="007A7238"/>
    <w:rsid w:val="007C040D"/>
    <w:rsid w:val="007C1F5F"/>
    <w:rsid w:val="007E5475"/>
    <w:rsid w:val="007F1EF5"/>
    <w:rsid w:val="007F5B93"/>
    <w:rsid w:val="007F77B9"/>
    <w:rsid w:val="008040A1"/>
    <w:rsid w:val="00805206"/>
    <w:rsid w:val="0081206B"/>
    <w:rsid w:val="00855777"/>
    <w:rsid w:val="00892AEC"/>
    <w:rsid w:val="0089697A"/>
    <w:rsid w:val="008A344F"/>
    <w:rsid w:val="008C52EF"/>
    <w:rsid w:val="00910BFB"/>
    <w:rsid w:val="00924E8F"/>
    <w:rsid w:val="0095054E"/>
    <w:rsid w:val="00954778"/>
    <w:rsid w:val="009715C3"/>
    <w:rsid w:val="0097284A"/>
    <w:rsid w:val="0098663D"/>
    <w:rsid w:val="009B38A7"/>
    <w:rsid w:val="009C429B"/>
    <w:rsid w:val="009D4B74"/>
    <w:rsid w:val="009D7507"/>
    <w:rsid w:val="009E017C"/>
    <w:rsid w:val="00A17144"/>
    <w:rsid w:val="00A50160"/>
    <w:rsid w:val="00A5357A"/>
    <w:rsid w:val="00A57A14"/>
    <w:rsid w:val="00A619D6"/>
    <w:rsid w:val="00A62075"/>
    <w:rsid w:val="00A77DAC"/>
    <w:rsid w:val="00A950E8"/>
    <w:rsid w:val="00A97326"/>
    <w:rsid w:val="00AA2EE9"/>
    <w:rsid w:val="00AB1A00"/>
    <w:rsid w:val="00AB7329"/>
    <w:rsid w:val="00AB7DE7"/>
    <w:rsid w:val="00AC2477"/>
    <w:rsid w:val="00AE200F"/>
    <w:rsid w:val="00B014C6"/>
    <w:rsid w:val="00B22AAE"/>
    <w:rsid w:val="00B27820"/>
    <w:rsid w:val="00B35B33"/>
    <w:rsid w:val="00B41580"/>
    <w:rsid w:val="00B4322B"/>
    <w:rsid w:val="00B54181"/>
    <w:rsid w:val="00B62156"/>
    <w:rsid w:val="00B66845"/>
    <w:rsid w:val="00B771C5"/>
    <w:rsid w:val="00B87112"/>
    <w:rsid w:val="00BC09C4"/>
    <w:rsid w:val="00BD0753"/>
    <w:rsid w:val="00C63984"/>
    <w:rsid w:val="00C77886"/>
    <w:rsid w:val="00C95296"/>
    <w:rsid w:val="00C97735"/>
    <w:rsid w:val="00CB5CFE"/>
    <w:rsid w:val="00CC2B2B"/>
    <w:rsid w:val="00CC7DD6"/>
    <w:rsid w:val="00CD44A0"/>
    <w:rsid w:val="00CE266F"/>
    <w:rsid w:val="00CE6A98"/>
    <w:rsid w:val="00CF6005"/>
    <w:rsid w:val="00CF6E0F"/>
    <w:rsid w:val="00D036E0"/>
    <w:rsid w:val="00D12412"/>
    <w:rsid w:val="00D15D90"/>
    <w:rsid w:val="00D30E08"/>
    <w:rsid w:val="00D41930"/>
    <w:rsid w:val="00D46A02"/>
    <w:rsid w:val="00D67DBF"/>
    <w:rsid w:val="00D81029"/>
    <w:rsid w:val="00D82907"/>
    <w:rsid w:val="00D83FAC"/>
    <w:rsid w:val="00D97A53"/>
    <w:rsid w:val="00DC3915"/>
    <w:rsid w:val="00DC7D83"/>
    <w:rsid w:val="00DD7A78"/>
    <w:rsid w:val="00DE1CB1"/>
    <w:rsid w:val="00DE3E33"/>
    <w:rsid w:val="00E008C6"/>
    <w:rsid w:val="00E3102A"/>
    <w:rsid w:val="00E34127"/>
    <w:rsid w:val="00E4305D"/>
    <w:rsid w:val="00E465C1"/>
    <w:rsid w:val="00E46D25"/>
    <w:rsid w:val="00E60ED2"/>
    <w:rsid w:val="00E67656"/>
    <w:rsid w:val="00E72452"/>
    <w:rsid w:val="00E771EA"/>
    <w:rsid w:val="00E806C5"/>
    <w:rsid w:val="00E82C05"/>
    <w:rsid w:val="00E9449F"/>
    <w:rsid w:val="00E97F99"/>
    <w:rsid w:val="00EB7319"/>
    <w:rsid w:val="00EE0DC2"/>
    <w:rsid w:val="00EE3DD6"/>
    <w:rsid w:val="00EE55E9"/>
    <w:rsid w:val="00EF494C"/>
    <w:rsid w:val="00F031F8"/>
    <w:rsid w:val="00F04D29"/>
    <w:rsid w:val="00F16B2B"/>
    <w:rsid w:val="00F20381"/>
    <w:rsid w:val="00F5622B"/>
    <w:rsid w:val="00F66E35"/>
    <w:rsid w:val="00F67249"/>
    <w:rsid w:val="00F724E9"/>
    <w:rsid w:val="00F821E9"/>
    <w:rsid w:val="00F94356"/>
    <w:rsid w:val="00FA452E"/>
    <w:rsid w:val="00FA7965"/>
    <w:rsid w:val="00FB3C1C"/>
    <w:rsid w:val="00FB7216"/>
    <w:rsid w:val="00FC4279"/>
    <w:rsid w:val="00FC5BD0"/>
    <w:rsid w:val="00FD0BB1"/>
    <w:rsid w:val="00FD274B"/>
    <w:rsid w:val="01312D03"/>
    <w:rsid w:val="01622E76"/>
    <w:rsid w:val="01780EF9"/>
    <w:rsid w:val="018A3C22"/>
    <w:rsid w:val="01E65CA9"/>
    <w:rsid w:val="01F1203F"/>
    <w:rsid w:val="023A5733"/>
    <w:rsid w:val="024263C3"/>
    <w:rsid w:val="02867E52"/>
    <w:rsid w:val="0293294A"/>
    <w:rsid w:val="03346C50"/>
    <w:rsid w:val="0356048A"/>
    <w:rsid w:val="03792426"/>
    <w:rsid w:val="03C339D1"/>
    <w:rsid w:val="03C94C29"/>
    <w:rsid w:val="03CD605F"/>
    <w:rsid w:val="05713FFC"/>
    <w:rsid w:val="05937A34"/>
    <w:rsid w:val="06143145"/>
    <w:rsid w:val="06884F6E"/>
    <w:rsid w:val="06BD621D"/>
    <w:rsid w:val="06CA0025"/>
    <w:rsid w:val="07CB432F"/>
    <w:rsid w:val="082C6248"/>
    <w:rsid w:val="08464A1F"/>
    <w:rsid w:val="08801666"/>
    <w:rsid w:val="08832305"/>
    <w:rsid w:val="08E34D10"/>
    <w:rsid w:val="09355AE1"/>
    <w:rsid w:val="09500B37"/>
    <w:rsid w:val="098708AE"/>
    <w:rsid w:val="09C4782E"/>
    <w:rsid w:val="0A3367C8"/>
    <w:rsid w:val="0AB96515"/>
    <w:rsid w:val="0B6D0ACF"/>
    <w:rsid w:val="0B8E33AD"/>
    <w:rsid w:val="0BC820E2"/>
    <w:rsid w:val="0C0E4E27"/>
    <w:rsid w:val="0CE8253A"/>
    <w:rsid w:val="0CEE6B82"/>
    <w:rsid w:val="0D6457D5"/>
    <w:rsid w:val="0D6B4D11"/>
    <w:rsid w:val="0D864ADA"/>
    <w:rsid w:val="0E814859"/>
    <w:rsid w:val="0ECB7368"/>
    <w:rsid w:val="0F24110D"/>
    <w:rsid w:val="0F355602"/>
    <w:rsid w:val="0F6558C4"/>
    <w:rsid w:val="0F6D0FDF"/>
    <w:rsid w:val="0FD91C07"/>
    <w:rsid w:val="115320F9"/>
    <w:rsid w:val="11612EA5"/>
    <w:rsid w:val="11D64C17"/>
    <w:rsid w:val="121C2E46"/>
    <w:rsid w:val="125E1331"/>
    <w:rsid w:val="12CC5588"/>
    <w:rsid w:val="131E2240"/>
    <w:rsid w:val="13841114"/>
    <w:rsid w:val="13904F26"/>
    <w:rsid w:val="13EF07C3"/>
    <w:rsid w:val="13FE38DE"/>
    <w:rsid w:val="14F270EC"/>
    <w:rsid w:val="15AC1D9E"/>
    <w:rsid w:val="15BB09D1"/>
    <w:rsid w:val="16665843"/>
    <w:rsid w:val="166A3A8D"/>
    <w:rsid w:val="16CC1E75"/>
    <w:rsid w:val="174F662A"/>
    <w:rsid w:val="17656B71"/>
    <w:rsid w:val="17672074"/>
    <w:rsid w:val="180D3B06"/>
    <w:rsid w:val="18392CBC"/>
    <w:rsid w:val="187953B4"/>
    <w:rsid w:val="187D2B10"/>
    <w:rsid w:val="18C27F36"/>
    <w:rsid w:val="191A1433"/>
    <w:rsid w:val="19B05A2A"/>
    <w:rsid w:val="1A9A0E83"/>
    <w:rsid w:val="1AE81CB5"/>
    <w:rsid w:val="1B9703C5"/>
    <w:rsid w:val="1C635C29"/>
    <w:rsid w:val="1C6537BA"/>
    <w:rsid w:val="1C9551F4"/>
    <w:rsid w:val="1CF83C14"/>
    <w:rsid w:val="1D071051"/>
    <w:rsid w:val="1D3C0585"/>
    <w:rsid w:val="1D520E2A"/>
    <w:rsid w:val="1E5176C8"/>
    <w:rsid w:val="1E8C7359"/>
    <w:rsid w:val="1FC42E2D"/>
    <w:rsid w:val="200E4608"/>
    <w:rsid w:val="20394FEA"/>
    <w:rsid w:val="20F503B5"/>
    <w:rsid w:val="212826F4"/>
    <w:rsid w:val="216B1BC5"/>
    <w:rsid w:val="2171056A"/>
    <w:rsid w:val="21A74EA0"/>
    <w:rsid w:val="21F71AC8"/>
    <w:rsid w:val="221E7789"/>
    <w:rsid w:val="224717BC"/>
    <w:rsid w:val="224F7F58"/>
    <w:rsid w:val="22A80C59"/>
    <w:rsid w:val="22F30A66"/>
    <w:rsid w:val="243A0981"/>
    <w:rsid w:val="246B6FCE"/>
    <w:rsid w:val="24BA06F2"/>
    <w:rsid w:val="24E1229C"/>
    <w:rsid w:val="25916DB0"/>
    <w:rsid w:val="259B76C0"/>
    <w:rsid w:val="25AF6361"/>
    <w:rsid w:val="2623001B"/>
    <w:rsid w:val="264C1327"/>
    <w:rsid w:val="2675144D"/>
    <w:rsid w:val="27575DD8"/>
    <w:rsid w:val="27A809D1"/>
    <w:rsid w:val="281D195D"/>
    <w:rsid w:val="28691DDD"/>
    <w:rsid w:val="286C4199"/>
    <w:rsid w:val="28977847"/>
    <w:rsid w:val="28C133BD"/>
    <w:rsid w:val="28E571A8"/>
    <w:rsid w:val="291A637D"/>
    <w:rsid w:val="29E33847"/>
    <w:rsid w:val="29FD43F1"/>
    <w:rsid w:val="2A151D63"/>
    <w:rsid w:val="2A2B3C3C"/>
    <w:rsid w:val="2A2C74BF"/>
    <w:rsid w:val="2A3D2189"/>
    <w:rsid w:val="2A8B70DC"/>
    <w:rsid w:val="2B514D73"/>
    <w:rsid w:val="2BC45765"/>
    <w:rsid w:val="2C216675"/>
    <w:rsid w:val="2C2413C3"/>
    <w:rsid w:val="2D541EEA"/>
    <w:rsid w:val="2DB27D05"/>
    <w:rsid w:val="2E4F6256"/>
    <w:rsid w:val="2E8438E1"/>
    <w:rsid w:val="2EB17034"/>
    <w:rsid w:val="2EE56DFD"/>
    <w:rsid w:val="2F605284"/>
    <w:rsid w:val="2FD9510C"/>
    <w:rsid w:val="300E2CAC"/>
    <w:rsid w:val="303B192D"/>
    <w:rsid w:val="306153F0"/>
    <w:rsid w:val="30A070D3"/>
    <w:rsid w:val="313222ED"/>
    <w:rsid w:val="315A7B86"/>
    <w:rsid w:val="31740730"/>
    <w:rsid w:val="323D5BFB"/>
    <w:rsid w:val="32832AEC"/>
    <w:rsid w:val="32841165"/>
    <w:rsid w:val="34043409"/>
    <w:rsid w:val="341C2C0D"/>
    <w:rsid w:val="350753AB"/>
    <w:rsid w:val="352504CA"/>
    <w:rsid w:val="35BD6AB6"/>
    <w:rsid w:val="361F583A"/>
    <w:rsid w:val="36230505"/>
    <w:rsid w:val="3716079B"/>
    <w:rsid w:val="37164F30"/>
    <w:rsid w:val="37436ACA"/>
    <w:rsid w:val="37D15AB3"/>
    <w:rsid w:val="37E75777"/>
    <w:rsid w:val="37F40C68"/>
    <w:rsid w:val="386A5533"/>
    <w:rsid w:val="38D96D53"/>
    <w:rsid w:val="38DB2257"/>
    <w:rsid w:val="392C2F5A"/>
    <w:rsid w:val="3A6D0650"/>
    <w:rsid w:val="3A8C2B6C"/>
    <w:rsid w:val="3AC214A4"/>
    <w:rsid w:val="3AF52982"/>
    <w:rsid w:val="3B2B2A20"/>
    <w:rsid w:val="3B34009B"/>
    <w:rsid w:val="3BA207ED"/>
    <w:rsid w:val="3C68449E"/>
    <w:rsid w:val="3CAB24D0"/>
    <w:rsid w:val="3D8F7C83"/>
    <w:rsid w:val="3DAB17BA"/>
    <w:rsid w:val="3DC945ED"/>
    <w:rsid w:val="3E2D0A8E"/>
    <w:rsid w:val="3E5C73DF"/>
    <w:rsid w:val="3E87466D"/>
    <w:rsid w:val="3F277DAD"/>
    <w:rsid w:val="3F3D66CD"/>
    <w:rsid w:val="3FF86E00"/>
    <w:rsid w:val="40AB2127"/>
    <w:rsid w:val="40BF2165"/>
    <w:rsid w:val="40DB7E63"/>
    <w:rsid w:val="410A7F42"/>
    <w:rsid w:val="41240AEC"/>
    <w:rsid w:val="4136379D"/>
    <w:rsid w:val="415A1B8D"/>
    <w:rsid w:val="417F32EB"/>
    <w:rsid w:val="41837C0C"/>
    <w:rsid w:val="418405C1"/>
    <w:rsid w:val="41BE5467"/>
    <w:rsid w:val="41C30EF6"/>
    <w:rsid w:val="426331CA"/>
    <w:rsid w:val="42AA5C01"/>
    <w:rsid w:val="42DA01BE"/>
    <w:rsid w:val="43244149"/>
    <w:rsid w:val="432D21C6"/>
    <w:rsid w:val="433A2A9E"/>
    <w:rsid w:val="43C3550B"/>
    <w:rsid w:val="43ED4466"/>
    <w:rsid w:val="465813F9"/>
    <w:rsid w:val="468A3DC6"/>
    <w:rsid w:val="46A06464"/>
    <w:rsid w:val="46CA2860"/>
    <w:rsid w:val="46E37CD8"/>
    <w:rsid w:val="474C6DD1"/>
    <w:rsid w:val="47EF2794"/>
    <w:rsid w:val="483E6865"/>
    <w:rsid w:val="484F022F"/>
    <w:rsid w:val="48570EBF"/>
    <w:rsid w:val="488D5B16"/>
    <w:rsid w:val="49433FBF"/>
    <w:rsid w:val="49A2565E"/>
    <w:rsid w:val="49AB26EA"/>
    <w:rsid w:val="4A0059F7"/>
    <w:rsid w:val="4A84168A"/>
    <w:rsid w:val="4AAB47B2"/>
    <w:rsid w:val="4B2B3E60"/>
    <w:rsid w:val="4BD74745"/>
    <w:rsid w:val="4BE46D7E"/>
    <w:rsid w:val="4C1C4A6D"/>
    <w:rsid w:val="4CB97CC6"/>
    <w:rsid w:val="4D583170"/>
    <w:rsid w:val="4E0433CC"/>
    <w:rsid w:val="4E4610D9"/>
    <w:rsid w:val="4EF9194B"/>
    <w:rsid w:val="4EFF7FF5"/>
    <w:rsid w:val="50484B47"/>
    <w:rsid w:val="508A55B1"/>
    <w:rsid w:val="50935EC0"/>
    <w:rsid w:val="50C2570B"/>
    <w:rsid w:val="50E720C7"/>
    <w:rsid w:val="51117B96"/>
    <w:rsid w:val="51550ECA"/>
    <w:rsid w:val="5160430F"/>
    <w:rsid w:val="51A52CE0"/>
    <w:rsid w:val="51EF5E23"/>
    <w:rsid w:val="522F36E3"/>
    <w:rsid w:val="53227978"/>
    <w:rsid w:val="5389049C"/>
    <w:rsid w:val="54267F9B"/>
    <w:rsid w:val="548E61E3"/>
    <w:rsid w:val="54D46E00"/>
    <w:rsid w:val="54D97BAD"/>
    <w:rsid w:val="54F6469B"/>
    <w:rsid w:val="552349BA"/>
    <w:rsid w:val="55D944E9"/>
    <w:rsid w:val="564D31A3"/>
    <w:rsid w:val="57023490"/>
    <w:rsid w:val="57690167"/>
    <w:rsid w:val="57711005"/>
    <w:rsid w:val="57967CC2"/>
    <w:rsid w:val="57E17AB9"/>
    <w:rsid w:val="580C6F3F"/>
    <w:rsid w:val="58A65901"/>
    <w:rsid w:val="5998070C"/>
    <w:rsid w:val="59C52B8D"/>
    <w:rsid w:val="5AAF7ED4"/>
    <w:rsid w:val="5AB807E4"/>
    <w:rsid w:val="5ACC1A03"/>
    <w:rsid w:val="5AE973A2"/>
    <w:rsid w:val="5AEA4836"/>
    <w:rsid w:val="5B0F6FF4"/>
    <w:rsid w:val="5B3B03A5"/>
    <w:rsid w:val="5B5075CB"/>
    <w:rsid w:val="5B697371"/>
    <w:rsid w:val="5BE302D1"/>
    <w:rsid w:val="5D6C6AD3"/>
    <w:rsid w:val="5D9C7622"/>
    <w:rsid w:val="5DDF5CD5"/>
    <w:rsid w:val="5DE5287F"/>
    <w:rsid w:val="5E7C394C"/>
    <w:rsid w:val="5ECE5416"/>
    <w:rsid w:val="5F0842F6"/>
    <w:rsid w:val="5F5E4D05"/>
    <w:rsid w:val="5F857143"/>
    <w:rsid w:val="5F997B4E"/>
    <w:rsid w:val="5FCE183E"/>
    <w:rsid w:val="5FE35B0A"/>
    <w:rsid w:val="5FF406E6"/>
    <w:rsid w:val="60177EB2"/>
    <w:rsid w:val="606A16DC"/>
    <w:rsid w:val="60CB3695"/>
    <w:rsid w:val="610408B9"/>
    <w:rsid w:val="61D50F91"/>
    <w:rsid w:val="62624078"/>
    <w:rsid w:val="62A34AE2"/>
    <w:rsid w:val="62B13DF7"/>
    <w:rsid w:val="639E7D48"/>
    <w:rsid w:val="63A26AB9"/>
    <w:rsid w:val="64430D0B"/>
    <w:rsid w:val="64515AA2"/>
    <w:rsid w:val="64BA1C4E"/>
    <w:rsid w:val="64C72A9B"/>
    <w:rsid w:val="65293587"/>
    <w:rsid w:val="65EF58D9"/>
    <w:rsid w:val="66C07A0F"/>
    <w:rsid w:val="67277FC8"/>
    <w:rsid w:val="673752E0"/>
    <w:rsid w:val="673C6F2C"/>
    <w:rsid w:val="677221C7"/>
    <w:rsid w:val="67A26026"/>
    <w:rsid w:val="67A86D33"/>
    <w:rsid w:val="67E049F9"/>
    <w:rsid w:val="68157452"/>
    <w:rsid w:val="682233AC"/>
    <w:rsid w:val="687C7E51"/>
    <w:rsid w:val="68B32BF4"/>
    <w:rsid w:val="68BD352F"/>
    <w:rsid w:val="69791297"/>
    <w:rsid w:val="69821BA7"/>
    <w:rsid w:val="69A71894"/>
    <w:rsid w:val="6A143694"/>
    <w:rsid w:val="6A3C4858"/>
    <w:rsid w:val="6A835585"/>
    <w:rsid w:val="6A991A82"/>
    <w:rsid w:val="6B104D22"/>
    <w:rsid w:val="6BAA4A2F"/>
    <w:rsid w:val="6C3660E2"/>
    <w:rsid w:val="6C550199"/>
    <w:rsid w:val="6D064CEC"/>
    <w:rsid w:val="6D180489"/>
    <w:rsid w:val="6D382F3C"/>
    <w:rsid w:val="6D3F28C7"/>
    <w:rsid w:val="6D731460"/>
    <w:rsid w:val="6DA15E5C"/>
    <w:rsid w:val="6E35795C"/>
    <w:rsid w:val="6F000329"/>
    <w:rsid w:val="6F6303CE"/>
    <w:rsid w:val="6FD12C00"/>
    <w:rsid w:val="6FE5071F"/>
    <w:rsid w:val="7035003A"/>
    <w:rsid w:val="706842EC"/>
    <w:rsid w:val="70B15AF2"/>
    <w:rsid w:val="70C70595"/>
    <w:rsid w:val="710E2608"/>
    <w:rsid w:val="71A55FFE"/>
    <w:rsid w:val="71DC3F5A"/>
    <w:rsid w:val="72370DB8"/>
    <w:rsid w:val="724179B2"/>
    <w:rsid w:val="72AB4DF1"/>
    <w:rsid w:val="72B3073A"/>
    <w:rsid w:val="72B729C4"/>
    <w:rsid w:val="72CC7C92"/>
    <w:rsid w:val="751524A3"/>
    <w:rsid w:val="753D1FB4"/>
    <w:rsid w:val="75534CD6"/>
    <w:rsid w:val="76BA05D5"/>
    <w:rsid w:val="770F5700"/>
    <w:rsid w:val="7762336C"/>
    <w:rsid w:val="778B42C3"/>
    <w:rsid w:val="77CC2A1C"/>
    <w:rsid w:val="78663B14"/>
    <w:rsid w:val="78FC7383"/>
    <w:rsid w:val="78FE2D8D"/>
    <w:rsid w:val="79227276"/>
    <w:rsid w:val="798F0CAA"/>
    <w:rsid w:val="79A02597"/>
    <w:rsid w:val="7A9131A4"/>
    <w:rsid w:val="7B8B6C3F"/>
    <w:rsid w:val="7BE57D6D"/>
    <w:rsid w:val="7BE879AE"/>
    <w:rsid w:val="7C5D6F97"/>
    <w:rsid w:val="7C6565A2"/>
    <w:rsid w:val="7D024843"/>
    <w:rsid w:val="7D084EB2"/>
    <w:rsid w:val="7D0F0FB9"/>
    <w:rsid w:val="7D3A787F"/>
    <w:rsid w:val="7D921593"/>
    <w:rsid w:val="7DCF5B74"/>
    <w:rsid w:val="7DE54887"/>
    <w:rsid w:val="7E622B65"/>
    <w:rsid w:val="7E74458E"/>
    <w:rsid w:val="7EFE1AFE"/>
    <w:rsid w:val="7FC747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styleId="10">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ylmfeng.com</Company>
  <Pages>21</Pages>
  <Words>8720</Words>
  <Characters>9493</Characters>
  <Lines>8</Lines>
  <Paragraphs>19</Paragraphs>
  <TotalTime>4</TotalTime>
  <ScaleCrop>false</ScaleCrop>
  <LinksUpToDate>false</LinksUpToDate>
  <CharactersWithSpaces>9535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2023-09-13T02:13:21Z</dcterms:modified>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9368E69EEDCC4655942307645377FFA6_13</vt:lpwstr>
  </property>
</Properties>
</file>