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 xml:space="preserve">沈阳市浑南区李相街道办事处          </w:t>
      </w: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沈阳市浑南区李相街道办事处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pPr>
        <w:keepNext w:val="0"/>
        <w:keepLines w:val="0"/>
        <w:widowControl/>
        <w:suppressLineNumbers w:val="0"/>
        <w:ind w:firstLine="620" w:firstLineChars="200"/>
        <w:jc w:val="left"/>
        <w:rPr>
          <w:rFonts w:hint="default"/>
          <w:lang w:val="en-US"/>
        </w:rPr>
      </w:pPr>
      <w:r>
        <w:rPr>
          <w:rFonts w:ascii="仿宋_GB2312" w:hAnsi="宋体" w:eastAsia="仿宋_GB2312" w:cs="仿宋_GB2312"/>
          <w:color w:val="000000"/>
          <w:kern w:val="0"/>
          <w:sz w:val="31"/>
          <w:szCs w:val="31"/>
          <w:lang w:val="en-US" w:eastAsia="zh-CN" w:bidi="ar"/>
        </w:rPr>
        <w:t>根据《沈阳市浑南区街道机构改革方案》，街道的职能定位为：</w:t>
      </w:r>
      <w:r>
        <w:rPr>
          <w:rFonts w:hint="default" w:ascii="仿宋_GB2312" w:hAnsi="宋体" w:eastAsia="仿宋_GB2312" w:cs="仿宋_GB2312"/>
          <w:color w:val="000000"/>
          <w:kern w:val="0"/>
          <w:sz w:val="31"/>
          <w:szCs w:val="31"/>
          <w:lang w:val="en-US" w:eastAsia="zh-CN" w:bidi="ar"/>
        </w:rPr>
        <w:t>贯彻执行党和国家的路线、方针、政策、法律、法规和上级党委、政府的决定、决议，根据法律法规和县级党委、政府授权，围绕党的建设</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color w:val="000000"/>
          <w:kern w:val="0"/>
          <w:sz w:val="31"/>
          <w:szCs w:val="31"/>
          <w:lang w:val="en-US" w:eastAsia="zh-CN" w:bidi="ar"/>
        </w:rPr>
        <w:t>。</w:t>
      </w:r>
    </w:p>
    <w:p>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根据上述职能定位，确定街道综合办事机构工作职能如下： </w:t>
      </w:r>
    </w:p>
    <w:p>
      <w:pPr>
        <w:keepNext w:val="0"/>
        <w:keepLines w:val="0"/>
        <w:widowControl/>
        <w:suppressLineNumbers w:val="0"/>
        <w:ind w:firstLine="620" w:firstLineChars="200"/>
        <w:jc w:val="left"/>
      </w:pPr>
      <w:r>
        <w:rPr>
          <w:rFonts w:ascii="楷体_GB2312" w:hAnsi="宋体" w:eastAsia="楷体_GB2312" w:cs="楷体_GB2312"/>
          <w:color w:val="000000"/>
          <w:kern w:val="0"/>
          <w:sz w:val="31"/>
          <w:szCs w:val="31"/>
          <w:lang w:val="en-US" w:eastAsia="zh-CN" w:bidi="ar"/>
        </w:rPr>
        <w:t xml:space="preserve">1.党政综合办公室（党建工作办公室）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主要履行机关日常事务、综合协调、服务保障及党的建设等工作职能。负责党的组织建设、党风廉政建设、宣传教育、思想政治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负责落实基层党建工作责任制，统筹推进基层党建工作，实 现党的组织和工作全覆盖；负责党员管理教育、组织关系接转、 政审外调、党费收缴等工作；负责社区“两委”班子建设；依托街道事务受理中心和文化活动中心，建立街道党建服务中心，面向辖区内党组织和党员开展党建活动、提供党建服务，使其成为服务区域党员群众的枢纽。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2.社会治理办公室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主要履行社会治安综合治理、信访维稳等工作职能。负责维 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3.公共服务办公室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主要履行社会服务、社会救济、民生保障等工作职能。负责 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负责加强社区综合服务站点建设，设置便民服务站，推动基本公共服务事项进驻社区办理。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4.城乡管理办公室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主要履行城乡建设、综合管理及交通等工作职能。对地区性、综合性事务综合施策，组织协调和整合各类行政资源、专业资源 共同推进社区管理；统筹落实社区市容环境（含爱国卫生、灭“四 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协调协同现场征收部、执法大队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5.经济发展办公室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6.应急管理办公室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w:t>
      </w:r>
      <w:r>
        <w:rPr>
          <w:rFonts w:hint="eastAsia" w:ascii="仿宋_GB2312" w:hAnsi="宋体" w:eastAsia="仿宋_GB2312" w:cs="仿宋_GB2312"/>
          <w:color w:val="000000"/>
          <w:kern w:val="0"/>
          <w:sz w:val="31"/>
          <w:szCs w:val="31"/>
          <w:lang w:val="en-US" w:eastAsia="zh-CN" w:bidi="ar"/>
        </w:rPr>
        <w:t>发</w:t>
      </w:r>
      <w:r>
        <w:rPr>
          <w:rFonts w:hint="default" w:ascii="仿宋_GB2312" w:hAnsi="宋体" w:eastAsia="仿宋_GB2312" w:cs="仿宋_GB2312"/>
          <w:color w:val="000000"/>
          <w:kern w:val="0"/>
          <w:sz w:val="31"/>
          <w:szCs w:val="31"/>
          <w:lang w:val="en-US" w:eastAsia="zh-CN" w:bidi="ar"/>
        </w:rPr>
        <w:t xml:space="preserve">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协调协同应急中队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7.社区建设指导办公室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主要履行指导社区居民自治和社区服务等工作职能。负责指 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多网合一、一员多能”。负责整合现有设在街道的党的建设、综合治理、社区治理、数字城管等系统指挥信息资源，建立一体化的信息系统和综合指挥平台，实现互联互通、信息共享、实时监控、综合监测。 </w:t>
      </w:r>
    </w:p>
    <w:p>
      <w:pPr>
        <w:keepNext w:val="0"/>
        <w:keepLines w:val="0"/>
        <w:widowControl/>
        <w:suppressLineNumbers w:val="0"/>
        <w:ind w:firstLine="620" w:firstLineChars="200"/>
        <w:jc w:val="left"/>
        <w:rPr>
          <w:rFonts w:hint="default" w:ascii="楷体_GB2312" w:hAnsi="宋体" w:eastAsia="楷体_GB2312" w:cs="楷体_GB2312"/>
          <w:color w:val="000000"/>
          <w:kern w:val="0"/>
          <w:sz w:val="31"/>
          <w:szCs w:val="31"/>
          <w:lang w:val="en-US" w:eastAsia="zh-CN" w:bidi="ar"/>
        </w:rPr>
      </w:pP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8.纪工委（监察办公室）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街道纪工委在街道党工委和区纪律检查委员会双重领导下 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 委员会和街道党工委交办的相关事项。 </w:t>
      </w:r>
    </w:p>
    <w:p>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街道监察办公室与纪工委合署办公，依据区监察委员会授权， 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hAnsi="仿宋_GB2312" w:eastAsia="仿宋_GB2312" w:cs="仿宋_GB2312"/>
          <w:b w:val="0"/>
          <w:bCs/>
          <w:sz w:val="32"/>
          <w:szCs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是沈阳市李相街道办事处本级，</w:t>
      </w:r>
      <w:r>
        <w:rPr>
          <w:rFonts w:hint="eastAsia" w:ascii="仿宋_GB2312" w:hAnsi="仿宋_GB2312" w:eastAsia="仿宋_GB2312" w:cs="仿宋_GB2312"/>
          <w:b w:val="0"/>
          <w:bCs/>
          <w:sz w:val="32"/>
          <w:szCs w:val="32"/>
          <w:lang w:val="en-US" w:eastAsia="zh-CN"/>
        </w:rPr>
        <w:t>本部门</w:t>
      </w:r>
      <w:r>
        <w:rPr>
          <w:rFonts w:hint="eastAsia" w:ascii="仿宋_GB2312" w:hAnsi="仿宋_GB2312" w:eastAsia="仿宋_GB2312" w:cs="仿宋_GB2312"/>
          <w:b w:val="0"/>
          <w:bCs/>
          <w:sz w:val="32"/>
          <w:szCs w:val="32"/>
          <w:lang w:eastAsia="zh-CN"/>
        </w:rPr>
        <w:t>无下设机构。</w:t>
      </w:r>
    </w:p>
    <w:p>
      <w:pPr>
        <w:pStyle w:val="6"/>
        <w:spacing w:line="560" w:lineRule="exact"/>
        <w:jc w:val="center"/>
        <w:rPr>
          <w:rFonts w:hint="default"/>
          <w:b/>
          <w:sz w:val="36"/>
        </w:rPr>
      </w:pPr>
      <w:r>
        <w:rPr>
          <w:b/>
          <w:sz w:val="36"/>
        </w:rPr>
        <w:t xml:space="preserve">第二部分 </w:t>
      </w:r>
      <w:r>
        <w:rPr>
          <w:rFonts w:hint="eastAsia"/>
          <w:b/>
          <w:sz w:val="36"/>
          <w:lang w:val="en-US" w:eastAsia="zh-CN"/>
        </w:rPr>
        <w:t xml:space="preserve">沈阳市浑南区李相街道办事处       </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3974.08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3974.08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3068.17</w:t>
      </w:r>
      <w:r>
        <w:rPr>
          <w:rFonts w:ascii="仿宋_GB2312" w:eastAsia="仿宋_GB2312"/>
          <w:sz w:val="32"/>
        </w:rPr>
        <w:t>万元，政府性基金收入</w:t>
      </w:r>
      <w:r>
        <w:rPr>
          <w:rFonts w:hint="eastAsia" w:ascii="仿宋_GB2312" w:eastAsia="仿宋_GB2312"/>
          <w:sz w:val="32"/>
          <w:lang w:val="en-US" w:eastAsia="zh-CN"/>
        </w:rPr>
        <w:t>905.91</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没形成该笔资金</w:t>
      </w:r>
      <w:r>
        <w:rPr>
          <w:rFonts w:ascii="仿宋_GB2312" w:eastAsia="仿宋_GB2312"/>
          <w:sz w:val="32"/>
        </w:rPr>
        <w:t>。</w:t>
      </w:r>
    </w:p>
    <w:p>
      <w:pPr>
        <w:pStyle w:val="6"/>
        <w:spacing w:line="560" w:lineRule="exact"/>
        <w:ind w:firstLine="660"/>
        <w:rPr>
          <w:rFonts w:hint="default" w:ascii="仿宋_GB2312" w:hAnsi="宋体" w:eastAsia="仿宋_GB2312" w:cs="Times New Roman"/>
          <w:sz w:val="32"/>
          <w:szCs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hint="eastAsia" w:ascii="仿宋_GB2312" w:hAnsi="宋体" w:eastAsia="仿宋_GB2312"/>
          <w:sz w:val="32"/>
          <w:szCs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3974.08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685.26</w:t>
      </w:r>
      <w:r>
        <w:rPr>
          <w:rFonts w:ascii="仿宋_GB2312" w:eastAsia="仿宋_GB2312"/>
          <w:sz w:val="32"/>
        </w:rPr>
        <w:t>万元，占支出总计的</w:t>
      </w:r>
      <w:r>
        <w:rPr>
          <w:rFonts w:hint="eastAsia" w:ascii="仿宋_GB2312" w:eastAsia="仿宋_GB2312"/>
          <w:sz w:val="32"/>
          <w:lang w:val="en-US" w:eastAsia="zh-CN"/>
        </w:rPr>
        <w:t>17.2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565.09</w:t>
      </w:r>
      <w:r>
        <w:rPr>
          <w:rFonts w:ascii="仿宋_GB2312" w:eastAsia="仿宋_GB2312"/>
          <w:sz w:val="32"/>
        </w:rPr>
        <w:t>万元，对个人和家庭的补助支出</w:t>
      </w:r>
      <w:r>
        <w:rPr>
          <w:rFonts w:hint="eastAsia" w:ascii="仿宋_GB2312" w:eastAsia="仿宋_GB2312"/>
          <w:sz w:val="32"/>
          <w:lang w:val="en-US" w:eastAsia="zh-CN"/>
        </w:rPr>
        <w:t>9.95</w:t>
      </w:r>
      <w:r>
        <w:rPr>
          <w:rFonts w:ascii="仿宋_GB2312" w:eastAsia="仿宋_GB2312"/>
          <w:sz w:val="32"/>
        </w:rPr>
        <w:t>万元，商品和服务支出</w:t>
      </w:r>
      <w:r>
        <w:rPr>
          <w:rFonts w:hint="eastAsia" w:ascii="仿宋_GB2312" w:eastAsia="仿宋_GB2312"/>
          <w:sz w:val="32"/>
          <w:lang w:val="en-US" w:eastAsia="zh-CN"/>
        </w:rPr>
        <w:t>108.51</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1.72万元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3288.82</w:t>
      </w:r>
      <w:r>
        <w:rPr>
          <w:rFonts w:ascii="仿宋_GB2312" w:eastAsia="仿宋_GB2312"/>
          <w:sz w:val="32"/>
        </w:rPr>
        <w:t>万元，占支出总计的</w:t>
      </w:r>
      <w:r>
        <w:rPr>
          <w:rFonts w:hint="eastAsia" w:ascii="仿宋_GB2312" w:eastAsia="仿宋_GB2312"/>
          <w:sz w:val="32"/>
          <w:lang w:val="en-US" w:eastAsia="zh-CN"/>
        </w:rPr>
        <w:t>82.8</w:t>
      </w:r>
      <w:r>
        <w:rPr>
          <w:rFonts w:ascii="仿宋_GB2312" w:eastAsia="仿宋_GB2312"/>
          <w:sz w:val="32"/>
        </w:rPr>
        <w:t>%。主要包括</w:t>
      </w:r>
      <w:r>
        <w:rPr>
          <w:rFonts w:hint="eastAsia" w:ascii="仿宋_GB2312" w:hAnsi="宋体" w:eastAsia="仿宋_GB2312"/>
          <w:sz w:val="32"/>
          <w:szCs w:val="32"/>
          <w:lang w:eastAsia="zh-CN"/>
        </w:rPr>
        <w:t>征收拆迁补偿、秸秆禁烧工作经费</w:t>
      </w:r>
      <w:r>
        <w:rPr>
          <w:rFonts w:ascii="仿宋_GB2312" w:eastAsia="仿宋_GB2312"/>
          <w:sz w:val="32"/>
        </w:rPr>
        <w:t>等业务支出。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hint="eastAsia" w:ascii="仿宋_GB2312" w:hAnsi="宋体" w:eastAsia="仿宋_GB2312"/>
          <w:sz w:val="32"/>
          <w:szCs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3974.08</w:t>
      </w:r>
      <w:r>
        <w:rPr>
          <w:rFonts w:ascii="仿宋_GB2312" w:eastAsia="仿宋_GB2312"/>
          <w:sz w:val="32"/>
        </w:rPr>
        <w:t>万元，其中：基本支出</w:t>
      </w:r>
      <w:r>
        <w:rPr>
          <w:rFonts w:hint="eastAsia" w:ascii="仿宋_GB2312" w:eastAsia="仿宋_GB2312"/>
          <w:sz w:val="32"/>
          <w:lang w:val="en-US" w:eastAsia="zh-CN"/>
        </w:rPr>
        <w:t>685.26</w:t>
      </w:r>
      <w:r>
        <w:rPr>
          <w:rFonts w:ascii="仿宋_GB2312" w:eastAsia="仿宋_GB2312"/>
          <w:sz w:val="32"/>
        </w:rPr>
        <w:t>万元，项目支出</w:t>
      </w:r>
      <w:r>
        <w:rPr>
          <w:rFonts w:hint="eastAsia" w:ascii="仿宋_GB2312" w:eastAsia="仿宋_GB2312"/>
          <w:sz w:val="32"/>
          <w:lang w:val="en-US" w:eastAsia="zh-CN"/>
        </w:rPr>
        <w:t>3288.82</w:t>
      </w:r>
      <w:r>
        <w:rPr>
          <w:rFonts w:ascii="仿宋_GB2312" w:eastAsia="仿宋_GB2312"/>
          <w:sz w:val="32"/>
        </w:rPr>
        <w:t>万元。与上年相比，财政拨款支出减少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112.3</w:t>
      </w:r>
      <w:r>
        <w:rPr>
          <w:rFonts w:ascii="仿宋_GB2312" w:eastAsia="仿宋_GB2312"/>
          <w:sz w:val="32"/>
        </w:rPr>
        <w:t>%，其中：基本支出完成年初预算的</w:t>
      </w:r>
      <w:r>
        <w:rPr>
          <w:rFonts w:hint="eastAsia" w:ascii="仿宋_GB2312" w:eastAsia="仿宋_GB2312"/>
          <w:sz w:val="32"/>
          <w:lang w:val="en-US" w:eastAsia="zh-CN"/>
        </w:rPr>
        <w:t>64.5</w:t>
      </w:r>
      <w:r>
        <w:rPr>
          <w:rFonts w:ascii="仿宋_GB2312" w:eastAsia="仿宋_GB2312"/>
          <w:sz w:val="32"/>
        </w:rPr>
        <w:t>%，项目支出完成年初预算的</w:t>
      </w:r>
      <w:r>
        <w:rPr>
          <w:rFonts w:hint="eastAsia" w:ascii="仿宋_GB2312" w:eastAsia="仿宋_GB2312"/>
          <w:sz w:val="32"/>
          <w:lang w:val="en-US" w:eastAsia="zh-CN"/>
        </w:rPr>
        <w:t>132.8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3068.17</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1089.71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35.5</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1.88万元，占0.06%；社会保障和就业支出165.09万元，占5.38%；卫生健康支出256.65万元，占8.36%；节能环保支出72.49万元，占2.36%；城乡社区支出234.3万元，占7.64%；农林水支出1093.29万元，占35.63%；住房保障支出100.56万元，占3.28%；灾害防治及应急管理支出54.21万元，占1.77%</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1089.71</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项）491.1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基本工资、伙食补助费、办公经费、水费、电费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114.59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类）政府办公厅（室）及相关机构事务（款）一般行政管理事务（项）196.84万元，主要是人员绩效工资、村财工作经费等支出，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43.78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类）政府办公厅（室）及相关机构事务（款）信访经费（项）199.91万元，主要是信访工作经费支出，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199.91</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信访工作的突发性和信访维稳工作的不确定性等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类）政府办公厅（室）及相关机构事务（款）其他政府办公厅（室）及相关机构事务支出（项）136.81万元，主要是村部建设资金、小区外墙维修费、村务监督经费等支出，完成年初预算的62.19%，</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减少了支出等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类）财政事务（款）一般行政管理事务（项）2.06万元，主要是财政事业费支出，完成年初预算的58.86%，决算数小于年初预算数的原因主要是减少了支出等。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类）纪检监察事务（款）其他纪检监察事务支出（项）49.76万元，主要是正风肃纪监督员经费、宣传经费支出，完成年初预算的73.39%，</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，原因主要是纪委工作经费支出减少。</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类）群众团体事务（款）其他群众团体事务支出（项）2万元，主要是群团工作经费支出，完成年初预算的100%，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持平</w:t>
      </w:r>
      <w:r>
        <w:rPr>
          <w:rFonts w:hint="eastAsia" w:ascii="仿宋_GB2312" w:hAnsi="宋体" w:eastAsia="仿宋_GB2312"/>
          <w:sz w:val="32"/>
          <w:szCs w:val="32"/>
        </w:rPr>
        <w:t>。</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类）群众团体事务（款）其他党委办公厅（室）及相关机构事务支出（项）4.61万元，主要是城市社区党建经费支出，完成年初预算的28.81%，</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小于</w:t>
      </w:r>
      <w:r>
        <w:rPr>
          <w:rFonts w:hint="eastAsia" w:ascii="仿宋_GB2312" w:hAnsi="宋体" w:eastAsia="仿宋_GB2312"/>
          <w:color w:val="auto"/>
          <w:sz w:val="32"/>
          <w:szCs w:val="32"/>
        </w:rPr>
        <w:t>年初预算数的原因主要</w:t>
      </w:r>
      <w:r>
        <w:rPr>
          <w:rFonts w:hint="eastAsia" w:ascii="仿宋_GB2312" w:hAnsi="宋体" w:eastAsia="仿宋_GB2312"/>
          <w:color w:val="auto"/>
          <w:sz w:val="32"/>
          <w:szCs w:val="32"/>
          <w:lang w:eastAsia="zh-CN"/>
        </w:rPr>
        <w:t>是党建活动资金支出的不确定性等</w:t>
      </w:r>
      <w:r>
        <w:rPr>
          <w:rFonts w:hint="eastAsia" w:ascii="仿宋_GB2312" w:hAnsi="宋体" w:eastAsia="仿宋_GB2312"/>
          <w:color w:val="auto"/>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类）组织事务（款）其他组织事务支出（项）2万元，主要是城市社区党建经费支出，年初无此项预算，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是党建活动资金支出的不确定性等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类）宣传事务（款）其他宣传事务支出（项）3万元，街道创城经费、宣传工作经费支出，完成年初预算的100%，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持平</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1.88万元,具体包括：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（1）国防支出（类）国防动员（款）其他国防动员支出（项）1.88万元，主要是武装工作经费，完成年初预算的94%，决算数小于预算数的原因是部分预算事项资金没有支出等。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3.文化旅游体育与传媒支出0万元，具体包括：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（1）文化旅游体育与传媒支出（类）文化和旅游（款）其他文化和旅游支出（项）0万元，主要是文体工作经费，完成年初预算的0%，决算数小于预算数的原因是未下拨此项经费。</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4.社会保障和就业支出165.09万元，具体包括：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会治理（项）95.24万元，主要是社区工作经费、社区采暖费等支出，完成年初预算的131.37%，决算数大于预算数的原因是社区工作经费支出疫情防控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（2）社会保障和就业支出（类）行政事业单位养老支出（款）行政单位离退休（项）5.23万元，主要是单位退休人员采暖费等支出，完成年初预算的100%，决算数等于预算数，完成预算。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61.92万元，主要是单位养老保险等支出，完成年初预算的138.21%，决算数大于预算数的原因是人员增减变动、基数调整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（4）社会保障和就业支出（类）行政事业单位养老支出（款）机关事业单位基本职业年金缴费支出（项）0万元，主要是单位职业年金缴费等支出，完成年初预算的0%，决算数小于预算数的原因是此经费未下拨。</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（5）社会保障和就业支出（类）行政事业单位养老支出（款）其他残疾人事业支出（项）0.1万元，主要是残疾人困难群体应急救助支出，年初无此项预算。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社会保障和就业支出（类）行政事业单位养老支出（款）其他农村生活救助（项）2.6万元，主要是单春节低收入家庭慰问、困难群体应急救助等支出，完成年初预算的86.67%，决算数小于预算数的原因是缩减支出。</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5.卫生健康支出256.65万元，具体包括：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（1）卫生健康支出（类）公共卫生（款）其他基层医疗卫生机构支出（项）103.71万元，主要是疫情防控资金支出，完成年初预算77.51%，决算数大于预算数的原因是新冠疫情突发性支出等。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（2）卫生健康支出（类）公共卫生（款）重大公共卫生服务（项）126.5万元，主要是疫情防控资金支出，年初无此项预算。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（3）卫生健康支出（类）公共卫生（款）行政单位医疗（项）24.16万元，主要是职工医疗保险缴费支出，完成年初预算的98.81%，决算数小于预算数的原因是人员增减变动、基数调整等。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（4）卫生健康支出（类）公共卫生（款）公务员医疗补助（项）2.28万元，主要是公务员医疗补助缴费支出，完成年初预算的104.11%，决算数大于预算数的原因是人员增减变动等。</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6.节能环保支出72.49万元，具体包括：</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（1）节能环保支出（类）污染防治（款）大气（项）72.49万元，主要是型煤推广补助等支出，年初无此项部门预算。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7.城乡社区支出234.3万元，具体包括：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（1）城乡社区支出（类）城乡社区管理事务（款）其他城乡社区管理事务支出（项）204.07万元，主要是陨石山开户费等支出，完成年初预算的69.96%，决算数小于预算数的原因是工作不确定性事项支出等。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（2）城乡社区支出（类）城乡社区环境卫生（款）城乡社区环境卫生（项）30.23万元，主要是创城工作经费、房屋维修工程等支出，完成年初预算的15.12%，决算数小于预算数的原因是工作不确定性事项支出等。</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8.农林水支出1093.29万元，具体包括：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（1）农林水支出（类）农业农村（款）病虫害控制(项)7.16万元，主要是病虫害控制经费支出，年初无此项预算。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（2）农林水支出（类）农业农村（款）行业业务管理(项)30万元，主要是村务监督委员会经费支出，决算数等于预算数，完成本年预算。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（3）农林水支出（类）农业农村（款）农产品加工与促销(项)607.36万元，主要是农产品加工与促销经费支出，年初无此项预算。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（4）农林水支出（类）农业农村（款）农村社会事业（项）162.93万元，主要是农村改厕、秸秆禁烧等支出，完成年初预算的19.75%，决算数小于预算数的原因是农村改厕、秸秆禁烧资金支出不确定性等。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（5）农林水支出（类）农业农村（款）其他农业农村支出（项）43.5万元，主要是疫情防控资金等支出，完成年初预算的24.17%，决算数小于预算数的原因是未下拨经费。</w:t>
      </w:r>
    </w:p>
    <w:p>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（6）农林水支出（类）水利（款）水利工程运行与维护（项）0.84万元，主要是河长制工作经费支出，完成年初预算的84%，决算数小于预算数的原因是河长制工作经费支出的不确定性等。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（7）农林水支出（类）水利（款）农村人畜饮水（项）21万元，主要是自来水维修经费支出，完成年初预算的100%，决算数与预算数持平，完成预算。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（8）农林水支出（类）水利（款）防汛（项）10万元，主要是防汛抗旱经费支出，完成年初预算的100%，决算数与预算数持平，完成预算。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（9）农林水支出（类）农村综合改革（款）对村民委员会和村党支部的补助（项）150.5万元，主要是村民委员会和村党支部的补助经费支出，完成年初预算的91.21%，决算数小于预算数的原因是人员增减变动等。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（10）农林水支出（类）农村综合改革（款）对村集体经济组织的补助（项）60万元，主要是村集体经济组织的补助经费支出，年初无此项预算。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9.交通运输支出0万元，具体包括：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（1）交通运输支出（类）公路水路运输（款）其他公路水路运输支出（项）0万元，主要是四好农村路经费，完成年初预算的0%，决算数小于预算数的原因是未下拨此经费。</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10.住房保障支出100.56万元，具体包括：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（1）住房保障支出（类）住房改革支出（款）住房公积金（项）100.56万元，主要是住房公积金，完成年初预算的89.47%，决算小于预算数的原因是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11.灾害防治及应急管理支出54.21万元，具体包括：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（1）灾害防治及应急管理支出（类）应急管理事务（款）安全监管（项）5万元，主要是宣传用品等，完成年初预算的100%，决算与预算数持平，完成预算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（2）灾害防治及应急管理支出（类）消防救援事务（款）其他消防救援事务支出（项）49.21万元，主要是消防救援事务经费支出，完成年初预算的98.4%，决算数小于预算数的原因是支付此项开支缩减</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numPr>
          <w:ilvl w:val="0"/>
          <w:numId w:val="0"/>
        </w:numPr>
        <w:spacing w:line="540" w:lineRule="exact"/>
        <w:ind w:firstLine="64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905.91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城乡社区支出905.91万元，占100%。</w:t>
      </w:r>
    </w:p>
    <w:p>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1.城乡社区支出905.91万元，具体包括：</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（1）城乡社区支出（类）国有土地使用权出让收入安排的支出（款）征地和拆迁补偿支出（项）885.67万元，主要是征收补偿款等支出，年初无此项部门预算。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（2）城乡社区支出（类）农业土地开发资金安排的支出（款）农业土地开发资金安排的支出（项）20.24万元，主要是征收工作经费支出，年初无此项部门预算。</w:t>
      </w:r>
    </w:p>
    <w:p>
      <w:pPr>
        <w:spacing w:line="560" w:lineRule="exact"/>
        <w:ind w:firstLine="643" w:firstLineChars="2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numPr>
          <w:ilvl w:val="0"/>
          <w:numId w:val="0"/>
        </w:numPr>
        <w:spacing w:line="540" w:lineRule="exact"/>
        <w:ind w:firstLine="960" w:firstLineChars="300"/>
        <w:rPr>
          <w:rFonts w:hint="default" w:ascii="仿宋_GB2312" w:hAnsi="宋体" w:eastAsia="仿宋_GB2312"/>
          <w:sz w:val="32"/>
          <w:szCs w:val="32"/>
          <w:highlight w:val="none"/>
          <w:lang w:val="en-US" w:eastAsia="zh-CN"/>
        </w:rPr>
      </w:pPr>
      <w:r>
        <w:rPr>
          <w:rFonts w:hint="eastAsia" w:ascii="仿宋_GB2312" w:hAnsi="宋体" w:eastAsia="仿宋_GB2312"/>
          <w:b w:val="0"/>
          <w:bCs w:val="0"/>
          <w:color w:val="000000"/>
          <w:sz w:val="32"/>
          <w:szCs w:val="32"/>
          <w:lang w:val="en-US" w:eastAsia="zh-CN"/>
        </w:rPr>
        <w:t>2022年度未发生此项资金。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685.26</w:t>
      </w:r>
      <w:r>
        <w:rPr>
          <w:rFonts w:ascii="仿宋_GB2312" w:eastAsia="仿宋_GB2312"/>
          <w:sz w:val="32"/>
        </w:rPr>
        <w:t>万元，其中：人员经费</w:t>
      </w:r>
      <w:r>
        <w:rPr>
          <w:rFonts w:hint="eastAsia" w:ascii="仿宋_GB2312" w:eastAsia="仿宋_GB2312"/>
          <w:sz w:val="32"/>
          <w:lang w:val="en-US" w:eastAsia="zh-CN"/>
        </w:rPr>
        <w:t>575.03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110.23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110.23</w:t>
      </w:r>
      <w:r>
        <w:rPr>
          <w:rFonts w:ascii="仿宋_GB2312" w:eastAsia="仿宋_GB2312"/>
          <w:sz w:val="32"/>
        </w:rPr>
        <w:t>万元，比上年决算数减少</w:t>
      </w:r>
      <w:r>
        <w:rPr>
          <w:rFonts w:hint="eastAsia" w:ascii="仿宋_GB2312" w:eastAsia="仿宋_GB2312"/>
          <w:sz w:val="32"/>
          <w:lang w:val="en-US" w:eastAsia="zh-CN"/>
        </w:rPr>
        <w:t>8.77</w:t>
      </w:r>
      <w:r>
        <w:rPr>
          <w:rFonts w:ascii="仿宋_GB2312" w:eastAsia="仿宋_GB2312"/>
          <w:sz w:val="32"/>
        </w:rPr>
        <w:t>万元，降低</w:t>
      </w:r>
      <w:r>
        <w:rPr>
          <w:rFonts w:hint="eastAsia" w:ascii="仿宋_GB2312" w:eastAsia="仿宋_GB2312"/>
          <w:sz w:val="32"/>
          <w:lang w:val="en-US" w:eastAsia="zh-CN"/>
        </w:rPr>
        <w:t>7.4</w:t>
      </w:r>
      <w:r>
        <w:rPr>
          <w:rFonts w:ascii="仿宋_GB2312" w:eastAsia="仿宋_GB2312"/>
          <w:sz w:val="32"/>
        </w:rPr>
        <w:t>%，主要原因是</w:t>
      </w:r>
      <w:r>
        <w:rPr>
          <w:rFonts w:hint="eastAsia" w:ascii="仿宋_GB2312" w:hAnsi="黑体" w:eastAsia="仿宋_GB2312"/>
          <w:sz w:val="32"/>
          <w:szCs w:val="32"/>
          <w:lang w:eastAsia="zh-CN"/>
        </w:rPr>
        <w:t>人员增减变动，经费调整等</w:t>
      </w:r>
      <w:r>
        <w:rPr>
          <w:rFonts w:ascii="仿宋_GB2312" w:eastAsia="仿宋_GB2312"/>
          <w:sz w:val="32"/>
        </w:rPr>
        <w:t>。</w:t>
      </w:r>
    </w:p>
    <w:p>
      <w:pPr>
        <w:pStyle w:val="6"/>
        <w:spacing w:line="560" w:lineRule="exact"/>
        <w:ind w:firstLine="643" w:firstLineChars="20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eastAsia="zh-CN"/>
        </w:rPr>
        <w:t>无</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沈阳市浑南区李相街道办事处</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3974.08</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本部门在2022年度区级决算中反映偿还以前年度工程欠款及化解历史遗留问题等1个项目绩效自评结果。</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项目自评综述：根据年初设定的绩效目标，项目自评得分100分。项目全年预算数为607.36万元，执行数为607.36万元，完成预算的100%。项目绩效目标完成情况：已按时有效完成年初预算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根据预算绩效管理要求，本部门组织对2022年度预算项目支出全面开展绩效自评，共涉及预算支出项目40个（其中：一般公共预算项目40个，政府性基金预算项目0个，国有资本经营预算项目0个），涉及资金3974.08万元（其中：一般公共预算资金3068.17万元，政府性基金预算资金905.91万元，国有资本经营预算资金0万元），自评覆盖率（开展绩效自评的项目数/年初批复绩效目标的项目数*100%）达到100%，自评平均分（开展绩效自评的项目分数总和/开展绩效自评的项目数）89.77分。</w:t>
      </w:r>
    </w:p>
    <w:p>
      <w:pPr>
        <w:ind w:firstLine="640" w:firstLineChars="200"/>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征收工作经费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村务监督工作经费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40</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3974.08</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（其中：一般公共预算资金3068.17万元，政府性基金预算资金905.91万元，国有资本经营预算资金0万元）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ascii="仿宋" w:hAnsi="仿宋" w:eastAsia="仿宋" w:cs="仿宋"/>
          <w:sz w:val="32"/>
          <w:szCs w:val="32"/>
        </w:rPr>
        <w:t>整体绩效自评效果较好</w:t>
      </w:r>
      <w:r>
        <w:rPr>
          <w:rFonts w:hint="eastAsia" w:ascii="仿宋" w:hAnsi="仿宋" w:eastAsia="仿宋" w:cs="仿宋"/>
          <w:sz w:val="32"/>
          <w:szCs w:val="32"/>
          <w:lang w:eastAsia="zh-CN"/>
        </w:rPr>
        <w:t>，</w:t>
      </w:r>
      <w:r>
        <w:rPr>
          <w:rFonts w:hint="eastAsia" w:ascii="仿宋" w:hAnsi="仿宋" w:eastAsia="仿宋" w:cs="仿宋"/>
          <w:sz w:val="32"/>
          <w:szCs w:val="32"/>
        </w:rPr>
        <w:t>继续加强资金管理，发挥资金效益。</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 xml:space="preserve"> 整体绩效自评效果较好，继续加强资金管理，发挥资金效益。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整体：</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pPr>
        <w:rPr>
          <w:rFonts w:hint="eastAsia" w:ascii="仿宋" w:hAnsi="仿宋" w:eastAsia="仿宋" w:cs="仿宋"/>
          <w:sz w:val="32"/>
          <w:szCs w:val="32"/>
        </w:rPr>
      </w:pPr>
      <w:r>
        <w:rPr>
          <w:rFonts w:hint="eastAsia" w:ascii="仿宋" w:hAnsi="仿宋" w:eastAsia="仿宋" w:cs="仿宋"/>
          <w:sz w:val="32"/>
          <w:szCs w:val="32"/>
          <w:lang w:val="en-US" w:eastAsia="zh-CN"/>
        </w:rPr>
        <w:t>项目：</w:t>
      </w:r>
    </w:p>
    <w:p>
      <w:pPr>
        <w:ind w:firstLine="640" w:firstLineChars="200"/>
        <w:rPr>
          <w:rFonts w:hint="default"/>
          <w:b/>
          <w:sz w:val="36"/>
        </w:rPr>
      </w:pPr>
      <w:r>
        <w:rPr>
          <w:rFonts w:hint="eastAsia" w:ascii="仿宋" w:hAnsi="仿宋" w:eastAsia="仿宋" w:cs="仿宋"/>
          <w:sz w:val="32"/>
          <w:szCs w:val="32"/>
        </w:rPr>
        <w:t>该项目绩效自评效果较好，类似项目财政将继续安排，用好财政资金，发挥资金效益。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沈阳市浑南区李相街道办事处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F074E"/>
    <w:multiLevelType w:val="singleLevel"/>
    <w:tmpl w:val="BDEF074E"/>
    <w:lvl w:ilvl="0" w:tentative="0">
      <w:start w:val="1"/>
      <w:numFmt w:val="decimal"/>
      <w:suff w:val="nothing"/>
      <w:lvlText w:val="（%1）"/>
      <w:lvlJc w:val="left"/>
    </w:lvl>
  </w:abstractNum>
  <w:abstractNum w:abstractNumId="1">
    <w:nsid w:val="0593E9EC"/>
    <w:multiLevelType w:val="singleLevel"/>
    <w:tmpl w:val="0593E9EC"/>
    <w:lvl w:ilvl="0" w:tentative="0">
      <w:start w:val="2"/>
      <w:numFmt w:val="chineseCounting"/>
      <w:suff w:val="nothing"/>
      <w:lvlText w:val="%1、"/>
      <w:lvlJc w:val="left"/>
      <w:rPr>
        <w:rFonts w:hint="eastAsia"/>
      </w:rPr>
    </w:lvl>
  </w:abstractNum>
  <w:abstractNum w:abstractNumId="2">
    <w:nsid w:val="3BEB6159"/>
    <w:multiLevelType w:val="singleLevel"/>
    <w:tmpl w:val="3BEB6159"/>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75D701FE"/>
    <w:multiLevelType w:val="singleLevel"/>
    <w:tmpl w:val="75D701FE"/>
    <w:lvl w:ilvl="0" w:tentative="0">
      <w:start w:val="2"/>
      <w:numFmt w:val="decimal"/>
      <w:lvlText w:val="%1."/>
      <w:lvlJc w:val="left"/>
      <w:pPr>
        <w:tabs>
          <w:tab w:val="left" w:pos="312"/>
        </w:tabs>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B137A9"/>
    <w:rsid w:val="082C6248"/>
    <w:rsid w:val="08F861C1"/>
    <w:rsid w:val="09C4782E"/>
    <w:rsid w:val="0B3D76F7"/>
    <w:rsid w:val="0D0F136F"/>
    <w:rsid w:val="0ECB7368"/>
    <w:rsid w:val="0FD91C07"/>
    <w:rsid w:val="11612EA5"/>
    <w:rsid w:val="12CC5588"/>
    <w:rsid w:val="131E2240"/>
    <w:rsid w:val="14A34E3D"/>
    <w:rsid w:val="171112E5"/>
    <w:rsid w:val="191D7635"/>
    <w:rsid w:val="1B69045C"/>
    <w:rsid w:val="1B9703C5"/>
    <w:rsid w:val="1C635C29"/>
    <w:rsid w:val="1C6537BA"/>
    <w:rsid w:val="1ECE62BB"/>
    <w:rsid w:val="1EE97C47"/>
    <w:rsid w:val="1F792EEE"/>
    <w:rsid w:val="24F637B1"/>
    <w:rsid w:val="286C4199"/>
    <w:rsid w:val="28977847"/>
    <w:rsid w:val="29BB0AEE"/>
    <w:rsid w:val="2A3D2189"/>
    <w:rsid w:val="2E4F6256"/>
    <w:rsid w:val="31701274"/>
    <w:rsid w:val="333C7D1C"/>
    <w:rsid w:val="36230505"/>
    <w:rsid w:val="38802E42"/>
    <w:rsid w:val="3A862007"/>
    <w:rsid w:val="3B6B7B4D"/>
    <w:rsid w:val="3BA207ED"/>
    <w:rsid w:val="3BD722E4"/>
    <w:rsid w:val="3D8C469F"/>
    <w:rsid w:val="422149B4"/>
    <w:rsid w:val="42837591"/>
    <w:rsid w:val="43ED4466"/>
    <w:rsid w:val="46CA2860"/>
    <w:rsid w:val="474C6DD1"/>
    <w:rsid w:val="486359A1"/>
    <w:rsid w:val="49A028A6"/>
    <w:rsid w:val="51BA1F5F"/>
    <w:rsid w:val="52F31D66"/>
    <w:rsid w:val="54F6469B"/>
    <w:rsid w:val="55FD7BA1"/>
    <w:rsid w:val="571640CE"/>
    <w:rsid w:val="593D6FEA"/>
    <w:rsid w:val="59C52B8D"/>
    <w:rsid w:val="5A0A059C"/>
    <w:rsid w:val="5AE973A2"/>
    <w:rsid w:val="5B697371"/>
    <w:rsid w:val="5BA1643F"/>
    <w:rsid w:val="5CA16E0D"/>
    <w:rsid w:val="60E25095"/>
    <w:rsid w:val="625E7F8C"/>
    <w:rsid w:val="67277FC8"/>
    <w:rsid w:val="673C6F2C"/>
    <w:rsid w:val="6BED5538"/>
    <w:rsid w:val="6C1B6008"/>
    <w:rsid w:val="6DA15E5C"/>
    <w:rsid w:val="6F0A66BA"/>
    <w:rsid w:val="6FE5071F"/>
    <w:rsid w:val="70C70595"/>
    <w:rsid w:val="723C3F21"/>
    <w:rsid w:val="724179B2"/>
    <w:rsid w:val="73892D1C"/>
    <w:rsid w:val="770F5700"/>
    <w:rsid w:val="774F2B80"/>
    <w:rsid w:val="792F3BC7"/>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10996</Words>
  <Characters>11769</Characters>
  <Lines>37</Lines>
  <Paragraphs>10</Paragraphs>
  <TotalTime>0</TotalTime>
  <ScaleCrop>false</ScaleCrop>
  <LinksUpToDate>false</LinksUpToDate>
  <CharactersWithSpaces>11872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2023-09-13T02:20:08Z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