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543D7">
      <w:pPr>
        <w:pStyle w:val="6"/>
        <w:rPr>
          <w:rFonts w:hint="default" w:ascii="黑体" w:eastAsia="黑体"/>
          <w:sz w:val="32"/>
        </w:rPr>
      </w:pPr>
      <w:r>
        <w:rPr>
          <w:rFonts w:ascii="黑体" w:eastAsia="黑体"/>
          <w:sz w:val="32"/>
        </w:rPr>
        <w:t>附件2</w:t>
      </w:r>
    </w:p>
    <w:p w14:paraId="03B9ABF2">
      <w:pPr>
        <w:pStyle w:val="6"/>
        <w:rPr>
          <w:rFonts w:hint="default"/>
          <w:b/>
          <w:sz w:val="44"/>
        </w:rPr>
      </w:pPr>
    </w:p>
    <w:p w14:paraId="010D38E1">
      <w:pPr>
        <w:pStyle w:val="6"/>
        <w:rPr>
          <w:rFonts w:hint="default"/>
          <w:b/>
          <w:sz w:val="44"/>
        </w:rPr>
      </w:pPr>
    </w:p>
    <w:p w14:paraId="2BCB031D">
      <w:pPr>
        <w:pStyle w:val="6"/>
        <w:rPr>
          <w:rFonts w:hint="default"/>
          <w:b/>
          <w:sz w:val="44"/>
        </w:rPr>
      </w:pPr>
    </w:p>
    <w:p w14:paraId="0F2C261A">
      <w:pPr>
        <w:pStyle w:val="6"/>
        <w:rPr>
          <w:rFonts w:hint="default"/>
          <w:b/>
          <w:sz w:val="44"/>
        </w:rPr>
      </w:pPr>
    </w:p>
    <w:p w14:paraId="1450760E">
      <w:pPr>
        <w:pStyle w:val="6"/>
        <w:rPr>
          <w:rFonts w:hint="default"/>
          <w:b/>
          <w:sz w:val="44"/>
        </w:rPr>
      </w:pPr>
    </w:p>
    <w:p w14:paraId="32F80E45">
      <w:pPr>
        <w:pStyle w:val="6"/>
        <w:rPr>
          <w:rFonts w:hint="default"/>
          <w:b/>
          <w:sz w:val="44"/>
        </w:rPr>
      </w:pPr>
    </w:p>
    <w:p w14:paraId="052C14BF">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沈阳市浑南区满堂街道办事处</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14:paraId="62453515">
      <w:pPr>
        <w:pStyle w:val="6"/>
        <w:jc w:val="center"/>
        <w:rPr>
          <w:rFonts w:hint="default" w:ascii="仿宋_GB2312" w:eastAsia="仿宋_GB2312"/>
          <w:b/>
          <w:sz w:val="52"/>
        </w:rPr>
      </w:pPr>
    </w:p>
    <w:p w14:paraId="13CE46ED">
      <w:pPr>
        <w:pStyle w:val="6"/>
        <w:jc w:val="center"/>
        <w:rPr>
          <w:rFonts w:hint="default" w:ascii="仿宋_GB2312" w:eastAsia="仿宋_GB2312"/>
          <w:b/>
          <w:sz w:val="52"/>
        </w:rPr>
      </w:pPr>
    </w:p>
    <w:p w14:paraId="5716B675">
      <w:pPr>
        <w:pStyle w:val="6"/>
        <w:jc w:val="center"/>
        <w:rPr>
          <w:rFonts w:hint="default" w:ascii="Times New Roman" w:eastAsia="Times New Roman"/>
          <w:b/>
          <w:sz w:val="44"/>
          <w:u w:val="single"/>
        </w:rPr>
      </w:pPr>
    </w:p>
    <w:p w14:paraId="01E18187">
      <w:pPr>
        <w:pStyle w:val="6"/>
        <w:jc w:val="center"/>
        <w:rPr>
          <w:rFonts w:hint="default" w:ascii="Times New Roman" w:eastAsia="Times New Roman"/>
          <w:b/>
          <w:sz w:val="44"/>
          <w:u w:val="single"/>
        </w:rPr>
      </w:pPr>
    </w:p>
    <w:p w14:paraId="6CB94C4D">
      <w:pPr>
        <w:pStyle w:val="6"/>
        <w:jc w:val="center"/>
        <w:rPr>
          <w:rFonts w:hint="default" w:ascii="Times New Roman" w:eastAsia="Times New Roman"/>
          <w:b/>
          <w:sz w:val="44"/>
          <w:u w:val="single"/>
        </w:rPr>
      </w:pPr>
    </w:p>
    <w:p w14:paraId="4BA0DD5C">
      <w:pPr>
        <w:pStyle w:val="6"/>
        <w:jc w:val="center"/>
        <w:rPr>
          <w:rFonts w:hint="default" w:ascii="Times New Roman" w:eastAsia="Times New Roman"/>
          <w:b/>
          <w:sz w:val="44"/>
          <w:u w:val="single"/>
        </w:rPr>
      </w:pPr>
    </w:p>
    <w:p w14:paraId="44E52B35">
      <w:pPr>
        <w:pStyle w:val="6"/>
        <w:jc w:val="center"/>
        <w:rPr>
          <w:rFonts w:hint="default" w:ascii="Times New Roman" w:eastAsia="Times New Roman"/>
          <w:b/>
          <w:sz w:val="44"/>
          <w:u w:val="single"/>
        </w:rPr>
      </w:pPr>
    </w:p>
    <w:p w14:paraId="15057AFA">
      <w:pPr>
        <w:pStyle w:val="6"/>
        <w:jc w:val="center"/>
        <w:rPr>
          <w:rFonts w:hint="default" w:ascii="Times New Roman" w:eastAsia="Times New Roman"/>
          <w:b/>
          <w:sz w:val="44"/>
          <w:u w:val="single"/>
        </w:rPr>
      </w:pPr>
    </w:p>
    <w:p w14:paraId="7042B8A0">
      <w:pPr>
        <w:pStyle w:val="6"/>
        <w:jc w:val="center"/>
        <w:rPr>
          <w:rFonts w:hint="default" w:ascii="Times New Roman" w:eastAsia="Times New Roman"/>
          <w:b/>
          <w:sz w:val="44"/>
          <w:u w:val="single"/>
        </w:rPr>
      </w:pPr>
    </w:p>
    <w:p w14:paraId="7A5B0C9A">
      <w:pPr>
        <w:pStyle w:val="6"/>
        <w:jc w:val="center"/>
        <w:rPr>
          <w:rFonts w:hint="default" w:ascii="Times New Roman" w:eastAsia="Times New Roman"/>
          <w:b/>
          <w:sz w:val="44"/>
          <w:u w:val="single"/>
        </w:rPr>
      </w:pPr>
    </w:p>
    <w:p w14:paraId="202A6379">
      <w:pPr>
        <w:pStyle w:val="6"/>
        <w:jc w:val="center"/>
        <w:rPr>
          <w:rFonts w:hint="default" w:ascii="Times New Roman" w:eastAsia="Times New Roman"/>
          <w:b/>
          <w:sz w:val="44"/>
          <w:u w:val="single"/>
        </w:rPr>
      </w:pPr>
    </w:p>
    <w:p w14:paraId="55A462E5">
      <w:pPr>
        <w:pStyle w:val="6"/>
        <w:spacing w:line="560" w:lineRule="exact"/>
        <w:jc w:val="center"/>
        <w:rPr>
          <w:b/>
          <w:sz w:val="44"/>
        </w:rPr>
      </w:pPr>
    </w:p>
    <w:p w14:paraId="3674D1DC">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64A8B3B1">
      <w:pPr>
        <w:pStyle w:val="6"/>
        <w:spacing w:line="560" w:lineRule="exact"/>
        <w:rPr>
          <w:rFonts w:hint="default" w:ascii="Times New Roman" w:eastAsia="Times New Roman"/>
          <w:b/>
          <w:sz w:val="44"/>
          <w:u w:val="single"/>
        </w:rPr>
      </w:pPr>
    </w:p>
    <w:p w14:paraId="4F4C6FA6">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2784E21E">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5B275728">
      <w:pPr>
        <w:pStyle w:val="6"/>
        <w:spacing w:line="560" w:lineRule="exact"/>
        <w:rPr>
          <w:rFonts w:hint="default" w:ascii="仿宋_GB2312" w:eastAsia="仿宋_GB2312"/>
          <w:sz w:val="32"/>
        </w:rPr>
      </w:pPr>
      <w:r>
        <w:rPr>
          <w:rFonts w:ascii="仿宋_GB2312" w:eastAsia="仿宋_GB2312"/>
          <w:sz w:val="32"/>
        </w:rPr>
        <w:t>二、决算单位构成</w:t>
      </w:r>
    </w:p>
    <w:p w14:paraId="79D97E03">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60FCDA6F">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0E02B207">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2AE5BFA0">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681C31D6">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642D69DC">
      <w:pPr>
        <w:pStyle w:val="6"/>
        <w:spacing w:line="560" w:lineRule="exact"/>
        <w:rPr>
          <w:rFonts w:hint="default" w:ascii="黑体" w:eastAsia="黑体"/>
          <w:sz w:val="32"/>
        </w:rPr>
      </w:pPr>
      <w:r>
        <w:rPr>
          <w:rFonts w:ascii="仿宋_GB2312" w:eastAsia="仿宋_GB2312"/>
          <w:sz w:val="32"/>
        </w:rPr>
        <w:t>五、其他重要事项的情况说明</w:t>
      </w:r>
    </w:p>
    <w:p w14:paraId="22983BEC">
      <w:pPr>
        <w:pStyle w:val="6"/>
        <w:spacing w:line="560" w:lineRule="exact"/>
        <w:rPr>
          <w:rFonts w:hint="default" w:ascii="黑体" w:eastAsia="黑体"/>
          <w:sz w:val="32"/>
        </w:rPr>
      </w:pPr>
      <w:r>
        <w:rPr>
          <w:rFonts w:ascii="黑体" w:eastAsia="黑体"/>
          <w:sz w:val="32"/>
        </w:rPr>
        <w:t>第三部分    名词解释</w:t>
      </w:r>
    </w:p>
    <w:p w14:paraId="3F31E2A7">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3BA20C68">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72467EF">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0EB3B77A">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6F573067">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4F5D8328">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4647AFA">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420F2A7A">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3851D494">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04B5E60A">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7657550D">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31F9A630">
      <w:pPr>
        <w:pStyle w:val="6"/>
        <w:spacing w:line="560" w:lineRule="exact"/>
        <w:jc w:val="center"/>
        <w:rPr>
          <w:rFonts w:hint="default"/>
          <w:b/>
          <w:sz w:val="36"/>
        </w:rPr>
      </w:pPr>
    </w:p>
    <w:p w14:paraId="626E2666">
      <w:pPr>
        <w:pStyle w:val="6"/>
        <w:spacing w:line="560" w:lineRule="exact"/>
        <w:jc w:val="center"/>
        <w:rPr>
          <w:rFonts w:hint="default"/>
          <w:b/>
          <w:sz w:val="36"/>
        </w:rPr>
      </w:pPr>
    </w:p>
    <w:p w14:paraId="4F417FF8">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沈阳市浑南区满堂街道办事处</w:t>
      </w:r>
      <w:r>
        <w:rPr>
          <w:b/>
          <w:sz w:val="36"/>
        </w:rPr>
        <w:t>概况</w:t>
      </w:r>
    </w:p>
    <w:p w14:paraId="003E124C">
      <w:pPr>
        <w:pStyle w:val="6"/>
        <w:spacing w:line="560" w:lineRule="exact"/>
        <w:ind w:firstLine="640"/>
        <w:rPr>
          <w:rFonts w:hint="default" w:ascii="黑体" w:eastAsia="黑体"/>
          <w:sz w:val="32"/>
        </w:rPr>
      </w:pPr>
    </w:p>
    <w:p w14:paraId="3A2547D7">
      <w:pPr>
        <w:pStyle w:val="6"/>
        <w:spacing w:line="560" w:lineRule="exact"/>
        <w:ind w:firstLine="640"/>
        <w:rPr>
          <w:rFonts w:hint="default" w:ascii="黑体" w:eastAsia="黑体"/>
          <w:sz w:val="32"/>
        </w:rPr>
      </w:pPr>
      <w:r>
        <w:rPr>
          <w:rFonts w:ascii="黑体" w:eastAsia="黑体"/>
          <w:sz w:val="32"/>
        </w:rPr>
        <w:t>一、主要职责</w:t>
      </w:r>
    </w:p>
    <w:p w14:paraId="598AC5FC">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（一）党工委主要职责</w:t>
      </w:r>
    </w:p>
    <w:p w14:paraId="5AF8CE55">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1.宣传贯彻党的理论和路线方针政策以及上级党组织的决策部署，团结并组织党员、干部和群众，努力完成本街道各项任务。</w:t>
      </w:r>
    </w:p>
    <w:p w14:paraId="3F35C8D6">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2.讨论决定本街道加强党的建设、“两邻”基层治理、优化营商环境、推动城市更新、提升民生福祉、统筹社区发展、组织公共服务、实施公共管理、维护公共安全、动员社会参与、指导基层自治等方面的重要问题。</w:t>
      </w:r>
    </w:p>
    <w:p w14:paraId="5C0FDE32">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p>
    <w:p w14:paraId="00B26C31">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p>
    <w:p w14:paraId="35AE9401">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5.领导街道人大工作委员会、办事处和工会、共青团、妇联等群团组织及人民武装部等组织，支持和保证街道行政组织、经济组织和群众自治组织充分行使职权。</w:t>
      </w:r>
    </w:p>
    <w:p w14:paraId="7C9581E7">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p>
    <w:p w14:paraId="4764B2F5">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p>
    <w:p w14:paraId="45B1F2CD">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8.完成区委交办的其他任务。</w:t>
      </w:r>
    </w:p>
    <w:p w14:paraId="023BA1CE">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（二）办事处主要职责</w:t>
      </w:r>
    </w:p>
    <w:p w14:paraId="3DE03E9C">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1.贯彻执行党和国家的路线、方针、政策、法律、法规和区委、区政府及街道党工委的决定、决议。</w:t>
      </w:r>
    </w:p>
    <w:p w14:paraId="2E32B88E">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2.制定实施街道经济和社会发展规划，加强经济协调、服务工作，大力发展为民便民利民的社会服务事业，方便群众办事创业，营造良好营商环境，促进区域经济社会全面发展。</w:t>
      </w:r>
    </w:p>
    <w:p w14:paraId="626112AC">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p>
    <w:p w14:paraId="77343769">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4.负责辖区平安建设工作，预防、排查、化解矛盾纠纷、人民调解、违法人员帮教转化等工作，维护社会和谐稳定。</w:t>
      </w:r>
    </w:p>
    <w:p w14:paraId="33F980C6">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5.加强城市基础建设，协助有关部门做好城市建设、园林绿化、环境保护、水利、房屋管理等方面的监管服务和征收等工作。</w:t>
      </w:r>
    </w:p>
    <w:p w14:paraId="6627B759">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p>
    <w:p w14:paraId="407D5345">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7.指导、支持居委会等基层群众性自治组织建设工作，加强基层政权建设，促进居民自我管理、自我教育、自我服务、自我监督。</w:t>
      </w:r>
    </w:p>
    <w:p w14:paraId="5D242D4E">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8.推进乡村振兴战略，做好农业农村相关工作。</w:t>
      </w:r>
    </w:p>
    <w:p w14:paraId="0FFB5D10">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9.依法进行国防动员和兵役管理，做好基层民兵工作，落实“双拥”工作，配合相关部门做好人民防空工作。</w:t>
      </w:r>
    </w:p>
    <w:p w14:paraId="17164BCA">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rPr>
        <w:t>10.完成区委、区政府交办的其他任务。</w:t>
      </w:r>
    </w:p>
    <w:p w14:paraId="06F1402F">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eastAsia="zh-CN"/>
        </w:rPr>
        <w:t>（</w:t>
      </w:r>
      <w:r>
        <w:rPr>
          <w:rFonts w:hint="eastAsia" w:ascii="仿宋_GB2312" w:eastAsia="仿宋_GB2312"/>
          <w:color w:val="auto"/>
          <w:sz w:val="32"/>
          <w:lang w:val="en-US" w:eastAsia="zh-CN"/>
        </w:rPr>
        <w:t>三</w:t>
      </w:r>
      <w:r>
        <w:rPr>
          <w:rFonts w:hint="eastAsia" w:ascii="仿宋_GB2312" w:eastAsia="仿宋_GB2312"/>
          <w:color w:val="auto"/>
          <w:sz w:val="32"/>
          <w:lang w:eastAsia="zh-CN"/>
        </w:rPr>
        <w:t>）</w:t>
      </w:r>
      <w:r>
        <w:rPr>
          <w:rFonts w:hint="eastAsia" w:ascii="仿宋_GB2312" w:eastAsia="仿宋_GB2312"/>
          <w:color w:val="auto"/>
          <w:sz w:val="32"/>
        </w:rPr>
        <w:t>内设机构</w:t>
      </w:r>
      <w:r>
        <w:rPr>
          <w:rFonts w:hint="eastAsia" w:ascii="仿宋_GB2312" w:eastAsia="仿宋_GB2312"/>
          <w:color w:val="auto"/>
          <w:sz w:val="32"/>
          <w:lang w:val="en-US" w:eastAsia="zh-CN"/>
        </w:rPr>
        <w:t>及</w:t>
      </w:r>
      <w:r>
        <w:rPr>
          <w:rFonts w:hint="eastAsia" w:ascii="仿宋_GB2312" w:eastAsia="仿宋_GB2312"/>
          <w:color w:val="auto"/>
          <w:sz w:val="32"/>
        </w:rPr>
        <w:t>主要职责</w:t>
      </w:r>
    </w:p>
    <w:p w14:paraId="401BCC55">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1.</w:t>
      </w:r>
      <w:r>
        <w:rPr>
          <w:rFonts w:hint="eastAsia" w:ascii="仿宋_GB2312" w:eastAsia="仿宋_GB2312"/>
          <w:color w:val="auto"/>
          <w:sz w:val="32"/>
        </w:rPr>
        <w:t>党建工作办公室。负责党的建设相关工作；负责宣传教育、意识形态、精神文明建设相关工作；做好统一战线、民族宗教、侨务、关心下一代等有关工作；负责工会、共青团、妇联等群团组织工作；负责组织人事、干部队伍和人才队伍建设等工作；负责人大政协相关工作；负责离退休干部管理工作；负责绩效考核工作；负责文明城创建的综合协调工作。</w:t>
      </w:r>
    </w:p>
    <w:p w14:paraId="44298961">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2.</w:t>
      </w:r>
      <w:r>
        <w:rPr>
          <w:rFonts w:hint="eastAsia" w:ascii="仿宋_GB2312" w:eastAsia="仿宋_GB2312"/>
          <w:color w:val="auto"/>
          <w:sz w:val="32"/>
        </w:rPr>
        <w:t>综合办公室（财政管理办公室）。负责党工委、办事处日常事务；负责依法行政、信息公开工作；负责督查督办工作；承担综合性文稿起草、重要会议组织及综合调研工作；负责文电处理、机要保密、档案、信息化建设等工作；负责财务管理、资产管理、后勤保障、安全保卫等日常运转工作；组织财政收入，编辑本级财政预决算草案和执行财政预算，执行各项财税政策和财务会计制度；做好财税、金融收入统计分析等相关工作。</w:t>
      </w:r>
    </w:p>
    <w:p w14:paraId="54F10858">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3.</w:t>
      </w:r>
      <w:r>
        <w:rPr>
          <w:rFonts w:hint="eastAsia" w:ascii="仿宋_GB2312" w:eastAsia="仿宋_GB2312"/>
          <w:color w:val="auto"/>
          <w:sz w:val="32"/>
        </w:rPr>
        <w:t>社会事务办公室（社区建设指导办公室）。负责“两邻”建设工作的综合协调；负责行政审批事项及相关公共服务事项的办理，优化审批服务流程；负责便民服务平台建设管理相关工作；负责劳动就业服务、社会保障服务、企业退休职工社会工作，推进落实“一网通办”；落实高校毕业生服务和劳动关系、失业人员和企业离退人员社会保障等领域政策，做好劳动关系管理、劳动纠纷调解；负责人口与计划生育、医疗卫生和公共卫生服务、疫情防控等卫生健康工作；负责红十字会相关工作；负责教育、体育、文化旅游等社会事业相关工作；负责社会救助、社会慈善、养老服务等民政工作；负责老年人权益保障、未成年人保护工作；负责残疾人特殊群体服务工作；组织开展双拥共建工作，做好退役军人相关服务工作；组织开展人民武装工作；负责指导社区加强基层政权建设；负责指导居民委员会等群众自治组织开展自治工作，承担社会组织管理服务工作；支持和保障社区开展公共服务、公益服务、便民服务等工作；负责社区党群服务中心和小区党群服务站建设和社区网格日常管理等工作；负责社区工作者日常管理、考核培训工作；做好物业管理和业主委员会的指导、矛盾协调和监督等工作。</w:t>
      </w:r>
    </w:p>
    <w:p w14:paraId="5057A9C1">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4.</w:t>
      </w:r>
      <w:r>
        <w:rPr>
          <w:rFonts w:hint="eastAsia" w:ascii="仿宋_GB2312" w:eastAsia="仿宋_GB2312"/>
          <w:color w:val="auto"/>
          <w:sz w:val="32"/>
        </w:rPr>
        <w:t>平安建设办公室。负责社会治安综合治理、平安建设、“四零建设”等相关工作；负责网格化治安防控体系建设；负责维护国家安全工作，防范和处理邪教，做好扫黑除恶相关工作，排查防范化解重大风险；负责信访稳定工作，协调处置各类突发事件和群体性事件；协助有关部门，做好社区戒毒、社区康复等工作；负责法治社会建设、法治政府建设相关工作，开展矛盾纠纷排查化解、法治宣传、基层法律服务等工作。</w:t>
      </w:r>
    </w:p>
    <w:p w14:paraId="02974F81">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5.</w:t>
      </w:r>
      <w:r>
        <w:rPr>
          <w:rFonts w:hint="eastAsia" w:ascii="仿宋_GB2312" w:eastAsia="仿宋_GB2312"/>
          <w:color w:val="auto"/>
          <w:sz w:val="32"/>
        </w:rPr>
        <w:t>应急管理办公室。负责安全生产应急预案编制、演练及修订等工作，组织开展安全生产专项治理相关工作；负责做好应急、救援的统筹协调组织工作，承担防灾减灾救灾、安全生产、护林防火等相关工作，组织协调应急物资、应急救援队伍，负责突发事件的应急处理工作；承担防汛抗旱办公室日常工作。协同应急中队开展工作。</w:t>
      </w:r>
    </w:p>
    <w:p w14:paraId="19AAA450">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6.</w:t>
      </w:r>
      <w:r>
        <w:rPr>
          <w:rFonts w:hint="eastAsia" w:ascii="仿宋_GB2312" w:eastAsia="仿宋_GB2312"/>
          <w:color w:val="auto"/>
          <w:sz w:val="32"/>
        </w:rPr>
        <w:t>城市管理办公室（综合行政执法管理办公室、生态环境办公室）。承担城市精细化管理、规划建设等地区性、综合性工作的组织领导和综合协调；组织协调做好园林绿化、环境卫生、市容市貌、爱国卫生等工作；负责街道、社区建设管理和基础设施、公共设施管护工作，配合做好市政工程、规划管理、水利、房产监管服务及征收等工作，配合有关部门组织开展危（旧）房改造等小区治理工作；负责土地、森林等自然资源管理工作；按权限负责道路交通管理工作；依法或根据授权开展综合行政执法工作，统筹协调组织辖区内行政执法工作，承担日常巡查、发现违法行为并及时通报等工作，协助行政执法机构案件移送及协调协作等相关工作；负责督促指导本行政区域企事业单位和其他生产经营者落实环境保护措施，加强隐患排查，发现环境违法问题及时向上级政府和有关部门报告；负责协助上级政府及其有关部门妥善处置突发环境事件、排查环境违法信息和环境事故隐患，配合相关部门妥善处理环境污染纠纷和环境信访舆情，制止环境违法行为；负责做好辖区内的畜禽养殖污染防治工作；负责配合有关主管部门做好水源保护的有关工作；负责面向公众组织开展环保社会宣传活动；负责卫生城创建的综合协调工作；协调协同征收部、执法分局街道执法科开展工作。</w:t>
      </w:r>
    </w:p>
    <w:p w14:paraId="66FB67FE">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7.</w:t>
      </w:r>
      <w:r>
        <w:rPr>
          <w:rFonts w:hint="eastAsia" w:ascii="仿宋_GB2312" w:eastAsia="仿宋_GB2312"/>
          <w:color w:val="auto"/>
          <w:sz w:val="32"/>
        </w:rPr>
        <w:t>经济发展办公室（农业农村办公室）。负责经济发展综合协调、服务工作，负责属地经济发展规划的编制并组织实施，落实上级发展规划、产业规划；负责承担在地统计调查和普查等相关事务性工作；做好优化营商环境工作，协调相关部门为重点项目和企业提供服务和政策服务；负责对接工业和信息化、商务等方面工作；负责全面推进乡村振兴，巩固脱贫攻坚成果相关工作；负责农村经济发展、人居环境建设等工作；负责深化农村改革、农业生产和农田基本建设等工作；负责农业基础设施建设、维护和改造工作；负责农村宅基地管理相关工作；负责林业等相关工作，加强生态建设、病虫害防治等工作；负责指导乡村特色产业发展工作；负责农业综合技术培训工作和科技队伍建设工作；配合做好农产品质量安全监督管理；负责动植物疫病防控工作；负责农村合作经济经营管理有关工作，指导农民合作经济组织、农业社会化服务体系、新型农业经营主体建设与发展工作；负责村级“三资”管理村级账务监督管理，组织指导债权债务清理、统计、审查、化解等日常管理工作。</w:t>
      </w:r>
    </w:p>
    <w:p w14:paraId="70B5A2B0">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val="en-US" w:eastAsia="zh-CN"/>
        </w:rPr>
        <w:t>8.</w:t>
      </w:r>
      <w:r>
        <w:rPr>
          <w:rFonts w:hint="eastAsia" w:ascii="仿宋_GB2312" w:eastAsia="仿宋_GB2312"/>
          <w:color w:val="auto"/>
          <w:sz w:val="32"/>
        </w:rPr>
        <w:t>纪工委（监察办公室）</w:t>
      </w:r>
    </w:p>
    <w:p w14:paraId="3077DFC3">
      <w:pPr>
        <w:pStyle w:val="6"/>
        <w:spacing w:line="560" w:lineRule="exact"/>
        <w:ind w:firstLine="640"/>
        <w:rPr>
          <w:rFonts w:hint="eastAsia" w:ascii="仿宋_GB2312" w:eastAsia="仿宋_GB2312"/>
          <w:color w:val="auto"/>
          <w:sz w:val="32"/>
        </w:rPr>
      </w:pPr>
      <w:r>
        <w:rPr>
          <w:rFonts w:hint="eastAsia" w:ascii="仿宋_GB2312" w:eastAsia="仿宋_GB2312"/>
          <w:color w:val="auto"/>
          <w:sz w:val="32"/>
          <w:lang w:eastAsia="zh-CN"/>
        </w:rPr>
        <w:t>（</w:t>
      </w:r>
      <w:r>
        <w:rPr>
          <w:rFonts w:hint="eastAsia" w:ascii="仿宋_GB2312" w:eastAsia="仿宋_GB2312"/>
          <w:color w:val="auto"/>
          <w:sz w:val="32"/>
          <w:lang w:val="en-US" w:eastAsia="zh-CN"/>
        </w:rPr>
        <w:t>1</w:t>
      </w:r>
      <w:r>
        <w:rPr>
          <w:rFonts w:hint="eastAsia" w:ascii="仿宋_GB2312" w:eastAsia="仿宋_GB2312"/>
          <w:color w:val="auto"/>
          <w:sz w:val="32"/>
          <w:lang w:eastAsia="zh-CN"/>
        </w:rPr>
        <w:t>）</w:t>
      </w:r>
      <w:r>
        <w:rPr>
          <w:rFonts w:hint="eastAsia" w:ascii="仿宋_GB2312" w:eastAsia="仿宋_GB2312"/>
          <w:color w:val="auto"/>
          <w:sz w:val="32"/>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洁文化建设；负责承办区纪律检查委员会和街道党工委交办的相关事项。</w:t>
      </w:r>
    </w:p>
    <w:p w14:paraId="5FCBA3D7">
      <w:pPr>
        <w:pStyle w:val="6"/>
        <w:numPr>
          <w:ilvl w:val="0"/>
          <w:numId w:val="0"/>
        </w:numPr>
        <w:spacing w:line="560" w:lineRule="exact"/>
        <w:ind w:firstLine="640" w:firstLineChars="200"/>
        <w:rPr>
          <w:rFonts w:ascii="黑体" w:eastAsia="黑体"/>
          <w:color w:val="auto"/>
          <w:sz w:val="32"/>
        </w:rPr>
      </w:pPr>
      <w:r>
        <w:rPr>
          <w:rFonts w:hint="eastAsia" w:ascii="仿宋_GB2312" w:eastAsia="仿宋_GB2312"/>
          <w:color w:val="auto"/>
          <w:sz w:val="32"/>
          <w:lang w:eastAsia="zh-CN"/>
        </w:rPr>
        <w:t>（</w:t>
      </w:r>
      <w:r>
        <w:rPr>
          <w:rFonts w:hint="eastAsia" w:ascii="仿宋_GB2312" w:eastAsia="仿宋_GB2312"/>
          <w:color w:val="auto"/>
          <w:sz w:val="32"/>
          <w:lang w:val="en-US" w:eastAsia="zh-CN"/>
        </w:rPr>
        <w:t>2</w:t>
      </w:r>
      <w:r>
        <w:rPr>
          <w:rFonts w:hint="eastAsia" w:ascii="仿宋_GB2312" w:eastAsia="仿宋_GB2312"/>
          <w:color w:val="auto"/>
          <w:sz w:val="32"/>
          <w:lang w:eastAsia="zh-CN"/>
        </w:rPr>
        <w:t>）</w:t>
      </w:r>
      <w:r>
        <w:rPr>
          <w:rFonts w:hint="eastAsia" w:ascii="仿宋_GB2312" w:eastAsia="仿宋_GB2312"/>
          <w:color w:val="auto"/>
          <w:sz w:val="32"/>
        </w:rPr>
        <w:t>设立区监察委员会派出机构街道监察办公室，与街道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r>
        <w:rPr>
          <w:rFonts w:ascii="仿宋_GB2312" w:eastAsia="仿宋_GB2312"/>
          <w:color w:val="auto"/>
          <w:sz w:val="32"/>
        </w:rPr>
        <w:t>。</w:t>
      </w:r>
    </w:p>
    <w:p w14:paraId="5FB7B22A">
      <w:pPr>
        <w:pStyle w:val="6"/>
        <w:numPr>
          <w:ilvl w:val="0"/>
          <w:numId w:val="0"/>
        </w:numPr>
        <w:spacing w:line="560" w:lineRule="exact"/>
        <w:ind w:firstLine="640" w:firstLineChars="200"/>
        <w:rPr>
          <w:rFonts w:ascii="黑体" w:eastAsia="黑体"/>
          <w:sz w:val="32"/>
        </w:rPr>
      </w:pPr>
      <w:r>
        <w:rPr>
          <w:rFonts w:hint="eastAsia" w:ascii="黑体" w:eastAsia="黑体"/>
          <w:sz w:val="32"/>
          <w:lang w:val="en-US" w:eastAsia="zh-CN"/>
        </w:rPr>
        <w:t>二、</w:t>
      </w:r>
      <w:r>
        <w:rPr>
          <w:rFonts w:ascii="黑体" w:eastAsia="黑体"/>
          <w:sz w:val="32"/>
        </w:rPr>
        <w:t>决算单位构成</w:t>
      </w:r>
    </w:p>
    <w:p w14:paraId="1AD17DC3">
      <w:pPr>
        <w:pStyle w:val="6"/>
        <w:numPr>
          <w:ilvl w:val="0"/>
          <w:numId w:val="0"/>
        </w:numPr>
        <w:spacing w:line="560" w:lineRule="exact"/>
        <w:ind w:firstLine="640" w:firstLineChars="200"/>
        <w:rPr>
          <w:rFonts w:hint="eastAsia" w:ascii="仿宋_GB2312" w:hAnsi="仿宋_GB2312" w:eastAsia="仿宋_GB2312" w:cs="仿宋_GB2312"/>
          <w:b w:val="0"/>
          <w:bCs w:val="0"/>
          <w:color w:val="FF0000"/>
          <w:sz w:val="32"/>
          <w:szCs w:val="32"/>
          <w:lang w:eastAsia="zh-CN"/>
        </w:rPr>
      </w:pPr>
      <w:r>
        <w:rPr>
          <w:rFonts w:ascii="仿宋_GB2312" w:eastAsia="仿宋_GB2312"/>
          <w:b w:val="0"/>
          <w:bCs w:val="0"/>
          <w:color w:val="auto"/>
          <w:sz w:val="32"/>
          <w:szCs w:val="32"/>
          <w:highlight w:val="none"/>
        </w:rPr>
        <w:t>纳入</w:t>
      </w:r>
      <w:r>
        <w:rPr>
          <w:rFonts w:hint="eastAsia" w:ascii="仿宋_GB2312" w:eastAsia="仿宋_GB2312"/>
          <w:b w:val="0"/>
          <w:bCs w:val="0"/>
          <w:color w:val="auto"/>
          <w:sz w:val="32"/>
          <w:szCs w:val="32"/>
          <w:highlight w:val="none"/>
          <w:lang w:eastAsia="zh-CN"/>
        </w:rPr>
        <w:t>本单位</w:t>
      </w:r>
      <w:r>
        <w:rPr>
          <w:rFonts w:ascii="仿宋_GB2312" w:eastAsia="仿宋_GB2312"/>
          <w:b w:val="0"/>
          <w:bCs w:val="0"/>
          <w:color w:val="auto"/>
          <w:sz w:val="32"/>
          <w:szCs w:val="32"/>
          <w:highlight w:val="none"/>
        </w:rPr>
        <w:t>20</w:t>
      </w:r>
      <w:r>
        <w:rPr>
          <w:rFonts w:hint="eastAsia" w:ascii="仿宋_GB2312" w:eastAsia="仿宋_GB2312"/>
          <w:b w:val="0"/>
          <w:bCs w:val="0"/>
          <w:color w:val="auto"/>
          <w:sz w:val="32"/>
          <w:szCs w:val="32"/>
          <w:highlight w:val="none"/>
          <w:lang w:val="en-US" w:eastAsia="zh-CN"/>
        </w:rPr>
        <w:t>22</w:t>
      </w:r>
      <w:r>
        <w:rPr>
          <w:rFonts w:ascii="仿宋_GB2312" w:eastAsia="仿宋_GB2312"/>
          <w:b w:val="0"/>
          <w:bCs w:val="0"/>
          <w:color w:val="auto"/>
          <w:sz w:val="32"/>
          <w:szCs w:val="32"/>
          <w:highlight w:val="none"/>
        </w:rPr>
        <w:t>年</w:t>
      </w:r>
      <w:r>
        <w:rPr>
          <w:rFonts w:hint="eastAsia" w:ascii="仿宋_GB2312" w:eastAsia="仿宋_GB2312"/>
          <w:b w:val="0"/>
          <w:bCs w:val="0"/>
          <w:color w:val="auto"/>
          <w:sz w:val="32"/>
          <w:szCs w:val="32"/>
          <w:highlight w:val="none"/>
          <w:lang w:eastAsia="zh-CN"/>
        </w:rPr>
        <w:t>决算</w:t>
      </w:r>
      <w:r>
        <w:rPr>
          <w:rFonts w:ascii="仿宋_GB2312" w:eastAsia="仿宋_GB2312"/>
          <w:b w:val="0"/>
          <w:bCs w:val="0"/>
          <w:color w:val="auto"/>
          <w:sz w:val="32"/>
          <w:szCs w:val="32"/>
          <w:highlight w:val="none"/>
        </w:rPr>
        <w:t>编制范围的是</w:t>
      </w:r>
      <w:r>
        <w:rPr>
          <w:rFonts w:hint="eastAsia" w:ascii="仿宋_GB2312" w:eastAsia="仿宋_GB2312"/>
          <w:b w:val="0"/>
          <w:bCs w:val="0"/>
          <w:color w:val="auto"/>
          <w:sz w:val="32"/>
          <w:szCs w:val="32"/>
          <w:highlight w:val="none"/>
          <w:lang w:eastAsia="zh-CN"/>
        </w:rPr>
        <w:t>沈阳市浑南区满堂街道办事处</w:t>
      </w:r>
      <w:r>
        <w:rPr>
          <w:rFonts w:ascii="仿宋_GB2312" w:eastAsia="仿宋_GB2312"/>
          <w:b w:val="0"/>
          <w:bCs w:val="0"/>
          <w:color w:val="auto"/>
          <w:sz w:val="32"/>
          <w:szCs w:val="32"/>
          <w:highlight w:val="none"/>
        </w:rPr>
        <w:t>本级，本单位无下设机构。</w:t>
      </w:r>
    </w:p>
    <w:p w14:paraId="3DFB0EB6">
      <w:pPr>
        <w:pStyle w:val="6"/>
        <w:numPr>
          <w:ilvl w:val="0"/>
          <w:numId w:val="0"/>
        </w:numPr>
        <w:spacing w:line="560" w:lineRule="exact"/>
        <w:ind w:firstLine="643" w:firstLineChars="200"/>
        <w:rPr>
          <w:rFonts w:hint="eastAsia" w:ascii="仿宋_GB2312" w:hAnsi="仿宋_GB2312" w:eastAsia="仿宋_GB2312" w:cs="仿宋_GB2312"/>
          <w:b/>
          <w:bCs/>
          <w:color w:val="FF0000"/>
          <w:sz w:val="32"/>
          <w:szCs w:val="32"/>
          <w:lang w:eastAsia="zh-CN"/>
        </w:rPr>
      </w:pPr>
    </w:p>
    <w:p w14:paraId="752205C0">
      <w:pPr>
        <w:pStyle w:val="6"/>
        <w:spacing w:line="560" w:lineRule="exact"/>
        <w:jc w:val="center"/>
        <w:rPr>
          <w:rFonts w:hint="default"/>
          <w:b/>
          <w:sz w:val="36"/>
        </w:rPr>
      </w:pPr>
      <w:r>
        <w:rPr>
          <w:b/>
          <w:sz w:val="36"/>
        </w:rPr>
        <w:t xml:space="preserve">第二部分 </w:t>
      </w:r>
      <w:r>
        <w:rPr>
          <w:rFonts w:hint="eastAsia"/>
          <w:b/>
          <w:sz w:val="36"/>
          <w:shd w:val="clear"/>
          <w:lang w:val="en-US" w:eastAsia="zh-CN"/>
        </w:rPr>
        <w:t>满堂街道</w:t>
      </w:r>
      <w:r>
        <w:rPr>
          <w:b/>
          <w:sz w:val="36"/>
          <w:shd w:val="clear"/>
        </w:rPr>
        <w:t>202</w:t>
      </w:r>
      <w:r>
        <w:rPr>
          <w:rFonts w:hint="eastAsia"/>
          <w:b/>
          <w:sz w:val="36"/>
          <w:shd w:val="clear"/>
          <w:lang w:val="en-US" w:eastAsia="zh-CN"/>
        </w:rPr>
        <w:t>2</w:t>
      </w:r>
      <w:r>
        <w:rPr>
          <w:b/>
          <w:sz w:val="36"/>
        </w:rPr>
        <w:t>年决算情况说明</w:t>
      </w:r>
    </w:p>
    <w:p w14:paraId="6AADF4B6">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6FEB9899">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3306.6</w:t>
      </w:r>
      <w:r>
        <w:rPr>
          <w:rFonts w:ascii="楷体_GB2312" w:eastAsia="楷体_GB2312"/>
          <w:b/>
          <w:sz w:val="32"/>
        </w:rPr>
        <w:t>万元</w:t>
      </w:r>
    </w:p>
    <w:p w14:paraId="6513185D">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3295.78</w:t>
      </w:r>
      <w:r>
        <w:rPr>
          <w:rFonts w:ascii="仿宋_GB2312" w:eastAsia="仿宋_GB2312"/>
          <w:sz w:val="32"/>
        </w:rPr>
        <w:t>万元，占收入总计的</w:t>
      </w:r>
      <w:r>
        <w:rPr>
          <w:rFonts w:hint="eastAsia" w:ascii="仿宋_GB2312" w:eastAsia="仿宋_GB2312"/>
          <w:sz w:val="32"/>
          <w:lang w:val="en-US" w:eastAsia="zh-CN"/>
        </w:rPr>
        <w:t>99.67</w:t>
      </w:r>
      <w:r>
        <w:rPr>
          <w:rFonts w:ascii="仿宋_GB2312" w:eastAsia="仿宋_GB2312"/>
          <w:sz w:val="32"/>
        </w:rPr>
        <w:t>%。其中：一般公共预算财政拨款收入</w:t>
      </w:r>
      <w:r>
        <w:rPr>
          <w:rFonts w:hint="eastAsia" w:ascii="仿宋_GB2312" w:eastAsia="仿宋_GB2312"/>
          <w:sz w:val="32"/>
          <w:lang w:val="en-US" w:eastAsia="zh-CN"/>
        </w:rPr>
        <w:t>2597.28</w:t>
      </w:r>
      <w:r>
        <w:rPr>
          <w:rFonts w:ascii="仿宋_GB2312" w:eastAsia="仿宋_GB2312"/>
          <w:sz w:val="32"/>
        </w:rPr>
        <w:t>万元，政府性基金收入</w:t>
      </w:r>
      <w:r>
        <w:rPr>
          <w:rFonts w:hint="eastAsia" w:ascii="仿宋_GB2312" w:eastAsia="仿宋_GB2312"/>
          <w:sz w:val="32"/>
          <w:lang w:val="en-US" w:eastAsia="zh-CN"/>
        </w:rPr>
        <w:t>698.49</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0FD7F6AD">
      <w:pPr>
        <w:pStyle w:val="6"/>
        <w:spacing w:line="560" w:lineRule="exact"/>
        <w:ind w:firstLine="640" w:firstLineChars="200"/>
        <w:rPr>
          <w:rFonts w:hint="default" w:ascii="仿宋_GB2312" w:eastAsia="仿宋_GB2312"/>
          <w:sz w:val="32"/>
          <w:lang w:val="en-US"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10.82</w:t>
      </w:r>
      <w:r>
        <w:rPr>
          <w:rFonts w:ascii="仿宋_GB2312" w:eastAsia="仿宋_GB2312"/>
          <w:sz w:val="32"/>
        </w:rPr>
        <w:t>万元，占收入总计的</w:t>
      </w:r>
      <w:r>
        <w:rPr>
          <w:rFonts w:hint="eastAsia" w:ascii="仿宋_GB2312" w:eastAsia="仿宋_GB2312"/>
          <w:sz w:val="32"/>
          <w:lang w:val="en-US" w:eastAsia="zh-CN"/>
        </w:rPr>
        <w:t>0.33</w:t>
      </w:r>
      <w:r>
        <w:rPr>
          <w:rFonts w:ascii="仿宋_GB2312" w:eastAsia="仿宋_GB2312"/>
          <w:sz w:val="32"/>
        </w:rPr>
        <w:t>%。</w:t>
      </w:r>
      <w:r>
        <w:rPr>
          <w:rFonts w:hint="eastAsia" w:ascii="仿宋_GB2312" w:eastAsia="仿宋_GB2312"/>
          <w:sz w:val="32"/>
          <w:lang w:eastAsia="zh-CN"/>
        </w:rPr>
        <w:t>主要是征收土地补偿款、综合整治工作经费等原因形成的结余。</w:t>
      </w:r>
    </w:p>
    <w:p w14:paraId="19EEBD8F">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1546.4</w:t>
      </w:r>
      <w:r>
        <w:rPr>
          <w:rFonts w:ascii="仿宋_GB2312" w:eastAsia="仿宋_GB2312"/>
          <w:sz w:val="32"/>
        </w:rPr>
        <w:t>万元，降低</w:t>
      </w:r>
      <w:r>
        <w:rPr>
          <w:rFonts w:hint="eastAsia" w:ascii="仿宋_GB2312" w:eastAsia="仿宋_GB2312"/>
          <w:sz w:val="32"/>
          <w:lang w:val="en-US" w:eastAsia="zh-CN"/>
        </w:rPr>
        <w:t>31.86</w:t>
      </w:r>
      <w:r>
        <w:rPr>
          <w:rFonts w:ascii="仿宋_GB2312" w:eastAsia="仿宋_GB2312"/>
          <w:sz w:val="32"/>
        </w:rPr>
        <w:t>%，主要原因：</w:t>
      </w:r>
      <w:r>
        <w:rPr>
          <w:rFonts w:ascii="黑体" w:eastAsia="黑体"/>
          <w:sz w:val="32"/>
        </w:rPr>
        <w:t>一是</w:t>
      </w:r>
      <w:r>
        <w:rPr>
          <w:rFonts w:hint="eastAsia" w:ascii="仿宋" w:hAnsi="仿宋" w:eastAsia="仿宋" w:cs="仿宋"/>
          <w:sz w:val="32"/>
        </w:rPr>
        <w:t>加强预算执行管理，大力压减一般性支出</w:t>
      </w:r>
      <w:r>
        <w:rPr>
          <w:rFonts w:ascii="仿宋_GB2312" w:eastAsia="仿宋_GB2312"/>
          <w:sz w:val="32"/>
        </w:rPr>
        <w:t>；</w:t>
      </w:r>
      <w:r>
        <w:rPr>
          <w:rFonts w:ascii="黑体" w:eastAsia="黑体"/>
          <w:sz w:val="32"/>
        </w:rPr>
        <w:t>二是</w:t>
      </w:r>
      <w:r>
        <w:rPr>
          <w:rFonts w:hint="eastAsia" w:ascii="仿宋" w:hAnsi="仿宋" w:eastAsia="仿宋" w:cs="仿宋"/>
          <w:b w:val="0"/>
          <w:bCs w:val="0"/>
          <w:sz w:val="32"/>
          <w:lang w:eastAsia="zh-CN"/>
        </w:rPr>
        <w:t>满堂街道对域内非刚性、非急需支出项目进行压减</w:t>
      </w:r>
      <w:r>
        <w:rPr>
          <w:rFonts w:ascii="仿宋_GB2312" w:eastAsia="仿宋_GB2312"/>
          <w:sz w:val="32"/>
        </w:rPr>
        <w:t>。</w:t>
      </w:r>
    </w:p>
    <w:p w14:paraId="0969F063">
      <w:pPr>
        <w:pStyle w:val="6"/>
        <w:spacing w:line="560" w:lineRule="exact"/>
        <w:ind w:firstLine="660"/>
        <w:rPr>
          <w:rFonts w:ascii="仿宋_GB2312" w:eastAsia="仿宋_GB2312"/>
          <w:sz w:val="32"/>
        </w:rPr>
      </w:pPr>
    </w:p>
    <w:p w14:paraId="53995274">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3306.6</w:t>
      </w:r>
      <w:r>
        <w:rPr>
          <w:rFonts w:ascii="楷体_GB2312" w:eastAsia="楷体_GB2312"/>
          <w:b/>
          <w:sz w:val="32"/>
        </w:rPr>
        <w:t>万元</w:t>
      </w:r>
    </w:p>
    <w:p w14:paraId="500D91EA">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761.66</w:t>
      </w:r>
      <w:r>
        <w:rPr>
          <w:rFonts w:ascii="仿宋_GB2312" w:eastAsia="仿宋_GB2312"/>
          <w:sz w:val="32"/>
        </w:rPr>
        <w:t>万元，占支出总计的</w:t>
      </w:r>
      <w:r>
        <w:rPr>
          <w:rFonts w:hint="eastAsia" w:ascii="仿宋_GB2312" w:eastAsia="仿宋_GB2312"/>
          <w:sz w:val="32"/>
          <w:lang w:val="en-US" w:eastAsia="zh-CN"/>
        </w:rPr>
        <w:t>23.04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653.07</w:t>
      </w:r>
      <w:r>
        <w:rPr>
          <w:rFonts w:ascii="仿宋_GB2312" w:eastAsia="仿宋_GB2312"/>
          <w:sz w:val="32"/>
        </w:rPr>
        <w:t>万元，对个人和家庭的补助支出</w:t>
      </w:r>
      <w:r>
        <w:rPr>
          <w:rFonts w:hint="eastAsia" w:ascii="仿宋_GB2312" w:eastAsia="仿宋_GB2312"/>
          <w:sz w:val="32"/>
          <w:lang w:val="en-US" w:eastAsia="zh-CN"/>
        </w:rPr>
        <w:t>11.36</w:t>
      </w:r>
      <w:r>
        <w:rPr>
          <w:rFonts w:ascii="仿宋_GB2312" w:eastAsia="仿宋_GB2312"/>
          <w:sz w:val="32"/>
        </w:rPr>
        <w:t>万元，商品和服务支出</w:t>
      </w:r>
      <w:r>
        <w:rPr>
          <w:rFonts w:hint="eastAsia" w:ascii="仿宋_GB2312" w:eastAsia="仿宋_GB2312"/>
          <w:sz w:val="32"/>
          <w:lang w:val="en-US" w:eastAsia="zh-CN"/>
        </w:rPr>
        <w:t>97.24</w:t>
      </w:r>
      <w:r>
        <w:rPr>
          <w:rFonts w:ascii="仿宋_GB2312" w:eastAsia="仿宋_GB2312"/>
          <w:sz w:val="32"/>
        </w:rPr>
        <w:t>万元。</w:t>
      </w:r>
    </w:p>
    <w:p w14:paraId="3F8626F6">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2544.93</w:t>
      </w:r>
      <w:r>
        <w:rPr>
          <w:rFonts w:ascii="仿宋_GB2312" w:eastAsia="仿宋_GB2312"/>
          <w:sz w:val="32"/>
        </w:rPr>
        <w:t>万元，占支出总计的</w:t>
      </w:r>
      <w:r>
        <w:rPr>
          <w:rFonts w:hint="eastAsia" w:ascii="仿宋_GB2312" w:eastAsia="仿宋_GB2312"/>
          <w:sz w:val="32"/>
          <w:lang w:val="en-US" w:eastAsia="zh-CN"/>
        </w:rPr>
        <w:t>76.96</w:t>
      </w:r>
      <w:r>
        <w:rPr>
          <w:rFonts w:ascii="仿宋_GB2312" w:eastAsia="仿宋_GB2312"/>
          <w:sz w:val="32"/>
        </w:rPr>
        <w:t>%。主要包括</w:t>
      </w:r>
      <w:r>
        <w:rPr>
          <w:rFonts w:hint="eastAsia" w:ascii="仿宋_GB2312" w:hAnsi="宋体" w:eastAsia="仿宋_GB2312"/>
          <w:sz w:val="32"/>
          <w:szCs w:val="32"/>
          <w:lang w:eastAsia="zh-CN"/>
        </w:rPr>
        <w:t>信访维稳经费、防火经费、防汛抗旱经费、秸秆经费、征地补偿经费</w:t>
      </w:r>
      <w:r>
        <w:rPr>
          <w:rFonts w:ascii="仿宋_GB2312" w:eastAsia="仿宋_GB2312"/>
          <w:sz w:val="32"/>
        </w:rPr>
        <w:t>等业务支出。</w:t>
      </w:r>
    </w:p>
    <w:p w14:paraId="1A3860CD">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1535.58</w:t>
      </w:r>
      <w:r>
        <w:rPr>
          <w:rFonts w:ascii="仿宋_GB2312" w:eastAsia="仿宋_GB2312"/>
          <w:sz w:val="32"/>
        </w:rPr>
        <w:t>万元，降低</w:t>
      </w:r>
      <w:r>
        <w:rPr>
          <w:rFonts w:hint="eastAsia" w:ascii="仿宋_GB2312" w:eastAsia="仿宋_GB2312"/>
          <w:sz w:val="32"/>
          <w:lang w:val="en-US" w:eastAsia="zh-CN"/>
        </w:rPr>
        <w:t>31.71</w:t>
      </w:r>
      <w:r>
        <w:rPr>
          <w:rFonts w:ascii="仿宋_GB2312" w:eastAsia="仿宋_GB2312"/>
          <w:sz w:val="32"/>
        </w:rPr>
        <w:t>%，主要原因：</w:t>
      </w:r>
      <w:r>
        <w:rPr>
          <w:rFonts w:ascii="黑体" w:eastAsia="黑体"/>
          <w:sz w:val="32"/>
        </w:rPr>
        <w:t>一是</w:t>
      </w:r>
      <w:r>
        <w:rPr>
          <w:rFonts w:hint="eastAsia" w:ascii="仿宋" w:hAnsi="仿宋" w:eastAsia="仿宋" w:cs="仿宋"/>
          <w:sz w:val="32"/>
          <w:lang w:eastAsia="zh-CN"/>
        </w:rPr>
        <w:t>缩减人员开支，人员经费、日常公用经费减少</w:t>
      </w:r>
      <w:r>
        <w:rPr>
          <w:rFonts w:ascii="仿宋_GB2312" w:eastAsia="仿宋_GB2312"/>
          <w:sz w:val="32"/>
        </w:rPr>
        <w:t>；</w:t>
      </w:r>
      <w:r>
        <w:rPr>
          <w:rFonts w:ascii="黑体" w:eastAsia="黑体"/>
          <w:sz w:val="32"/>
        </w:rPr>
        <w:t>二是</w:t>
      </w:r>
      <w:r>
        <w:rPr>
          <w:rFonts w:hint="eastAsia" w:ascii="仿宋" w:hAnsi="仿宋" w:eastAsia="仿宋" w:cs="仿宋"/>
          <w:sz w:val="32"/>
        </w:rPr>
        <w:t>为加强疫情防控、压减一般性支出</w:t>
      </w:r>
      <w:r>
        <w:rPr>
          <w:rFonts w:ascii="仿宋_GB2312" w:eastAsia="仿宋_GB2312"/>
          <w:sz w:val="32"/>
        </w:rPr>
        <w:t>。</w:t>
      </w:r>
    </w:p>
    <w:p w14:paraId="00B608ED">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502A0906">
      <w:pPr>
        <w:pStyle w:val="6"/>
        <w:spacing w:line="560" w:lineRule="exact"/>
        <w:ind w:firstLine="660"/>
        <w:rPr>
          <w:rFonts w:ascii="黑体" w:eastAsia="黑体"/>
          <w:sz w:val="32"/>
        </w:rPr>
      </w:pPr>
      <w:r>
        <w:rPr>
          <w:rFonts w:ascii="仿宋_GB2312" w:eastAsia="仿宋_GB2312"/>
          <w:sz w:val="32"/>
        </w:rPr>
        <w:t>与上年相比，今年结转结余减少</w:t>
      </w:r>
      <w:r>
        <w:rPr>
          <w:rFonts w:hint="eastAsia" w:ascii="仿宋_GB2312" w:eastAsia="仿宋_GB2312"/>
          <w:sz w:val="32"/>
          <w:lang w:val="en-US" w:eastAsia="zh-CN"/>
        </w:rPr>
        <w:t>10.82</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上年未达到付款要求的征收补偿款在本年达到付款要求并支付征收补偿款</w:t>
      </w:r>
      <w:r>
        <w:rPr>
          <w:rFonts w:ascii="仿宋_GB2312" w:eastAsia="仿宋_GB2312"/>
          <w:sz w:val="32"/>
        </w:rPr>
        <w:t>；</w:t>
      </w:r>
      <w:r>
        <w:rPr>
          <w:rFonts w:ascii="黑体" w:eastAsia="黑体"/>
          <w:sz w:val="32"/>
        </w:rPr>
        <w:t>二是</w:t>
      </w:r>
      <w:r>
        <w:rPr>
          <w:rFonts w:hint="eastAsia" w:ascii="仿宋_GB2312" w:eastAsia="仿宋_GB2312"/>
          <w:sz w:val="32"/>
          <w:lang w:eastAsia="zh-CN"/>
        </w:rPr>
        <w:t>上缴以前年度结转结余款</w:t>
      </w:r>
      <w:r>
        <w:rPr>
          <w:rFonts w:ascii="仿宋_GB2312" w:eastAsia="仿宋_GB2312"/>
          <w:sz w:val="32"/>
        </w:rPr>
        <w:t>。</w:t>
      </w:r>
    </w:p>
    <w:p w14:paraId="0535CBC2">
      <w:pPr>
        <w:pStyle w:val="6"/>
        <w:spacing w:line="560" w:lineRule="exact"/>
        <w:ind w:firstLine="660"/>
        <w:rPr>
          <w:rFonts w:hint="default" w:ascii="黑体" w:eastAsia="黑体"/>
          <w:sz w:val="32"/>
        </w:rPr>
      </w:pPr>
      <w:r>
        <w:rPr>
          <w:rFonts w:ascii="黑体" w:eastAsia="黑体"/>
          <w:sz w:val="32"/>
        </w:rPr>
        <w:t>二、财政拨款收入支出决算情况说明</w:t>
      </w:r>
    </w:p>
    <w:p w14:paraId="6687A5C5">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52C61B04">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3306.6</w:t>
      </w:r>
      <w:r>
        <w:rPr>
          <w:rFonts w:ascii="仿宋_GB2312" w:eastAsia="仿宋_GB2312"/>
          <w:sz w:val="32"/>
        </w:rPr>
        <w:t>万元，其中：基本支出</w:t>
      </w:r>
      <w:r>
        <w:rPr>
          <w:rFonts w:hint="eastAsia" w:ascii="仿宋_GB2312" w:eastAsia="仿宋_GB2312"/>
          <w:sz w:val="32"/>
          <w:lang w:val="en-US" w:eastAsia="zh-CN"/>
        </w:rPr>
        <w:t>761.66</w:t>
      </w:r>
      <w:r>
        <w:rPr>
          <w:rFonts w:ascii="仿宋_GB2312" w:eastAsia="仿宋_GB2312"/>
          <w:sz w:val="32"/>
        </w:rPr>
        <w:t>万元，项目支出</w:t>
      </w:r>
      <w:r>
        <w:rPr>
          <w:rFonts w:hint="eastAsia" w:ascii="仿宋_GB2312" w:eastAsia="仿宋_GB2312"/>
          <w:sz w:val="32"/>
          <w:lang w:val="en-US" w:eastAsia="zh-CN"/>
        </w:rPr>
        <w:t>1836.84</w:t>
      </w:r>
      <w:r>
        <w:rPr>
          <w:rFonts w:ascii="仿宋_GB2312" w:eastAsia="仿宋_GB2312"/>
          <w:sz w:val="32"/>
        </w:rPr>
        <w:t>万元。与上年相比，财政拨款支出减少</w:t>
      </w:r>
      <w:r>
        <w:rPr>
          <w:rFonts w:hint="eastAsia" w:ascii="仿宋_GB2312" w:eastAsia="仿宋_GB2312"/>
          <w:sz w:val="32"/>
          <w:lang w:val="en-US" w:eastAsia="zh-CN"/>
        </w:rPr>
        <w:t>1535.58</w:t>
      </w:r>
      <w:r>
        <w:rPr>
          <w:rFonts w:ascii="仿宋_GB2312" w:eastAsia="仿宋_GB2312"/>
          <w:sz w:val="32"/>
        </w:rPr>
        <w:t>万元，降低</w:t>
      </w:r>
      <w:r>
        <w:rPr>
          <w:rFonts w:hint="eastAsia" w:ascii="仿宋_GB2312" w:eastAsia="仿宋_GB2312"/>
          <w:sz w:val="32"/>
          <w:lang w:val="en-US" w:eastAsia="zh-CN"/>
        </w:rPr>
        <w:t>31.71</w:t>
      </w:r>
      <w:r>
        <w:rPr>
          <w:rFonts w:ascii="仿宋_GB2312" w:eastAsia="仿宋_GB2312"/>
          <w:sz w:val="32"/>
        </w:rPr>
        <w:t>%，</w:t>
      </w:r>
      <w:r>
        <w:rPr>
          <w:rFonts w:ascii="仿宋_GB2312" w:eastAsia="仿宋_GB2312"/>
          <w:sz w:val="32"/>
          <w:shd w:val="clear"/>
        </w:rPr>
        <w:t>主要原因：</w:t>
      </w:r>
      <w:r>
        <w:rPr>
          <w:rFonts w:ascii="黑体" w:eastAsia="黑体"/>
          <w:sz w:val="32"/>
          <w:shd w:val="clear"/>
        </w:rPr>
        <w:t>一是</w:t>
      </w:r>
      <w:r>
        <w:rPr>
          <w:rFonts w:hint="eastAsia" w:ascii="仿宋_GB2312" w:eastAsia="仿宋_GB2312"/>
          <w:sz w:val="32"/>
          <w:shd w:val="clear"/>
          <w:lang w:val="en-US" w:eastAsia="zh-CN"/>
        </w:rPr>
        <w:t>街道缩减不必要支出</w:t>
      </w:r>
      <w:r>
        <w:rPr>
          <w:rFonts w:ascii="仿宋_GB2312" w:eastAsia="仿宋_GB2312"/>
          <w:sz w:val="32"/>
          <w:shd w:val="clear"/>
        </w:rPr>
        <w:t>；</w:t>
      </w:r>
      <w:r>
        <w:rPr>
          <w:rFonts w:ascii="黑体" w:eastAsia="黑体"/>
          <w:sz w:val="32"/>
          <w:shd w:val="clear"/>
        </w:rPr>
        <w:t>二是</w:t>
      </w:r>
      <w:r>
        <w:rPr>
          <w:rFonts w:hint="eastAsia" w:ascii="仿宋_GB2312" w:eastAsia="仿宋_GB2312"/>
          <w:sz w:val="32"/>
          <w:shd w:val="clear"/>
          <w:lang w:val="en-US" w:eastAsia="zh-CN"/>
        </w:rPr>
        <w:t>部分项目未达到支付标准</w:t>
      </w:r>
      <w:r>
        <w:rPr>
          <w:rFonts w:ascii="仿宋_GB2312" w:eastAsia="仿宋_GB2312"/>
          <w:sz w:val="32"/>
          <w:shd w:val="clear"/>
        </w:rPr>
        <w:t>。与年初预算相比，2</w:t>
      </w:r>
      <w:r>
        <w:rPr>
          <w:rFonts w:ascii="仿宋_GB2312" w:eastAsia="仿宋_GB2312"/>
          <w:sz w:val="32"/>
        </w:rPr>
        <w:t>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97.7</w:t>
      </w:r>
      <w:r>
        <w:rPr>
          <w:rFonts w:ascii="仿宋_GB2312" w:eastAsia="仿宋_GB2312"/>
          <w:sz w:val="32"/>
        </w:rPr>
        <w:t>%，其中：基本支出完成年初预算的</w:t>
      </w:r>
      <w:r>
        <w:rPr>
          <w:rFonts w:hint="eastAsia" w:ascii="仿宋_GB2312" w:eastAsia="仿宋_GB2312"/>
          <w:sz w:val="32"/>
          <w:lang w:val="en-US" w:eastAsia="zh-CN"/>
        </w:rPr>
        <w:t>82.92</w:t>
      </w:r>
      <w:r>
        <w:rPr>
          <w:rFonts w:ascii="仿宋_GB2312" w:eastAsia="仿宋_GB2312"/>
          <w:sz w:val="32"/>
        </w:rPr>
        <w:t>%，项目支出完成年初预算的</w:t>
      </w:r>
      <w:r>
        <w:rPr>
          <w:rFonts w:hint="eastAsia" w:ascii="仿宋_GB2312" w:eastAsia="仿宋_GB2312"/>
          <w:sz w:val="32"/>
          <w:lang w:val="en-US" w:eastAsia="zh-CN"/>
        </w:rPr>
        <w:t>84.81</w:t>
      </w:r>
      <w:r>
        <w:rPr>
          <w:rFonts w:ascii="仿宋_GB2312" w:eastAsia="仿宋_GB2312"/>
          <w:sz w:val="32"/>
        </w:rPr>
        <w:t>%。</w:t>
      </w:r>
    </w:p>
    <w:p w14:paraId="1FA27B7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493AD93">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2598.5</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1365.34</w:t>
      </w:r>
      <w:r>
        <w:rPr>
          <w:rFonts w:ascii="仿宋_GB2312" w:hAnsi="宋体" w:eastAsia="仿宋_GB2312"/>
          <w:sz w:val="32"/>
          <w:szCs w:val="32"/>
        </w:rPr>
        <w:t>万元，占</w:t>
      </w:r>
      <w:r>
        <w:rPr>
          <w:rFonts w:hint="eastAsia" w:ascii="仿宋_GB2312" w:hAnsi="宋体" w:eastAsia="仿宋_GB2312"/>
          <w:sz w:val="32"/>
          <w:szCs w:val="32"/>
          <w:lang w:val="en-US" w:eastAsia="zh-CN"/>
        </w:rPr>
        <w:t>52.5</w:t>
      </w:r>
      <w:r>
        <w:rPr>
          <w:rFonts w:ascii="仿宋_GB2312" w:hAnsi="宋体" w:eastAsia="仿宋_GB2312"/>
          <w:sz w:val="32"/>
          <w:szCs w:val="32"/>
        </w:rPr>
        <w:t>%；</w:t>
      </w:r>
      <w:r>
        <w:rPr>
          <w:rFonts w:hint="eastAsia" w:ascii="仿宋_GB2312" w:hAnsi="宋体" w:eastAsia="仿宋_GB2312"/>
          <w:sz w:val="32"/>
          <w:szCs w:val="32"/>
          <w:lang w:eastAsia="zh-CN"/>
        </w:rPr>
        <w:t>国防支出</w:t>
      </w:r>
      <w:r>
        <w:rPr>
          <w:rFonts w:hint="eastAsia" w:ascii="仿宋_GB2312" w:hAnsi="宋体" w:eastAsia="仿宋_GB2312"/>
          <w:sz w:val="32"/>
          <w:szCs w:val="32"/>
          <w:lang w:val="en-US" w:eastAsia="zh-CN"/>
        </w:rPr>
        <w:t>2万元，占0.07%；社会保障和就业支出131.34万元，占5.05%；卫生健康支出245.12万元，占9.43%；节能环保支出54.83万元，占2.11%；城乡社区支出83.75万元，占3.22%；农林水支出465.42万元，占17.91%；住房保障支出85.81万元，占3.3%；灾害防治及应急管理支出164.9万元，占6.35%</w:t>
      </w:r>
      <w:r>
        <w:rPr>
          <w:rFonts w:hint="eastAsia" w:ascii="仿宋_GB2312" w:hAnsi="宋体" w:eastAsia="仿宋_GB2312"/>
          <w:sz w:val="32"/>
          <w:szCs w:val="32"/>
        </w:rPr>
        <w:t>。</w:t>
      </w:r>
    </w:p>
    <w:p w14:paraId="796F4855">
      <w:pPr>
        <w:shd w:val="clear"/>
        <w:spacing w:line="56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1.一般公共服务支出</w:t>
      </w:r>
      <w:r>
        <w:rPr>
          <w:rFonts w:hint="eastAsia" w:ascii="仿宋_GB2312" w:hAnsi="宋体" w:eastAsia="仿宋_GB2312"/>
          <w:color w:val="auto"/>
          <w:sz w:val="32"/>
          <w:szCs w:val="32"/>
          <w:lang w:val="en-US" w:eastAsia="zh-CN"/>
        </w:rPr>
        <w:t>1365.3</w:t>
      </w:r>
      <w:r>
        <w:rPr>
          <w:rFonts w:hint="eastAsia" w:ascii="仿宋_GB2312" w:hAnsi="宋体" w:eastAsia="仿宋_GB2312"/>
          <w:color w:val="auto"/>
          <w:sz w:val="32"/>
          <w:szCs w:val="32"/>
          <w:shd w:val="clear"/>
          <w:lang w:val="en-US" w:eastAsia="zh-CN"/>
        </w:rPr>
        <w:t>3</w:t>
      </w:r>
      <w:r>
        <w:rPr>
          <w:rFonts w:ascii="仿宋_GB2312" w:hAnsi="宋体" w:eastAsia="仿宋_GB2312"/>
          <w:color w:val="auto"/>
          <w:sz w:val="32"/>
          <w:szCs w:val="32"/>
        </w:rPr>
        <w:t>万元，具体包括：</w:t>
      </w:r>
    </w:p>
    <w:p w14:paraId="0488B628">
      <w:pPr>
        <w:numPr>
          <w:ilvl w:val="0"/>
          <w:numId w:val="0"/>
        </w:numPr>
        <w:shd w:val="clear"/>
        <w:spacing w:line="54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1</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类）人大事务（</w:t>
      </w:r>
      <w:r>
        <w:rPr>
          <w:rFonts w:hint="eastAsia" w:ascii="仿宋_GB2312" w:hAnsi="宋体" w:eastAsia="仿宋_GB2312"/>
          <w:color w:val="auto"/>
          <w:sz w:val="32"/>
          <w:szCs w:val="32"/>
          <w:shd w:val="clear"/>
          <w:lang w:val="en-US" w:eastAsia="zh-CN"/>
        </w:rPr>
        <w:t>款</w:t>
      </w:r>
      <w:r>
        <w:rPr>
          <w:rFonts w:hint="eastAsia" w:ascii="仿宋_GB2312" w:hAnsi="宋体" w:eastAsia="仿宋_GB2312"/>
          <w:color w:val="auto"/>
          <w:sz w:val="32"/>
          <w:szCs w:val="32"/>
          <w:lang w:val="en-US" w:eastAsia="zh-CN"/>
        </w:rPr>
        <w:t>）一般行政管理事务</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项）0.98</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主要是各社区换届选举相关支出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98</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val="en-US" w:eastAsia="zh-CN"/>
        </w:rPr>
        <w:t>社区换届选举相关活动减少</w:t>
      </w:r>
      <w:r>
        <w:rPr>
          <w:rFonts w:hint="eastAsia" w:ascii="仿宋_GB2312" w:hAnsi="宋体" w:eastAsia="仿宋_GB2312"/>
          <w:color w:val="auto"/>
          <w:sz w:val="32"/>
          <w:szCs w:val="32"/>
        </w:rPr>
        <w:t>。</w:t>
      </w:r>
    </w:p>
    <w:p w14:paraId="1E22FC6E">
      <w:pPr>
        <w:numPr>
          <w:ilvl w:val="0"/>
          <w:numId w:val="0"/>
        </w:numPr>
        <w:spacing w:line="54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2</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类）政府办公厅（室）及相关机构事务（款）行政运行（项）585.31万元，主要是</w:t>
      </w:r>
      <w:r>
        <w:rPr>
          <w:rFonts w:hint="eastAsia" w:ascii="仿宋_GB2312" w:hAnsi="宋体" w:eastAsia="仿宋_GB2312"/>
          <w:color w:val="auto"/>
          <w:sz w:val="32"/>
          <w:szCs w:val="32"/>
          <w:lang w:eastAsia="zh-CN"/>
        </w:rPr>
        <w:t>职工工资、津贴补贴、伙食补助、保证街道正常运转的办公经费、水电费</w:t>
      </w:r>
      <w:r>
        <w:rPr>
          <w:rFonts w:hint="eastAsia" w:ascii="仿宋_GB2312" w:hAnsi="宋体" w:eastAsia="仿宋_GB2312"/>
          <w:color w:val="auto"/>
          <w:sz w:val="32"/>
          <w:szCs w:val="32"/>
        </w:rPr>
        <w:t>等支出</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79.02</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街道人员增减变动，职工工资津贴补贴变动；街道加强收支管理，保障街道正常运行的基础上压缩减少办公经费等支出</w:t>
      </w:r>
      <w:r>
        <w:rPr>
          <w:rFonts w:hint="eastAsia" w:ascii="仿宋_GB2312" w:hAnsi="宋体" w:eastAsia="仿宋_GB2312"/>
          <w:color w:val="auto"/>
          <w:sz w:val="32"/>
          <w:szCs w:val="32"/>
        </w:rPr>
        <w:t>。</w:t>
      </w:r>
    </w:p>
    <w:p w14:paraId="090BF754">
      <w:pPr>
        <w:numPr>
          <w:ilvl w:val="0"/>
          <w:numId w:val="0"/>
        </w:numPr>
        <w:spacing w:line="540" w:lineRule="exact"/>
        <w:ind w:firstLine="640" w:firstLineChars="20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类）政府办公厅（室）及相关机构事务（款）一般行政管理事务（项）24.33万元，主要是</w:t>
      </w:r>
      <w:r>
        <w:rPr>
          <w:rFonts w:hint="eastAsia" w:ascii="仿宋_GB2312" w:hAnsi="宋体" w:eastAsia="仿宋_GB2312"/>
          <w:color w:val="auto"/>
          <w:sz w:val="32"/>
          <w:szCs w:val="32"/>
          <w:lang w:eastAsia="zh-CN"/>
        </w:rPr>
        <w:t>街道绩效、村财工作经费等支出</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48.08</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小于</w:t>
      </w:r>
      <w:r>
        <w:rPr>
          <w:rFonts w:hint="eastAsia" w:ascii="仿宋_GB2312" w:hAnsi="宋体" w:eastAsia="仿宋_GB2312"/>
          <w:color w:val="auto"/>
          <w:sz w:val="32"/>
          <w:szCs w:val="32"/>
        </w:rPr>
        <w:t>年初预算数的原因主要是</w:t>
      </w:r>
      <w:r>
        <w:rPr>
          <w:rFonts w:hint="eastAsia" w:ascii="仿宋_GB2312" w:hAnsi="宋体" w:eastAsia="仿宋_GB2312"/>
          <w:color w:val="auto"/>
          <w:sz w:val="32"/>
          <w:szCs w:val="32"/>
          <w:lang w:eastAsia="zh-CN"/>
        </w:rPr>
        <w:t>街道人员增减变动，职工绩效减少</w:t>
      </w:r>
      <w:r>
        <w:rPr>
          <w:rFonts w:hint="eastAsia" w:ascii="仿宋_GB2312" w:hAnsi="宋体" w:eastAsia="仿宋_GB2312"/>
          <w:color w:val="auto"/>
          <w:sz w:val="32"/>
          <w:szCs w:val="32"/>
          <w:lang w:val="en-US" w:eastAsia="zh-CN"/>
        </w:rPr>
        <w:t>。</w:t>
      </w:r>
    </w:p>
    <w:p w14:paraId="3C1C7526">
      <w:pPr>
        <w:numPr>
          <w:ilvl w:val="0"/>
          <w:numId w:val="0"/>
        </w:numPr>
        <w:spacing w:line="54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color w:val="auto"/>
          <w:sz w:val="32"/>
          <w:szCs w:val="32"/>
        </w:rPr>
        <w:t>一般</w:t>
      </w:r>
      <w:r>
        <w:rPr>
          <w:rFonts w:hint="eastAsia" w:ascii="仿宋_GB2312" w:hAnsi="宋体" w:eastAsia="仿宋_GB2312"/>
          <w:color w:val="auto"/>
          <w:sz w:val="32"/>
          <w:szCs w:val="32"/>
          <w:shd w:val="clear"/>
        </w:rPr>
        <w:t>公共服务支出</w:t>
      </w:r>
      <w:r>
        <w:rPr>
          <w:rFonts w:hint="eastAsia" w:ascii="仿宋_GB2312" w:hAnsi="宋体" w:eastAsia="仿宋_GB2312"/>
          <w:color w:val="auto"/>
          <w:sz w:val="32"/>
          <w:szCs w:val="32"/>
          <w:shd w:val="clear"/>
          <w:lang w:eastAsia="zh-CN"/>
        </w:rPr>
        <w:t>（</w:t>
      </w:r>
      <w:r>
        <w:rPr>
          <w:rFonts w:hint="eastAsia" w:ascii="仿宋_GB2312" w:hAnsi="宋体" w:eastAsia="仿宋_GB2312"/>
          <w:color w:val="auto"/>
          <w:sz w:val="32"/>
          <w:szCs w:val="32"/>
          <w:shd w:val="clear"/>
          <w:lang w:val="en-US" w:eastAsia="zh-CN"/>
        </w:rPr>
        <w:t>类）政府办公厅（室）及相关机构事务（款）信访事务（项）437.96万元，</w:t>
      </w:r>
      <w:r>
        <w:rPr>
          <w:rFonts w:hint="eastAsia" w:ascii="仿宋_GB2312" w:hAnsi="宋体" w:eastAsia="仿宋_GB2312"/>
          <w:color w:val="auto"/>
          <w:sz w:val="32"/>
          <w:szCs w:val="32"/>
          <w:shd w:val="clear"/>
        </w:rPr>
        <w:t>主要是</w:t>
      </w:r>
      <w:r>
        <w:rPr>
          <w:rFonts w:hint="eastAsia" w:ascii="仿宋_GB2312" w:hAnsi="宋体" w:eastAsia="仿宋_GB2312"/>
          <w:color w:val="auto"/>
          <w:sz w:val="32"/>
          <w:szCs w:val="32"/>
          <w:shd w:val="clear"/>
          <w:lang w:eastAsia="zh-CN"/>
        </w:rPr>
        <w:t>街道稳控上访人员、解决上访人员困难救助等支出</w:t>
      </w:r>
      <w:r>
        <w:rPr>
          <w:rFonts w:hint="eastAsia" w:ascii="仿宋_GB2312" w:hAnsi="宋体" w:eastAsia="仿宋_GB2312"/>
          <w:color w:val="auto"/>
          <w:sz w:val="32"/>
          <w:szCs w:val="32"/>
          <w:shd w:val="clear"/>
        </w:rPr>
        <w:t>，完成年初预算的</w:t>
      </w:r>
      <w:r>
        <w:rPr>
          <w:rFonts w:hint="eastAsia" w:ascii="仿宋_GB2312" w:hAnsi="宋体" w:eastAsia="仿宋_GB2312"/>
          <w:color w:val="auto"/>
          <w:sz w:val="32"/>
          <w:szCs w:val="32"/>
          <w:shd w:val="clear"/>
          <w:lang w:val="en-US" w:eastAsia="zh-CN"/>
        </w:rPr>
        <w:t>437.96</w:t>
      </w:r>
      <w:r>
        <w:rPr>
          <w:rFonts w:hint="eastAsia" w:ascii="仿宋_GB2312" w:hAnsi="宋体" w:eastAsia="仿宋_GB2312"/>
          <w:color w:val="auto"/>
          <w:sz w:val="32"/>
          <w:szCs w:val="32"/>
          <w:shd w:val="clear"/>
        </w:rPr>
        <w:t>%，决算数</w:t>
      </w:r>
      <w:r>
        <w:rPr>
          <w:rFonts w:hint="eastAsia" w:ascii="仿宋_GB2312" w:hAnsi="宋体" w:eastAsia="仿宋_GB2312"/>
          <w:color w:val="auto"/>
          <w:sz w:val="32"/>
          <w:szCs w:val="32"/>
          <w:shd w:val="clear"/>
          <w:lang w:eastAsia="zh-CN"/>
        </w:rPr>
        <w:t>大于</w:t>
      </w:r>
      <w:r>
        <w:rPr>
          <w:rFonts w:hint="eastAsia" w:ascii="仿宋_GB2312" w:hAnsi="宋体" w:eastAsia="仿宋_GB2312"/>
          <w:color w:val="auto"/>
          <w:sz w:val="32"/>
          <w:szCs w:val="32"/>
          <w:shd w:val="clear"/>
        </w:rPr>
        <w:t>年初预算数的原因主要是</w:t>
      </w:r>
      <w:r>
        <w:rPr>
          <w:rFonts w:hint="eastAsia" w:ascii="仿宋_GB2312" w:hAnsi="宋体" w:eastAsia="仿宋_GB2312"/>
          <w:color w:val="auto"/>
          <w:sz w:val="32"/>
          <w:szCs w:val="32"/>
          <w:shd w:val="clear"/>
          <w:lang w:eastAsia="zh-CN"/>
        </w:rPr>
        <w:t>满堂街道与望滨街道合并，街道辖区面积增</w:t>
      </w:r>
      <w:r>
        <w:rPr>
          <w:rFonts w:hint="eastAsia" w:ascii="仿宋_GB2312" w:hAnsi="宋体" w:eastAsia="仿宋_GB2312"/>
          <w:color w:val="auto"/>
          <w:sz w:val="32"/>
          <w:szCs w:val="32"/>
          <w:lang w:eastAsia="zh-CN"/>
        </w:rPr>
        <w:t>加，需解决信访案件增多</w:t>
      </w:r>
      <w:r>
        <w:rPr>
          <w:rFonts w:hint="eastAsia" w:ascii="仿宋_GB2312" w:hAnsi="宋体" w:eastAsia="仿宋_GB2312"/>
          <w:color w:val="auto"/>
          <w:sz w:val="32"/>
          <w:szCs w:val="32"/>
        </w:rPr>
        <w:t>。</w:t>
      </w:r>
    </w:p>
    <w:p w14:paraId="6D792613">
      <w:pPr>
        <w:numPr>
          <w:ilvl w:val="0"/>
          <w:numId w:val="0"/>
        </w:numPr>
        <w:spacing w:line="540" w:lineRule="exact"/>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类）政府办公厅（室）及相关机构事务（款） 其他政府办公厅（室）及相关机构事务支出（项）247.98万元，主要是街道历史遗留问题经费、街道装修改造工程款、绿化租地费用、机动经费等支出，完成年初预算的42.84%，决算数小于年初预算数的原因主要是街道历史遗留问题中包含人员生活救助经费，单位加强收支管理，减少机动财力、综合治理等经费支出。</w:t>
      </w:r>
    </w:p>
    <w:p w14:paraId="02CC52F8">
      <w:pPr>
        <w:numPr>
          <w:ilvl w:val="0"/>
          <w:numId w:val="0"/>
        </w:numPr>
        <w:spacing w:line="540" w:lineRule="exact"/>
        <w:ind w:firstLine="640" w:firstLineChars="20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类）财政事务（款）一般行政管理事务（项）0.75万元，主要是街道财务软件维护费、财务相关工作经费，完成年初预算的75%，</w:t>
      </w:r>
      <w:r>
        <w:rPr>
          <w:rFonts w:hint="eastAsia" w:ascii="仿宋_GB2312" w:hAnsi="宋体" w:eastAsia="仿宋_GB2312"/>
          <w:color w:val="auto"/>
          <w:sz w:val="32"/>
          <w:szCs w:val="32"/>
          <w:shd w:val="clear"/>
          <w:lang w:val="en-US" w:eastAsia="zh-CN"/>
        </w:rPr>
        <w:t>决算数小于年初预算数的原因主要是街道加强收支管理，减少不必要经费支出</w:t>
      </w:r>
      <w:r>
        <w:rPr>
          <w:rFonts w:hint="eastAsia" w:ascii="仿宋_GB2312" w:hAnsi="宋体" w:eastAsia="仿宋_GB2312"/>
          <w:color w:val="auto"/>
          <w:sz w:val="32"/>
          <w:szCs w:val="32"/>
          <w:lang w:val="en-US" w:eastAsia="zh-CN"/>
        </w:rPr>
        <w:t>。</w:t>
      </w:r>
    </w:p>
    <w:p w14:paraId="58490714">
      <w:pPr>
        <w:spacing w:line="540" w:lineRule="exact"/>
        <w:ind w:firstLine="66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7</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类）纪检监察事</w:t>
      </w:r>
      <w:r>
        <w:rPr>
          <w:rFonts w:hint="eastAsia" w:ascii="仿宋_GB2312" w:hAnsi="宋体" w:eastAsia="仿宋_GB2312"/>
          <w:color w:val="auto"/>
          <w:sz w:val="32"/>
          <w:szCs w:val="32"/>
          <w:shd w:val="clear"/>
          <w:lang w:val="en-US" w:eastAsia="zh-CN"/>
        </w:rPr>
        <w:t>务（款）其</w:t>
      </w:r>
      <w:r>
        <w:rPr>
          <w:rFonts w:hint="eastAsia" w:ascii="仿宋_GB2312" w:hAnsi="宋体" w:eastAsia="仿宋_GB2312"/>
          <w:color w:val="auto"/>
          <w:sz w:val="32"/>
          <w:szCs w:val="32"/>
          <w:lang w:val="en-US" w:eastAsia="zh-CN"/>
        </w:rPr>
        <w:t>他纪检监察事务支出（项）60.24万元，主要是街道正风肃纪监督员补助,</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79.02</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。决算数小于年初预算数的原因主要是街道正风肃纪监督员人员变化，人员补助减少。</w:t>
      </w:r>
    </w:p>
    <w:p w14:paraId="4384A3D1">
      <w:pPr>
        <w:numPr>
          <w:ilvl w:val="0"/>
          <w:numId w:val="0"/>
        </w:numPr>
        <w:spacing w:line="540" w:lineRule="exact"/>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8</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类）群众团体事务（款）其他群众团体事务支出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项）2</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主要街道组织群团活动经费</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rPr>
        <w:t>。</w:t>
      </w:r>
    </w:p>
    <w:p w14:paraId="4DF0F8D9">
      <w:pPr>
        <w:spacing w:line="54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9</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 党委办公厅（室）及相关机构事务（款）其他党委办公厅（室）及相关机构事务支出（项）1.22万元，主要是街道组织党建活动，购买党员学习资料等经费支出，完成年初预算的8.71%，决算数小于年初预算数的原因主要是年初预算编制中包含城市社区党建经费，在实际支出中城市社区党建经费未在此支出。</w:t>
      </w:r>
    </w:p>
    <w:p w14:paraId="22E28353">
      <w:pPr>
        <w:numPr>
          <w:ilvl w:val="0"/>
          <w:numId w:val="0"/>
        </w:numPr>
        <w:shd w:val="clear"/>
        <w:spacing w:line="540" w:lineRule="exact"/>
        <w:ind w:firstLine="640" w:firstLineChars="20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10</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w:t>
      </w:r>
      <w:r>
        <w:rPr>
          <w:rFonts w:hint="eastAsia" w:ascii="仿宋_GB2312" w:hAnsi="宋体" w:eastAsia="仿宋_GB2312"/>
          <w:color w:val="auto"/>
          <w:sz w:val="32"/>
          <w:szCs w:val="32"/>
          <w:shd w:val="clear"/>
          <w:lang w:val="en-US" w:eastAsia="zh-CN"/>
        </w:rPr>
        <w:t>组织</w:t>
      </w:r>
      <w:r>
        <w:rPr>
          <w:rFonts w:hint="eastAsia" w:ascii="仿宋_GB2312" w:hAnsi="宋体" w:eastAsia="仿宋_GB2312"/>
          <w:color w:val="auto"/>
          <w:sz w:val="32"/>
          <w:szCs w:val="32"/>
          <w:lang w:val="en-US" w:eastAsia="zh-CN"/>
        </w:rPr>
        <w:t>事务（</w:t>
      </w:r>
      <w:r>
        <w:rPr>
          <w:rFonts w:hint="eastAsia" w:ascii="仿宋_GB2312" w:hAnsi="宋体" w:eastAsia="仿宋_GB2312"/>
          <w:color w:val="auto"/>
          <w:sz w:val="32"/>
          <w:szCs w:val="32"/>
          <w:shd w:val="clear"/>
          <w:lang w:val="en-US" w:eastAsia="zh-CN"/>
        </w:rPr>
        <w:t>款</w:t>
      </w:r>
      <w:r>
        <w:rPr>
          <w:rFonts w:hint="eastAsia" w:ascii="仿宋_GB2312" w:hAnsi="宋体" w:eastAsia="仿宋_GB2312"/>
          <w:color w:val="auto"/>
          <w:sz w:val="32"/>
          <w:szCs w:val="32"/>
          <w:lang w:val="en-US" w:eastAsia="zh-CN"/>
        </w:rPr>
        <w:t>）其他组织事务支出（项）2万元，主要是区直选派干部驻村工作补助支出，未安排年初预算。</w:t>
      </w:r>
      <w:bookmarkStart w:id="0" w:name="_GoBack"/>
      <w:bookmarkEnd w:id="0"/>
    </w:p>
    <w:p w14:paraId="2DF0F2CA">
      <w:pPr>
        <w:numPr>
          <w:ilvl w:val="0"/>
          <w:numId w:val="0"/>
        </w:numPr>
        <w:shd w:val="clear"/>
        <w:spacing w:line="540" w:lineRule="exact"/>
        <w:ind w:firstLine="640" w:firstLineChars="20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11</w:t>
      </w:r>
      <w:r>
        <w:rPr>
          <w:rFonts w:ascii="仿宋_GB2312" w:hAnsi="宋体" w:eastAsia="仿宋_GB2312"/>
          <w:color w:val="auto"/>
          <w:sz w:val="32"/>
          <w:szCs w:val="32"/>
        </w:rPr>
        <w:t>）</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宣传事务（款）其他宣传事务支出（项）2.56万元，主要是街道制作宣传板、宣传片等宣传制品，完成年初预算的8.53%，决算数大于年初预算数的主要原因是街道配合相关部门加强宣传力度，增加相关宣传费用。</w:t>
      </w:r>
    </w:p>
    <w:p w14:paraId="543253E4">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eastAsia="zh-CN"/>
        </w:rPr>
        <w:t>国防支出</w:t>
      </w:r>
      <w:r>
        <w:rPr>
          <w:rFonts w:hint="eastAsia" w:ascii="仿宋_GB2312" w:hAnsi="宋体" w:eastAsia="仿宋_GB2312"/>
          <w:color w:val="auto"/>
          <w:sz w:val="32"/>
          <w:szCs w:val="32"/>
          <w:shd w:val="clear"/>
          <w:lang w:val="en-US" w:eastAsia="zh-CN"/>
        </w:rPr>
        <w:t>2</w:t>
      </w:r>
      <w:r>
        <w:rPr>
          <w:rFonts w:hint="eastAsia" w:ascii="仿宋_GB2312" w:hAnsi="宋体" w:eastAsia="仿宋_GB2312"/>
          <w:color w:val="auto"/>
          <w:sz w:val="32"/>
          <w:szCs w:val="32"/>
          <w:lang w:val="en-US" w:eastAsia="zh-CN"/>
        </w:rPr>
        <w:t>万元，具体包括:</w:t>
      </w:r>
    </w:p>
    <w:p w14:paraId="1E043A1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lang w:eastAsia="zh-CN"/>
        </w:rPr>
        <w:t>国防支出（</w:t>
      </w:r>
      <w:r>
        <w:rPr>
          <w:rFonts w:hint="eastAsia" w:ascii="仿宋_GB2312" w:hAnsi="宋体" w:eastAsia="仿宋_GB2312"/>
          <w:color w:val="auto"/>
          <w:sz w:val="32"/>
          <w:szCs w:val="32"/>
          <w:lang w:val="en-US" w:eastAsia="zh-CN"/>
        </w:rPr>
        <w:t>类）国防动员（款）</w:t>
      </w:r>
      <w:r>
        <w:rPr>
          <w:rFonts w:hint="eastAsia" w:ascii="仿宋_GB2312" w:hAnsi="宋体" w:eastAsia="仿宋_GB2312"/>
          <w:color w:val="auto"/>
          <w:sz w:val="32"/>
          <w:szCs w:val="32"/>
          <w:lang w:eastAsia="zh-CN"/>
        </w:rPr>
        <w:t>其他国防动员支出（</w:t>
      </w:r>
      <w:r>
        <w:rPr>
          <w:rFonts w:hint="eastAsia" w:ascii="仿宋_GB2312" w:hAnsi="宋体" w:eastAsia="仿宋_GB2312"/>
          <w:color w:val="auto"/>
          <w:sz w:val="32"/>
          <w:szCs w:val="32"/>
          <w:lang w:val="en-US" w:eastAsia="zh-CN"/>
        </w:rPr>
        <w:t>项）2</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eastAsia="zh-CN"/>
        </w:rPr>
        <w:t>街道征兵民兵工作、民兵工作宣传、对民兵进行体检等经费</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eastAsia="zh-CN"/>
        </w:rPr>
        <w:t>。</w:t>
      </w:r>
    </w:p>
    <w:p w14:paraId="4316038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eastAsia="zh-CN"/>
        </w:rPr>
      </w:pPr>
    </w:p>
    <w:p w14:paraId="0F6A5CD9">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3.社会保障和就业支出</w:t>
      </w:r>
      <w:r>
        <w:rPr>
          <w:rFonts w:hint="eastAsia" w:ascii="仿宋_GB2312" w:hAnsi="宋体" w:eastAsia="仿宋_GB2312"/>
          <w:color w:val="auto"/>
          <w:sz w:val="32"/>
          <w:szCs w:val="32"/>
          <w:shd w:val="clear"/>
          <w:lang w:val="en-US" w:eastAsia="zh-CN"/>
        </w:rPr>
        <w:t>131.33</w:t>
      </w:r>
      <w:r>
        <w:rPr>
          <w:rFonts w:hint="eastAsia" w:ascii="仿宋_GB2312" w:hAnsi="宋体" w:eastAsia="仿宋_GB2312"/>
          <w:color w:val="auto"/>
          <w:sz w:val="32"/>
          <w:szCs w:val="32"/>
          <w:lang w:val="en-US" w:eastAsia="zh-CN"/>
        </w:rPr>
        <w:t>万元，具体包括：</w:t>
      </w:r>
    </w:p>
    <w:p w14:paraId="39DF59FD">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shd w:val="clear" w:fill="FFFF00"/>
          <w:lang w:val="en-US" w:eastAsia="zh-CN"/>
        </w:rPr>
      </w:pPr>
      <w:r>
        <w:rPr>
          <w:rFonts w:hint="eastAsia" w:ascii="仿宋_GB2312" w:hAnsi="宋体" w:eastAsia="仿宋_GB2312"/>
          <w:color w:val="auto"/>
          <w:sz w:val="32"/>
          <w:szCs w:val="32"/>
          <w:lang w:val="en-US" w:eastAsia="zh-CN"/>
        </w:rPr>
        <w:t>（1）社会保障和就业支出（类）民政管理事务（款）基层政权建设和社区治理（</w:t>
      </w:r>
      <w:r>
        <w:rPr>
          <w:rFonts w:hint="eastAsia" w:ascii="仿宋_GB2312" w:hAnsi="宋体" w:eastAsia="仿宋_GB2312"/>
          <w:color w:val="auto"/>
          <w:sz w:val="32"/>
          <w:szCs w:val="32"/>
          <w:shd w:val="clear"/>
          <w:lang w:val="en-US" w:eastAsia="zh-CN"/>
        </w:rPr>
        <w:t>项）52.44万元，主要是街道域内城市社区办公经费、城市社区党建经费、社区换届选举等经费，完成年初预算的140.21%，决算数大于年初预算数的主要原因是社区换届选举经费未列入年初预算。</w:t>
      </w:r>
    </w:p>
    <w:p w14:paraId="04865CAE">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shd w:val="clear" w:fill="FFFF00"/>
          <w:lang w:val="en-US" w:eastAsia="zh-CN"/>
        </w:rPr>
      </w:pPr>
      <w:r>
        <w:rPr>
          <w:rFonts w:hint="eastAsia" w:ascii="仿宋_GB2312" w:hAnsi="宋体" w:eastAsia="仿宋_GB2312"/>
          <w:color w:val="auto"/>
          <w:sz w:val="32"/>
          <w:szCs w:val="32"/>
          <w:lang w:val="en-US" w:eastAsia="zh-CN"/>
        </w:rPr>
        <w:t>（2）社会保障和就业支出（类）行政单位养老支出（款）行政单位离退休</w:t>
      </w:r>
      <w:r>
        <w:rPr>
          <w:rFonts w:hint="eastAsia" w:ascii="仿宋_GB2312" w:hAnsi="宋体" w:eastAsia="仿宋_GB2312"/>
          <w:color w:val="auto"/>
          <w:sz w:val="32"/>
          <w:szCs w:val="32"/>
          <w:shd w:val="clear"/>
          <w:lang w:val="en-US" w:eastAsia="zh-CN"/>
        </w:rPr>
        <w:t>（项）6.66万元，主要是街道退休人员采暖费、退休人员养老保险统筹外待遇款，完成年初预算的89.39%，决算数小于年初预算数的主要原因是未组织退休人员活动，退休人员养老保险统筹外待遇经费未执行。</w:t>
      </w:r>
    </w:p>
    <w:p w14:paraId="734F8C05">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3）社会保障和就业支出（类）行政事业单位养老支出（款）机关事业单位基本养老保险缴费支出（项）54.31万元，主要是街道人员养老保险经费，完成年初预算的141.62%，决算数大于年初预算数的主要原因是街道人员变化，养老保险缴费基数的变化，导致实际支出大于年初预算数。</w:t>
      </w:r>
    </w:p>
    <w:p w14:paraId="6F646F35">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shd w:val="clear"/>
          <w:lang w:val="en-US" w:eastAsia="zh-CN"/>
        </w:rPr>
        <w:t>（4）社会保障和就业支出（类）行政事业单位养老支出（款）机关事业单位职业年金缴费支出（项）5.85万元，主要是街道人员职业年金缴费，完成年初预算数的30.5%，决算数小于年初预算数的主要原因是按照要求在职人员</w:t>
      </w:r>
      <w:r>
        <w:rPr>
          <w:rFonts w:hint="eastAsia" w:ascii="仿宋_GB2312" w:hAnsi="宋体" w:eastAsia="仿宋_GB2312"/>
          <w:color w:val="auto"/>
          <w:sz w:val="32"/>
          <w:szCs w:val="32"/>
          <w:lang w:val="en-US" w:eastAsia="zh-CN"/>
        </w:rPr>
        <w:t>暂时只缴纳个人部分，对当年退休人员补缴单位部分及利息款，导致决算数小于预算数。</w:t>
      </w:r>
    </w:p>
    <w:p w14:paraId="561B7C3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（5）社会保障和就业支出（类）残疾人事业（款）其他残疾人事业支出</w:t>
      </w:r>
      <w:r>
        <w:rPr>
          <w:rFonts w:hint="eastAsia" w:ascii="仿宋_GB2312" w:hAnsi="宋体" w:eastAsia="仿宋_GB2312"/>
          <w:color w:val="auto"/>
          <w:sz w:val="32"/>
          <w:szCs w:val="32"/>
          <w:shd w:val="clear"/>
          <w:lang w:val="en-US" w:eastAsia="zh-CN"/>
        </w:rPr>
        <w:t>（项）0.1万元，主要是残联换届经费支出</w:t>
      </w:r>
      <w:r>
        <w:rPr>
          <w:rFonts w:hint="eastAsia" w:ascii="仿宋_GB2312" w:hAnsi="宋体" w:eastAsia="仿宋_GB2312"/>
          <w:color w:val="auto"/>
          <w:sz w:val="32"/>
          <w:szCs w:val="32"/>
          <w:lang w:val="en-US" w:eastAsia="zh-CN"/>
        </w:rPr>
        <w:t>，未安排年初预算。</w:t>
      </w:r>
    </w:p>
    <w:p w14:paraId="3FEE28F4">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lang w:val="en-US" w:eastAsia="zh-CN"/>
        </w:rPr>
        <w:t>（6）社会保障和就业支出（类）临时救助（款）临时救助支出（项</w:t>
      </w:r>
      <w:r>
        <w:rPr>
          <w:rFonts w:hint="eastAsia" w:ascii="仿宋_GB2312" w:hAnsi="宋体" w:eastAsia="仿宋_GB2312"/>
          <w:color w:val="auto"/>
          <w:sz w:val="32"/>
          <w:szCs w:val="32"/>
          <w:shd w:val="clear"/>
          <w:lang w:val="en-US" w:eastAsia="zh-CN"/>
        </w:rPr>
        <w:t>）8.97万元，主要是困难人群临时救助支出，未安排年初预算。</w:t>
      </w:r>
    </w:p>
    <w:p w14:paraId="11BF73DC">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（7）社会保障和就业支出（类）其他生活救助（款）其他农村生活救助（项）3万元，主要是街道历史遗留问题人员生活经费，完成年初预算的100%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shd w:val="clear"/>
          <w:lang w:val="en-US" w:eastAsia="zh-CN"/>
        </w:rPr>
        <w:t>。</w:t>
      </w:r>
    </w:p>
    <w:p w14:paraId="0667EC30">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shd w:val="clear"/>
          <w:lang w:val="en-US" w:eastAsia="zh-CN"/>
        </w:rPr>
        <w:t>5.卫生健康支出245.11万元，具</w:t>
      </w:r>
      <w:r>
        <w:rPr>
          <w:rFonts w:hint="eastAsia" w:ascii="仿宋_GB2312" w:hAnsi="宋体" w:eastAsia="仿宋_GB2312"/>
          <w:color w:val="auto"/>
          <w:sz w:val="32"/>
          <w:szCs w:val="32"/>
          <w:lang w:val="en-US" w:eastAsia="zh-CN"/>
        </w:rPr>
        <w:t>体包括：</w:t>
      </w:r>
    </w:p>
    <w:p w14:paraId="362D595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（1）卫生健康支出（类）基层医疗卫生机构（款）其他基层医疗卫生机构支出（项）134.9万元，</w:t>
      </w:r>
      <w:r>
        <w:rPr>
          <w:rFonts w:hint="eastAsia" w:ascii="仿宋_GB2312" w:hAnsi="宋体" w:eastAsia="仿宋_GB2312"/>
          <w:color w:val="auto"/>
          <w:sz w:val="32"/>
          <w:szCs w:val="32"/>
          <w:shd w:val="clear"/>
          <w:lang w:val="en-US" w:eastAsia="zh-CN"/>
        </w:rPr>
        <w:t>主要是卫生室建设、卫生室水电暖费支出</w:t>
      </w:r>
      <w:r>
        <w:rPr>
          <w:rFonts w:hint="eastAsia" w:ascii="仿宋_GB2312" w:hAnsi="宋体" w:eastAsia="仿宋_GB2312"/>
          <w:color w:val="auto"/>
          <w:sz w:val="32"/>
          <w:szCs w:val="32"/>
          <w:lang w:val="en-US" w:eastAsia="zh-CN"/>
        </w:rPr>
        <w:t>，完成年初预算的47.37%，</w:t>
      </w:r>
      <w:r>
        <w:rPr>
          <w:rFonts w:hint="eastAsia" w:ascii="仿宋_GB2312" w:hAnsi="宋体" w:eastAsia="仿宋_GB2312"/>
          <w:color w:val="auto"/>
          <w:sz w:val="32"/>
          <w:szCs w:val="32"/>
          <w:shd w:val="clear"/>
          <w:lang w:val="en-US" w:eastAsia="zh-CN"/>
        </w:rPr>
        <w:t>决算数小于年初预算数的主要原因是卫生室建设未完成，工程进度未达到支付标准</w:t>
      </w:r>
      <w:r>
        <w:rPr>
          <w:rFonts w:hint="eastAsia" w:ascii="仿宋_GB2312" w:hAnsi="宋体" w:eastAsia="仿宋_GB2312"/>
          <w:color w:val="auto"/>
          <w:sz w:val="32"/>
          <w:szCs w:val="32"/>
          <w:lang w:val="en-US" w:eastAsia="zh-CN"/>
        </w:rPr>
        <w:t>。</w:t>
      </w:r>
    </w:p>
    <w:p w14:paraId="011F1EE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（2）卫生健康支出（类）公共卫生（款）重大公共卫生服务（项）86.49万元，</w:t>
      </w:r>
      <w:r>
        <w:rPr>
          <w:rFonts w:hint="eastAsia" w:ascii="仿宋_GB2312" w:hAnsi="宋体" w:eastAsia="仿宋_GB2312"/>
          <w:color w:val="auto"/>
          <w:sz w:val="32"/>
          <w:szCs w:val="32"/>
          <w:shd w:val="clear"/>
          <w:lang w:val="en-US" w:eastAsia="zh-CN"/>
        </w:rPr>
        <w:t>主要是用于疫情防控</w:t>
      </w:r>
      <w:r>
        <w:rPr>
          <w:rFonts w:hint="eastAsia" w:ascii="仿宋_GB2312" w:hAnsi="宋体" w:eastAsia="仿宋_GB2312"/>
          <w:color w:val="auto"/>
          <w:sz w:val="32"/>
          <w:szCs w:val="32"/>
          <w:lang w:val="en-US" w:eastAsia="zh-CN"/>
        </w:rPr>
        <w:t>，未安排年初预算。</w:t>
      </w:r>
    </w:p>
    <w:p w14:paraId="69B4D2E7">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lang w:val="en-US" w:eastAsia="zh-CN"/>
        </w:rPr>
        <w:t>（3）卫生健康支出（类）行政事业单位医疗（款）行政单位医疗（项</w:t>
      </w:r>
      <w:r>
        <w:rPr>
          <w:rFonts w:hint="eastAsia" w:ascii="仿宋_GB2312" w:hAnsi="宋体" w:eastAsia="仿宋_GB2312"/>
          <w:color w:val="auto"/>
          <w:sz w:val="32"/>
          <w:szCs w:val="32"/>
          <w:shd w:val="clear"/>
          <w:lang w:val="en-US" w:eastAsia="zh-CN"/>
        </w:rPr>
        <w:t>）21.33万元，主要是街道在职人员医疗保险费用支出，完成年初预算的101.57%，决算数大于年初预算数的主要原因是街道人员数量变更，医疗保险基数调整。</w:t>
      </w:r>
    </w:p>
    <w:p w14:paraId="4CB4691E">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（4）卫生健康支出（类）行政事业单位医疗（款）公务员医疗补助（项）2.39万元，主要是街道在职及退休人员医疗补助费用，完成年初预算的100%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shd w:val="clear"/>
          <w:lang w:val="en-US" w:eastAsia="zh-CN"/>
        </w:rPr>
        <w:t>。</w:t>
      </w:r>
    </w:p>
    <w:p w14:paraId="615D2EEB">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6.节能环保支出54.83万元，具体包括:</w:t>
      </w:r>
    </w:p>
    <w:p w14:paraId="33C956F9">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shd w:val="clear"/>
          <w:lang w:val="en-US" w:eastAsia="zh-CN"/>
        </w:rPr>
        <w:t>节能环保支出（类）污染防治（款）大气（项）54.83万元，主要是秸秆工作经费支出，未安排年初预算。</w:t>
      </w:r>
    </w:p>
    <w:p w14:paraId="56EFE8C6">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shd w:val="clear"/>
          <w:lang w:val="en-US" w:eastAsia="zh-CN"/>
        </w:rPr>
        <w:t>7.城乡社区支出83.75万元，具</w:t>
      </w:r>
      <w:r>
        <w:rPr>
          <w:rFonts w:hint="eastAsia" w:ascii="仿宋_GB2312" w:hAnsi="宋体" w:eastAsia="仿宋_GB2312"/>
          <w:color w:val="auto"/>
          <w:sz w:val="32"/>
          <w:szCs w:val="32"/>
          <w:lang w:val="en-US" w:eastAsia="zh-CN"/>
        </w:rPr>
        <w:t>体包括：</w:t>
      </w:r>
    </w:p>
    <w:p w14:paraId="7E7698E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城乡社区支出（类）城乡社区管理事务（款）其他城乡社区管理事务支出（项）28.91万元，主要是街道征收人员工作经费、国家卫生城市复审冲刺经费等支出，完成年初预算的39.84%，决算数小于年初预算数的主要原因是压缩经费。</w:t>
      </w:r>
    </w:p>
    <w:p w14:paraId="7FF6D18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城乡社区支出（类）城乡社区环境卫生（款）城乡社区环境卫生（项）54.84万元，主要是街道治理河湖四乱问题经费、创城经费、防控乱排乱卸工作、小区扫保、拆违控违经费等支出，完成年初预算的34.28%，决算数小于年初预算数的主要原因是街道域内问题已有改善。</w:t>
      </w:r>
    </w:p>
    <w:p w14:paraId="500538D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8.农林水支出465.42万元，具体包括：</w:t>
      </w:r>
    </w:p>
    <w:p w14:paraId="0078DDF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（1）农林水支出（类）农业农村（款）行政业务管理（项）29万元，主要是街道畜禽禁养圈舍补助、非洲猪瘟风险区高危猪群强制扑杀补助经费，完成年初预算的100%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val="en-US" w:eastAsia="zh-CN"/>
        </w:rPr>
        <w:t>。</w:t>
      </w:r>
    </w:p>
    <w:p w14:paraId="6537740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农林水支出（类）农业农村（款）农村社会事业（项）89.19万元，主要用于街道秸秆离田、禁烧工作经费、改厕整改工作经费等费用支出，完成年初预算的20.65%，决算数小于年初预算数的主要原因是此项只支付部分秸秆离田经费。</w:t>
      </w:r>
    </w:p>
    <w:p w14:paraId="632D6B2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（3）农林水支出（类）农业农村（款）其他农业农村支出（项）43.5万元，主要用于街道秸秆禁烧，未安排年初预算。</w:t>
      </w:r>
    </w:p>
    <w:p w14:paraId="4529D085">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（4）农林水支出（类）林业和草原（款）其他林业和草原支出（项）100万元，</w:t>
      </w:r>
      <w:r>
        <w:rPr>
          <w:rFonts w:hint="eastAsia" w:ascii="仿宋_GB2312" w:hAnsi="宋体" w:eastAsia="仿宋_GB2312"/>
          <w:color w:val="auto"/>
          <w:sz w:val="32"/>
          <w:szCs w:val="32"/>
          <w:shd w:val="clear"/>
          <w:lang w:val="en-US" w:eastAsia="zh-CN"/>
        </w:rPr>
        <w:t>主要是火烧疫木经费</w:t>
      </w:r>
      <w:r>
        <w:rPr>
          <w:rFonts w:hint="eastAsia" w:ascii="仿宋_GB2312" w:hAnsi="宋体" w:eastAsia="仿宋_GB2312"/>
          <w:color w:val="auto"/>
          <w:sz w:val="32"/>
          <w:szCs w:val="32"/>
          <w:lang w:val="en-US" w:eastAsia="zh-CN"/>
        </w:rPr>
        <w:t>，未安排年初预算，由原年初预算历史遗留问题中调整。</w:t>
      </w:r>
    </w:p>
    <w:p w14:paraId="08C98344">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（5）农林水支出（类）水利（款）水利工程运行与维护（项）1万元，主要用于街道河道周边环境整治，完成年初预算的100%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val="en-US" w:eastAsia="zh-CN"/>
        </w:rPr>
        <w:t>。</w:t>
      </w:r>
    </w:p>
    <w:p w14:paraId="5B46D12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（6）农林水支出（类）水利（款）防汛（项）5万元，主要用于街道防汛期间工作经费支出，完成年初预算的100%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lang w:val="en-US" w:eastAsia="zh-CN"/>
        </w:rPr>
        <w:t>。</w:t>
      </w:r>
    </w:p>
    <w:p w14:paraId="2B44A747">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7）农林水支出（类）水利（款）农村人畜饮水（项）2.73万元，主要用于街道农村安全饮用水经费，完成年初预算的24.82%，决算数小于年初预算数的主要原因是新街道加强费用收支管理，针对农村饮水井进行实报实销。</w:t>
      </w:r>
    </w:p>
    <w:p w14:paraId="6712F79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lang w:val="en-US" w:eastAsia="zh-CN"/>
        </w:rPr>
        <w:t>（8）农林水支出（类）农村综合改革（款）对村民委员会和村党支部的补助（项）145万元，主要用于街道涉农社区办公经费、村财务工作经费、涉农社区党建经费等费用支出，</w:t>
      </w:r>
      <w:r>
        <w:rPr>
          <w:rFonts w:hint="eastAsia" w:ascii="仿宋_GB2312" w:hAnsi="宋体" w:eastAsia="仿宋_GB2312"/>
          <w:color w:val="auto"/>
          <w:sz w:val="32"/>
          <w:szCs w:val="32"/>
          <w:highlight w:val="none"/>
          <w:lang w:val="en-US" w:eastAsia="zh-CN"/>
        </w:rPr>
        <w:t>完成年初预算的90.91%，</w:t>
      </w:r>
      <w:r>
        <w:rPr>
          <w:rFonts w:hint="eastAsia" w:ascii="仿宋_GB2312" w:hAnsi="宋体" w:eastAsia="仿宋_GB2312"/>
          <w:color w:val="auto"/>
          <w:sz w:val="32"/>
          <w:szCs w:val="32"/>
          <w:shd w:val="clear"/>
          <w:lang w:val="en-US" w:eastAsia="zh-CN"/>
        </w:rPr>
        <w:t>决算数小于年初预算数的主要原因是街道控制经费收支，缩减经费支出</w:t>
      </w:r>
      <w:r>
        <w:rPr>
          <w:rFonts w:hint="eastAsia" w:ascii="仿宋_GB2312" w:hAnsi="宋体" w:eastAsia="仿宋_GB2312"/>
          <w:color w:val="auto"/>
          <w:sz w:val="32"/>
          <w:szCs w:val="32"/>
          <w:highlight w:val="none"/>
          <w:lang w:val="en-US" w:eastAsia="zh-CN"/>
        </w:rPr>
        <w:t>。</w:t>
      </w:r>
    </w:p>
    <w:p w14:paraId="6B334117">
      <w:pPr>
        <w:numPr>
          <w:ilvl w:val="0"/>
          <w:numId w:val="0"/>
        </w:numPr>
        <w:spacing w:line="540" w:lineRule="exact"/>
        <w:ind w:firstLine="640" w:firstLineChars="200"/>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lang w:val="en-US" w:eastAsia="zh-CN"/>
        </w:rPr>
        <w:t>（9）农林水支出（类）农村综合改革（款）对村集体经济组织的补助（项）50万元，</w:t>
      </w:r>
      <w:r>
        <w:rPr>
          <w:rFonts w:hint="eastAsia" w:ascii="仿宋_GB2312" w:hAnsi="宋体" w:eastAsia="仿宋_GB2312"/>
          <w:color w:val="auto"/>
          <w:sz w:val="32"/>
          <w:szCs w:val="32"/>
          <w:shd w:val="clear"/>
          <w:lang w:val="en-US" w:eastAsia="zh-CN"/>
        </w:rPr>
        <w:t>主要用于拨付南三家子村扶持壮大村集体经济</w:t>
      </w:r>
      <w:r>
        <w:rPr>
          <w:rFonts w:hint="eastAsia" w:ascii="仿宋_GB2312" w:hAnsi="宋体" w:eastAsia="仿宋_GB2312"/>
          <w:color w:val="auto"/>
          <w:sz w:val="32"/>
          <w:szCs w:val="32"/>
          <w:lang w:val="en-US" w:eastAsia="zh-CN"/>
        </w:rPr>
        <w:t>，未安排</w:t>
      </w:r>
      <w:r>
        <w:rPr>
          <w:rFonts w:hint="eastAsia" w:ascii="仿宋_GB2312" w:hAnsi="宋体" w:eastAsia="仿宋_GB2312"/>
          <w:color w:val="auto"/>
          <w:sz w:val="32"/>
          <w:szCs w:val="32"/>
          <w:highlight w:val="none"/>
          <w:lang w:val="en-US" w:eastAsia="zh-CN"/>
        </w:rPr>
        <w:t>年初预算。</w:t>
      </w:r>
    </w:p>
    <w:p w14:paraId="7BEDBD7E">
      <w:pPr>
        <w:numPr>
          <w:ilvl w:val="0"/>
          <w:numId w:val="0"/>
        </w:numPr>
        <w:spacing w:line="540" w:lineRule="exact"/>
        <w:ind w:firstLine="640" w:firstLineChars="200"/>
        <w:rPr>
          <w:rFonts w:hint="eastAsia" w:ascii="仿宋_GB2312" w:hAnsi="宋体" w:eastAsia="仿宋_GB2312"/>
          <w:color w:val="auto"/>
          <w:sz w:val="32"/>
          <w:szCs w:val="32"/>
          <w:highlight w:val="none"/>
          <w:lang w:val="en-US" w:eastAsia="zh-CN"/>
        </w:rPr>
      </w:pPr>
    </w:p>
    <w:p w14:paraId="04339AA7">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shd w:val="clear"/>
          <w:lang w:val="en-US" w:eastAsia="zh-CN"/>
        </w:rPr>
      </w:pPr>
      <w:r>
        <w:rPr>
          <w:rFonts w:hint="eastAsia" w:ascii="仿宋_GB2312" w:hAnsi="宋体" w:eastAsia="仿宋_GB2312"/>
          <w:color w:val="auto"/>
          <w:sz w:val="32"/>
          <w:szCs w:val="32"/>
          <w:highlight w:val="none"/>
          <w:lang w:val="en-US" w:eastAsia="zh-CN"/>
        </w:rPr>
        <w:t>9.住</w:t>
      </w:r>
      <w:r>
        <w:rPr>
          <w:rFonts w:hint="eastAsia" w:ascii="仿宋_GB2312" w:hAnsi="宋体" w:eastAsia="仿宋_GB2312"/>
          <w:color w:val="auto"/>
          <w:sz w:val="32"/>
          <w:szCs w:val="32"/>
          <w:shd w:val="clear"/>
          <w:lang w:val="en-US" w:eastAsia="zh-CN"/>
        </w:rPr>
        <w:t>房保障支出85.81万元，具体包括：</w:t>
      </w:r>
    </w:p>
    <w:p w14:paraId="0EF48960">
      <w:pPr>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shd w:val="clear"/>
          <w:lang w:val="en-US" w:eastAsia="zh-CN"/>
        </w:rPr>
        <w:t>住房保障支出（类）住房改革支出（款）住房公积金（项）85.81万元，主要是街道在职人员公积金单位部分费用支出，完成年初预算的96%</w:t>
      </w:r>
      <w:r>
        <w:rPr>
          <w:rFonts w:hint="eastAsia" w:ascii="仿宋_GB2312" w:hAnsi="宋体" w:eastAsia="仿宋_GB2312"/>
          <w:color w:val="auto"/>
          <w:sz w:val="32"/>
          <w:szCs w:val="32"/>
          <w:highlight w:val="none"/>
          <w:lang w:val="en-US" w:eastAsia="zh-CN"/>
        </w:rPr>
        <w:t>，决算数小于年初预算数的主要原因是街道人员变化，公积金缴费基数变更。</w:t>
      </w:r>
    </w:p>
    <w:p w14:paraId="0D218C8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lang w:val="en-US" w:eastAsia="zh-CN"/>
        </w:rPr>
        <w:t>10.</w:t>
      </w:r>
      <w:r>
        <w:rPr>
          <w:rFonts w:hint="eastAsia" w:ascii="仿宋_GB2312" w:hAnsi="宋体" w:eastAsia="仿宋_GB2312"/>
          <w:color w:val="auto"/>
          <w:sz w:val="32"/>
          <w:szCs w:val="32"/>
          <w:highlight w:val="none"/>
          <w:lang w:val="en-US" w:eastAsia="zh-CN"/>
        </w:rPr>
        <w:t>灾害防治及应急管理支出164.9万元，具体包括：</w:t>
      </w:r>
    </w:p>
    <w:p w14:paraId="3533F9F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color w:val="auto"/>
          <w:sz w:val="32"/>
          <w:szCs w:val="32"/>
          <w:highlight w:val="none"/>
          <w:lang w:val="en-US" w:eastAsia="zh-CN"/>
        </w:rPr>
        <w:t>（1）灾害防治及应急管理支出（类）应急管理事务（款）安全监管（项）5万元，主要是街道应急部门对域内安全生产等工作费用支出，完成年初预算的100%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auto"/>
          <w:sz w:val="32"/>
          <w:szCs w:val="32"/>
          <w:highlight w:val="none"/>
          <w:lang w:val="en-US" w:eastAsia="zh-CN"/>
        </w:rPr>
        <w:t>。</w:t>
      </w:r>
    </w:p>
    <w:p w14:paraId="6BB67806">
      <w:pPr>
        <w:numPr>
          <w:ilvl w:val="0"/>
          <w:numId w:val="0"/>
        </w:numPr>
        <w:spacing w:line="540" w:lineRule="exact"/>
        <w:ind w:left="0" w:leftChars="0" w:firstLine="640" w:firstLineChars="200"/>
        <w:rPr>
          <w:rFonts w:hint="default" w:ascii="仿宋_GB2312" w:hAnsi="宋体" w:eastAsia="仿宋_GB2312"/>
          <w:color w:val="auto"/>
          <w:sz w:val="32"/>
          <w:szCs w:val="32"/>
          <w:highlight w:val="none"/>
        </w:rPr>
      </w:pPr>
      <w:r>
        <w:rPr>
          <w:rFonts w:hint="eastAsia" w:ascii="仿宋_GB2312" w:hAnsi="宋体" w:eastAsia="仿宋_GB2312"/>
          <w:color w:val="auto"/>
          <w:sz w:val="32"/>
          <w:szCs w:val="32"/>
          <w:highlight w:val="none"/>
          <w:lang w:val="en-US" w:eastAsia="zh-CN"/>
        </w:rPr>
        <w:t>（2）灾害防治及应急管理支出（类）消防救援事务（款）消防应急救援（项）15</w:t>
      </w:r>
      <w:r>
        <w:rPr>
          <w:rFonts w:hint="eastAsia" w:ascii="仿宋_GB2312" w:hAnsi="宋体" w:eastAsia="仿宋_GB2312"/>
          <w:color w:val="auto"/>
          <w:sz w:val="32"/>
          <w:szCs w:val="32"/>
          <w:shd w:val="clear"/>
          <w:lang w:val="en-US" w:eastAsia="zh-CN"/>
        </w:rPr>
        <w:t>9.9万元，主要是街道域内森林防火费用支出，完成年初预算的</w:t>
      </w:r>
      <w:r>
        <w:rPr>
          <w:rFonts w:hint="eastAsia" w:ascii="仿宋_GB2312" w:hAnsi="宋体" w:eastAsia="仿宋_GB2312"/>
          <w:color w:val="auto"/>
          <w:sz w:val="32"/>
          <w:szCs w:val="32"/>
          <w:highlight w:val="none"/>
          <w:lang w:val="en-US" w:eastAsia="zh-CN"/>
        </w:rPr>
        <w:t>99.94%。</w:t>
      </w:r>
    </w:p>
    <w:p w14:paraId="0C46DC8F">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0CC97458">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300</w:t>
      </w:r>
      <w:r>
        <w:rPr>
          <w:rFonts w:ascii="仿宋_GB2312" w:hAnsi="宋体" w:eastAsia="仿宋_GB2312"/>
          <w:sz w:val="32"/>
          <w:szCs w:val="32"/>
        </w:rPr>
        <w:t>万元，按支出功能分类科目分，包括：</w:t>
      </w:r>
    </w:p>
    <w:p w14:paraId="271630E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国有土地使用权出让收入安排的支出（款）征地和拆迁补偿支出（项）308.1万元，主要是街道征地补偿款、租地款等支出，租地款在年初城乡社区支出（类）其他城乡社区支出（款）其他城乡社区支出（项）中荒地苇塘租地款中列支，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lang w:val="en-US" w:eastAsia="zh-CN"/>
        </w:rPr>
        <w:t>。</w:t>
      </w:r>
    </w:p>
    <w:p w14:paraId="623E9DC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（2）城乡社区支出（类）国有土地使用权出让收入安排的支出（款）土地开发支出（项）400万元，主要用于支付过渡期安置补助费、棋轩地块拆除费、征收案件败诉违约金等支出。</w:t>
      </w:r>
    </w:p>
    <w:p w14:paraId="6CA603AD">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2E8B11EC">
      <w:pPr>
        <w:pStyle w:val="6"/>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eastAsia="仿宋_GB2312"/>
          <w:sz w:val="32"/>
          <w:szCs w:val="32"/>
          <w:lang w:eastAsia="zh-CN"/>
        </w:rPr>
        <w:t>，</w:t>
      </w:r>
      <w:r>
        <w:rPr>
          <w:rFonts w:hint="eastAsia" w:ascii="仿宋_GB2312" w:hAnsi="宋体" w:eastAsia="仿宋_GB2312"/>
          <w:sz w:val="32"/>
          <w:szCs w:val="32"/>
          <w:lang w:val="en-US" w:eastAsia="zh-CN"/>
        </w:rPr>
        <w:t>本年未发生此项资金</w:t>
      </w:r>
      <w:r>
        <w:rPr>
          <w:rFonts w:ascii="仿宋_GB2312" w:hAnsi="宋体" w:eastAsia="仿宋_GB2312"/>
          <w:sz w:val="32"/>
          <w:szCs w:val="32"/>
        </w:rPr>
        <w:t>。</w:t>
      </w:r>
    </w:p>
    <w:p w14:paraId="067D3254">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44E9106">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4346BDF5">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2021年因公出国（境）费比上年减少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rPr>
        <w:t>无出国任务</w:t>
      </w:r>
      <w:r>
        <w:rPr>
          <w:rFonts w:ascii="仿宋_GB2312" w:hAnsi="Times New Roman" w:eastAsia="仿宋_GB2312" w:cs="Times New Roman"/>
          <w:kern w:val="0"/>
          <w:sz w:val="32"/>
          <w:szCs w:val="32"/>
        </w:rPr>
        <w:t>。</w:t>
      </w:r>
    </w:p>
    <w:p w14:paraId="7C1C5388">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本单位无此项支出</w:t>
      </w:r>
      <w:r>
        <w:rPr>
          <w:rFonts w:ascii="仿宋_GB2312" w:eastAsia="仿宋_GB2312"/>
          <w:sz w:val="32"/>
        </w:rPr>
        <w:t>;其中外事接待累计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本单位无此项支出</w:t>
      </w:r>
      <w:r>
        <w:rPr>
          <w:rFonts w:ascii="仿宋_GB2312" w:eastAsia="仿宋_GB2312"/>
          <w:sz w:val="32"/>
        </w:rPr>
        <w:t>。</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rPr>
        <w:t>无</w:t>
      </w:r>
      <w:r>
        <w:rPr>
          <w:rFonts w:hint="eastAsia" w:ascii="仿宋_GB2312" w:hAnsi="Times New Roman" w:eastAsia="仿宋_GB2312" w:cs="Times New Roman"/>
          <w:kern w:val="0"/>
          <w:sz w:val="32"/>
          <w:szCs w:val="32"/>
          <w:lang w:eastAsia="zh-CN"/>
        </w:rPr>
        <w:t>公务接待任务</w:t>
      </w:r>
      <w:r>
        <w:rPr>
          <w:rFonts w:ascii="仿宋_GB2312" w:hAnsi="Times New Roman" w:eastAsia="仿宋_GB2312" w:cs="Times New Roman"/>
          <w:kern w:val="0"/>
          <w:sz w:val="32"/>
          <w:szCs w:val="32"/>
        </w:rPr>
        <w:t>。</w:t>
      </w:r>
    </w:p>
    <w:p w14:paraId="1AEBDBBC">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w:t>
      </w:r>
    </w:p>
    <w:p w14:paraId="5B11511C">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万元,当年购置公务用车</w:t>
      </w:r>
      <w:r>
        <w:rPr>
          <w:rFonts w:hint="eastAsia" w:ascii="仿宋_GB2312" w:eastAsia="仿宋_GB2312"/>
          <w:sz w:val="32"/>
          <w:lang w:val="en-US" w:eastAsia="zh-CN"/>
        </w:rPr>
        <w:t>0</w:t>
      </w:r>
      <w:r>
        <w:rPr>
          <w:rFonts w:ascii="仿宋_GB2312" w:eastAsia="仿宋_GB2312"/>
          <w:sz w:val="32"/>
        </w:rPr>
        <w:t>辆。完成年初预算的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w:t>
      </w:r>
    </w:p>
    <w:p w14:paraId="02180413">
      <w:pPr>
        <w:spacing w:line="540" w:lineRule="exact"/>
        <w:ind w:firstLine="645"/>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0</w:t>
      </w:r>
      <w:r>
        <w:rPr>
          <w:rFonts w:ascii="仿宋_GB2312" w:eastAsia="仿宋_GB2312"/>
          <w:sz w:val="32"/>
        </w:rPr>
        <w:t>万元</w:t>
      </w:r>
      <w:r>
        <w:rPr>
          <w:rFonts w:hint="default" w:ascii="仿宋_GB2312" w:eastAsia="仿宋_GB2312"/>
          <w:sz w:val="32"/>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1</w:t>
      </w:r>
      <w:r>
        <w:rPr>
          <w:rFonts w:hint="eastAsia" w:ascii="仿宋_GB2312" w:hAnsi="宋体" w:eastAsia="仿宋_GB2312"/>
          <w:sz w:val="32"/>
          <w:szCs w:val="32"/>
        </w:rPr>
        <w:t>辆。</w:t>
      </w:r>
      <w:r>
        <w:rPr>
          <w:rFonts w:hint="eastAsia" w:ascii="仿宋_GB2312" w:hAnsi="宋体" w:eastAsia="仿宋_GB2312"/>
          <w:sz w:val="32"/>
          <w:szCs w:val="32"/>
          <w:lang w:eastAsia="zh-CN"/>
        </w:rPr>
        <w:t>我单位实际</w:t>
      </w:r>
      <w:r>
        <w:rPr>
          <w:rFonts w:hint="eastAsia" w:ascii="仿宋_GB2312" w:hAnsi="宋体" w:eastAsia="仿宋_GB2312"/>
          <w:sz w:val="32"/>
          <w:szCs w:val="32"/>
        </w:rPr>
        <w:t>保有量</w:t>
      </w:r>
      <w:r>
        <w:rPr>
          <w:rFonts w:hint="eastAsia" w:ascii="仿宋_GB2312" w:hAnsi="宋体" w:eastAsia="仿宋_GB2312"/>
          <w:sz w:val="32"/>
          <w:szCs w:val="32"/>
          <w:lang w:val="en-US" w:eastAsia="zh-CN"/>
        </w:rPr>
        <w:t>1</w:t>
      </w:r>
      <w:r>
        <w:rPr>
          <w:rFonts w:hint="eastAsia" w:ascii="仿宋_GB2312" w:hAnsi="宋体" w:eastAsia="仿宋_GB2312"/>
          <w:sz w:val="32"/>
          <w:szCs w:val="32"/>
        </w:rPr>
        <w:t>辆</w:t>
      </w:r>
      <w:r>
        <w:rPr>
          <w:rFonts w:hint="eastAsia" w:ascii="仿宋_GB2312" w:hAnsi="宋体" w:eastAsia="仿宋_GB2312"/>
          <w:sz w:val="32"/>
          <w:szCs w:val="32"/>
          <w:lang w:eastAsia="zh-CN"/>
        </w:rPr>
        <w:t>，为</w:t>
      </w:r>
      <w:r>
        <w:rPr>
          <w:rFonts w:hint="eastAsia" w:ascii="仿宋_GB2312" w:hAnsi="宋体" w:eastAsia="仿宋_GB2312"/>
          <w:sz w:val="32"/>
          <w:szCs w:val="32"/>
        </w:rPr>
        <w:t>街道自有车辆</w:t>
      </w:r>
      <w:r>
        <w:rPr>
          <w:rFonts w:hint="eastAsia" w:ascii="仿宋_GB2312" w:hAnsi="宋体" w:eastAsia="仿宋_GB2312"/>
          <w:sz w:val="32"/>
          <w:szCs w:val="32"/>
          <w:lang w:eastAsia="zh-CN"/>
        </w:rPr>
        <w:t>，但是账上</w:t>
      </w:r>
      <w:r>
        <w:rPr>
          <w:rFonts w:hint="eastAsia" w:ascii="仿宋_GB2312" w:hAnsi="宋体" w:eastAsia="仿宋_GB2312"/>
          <w:sz w:val="32"/>
          <w:szCs w:val="32"/>
        </w:rPr>
        <w:t>占有16台车辆</w:t>
      </w:r>
      <w:r>
        <w:rPr>
          <w:rFonts w:hint="eastAsia" w:ascii="仿宋_GB2312" w:hAnsi="宋体" w:eastAsia="仿宋_GB2312"/>
          <w:sz w:val="32"/>
          <w:szCs w:val="32"/>
          <w:lang w:eastAsia="zh-CN"/>
        </w:rPr>
        <w:t>因车辆</w:t>
      </w:r>
      <w:r>
        <w:rPr>
          <w:rFonts w:hint="eastAsia" w:ascii="仿宋_GB2312" w:hAnsi="宋体" w:eastAsia="仿宋_GB2312"/>
          <w:sz w:val="32"/>
          <w:szCs w:val="32"/>
        </w:rPr>
        <w:t>改革移交</w:t>
      </w:r>
      <w:r>
        <w:rPr>
          <w:rFonts w:hint="eastAsia" w:ascii="仿宋_GB2312" w:hAnsi="宋体" w:eastAsia="仿宋_GB2312"/>
          <w:sz w:val="32"/>
          <w:szCs w:val="32"/>
          <w:lang w:eastAsia="zh-CN"/>
        </w:rPr>
        <w:t>综合事务服务中心统一调度，但</w:t>
      </w:r>
      <w:r>
        <w:rPr>
          <w:rFonts w:hint="eastAsia" w:ascii="仿宋_GB2312" w:hAnsi="宋体" w:eastAsia="仿宋_GB2312"/>
          <w:sz w:val="32"/>
          <w:szCs w:val="32"/>
        </w:rPr>
        <w:t>财务未做账</w:t>
      </w:r>
      <w:r>
        <w:rPr>
          <w:rFonts w:hint="eastAsia" w:ascii="仿宋_GB2312" w:hAnsi="宋体" w:eastAsia="仿宋_GB2312"/>
          <w:sz w:val="32"/>
          <w:szCs w:val="32"/>
          <w:lang w:eastAsia="zh-CN"/>
        </w:rPr>
        <w:t>形成</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rPr>
        <w:t>决算数等于年初预算数的主要原因是无此业务</w:t>
      </w:r>
      <w:r>
        <w:rPr>
          <w:rFonts w:ascii="仿宋_GB2312" w:eastAsia="仿宋_GB2312"/>
          <w:sz w:val="32"/>
        </w:rPr>
        <w:t>。</w:t>
      </w:r>
    </w:p>
    <w:p w14:paraId="2A012109">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493E4E4C">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761.66</w:t>
      </w:r>
      <w:r>
        <w:rPr>
          <w:rFonts w:ascii="仿宋_GB2312" w:eastAsia="仿宋_GB2312"/>
          <w:sz w:val="32"/>
        </w:rPr>
        <w:t>万元，其中：人员经费</w:t>
      </w:r>
      <w:r>
        <w:rPr>
          <w:rFonts w:hint="eastAsia" w:ascii="仿宋_GB2312" w:eastAsia="仿宋_GB2312"/>
          <w:sz w:val="32"/>
          <w:lang w:val="en-US" w:eastAsia="zh-CN"/>
        </w:rPr>
        <w:t>664.42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97.24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026787E1">
      <w:pPr>
        <w:pStyle w:val="6"/>
        <w:spacing w:line="560" w:lineRule="exact"/>
        <w:ind w:firstLine="640"/>
        <w:rPr>
          <w:rFonts w:hint="default" w:ascii="黑体" w:eastAsia="黑体"/>
          <w:sz w:val="32"/>
        </w:rPr>
      </w:pPr>
      <w:r>
        <w:rPr>
          <w:rFonts w:ascii="黑体" w:eastAsia="黑体"/>
          <w:sz w:val="32"/>
        </w:rPr>
        <w:t>五、其他重要事项的情况说明</w:t>
      </w:r>
    </w:p>
    <w:p w14:paraId="38B1B14A">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6541EFDA">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97.24</w:t>
      </w:r>
      <w:r>
        <w:rPr>
          <w:rFonts w:ascii="仿宋_GB2312" w:eastAsia="仿宋_GB2312"/>
          <w:sz w:val="32"/>
        </w:rPr>
        <w:t>万元，比上年决算数减少</w:t>
      </w:r>
      <w:r>
        <w:rPr>
          <w:rFonts w:hint="eastAsia" w:ascii="仿宋_GB2312" w:eastAsia="仿宋_GB2312"/>
          <w:sz w:val="32"/>
          <w:lang w:val="en-US" w:eastAsia="zh-CN"/>
        </w:rPr>
        <w:t>20.38</w:t>
      </w:r>
      <w:r>
        <w:rPr>
          <w:rFonts w:ascii="仿宋_GB2312" w:eastAsia="仿宋_GB2312"/>
          <w:sz w:val="32"/>
        </w:rPr>
        <w:t>万元，降低</w:t>
      </w:r>
      <w:r>
        <w:rPr>
          <w:rFonts w:hint="eastAsia" w:ascii="仿宋_GB2312" w:eastAsia="仿宋_GB2312"/>
          <w:sz w:val="32"/>
          <w:lang w:val="en-US" w:eastAsia="zh-CN"/>
        </w:rPr>
        <w:t>17.32</w:t>
      </w:r>
      <w:r>
        <w:rPr>
          <w:rFonts w:ascii="仿宋_GB2312" w:eastAsia="仿宋_GB2312"/>
          <w:sz w:val="32"/>
        </w:rPr>
        <w:t>%，主要原因是主要原因是</w:t>
      </w:r>
      <w:r>
        <w:rPr>
          <w:rFonts w:hint="eastAsia" w:ascii="仿宋_GB2312" w:eastAsia="仿宋_GB2312"/>
          <w:sz w:val="32"/>
          <w:lang w:eastAsia="zh-CN"/>
        </w:rPr>
        <w:t>加强费用管理，压缩费用</w:t>
      </w:r>
      <w:r>
        <w:rPr>
          <w:rFonts w:ascii="仿宋_GB2312" w:eastAsia="仿宋_GB2312"/>
          <w:sz w:val="32"/>
        </w:rPr>
        <w:t>。</w:t>
      </w:r>
    </w:p>
    <w:p w14:paraId="73D6F097">
      <w:pPr>
        <w:pStyle w:val="6"/>
        <w:numPr>
          <w:ilvl w:val="0"/>
          <w:numId w:val="1"/>
        </w:numPr>
        <w:spacing w:line="560" w:lineRule="exact"/>
        <w:ind w:left="0" w:leftChars="0" w:firstLine="660" w:firstLineChars="0"/>
        <w:rPr>
          <w:rFonts w:ascii="楷体_GB2312" w:eastAsia="楷体_GB2312"/>
          <w:b/>
          <w:sz w:val="32"/>
        </w:rPr>
      </w:pPr>
      <w:r>
        <w:rPr>
          <w:rFonts w:ascii="楷体_GB2312" w:eastAsia="楷体_GB2312"/>
          <w:b/>
          <w:sz w:val="32"/>
        </w:rPr>
        <w:t>政府采购支出情况。</w:t>
      </w:r>
    </w:p>
    <w:p w14:paraId="2BA6354E">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04640F20">
      <w:pPr>
        <w:pStyle w:val="6"/>
        <w:numPr>
          <w:ilvl w:val="0"/>
          <w:numId w:val="1"/>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14:paraId="498A815E">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14</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14</w:t>
      </w:r>
      <w:r>
        <w:rPr>
          <w:rFonts w:ascii="仿宋_GB2312" w:eastAsia="仿宋_GB2312"/>
          <w:sz w:val="32"/>
        </w:rPr>
        <w:t>辆，其他用车主要</w:t>
      </w:r>
      <w:r>
        <w:rPr>
          <w:rFonts w:hint="eastAsia" w:ascii="仿宋_GB2312" w:hAnsi="宋体" w:eastAsia="仿宋_GB2312"/>
          <w:sz w:val="32"/>
          <w:szCs w:val="32"/>
          <w:lang w:eastAsia="zh-CN"/>
        </w:rPr>
        <w:t>账上</w:t>
      </w:r>
      <w:r>
        <w:rPr>
          <w:rFonts w:hint="eastAsia" w:ascii="仿宋_GB2312" w:hAnsi="宋体" w:eastAsia="仿宋_GB2312"/>
          <w:sz w:val="32"/>
          <w:szCs w:val="32"/>
        </w:rPr>
        <w:t>占有</w:t>
      </w:r>
      <w:r>
        <w:rPr>
          <w:rFonts w:hint="eastAsia" w:ascii="仿宋_GB2312" w:hAnsi="宋体" w:eastAsia="仿宋_GB2312"/>
          <w:sz w:val="32"/>
          <w:szCs w:val="32"/>
          <w:lang w:val="en-US" w:eastAsia="zh-CN"/>
        </w:rPr>
        <w:t>14</w:t>
      </w:r>
      <w:r>
        <w:rPr>
          <w:rFonts w:hint="eastAsia" w:ascii="仿宋_GB2312" w:hAnsi="宋体" w:eastAsia="仿宋_GB2312"/>
          <w:sz w:val="32"/>
          <w:szCs w:val="32"/>
        </w:rPr>
        <w:t>台车辆</w:t>
      </w:r>
      <w:r>
        <w:rPr>
          <w:rFonts w:hint="eastAsia" w:ascii="仿宋_GB2312" w:hAnsi="宋体" w:eastAsia="仿宋_GB2312"/>
          <w:sz w:val="32"/>
          <w:szCs w:val="32"/>
          <w:lang w:eastAsia="zh-CN"/>
        </w:rPr>
        <w:t>因车辆</w:t>
      </w:r>
      <w:r>
        <w:rPr>
          <w:rFonts w:hint="eastAsia" w:ascii="仿宋_GB2312" w:hAnsi="宋体" w:eastAsia="仿宋_GB2312"/>
          <w:sz w:val="32"/>
          <w:szCs w:val="32"/>
        </w:rPr>
        <w:t>改革移交</w:t>
      </w:r>
      <w:r>
        <w:rPr>
          <w:rFonts w:hint="eastAsia" w:ascii="仿宋_GB2312" w:hAnsi="宋体" w:eastAsia="仿宋_GB2312"/>
          <w:sz w:val="32"/>
          <w:szCs w:val="32"/>
          <w:lang w:eastAsia="zh-CN"/>
        </w:rPr>
        <w:t>综合事务服务中心统一调度，但</w:t>
      </w:r>
      <w:r>
        <w:rPr>
          <w:rFonts w:hint="eastAsia" w:ascii="仿宋_GB2312" w:hAnsi="宋体" w:eastAsia="仿宋_GB2312"/>
          <w:sz w:val="32"/>
          <w:szCs w:val="32"/>
        </w:rPr>
        <w:t>财务未做账</w:t>
      </w:r>
      <w:r>
        <w:rPr>
          <w:rFonts w:hint="eastAsia" w:ascii="仿宋_GB2312" w:hAnsi="宋体" w:eastAsia="仿宋_GB2312"/>
          <w:sz w:val="32"/>
          <w:szCs w:val="32"/>
          <w:lang w:eastAsia="zh-CN"/>
        </w:rPr>
        <w:t>形成</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15091628">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w:t>
      </w:r>
      <w:r>
        <w:rPr>
          <w:rFonts w:hint="eastAsia" w:ascii="楷体_GB2312" w:eastAsia="楷体_GB2312"/>
          <w:b/>
          <w:sz w:val="32"/>
          <w:lang w:val="en-US" w:eastAsia="zh-CN"/>
        </w:rPr>
        <w:t>五</w:t>
      </w:r>
      <w:r>
        <w:rPr>
          <w:rFonts w:ascii="楷体_GB2312" w:eastAsia="楷体_GB2312"/>
          <w:b/>
          <w:sz w:val="32"/>
        </w:rPr>
        <w:t>）预算绩效管理工作开展情况。</w:t>
      </w:r>
    </w:p>
    <w:p w14:paraId="08F583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4BE6D9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满堂街道</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3384.31</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14:paraId="0A46D4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人大政协经费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群团工作经费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41</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4209.31</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（其中：一般公共预算资金3501.21万元，政府性基金预算资金708.1万元，国有资本经营预算资金0万元）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hAnsi="宋体" w:eastAsia="仿宋_GB2312" w:cs="仿宋_GB2312"/>
          <w:color w:val="auto"/>
          <w:kern w:val="2"/>
          <w:sz w:val="32"/>
          <w:szCs w:val="32"/>
          <w:highlight w:val="none"/>
          <w:shd w:val="clear" w:color="auto" w:fill="auto"/>
          <w:lang w:val="en" w:eastAsia="zh-CN" w:bidi="ar"/>
        </w:rPr>
        <w:t>均已完成绩效评价工作。</w:t>
      </w:r>
    </w:p>
    <w:p w14:paraId="253363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63820A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本部门在2022年度决算中反映征地和拆迁补偿支出、土地开发支出等2个项目绩效自评结果。</w:t>
      </w:r>
    </w:p>
    <w:p w14:paraId="50ED9B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农村（卫生室）办公用房（装配式建筑）”项目自评综述：根据年初设定的绩效目标，项目自评得分94.4分。项目全年预算数为264万元，执行数为114.11万元，完成预算的45%。项目绩效目标完成情况：完成农村（卫生室）办公用房改造工程。</w:t>
      </w:r>
    </w:p>
    <w:p w14:paraId="444854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信访稳定备用金”项目自评综述：项目自评综述：根据年初设定的绩效目标，项目自评得分100分。项目全年预算数为45万元，执行数为45万元，完成预算的100%。项目绩效目标完成情况：较好完成信访维稳工作，减少信访案件的发生。</w:t>
      </w:r>
    </w:p>
    <w:p w14:paraId="5747DA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14:paraId="28672578">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14:paraId="065A835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个（其中：一般公共预算项目2个，政府性基金预算项目0个，国有资本经营预算项目0个），涉及资金159.11万元（其中：一般公共预算资金159.11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98.5分。</w:t>
      </w:r>
    </w:p>
    <w:p w14:paraId="3B3F2F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2022年我单位积极开展各项工伤，整体绩效和项目绩效评价整体较好，日后我单位继续</w:t>
      </w:r>
      <w:r>
        <w:rPr>
          <w:rFonts w:hint="eastAsia" w:ascii="仿宋" w:hAnsi="仿宋" w:eastAsia="仿宋" w:cs="仿宋"/>
          <w:b w:val="0"/>
          <w:bCs w:val="0"/>
          <w:sz w:val="32"/>
          <w:szCs w:val="32"/>
        </w:rPr>
        <w:t>加强资金管理，</w:t>
      </w:r>
      <w:r>
        <w:rPr>
          <w:rFonts w:hint="eastAsia" w:ascii="仿宋" w:hAnsi="仿宋" w:eastAsia="仿宋" w:cs="仿宋"/>
          <w:b w:val="0"/>
          <w:bCs w:val="0"/>
          <w:sz w:val="32"/>
          <w:szCs w:val="32"/>
          <w:lang w:eastAsia="zh-CN"/>
        </w:rPr>
        <w:t>最大限度</w:t>
      </w:r>
      <w:r>
        <w:rPr>
          <w:rFonts w:hint="eastAsia" w:ascii="仿宋" w:hAnsi="仿宋" w:eastAsia="仿宋" w:cs="仿宋"/>
          <w:b w:val="0"/>
          <w:bCs w:val="0"/>
          <w:sz w:val="32"/>
          <w:szCs w:val="32"/>
        </w:rPr>
        <w:t>发挥资金效益。</w:t>
      </w:r>
    </w:p>
    <w:p w14:paraId="47EB72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68C18B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该部门整体绩效自评效果较好，望你单位继续加强资金管理，发挥资金效益。</w:t>
      </w:r>
    </w:p>
    <w:p w14:paraId="5C91B96A">
      <w:pPr>
        <w:ind w:firstLine="640" w:firstLineChars="200"/>
        <w:rPr>
          <w:rFonts w:hint="eastAsia" w:ascii="仿宋" w:hAnsi="仿宋" w:eastAsia="仿宋" w:cs="仿宋"/>
          <w:sz w:val="32"/>
          <w:szCs w:val="32"/>
        </w:rPr>
      </w:pPr>
      <w:r>
        <w:rPr>
          <w:rFonts w:hint="eastAsia" w:ascii="仿宋" w:hAnsi="仿宋" w:eastAsia="仿宋" w:cs="仿宋"/>
          <w:sz w:val="32"/>
          <w:szCs w:val="32"/>
        </w:rPr>
        <w:t>该项目绩效自评效果较好，类似项目财政将继续安排，用好财政资金，发挥资金效益。</w:t>
      </w:r>
    </w:p>
    <w:p w14:paraId="0E3ED90F">
      <w:pPr>
        <w:ind w:firstLine="640" w:firstLineChars="200"/>
        <w:rPr>
          <w:rFonts w:hint="eastAsia" w:ascii="仿宋" w:hAnsi="仿宋" w:eastAsia="仿宋" w:cs="仿宋"/>
          <w:sz w:val="32"/>
          <w:szCs w:val="32"/>
        </w:rPr>
      </w:pPr>
    </w:p>
    <w:p w14:paraId="73F14D6D">
      <w:pPr>
        <w:pStyle w:val="9"/>
        <w:autoSpaceDN w:val="0"/>
        <w:spacing w:line="560" w:lineRule="exact"/>
        <w:ind w:firstLine="2530" w:firstLineChars="700"/>
        <w:rPr>
          <w:b/>
          <w:bCs/>
          <w:sz w:val="36"/>
          <w:szCs w:val="36"/>
        </w:rPr>
      </w:pPr>
      <w:r>
        <w:rPr>
          <w:rFonts w:hint="eastAsia"/>
          <w:b/>
          <w:bCs/>
          <w:sz w:val="36"/>
          <w:szCs w:val="36"/>
        </w:rPr>
        <w:t>第三部分 名词解释</w:t>
      </w:r>
    </w:p>
    <w:p w14:paraId="682A5E82">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707377C7">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1C44F393">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47BBC1C9">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5EC57764">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7DE5560D">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48ECE8D9">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262B48AD">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1D3C81B4">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63487183">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2239E37B">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47D8F048">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66D2FAE5">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615C1A14">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2A2002F">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CED37B8">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78E1EB83">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25487414">
      <w:pPr>
        <w:pStyle w:val="6"/>
        <w:spacing w:line="560" w:lineRule="exact"/>
        <w:ind w:firstLine="640"/>
        <w:rPr>
          <w:rFonts w:hint="default" w:ascii="仿宋_GB2312" w:eastAsia="仿宋_GB2312"/>
          <w:i/>
          <w:sz w:val="32"/>
          <w:u w:val="single"/>
        </w:rPr>
      </w:pPr>
    </w:p>
    <w:p w14:paraId="38C1ADCE">
      <w:pPr>
        <w:pStyle w:val="6"/>
        <w:spacing w:line="560" w:lineRule="atLeast"/>
        <w:jc w:val="left"/>
        <w:rPr>
          <w:rFonts w:hint="default" w:ascii="仿宋_GB2312" w:hAnsi="仿宋_GB2312" w:eastAsia="仿宋_GB2312" w:cs="仿宋_GB2312"/>
          <w:b/>
          <w:sz w:val="52"/>
          <w:szCs w:val="52"/>
        </w:rPr>
      </w:pPr>
    </w:p>
    <w:p w14:paraId="518A051C">
      <w:pPr>
        <w:pStyle w:val="6"/>
        <w:spacing w:line="560" w:lineRule="atLeast"/>
        <w:jc w:val="left"/>
        <w:rPr>
          <w:rFonts w:hint="default" w:ascii="仿宋_GB2312" w:hAnsi="仿宋_GB2312" w:eastAsia="仿宋_GB2312" w:cs="仿宋_GB2312"/>
          <w:b/>
          <w:sz w:val="52"/>
          <w:szCs w:val="52"/>
        </w:rPr>
      </w:pPr>
    </w:p>
    <w:p w14:paraId="265483A4">
      <w:pPr>
        <w:pStyle w:val="6"/>
        <w:spacing w:line="560" w:lineRule="atLeast"/>
        <w:jc w:val="left"/>
        <w:rPr>
          <w:rFonts w:hint="default" w:ascii="仿宋_GB2312" w:hAnsi="仿宋_GB2312" w:eastAsia="仿宋_GB2312" w:cs="仿宋_GB2312"/>
          <w:b/>
          <w:sz w:val="52"/>
          <w:szCs w:val="52"/>
        </w:rPr>
      </w:pPr>
    </w:p>
    <w:p w14:paraId="67E4E1A3">
      <w:pPr>
        <w:rPr>
          <w:rFonts w:hint="default" w:ascii="仿宋_GB2312" w:hAnsi="宋体" w:eastAsia="仿宋_GB2312"/>
          <w:kern w:val="0"/>
          <w:sz w:val="32"/>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w:t>
      </w:r>
      <w:r>
        <w:rPr>
          <w:rFonts w:ascii="仿宋_GB2312" w:hAnsi="仿宋_GB2312" w:eastAsia="仿宋_GB2312" w:cs="仿宋_GB2312"/>
          <w:b/>
          <w:sz w:val="52"/>
          <w:szCs w:val="52"/>
        </w:rPr>
        <w:t xml:space="preserve"> </w:t>
      </w:r>
      <w:r>
        <w:rPr>
          <w:rFonts w:hint="eastAsia" w:ascii="仿宋_GB2312" w:hAnsi="仿宋_GB2312" w:eastAsia="仿宋_GB2312" w:cs="仿宋_GB2312"/>
          <w:b/>
          <w:sz w:val="52"/>
          <w:szCs w:val="52"/>
        </w:rPr>
        <w:t>沈阳市浑南区满堂街道办事处</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61E535A7">
      <w:pPr>
        <w:rPr>
          <w:rFonts w:hint="default" w:ascii="仿宋_GB2312" w:hAnsi="宋体" w:eastAsia="仿宋_GB2312"/>
          <w:kern w:val="0"/>
          <w:sz w:val="32"/>
        </w:rPr>
      </w:pPr>
    </w:p>
    <w:p w14:paraId="25BEE0DF">
      <w:pPr>
        <w:rPr>
          <w:rFonts w:hint="default" w:ascii="仿宋_GB2312" w:hAnsi="宋体" w:eastAsia="仿宋_GB2312"/>
          <w:kern w:val="0"/>
          <w:sz w:val="32"/>
        </w:rPr>
      </w:pPr>
    </w:p>
    <w:p w14:paraId="2CC89F16">
      <w:pPr>
        <w:rPr>
          <w:rFonts w:hint="default" w:ascii="仿宋_GB2312" w:hAnsi="宋体" w:eastAsia="仿宋_GB2312"/>
          <w:kern w:val="0"/>
          <w:sz w:val="32"/>
        </w:rPr>
      </w:pPr>
    </w:p>
    <w:p w14:paraId="16F60EB2">
      <w:pPr>
        <w:jc w:val="center"/>
        <w:rPr>
          <w:rFonts w:hint="eastAsia" w:ascii="宋体" w:hAnsi="宋体"/>
          <w:b/>
          <w:sz w:val="52"/>
          <w:szCs w:val="52"/>
        </w:rPr>
      </w:pPr>
    </w:p>
    <w:p w14:paraId="5471AA20">
      <w:pPr>
        <w:jc w:val="center"/>
        <w:rPr>
          <w:rFonts w:hint="eastAsia" w:ascii="宋体" w:hAnsi="宋体"/>
          <w:b/>
          <w:sz w:val="52"/>
          <w:szCs w:val="52"/>
        </w:rPr>
      </w:pPr>
    </w:p>
    <w:p w14:paraId="39594A12">
      <w:pPr>
        <w:jc w:val="center"/>
        <w:rPr>
          <w:rFonts w:hint="eastAsia" w:ascii="宋体" w:hAnsi="宋体"/>
          <w:b/>
          <w:sz w:val="52"/>
          <w:szCs w:val="52"/>
        </w:rPr>
      </w:pPr>
    </w:p>
    <w:p w14:paraId="20870875">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509B651A">
      <w:pPr>
        <w:widowControl w:val="0"/>
        <w:numPr>
          <w:ilvl w:val="0"/>
          <w:numId w:val="0"/>
        </w:numPr>
        <w:jc w:val="center"/>
        <w:rPr>
          <w:rFonts w:hint="default" w:ascii="宋体" w:hAnsi="宋体"/>
          <w:b/>
          <w:sz w:val="52"/>
          <w:szCs w:val="52"/>
          <w:lang w:eastAsia="zh-CN"/>
        </w:rPr>
      </w:pPr>
    </w:p>
    <w:p w14:paraId="74F13ED3">
      <w:pPr>
        <w:widowControl w:val="0"/>
        <w:numPr>
          <w:ilvl w:val="0"/>
          <w:numId w:val="0"/>
        </w:numPr>
        <w:jc w:val="center"/>
        <w:rPr>
          <w:rFonts w:hint="default" w:ascii="宋体" w:hAnsi="宋体"/>
          <w:b/>
          <w:sz w:val="52"/>
          <w:szCs w:val="52"/>
          <w:lang w:eastAsia="zh-CN"/>
        </w:rPr>
      </w:pPr>
    </w:p>
    <w:p w14:paraId="2210B893">
      <w:pPr>
        <w:widowControl w:val="0"/>
        <w:numPr>
          <w:ilvl w:val="0"/>
          <w:numId w:val="0"/>
        </w:numPr>
        <w:jc w:val="center"/>
        <w:rPr>
          <w:rFonts w:hint="default" w:ascii="宋体" w:hAnsi="宋体"/>
          <w:b/>
          <w:sz w:val="52"/>
          <w:szCs w:val="52"/>
          <w:lang w:eastAsia="zh-CN"/>
        </w:rPr>
      </w:pPr>
    </w:p>
    <w:p w14:paraId="084E2A66">
      <w:pPr>
        <w:widowControl w:val="0"/>
        <w:numPr>
          <w:ilvl w:val="0"/>
          <w:numId w:val="0"/>
        </w:numPr>
        <w:jc w:val="center"/>
        <w:rPr>
          <w:rFonts w:hint="default" w:ascii="宋体" w:hAnsi="宋体"/>
          <w:b/>
          <w:sz w:val="52"/>
          <w:szCs w:val="52"/>
          <w:lang w:eastAsia="zh-CN"/>
        </w:rPr>
      </w:pPr>
    </w:p>
    <w:p w14:paraId="2EA2CE56">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32F85">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518A2">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3A56B">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29B80">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0F86A">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94B6C">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0CC99"/>
    <w:multiLevelType w:val="singleLevel"/>
    <w:tmpl w:val="8C20CC99"/>
    <w:lvl w:ilvl="0" w:tentative="0">
      <w:start w:val="3"/>
      <w:numFmt w:val="decimal"/>
      <w:lvlText w:val="%1."/>
      <w:lvlJc w:val="left"/>
      <w:pPr>
        <w:tabs>
          <w:tab w:val="left" w:pos="312"/>
        </w:tabs>
      </w:pPr>
    </w:lvl>
  </w:abstractNum>
  <w:abstractNum w:abstractNumId="1">
    <w:nsid w:val="2ECDA57D"/>
    <w:multiLevelType w:val="singleLevel"/>
    <w:tmpl w:val="2ECDA57D"/>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DE1BE7"/>
    <w:rsid w:val="00E4305D"/>
    <w:rsid w:val="00F16B2B"/>
    <w:rsid w:val="00F67249"/>
    <w:rsid w:val="00F724E9"/>
    <w:rsid w:val="01622E76"/>
    <w:rsid w:val="036839EA"/>
    <w:rsid w:val="037C1244"/>
    <w:rsid w:val="037E2547"/>
    <w:rsid w:val="040F20B8"/>
    <w:rsid w:val="04DC422B"/>
    <w:rsid w:val="05CC0260"/>
    <w:rsid w:val="06B9375D"/>
    <w:rsid w:val="0721638A"/>
    <w:rsid w:val="07A3050C"/>
    <w:rsid w:val="08033CE1"/>
    <w:rsid w:val="082C6248"/>
    <w:rsid w:val="08803E31"/>
    <w:rsid w:val="08F45261"/>
    <w:rsid w:val="09C4782E"/>
    <w:rsid w:val="0AA3355A"/>
    <w:rsid w:val="0B523D17"/>
    <w:rsid w:val="0CD65E68"/>
    <w:rsid w:val="0E4C33AE"/>
    <w:rsid w:val="0EC248F6"/>
    <w:rsid w:val="0ECB7368"/>
    <w:rsid w:val="0FC223B2"/>
    <w:rsid w:val="0FD91C07"/>
    <w:rsid w:val="107B798B"/>
    <w:rsid w:val="11254CC9"/>
    <w:rsid w:val="11390308"/>
    <w:rsid w:val="11612EA5"/>
    <w:rsid w:val="12371157"/>
    <w:rsid w:val="12791770"/>
    <w:rsid w:val="12CC5588"/>
    <w:rsid w:val="131E2240"/>
    <w:rsid w:val="146124BC"/>
    <w:rsid w:val="14D47131"/>
    <w:rsid w:val="15E72E94"/>
    <w:rsid w:val="17125CEF"/>
    <w:rsid w:val="17FA6EAF"/>
    <w:rsid w:val="180970F2"/>
    <w:rsid w:val="19C41090"/>
    <w:rsid w:val="1A491A28"/>
    <w:rsid w:val="1AA3038A"/>
    <w:rsid w:val="1B0E4A1F"/>
    <w:rsid w:val="1B9703C5"/>
    <w:rsid w:val="1BA01B1B"/>
    <w:rsid w:val="1C635C29"/>
    <w:rsid w:val="1C6537BA"/>
    <w:rsid w:val="1E34769C"/>
    <w:rsid w:val="1E7F010E"/>
    <w:rsid w:val="1E94348E"/>
    <w:rsid w:val="20C04A0E"/>
    <w:rsid w:val="21DF6C15"/>
    <w:rsid w:val="21FF3314"/>
    <w:rsid w:val="22945B1A"/>
    <w:rsid w:val="24B30B11"/>
    <w:rsid w:val="257D383A"/>
    <w:rsid w:val="258778A8"/>
    <w:rsid w:val="2694227D"/>
    <w:rsid w:val="273F6164"/>
    <w:rsid w:val="286C4199"/>
    <w:rsid w:val="28977847"/>
    <w:rsid w:val="2A3D2189"/>
    <w:rsid w:val="2AD3372D"/>
    <w:rsid w:val="2C5B55EB"/>
    <w:rsid w:val="2CE675AA"/>
    <w:rsid w:val="2D7037BA"/>
    <w:rsid w:val="2E4F6256"/>
    <w:rsid w:val="2E7F098B"/>
    <w:rsid w:val="2F177EEF"/>
    <w:rsid w:val="2F9C03F4"/>
    <w:rsid w:val="30171C19"/>
    <w:rsid w:val="3053184D"/>
    <w:rsid w:val="30D51E0F"/>
    <w:rsid w:val="31197F4E"/>
    <w:rsid w:val="3240775C"/>
    <w:rsid w:val="34EC597A"/>
    <w:rsid w:val="36230505"/>
    <w:rsid w:val="363A47EC"/>
    <w:rsid w:val="368F2A60"/>
    <w:rsid w:val="39C11183"/>
    <w:rsid w:val="39D23390"/>
    <w:rsid w:val="3AF70BD4"/>
    <w:rsid w:val="3BA207ED"/>
    <w:rsid w:val="3BAB570C"/>
    <w:rsid w:val="3BCC3E0F"/>
    <w:rsid w:val="3C0812EB"/>
    <w:rsid w:val="3C463BC1"/>
    <w:rsid w:val="3CB90837"/>
    <w:rsid w:val="3D2A34E3"/>
    <w:rsid w:val="3E183C7E"/>
    <w:rsid w:val="3E3C527C"/>
    <w:rsid w:val="3F6134F7"/>
    <w:rsid w:val="40907B01"/>
    <w:rsid w:val="416666BA"/>
    <w:rsid w:val="43ED4466"/>
    <w:rsid w:val="45154A79"/>
    <w:rsid w:val="45831C1A"/>
    <w:rsid w:val="46CA2860"/>
    <w:rsid w:val="47173926"/>
    <w:rsid w:val="474C6DD1"/>
    <w:rsid w:val="47857C94"/>
    <w:rsid w:val="4BF70A34"/>
    <w:rsid w:val="4C59524B"/>
    <w:rsid w:val="4FEF6B40"/>
    <w:rsid w:val="4FFE4E89"/>
    <w:rsid w:val="500D4CCA"/>
    <w:rsid w:val="52C11D9C"/>
    <w:rsid w:val="53B85F20"/>
    <w:rsid w:val="54F6469B"/>
    <w:rsid w:val="562F70BB"/>
    <w:rsid w:val="57D1018F"/>
    <w:rsid w:val="57EF4CB5"/>
    <w:rsid w:val="592A00B0"/>
    <w:rsid w:val="59C52B8D"/>
    <w:rsid w:val="5A690D4F"/>
    <w:rsid w:val="5AD00DCE"/>
    <w:rsid w:val="5AE973A2"/>
    <w:rsid w:val="5B4F7688"/>
    <w:rsid w:val="5B697371"/>
    <w:rsid w:val="5C533A65"/>
    <w:rsid w:val="5E824AD5"/>
    <w:rsid w:val="5F3758C0"/>
    <w:rsid w:val="62FD75F3"/>
    <w:rsid w:val="63116428"/>
    <w:rsid w:val="63870498"/>
    <w:rsid w:val="651421FF"/>
    <w:rsid w:val="652561BA"/>
    <w:rsid w:val="6545060B"/>
    <w:rsid w:val="65D676FC"/>
    <w:rsid w:val="67277FC8"/>
    <w:rsid w:val="673C6F2C"/>
    <w:rsid w:val="686D4100"/>
    <w:rsid w:val="689A0C6D"/>
    <w:rsid w:val="69735746"/>
    <w:rsid w:val="6B7314EF"/>
    <w:rsid w:val="6CB33F44"/>
    <w:rsid w:val="6DA15E5C"/>
    <w:rsid w:val="6E4C2A0A"/>
    <w:rsid w:val="6F8F7052"/>
    <w:rsid w:val="6FE5071F"/>
    <w:rsid w:val="70C70595"/>
    <w:rsid w:val="71A1306D"/>
    <w:rsid w:val="724179B2"/>
    <w:rsid w:val="729D55E2"/>
    <w:rsid w:val="73510E47"/>
    <w:rsid w:val="74CE2601"/>
    <w:rsid w:val="754E52B9"/>
    <w:rsid w:val="770F5700"/>
    <w:rsid w:val="7990329A"/>
    <w:rsid w:val="79A61335"/>
    <w:rsid w:val="79B875AE"/>
    <w:rsid w:val="7A4153ED"/>
    <w:rsid w:val="7A861051"/>
    <w:rsid w:val="7ADB5C7E"/>
    <w:rsid w:val="7B5B1CDA"/>
    <w:rsid w:val="7B915F00"/>
    <w:rsid w:val="7BCB7664"/>
    <w:rsid w:val="7D024843"/>
    <w:rsid w:val="7D0B12E1"/>
    <w:rsid w:val="7EE03426"/>
    <w:rsid w:val="7FCA02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13075</Words>
  <Characters>13829</Characters>
  <Lines>37</Lines>
  <Paragraphs>10</Paragraphs>
  <TotalTime>10</TotalTime>
  <ScaleCrop>false</ScaleCrop>
  <LinksUpToDate>false</LinksUpToDate>
  <CharactersWithSpaces>13873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2023-09-07T02:21:00Z</cp:lastPrinted>
  <dcterms:modified xsi:type="dcterms:W3CDTF">2026-01-23T02:58:29Z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29F198DC64A54C9C9DEAF4328249017F_13</vt:lpwstr>
  </property>
  <property fmtid="{D5CDD505-2E9C-101B-9397-08002B2CF9AE}" pid="4" name="KSOTemplateDocerSaveRecord">
    <vt:lpwstr>eyJoZGlkIjoiNzZiZTQ3ZmI1OTFmODUzNzgwMGRlNDBmMWZiZDQzMjEiLCJ1c2VySWQiOiIyMzQ0MjI2NjQifQ==</vt:lpwstr>
  </property>
</Properties>
</file>