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辽宁省沈阳市浑南区满堂街道办事处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辽宁省沈阳市浑南区满堂街道办事处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辽宁省沈阳市浑南区满堂街道办事处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辽宁省沈阳市浑南区满堂街道办事处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辽宁省沈阳市浑南区满堂街道办事处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辽宁省沈阳市浑南区满堂街道办事处概况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（一）党工委主要职责</w:t>
        <w:br/>
        <w:t xml:space="preserve">    1.宣传贯彻党的理论和路线方针政策以及上级党组织的决策部署，团结并组织党员、干部和群众，努力完成本街道各项任务。</w:t>
        <w:br/>
        <w:t xml:space="preserve">    2.讨论决定本街道加强党的建设、“两邻”基层治理、优化营商环境、推动城市更新、提升民生福祉、统筹社区发展、组织公共服务、实施公共管理、维护公共安全、动员社会参与、指导基层自治等方面的重要问题。</w:t>
        <w:b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b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br/>
        <w:t xml:space="preserve">    5.领导街道人大工作委员会、办事处和工会、共青团、妇联等群团组织及人民武装部等组织，支持和保证街道行政组织、经济组织和群众自治组织充分行使职权。</w:t>
        <w:b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b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br/>
        <w:t xml:space="preserve">    8.完成区委交办的其他任务。</w:t>
        <w:br/>
        <w:t xml:space="preserve">    （二）办事处主要职责</w:t>
        <w:br/>
        <w:t xml:space="preserve">    1.贯彻执行党和国家的路线、方针、政策、法律、法规和区委、区政府及街道党工委的决定、决议。</w:t>
        <w:br/>
        <w:t xml:space="preserve">    2.制定实施街道经济和社会发展规划，加强经济协调、服务工作，大力发展为民便民利民的社会服务事业，方便群众办事创业，营造良好营商环境，促进区域经济社会全面发展。</w:t>
        <w:b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br/>
        <w:t xml:space="preserve">    4.负责辖区平安建设工作，预防、排查、化解矛盾纠纷、人民调解、违法人员帮教转化等工作，维护社会和谐稳定。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br/>
        <w:t xml:space="preserve">    7.指导、支持居委会等基层群众性自治组织建设工作，加强基层政权建设，促进居民自我管理、自我教育、自我服务、自我监督。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br/>
        <w:t xml:space="preserve">    （三）内设机构及主要职责</w:t>
        <w:br/>
        <w:t xml:space="preserve">    1.党建工作办公室。负责党的建设相关工作；负责宣传教育、意识形态、精神文明建设相关工作；做好统一战线、民族宗教、侨务、关心下一代等有关工作；负责工会、共青团、妇联等群团组织工作；负责组织人事、干部队伍和人才队伍建设等工作；负责人大政协相关工作；负责离退休干部管理工作；负责绩效考核工作；负责文明城创建的综合协调工作。</w:t>
        <w:br/>
        <w:t xml:space="preserve">    2.综合办公室（财政管理办公室）。负责党工委、办事处日常事务；负责依法行政、信息公开工作；负责督查督办工作；承担综合性文稿起草、重要会议组织及综合调研工作；负责文电处理、机要保密、档案、信息化建设等工作；负责财务管理、资产管理、后勤保障、安全保卫等日常运转工作；组织财政收入，编辑本级财政预决算草案和执行财政预算，执行各项财税政策和财务会计制度；做好财税、金融收入统计分析等相关工作。</w:t>
        <w:br/>
        <w:t xml:space="preserve">    3.社会事务办公室（社区建设指导办公室）。负责“两邻”建设工作的综合协调；负责行政审批事项及相关公共服务事项的办理，优化审批服务流程；负责便民服务平台建设管理相关工作；负责劳动就业服务、社会保障服务、企业退休职工社会工作，推进落实“一网通办”；落实高校毕业生服务和劳动关系、失业人员和企业离退人员社会保障等领域政策，做好劳动关系管理、劳动纠纷调解；负责人口与计划生育、医疗卫生和公共卫生服务、疫情防控等卫生健康工作；负责红十字会相关工作；负责教育、体育、文化旅游等社会事业相关工作；负责社会救助、社会慈善、养老服务等民政工作；负责老年人权益保障、未成年人保护工作；负责残疾人特殊群体服务工作；组织开展双拥共建工作，做好退役军人相关服务工作；组织开展人民武装工作；负责指导社区加强基层政权建设；负责指导居民委员会等群众自治组织开展自治工作，承担社会组织管理服务工作；支持和保障社区开展公共服务、公益服务、便民服务等工作；负责社区党群服务中心和小区党群服务站建设和社区网格日常管理等工作；负责社区工作者日常管理、考核培训工作；做好物业管理和业主委员会的指导、矛盾协调和监督等工作。</w:t>
        <w:br/>
        <w:t xml:space="preserve">    4.平安建设办公室。负责社会治安综合治理、平安建设、“四零建设”等相关工作；负责网格化治安防控体系建设；负责维护国家安全工作，防范和处理邪教，做好扫黑除恶相关工作，排查防范化解重大风险；负责信访稳定工作，协调处置各类突发事件和群体性事件；协助有关部门，做好社区戒毒、社区康复等工作；负责法治社会建设、法治政府建设相关工作，开展矛盾纠纷排查化解、法治宣传、基层法律服务等工作。</w:t>
        <w:br/>
        <w:t xml:space="preserve">    5.应急管理办公室。负责安全生产应急预案编制、演练及修订等工作，组织开展安全生产专项治理相关工作；负责做好应急、救援的统筹协调组织工作，承担防灾减灾救灾、安全生产、护林防火等相关工作，组织协调应急物资、应急救援队伍，负责突发事件的应急处理工作；承担防汛抗旱办公室日常工作。协同应急中队开展工作。</w:t>
        <w:br/>
        <w:t xml:space="preserve">    6.城市管理办公室（综合行政执法管理办公室、生态环境办公室）。承担城市精细化管理、规划建设等地区性、综合性工作的组织领导和综合协调；组织协调做好园林绿化、环境卫生、市容市貌、爱国卫生等工作；负责街道、社区建设管理和基础设施、公共设施管护工作，配合做好市政工程、规划管理、水利、房产监管服务及征收等工作，配合有关部门组织开展危（旧）房改造等小区治理工作；负责土地、森林等自然资源管理工作；按权限负责道路交通管理工作；依法或根据授权开展综合行政执法工作，统筹协调组织辖区内行政执法工作，承担日常巡查、发现违法行为并及时通报等工作，协助行政执法机构案件移送及协调协作等相关工作；负责督促指导本行政区域企事业单位和其他生产经营者落实环境保护措施，加强隐患排查，发现环境违法问题及时向上级政府和有关部门报告；负责协助上级政府及其有关部门妥善处置突发环境事件、排查环境违法信息和环境事故隐患，配合相关部门妥善处理环境污染纠纷和环境信访舆情，制止环境违法行为；负责做好辖区内的畜禽养殖污染防治工作；负责配合有关主管部门做好水源保护的有关工作；负责面向公众组织开展环保社会宣传活动；负责卫生城创建的综合协调工作；协调协同征收部、执法分局街道执法科开展工作。</w:t>
        <w:br/>
        <w:t xml:space="preserve">    7.经济发展办公室（农业农村办公室）。负责经济发展综合协调、服务工作，负责属地经济发展规划的编制并组织实施，落实上级发展规划、产业规划；负责承担在地统计调查和普查等相关事务性工作；做好优化营商环境工作，协调相关部门为重点项目和企业提供服务和政策服务；负责对接工业和信息化、商务等方面工作；负责全面推进乡村振兴，巩固脱贫攻坚成果相关工作；负责农村经济发展、人居环境建设等工作；负责深化农村改革、农业生产和农田基本建设等工作；负责农业基础设施建设、维护和改造工作；负责农村宅基地管理相关工作；负责林业等相关工作，加强生态建设、病虫害防治等工作；负责指导乡村特色产业发展工作；负责农业综合技术培训工作和科技队伍建设工作；配合做好农产品质量安全监督管理；负责动植物疫病防控工作；负责农村合作经济经营管理有关工作，指导农民合作经济组织、农业社会化服务体系、新型农业经营主体建设与发展工作；负责村级“三资”管理村级账务监督管理，组织指导债权债务清理、统计、审查、化解等日常管理工作。</w:t>
        <w:br/>
        <w:t xml:space="preserve">    8.纪工委（监察办公室）</w:t>
        <w:br/>
        <w:t xml:space="preserve">    （1）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洁文化建设；负责承办区纪律检查委员会和街道党工委交办的相关事项。</w:t>
        <w:br/>
        <w:t xml:space="preserve">    （2）设立区监察委员会派出机构街道监察办公室，与街道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辽宁省沈阳市浑南区满堂街道办事处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沈阳市浑南区满堂街道办事处本级，本单位无下设机构。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2547.59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2547.59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2158.03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389.56</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增加113.02万元，增长4.64%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2024年街道为化解信访积压案件，妥善处理信访事项，增加信访相关经费</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2547.59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962.97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37.80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工资福利支出845.14万元；商品和服务支出105.31万元；对个人和家庭的补助12.52万元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1584.62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62.20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主要包括信访维稳经费、征收补偿款、防火经费等业务支出。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增加113.02万元，增长4.64%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2024年街道为化解信访积压案件，妥善处理信访事项，增加信访相关经费</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满堂街道严格按照一事一请原则，年底财政拨付的剩余资金全额返还财政，导致年末结转结余金额为0元</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2547.59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962.97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1584.62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增加113.02万元，增长4.64%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2024年街道为化解信访积压案件，妥善处理信访事项，增加信访相关经费</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96.10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86.11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103.38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2024年度一般公共预算财政拨款支出2158.03万元。按支出功能分类科目分，包括：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1.一般公共服务支出1592.44万元，具体包括：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721.19万元,主要是职工工资、津贴补贴、伙食补助、保证街道正常运转的办公经费、水电费等支出，完成年初预算的85.62%，决算数与年初预算数存在差异的主要原因是街道人员增减变动，职工工资津贴补贴变动；街道加强收支管理，保障街道正常运行的基础上压缩减少办公经费等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19.98万元,主要是满堂雇员、派遣人员、公益岗经费、缴纳残疾人就业保障金（财源科）等支出，完成年初预算的55.64%，决算数与年初预算数存在差异的主要原因是保障街道正常运行的基础上压缩减少雇员等人员工作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303.38万元,主要是街道机动经费、荒地苇塘租地款、历史遗留问题经费等支出，完成年初预算的56.39%，决算数与年初预算数存在差异的主要原因是荒地苇塘租地款按实际租地面积支付、街道加强收支管理，减少机动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满堂财政事业费等支出，完成年初预算的50%，决算数与年初预算数存在差异的主要原因是街道加强收支管理，减少不必要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27.50万元,主要是正风肃纪监督员补助及工作经费等支出，完成年初预算的63.66%，决算数与年初预算数存在差异的主要原因是街道正风肃纪监督员人员变化，人员补助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组织事务（款）其他组织事务支出（项）4.39万元,主要是街道党建经费、党员教育经费等支出，完成年初预算的24.39%，决算数与年初预算数存在差异的主要原因是加强收支管理，在组织党建活动中减少不必要的支出，年初预算数中包含城市社区党建经费，此项支出在社会保障和就业支出（类）民政管理事务（款）基层政权建设和社区治理（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信访事务（款）信访业务（项）515.00万元,主要是街道信访维稳经费、满堂信访维稳专项资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2.社会保障和就业支出176.42万元，具体包括：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60.85万元,主要是城市社区工作经费、城市社区办公取暖费、城市社区党建经费、社区工作人员餐费等支出，完成年初预算的53.41%，决算数与年初预算数存在差异的主要原因是保障社区正常运行的基础上压缩减少办公经费等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8.02万元,主要是退休人员采暖费、退休人员活动经费等支出，完成年初预算的87.94%，决算数与年初预算数存在差异的主要原因是未组织退休人员活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85.86万元,主要是街道在职人员养老保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21.69万元,主要是街道退休人员职业年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3.卫生健康支出35.51万元，具体包括：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35.51万元,主要是街道在职人员医疗保险、生育保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4.节能环保支出20.00万元，具体包括：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（1）节能环保支出（类）污染防治（款）大气（项）20.00万元,主要是满堂秸秆看护等支出，完成年初预算的22.22%，决算数与年初预算数存在差异的主要原因是街道加强收支管理，严格经费报销手续。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5.城乡社区支出5.00万元，具体包括：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环境卫生（款）城乡社区环境卫生（项）5.00万元,主要是乡村精细化管理工作经费等支出，完成年初预算的4.88%，决算数与年初预算数存在差异的主要原因是街道域内问题有所改善、部分项目尚未达到付款条件。</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6.农林水支出224.05万元，具体包括：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（1）农林水支出（类）农业农村（款）行业业务管理（项）21.75万元,主要是村务监督工作经费等支出，完成年初预算的75%，决算数与年初预算数存在差异的主要原因是街道控制经费收支，缩减经费支出。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业生态资源保护（项）15.98万元,主要是保护性耕作工作经费、秸秆打捆等支出，完成年初预算的14.8%，决算数与年初预算数存在差异的主要原因是2024年街道未开展秸秆打捆项目活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耕地建设与利用（项）5.56万元,主要是2023年保护性耕作上级剩余补贴资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（4）农林水支出（类）林业和草原（款）林业草原防灾减灾（项）96.00万元,主要是满堂街道防火经费等支出，完成年初预算的75%，决算数与年初预算数存在差异的主要原因是街道控制经费收支，缩减经费支出。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（5）农林水支出（类）水利（款）防汛（项）5.00万元,主要是街道防汛经费等支出，完成年初预算的100%，决算数与年初预算数存在差异的主要原因是完全按照预算执行，决算数与预算数实际上无任何差异。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农村综合改革（款）对村民委员会和村党支部的补助（项）73.23万元,主要是村党建经费、村办公经费等支出，完成年初预算的48.56%，决算数与年初预算数存在差异的主要原因是街道控制经费收支，缩减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其他农林水支出（款）其他农林水支出（项）6.53万元,主要是街道财政管理评价奖补资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7.自然资源海洋气象等支出13.92万元，具体包括：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13.92万元,主要是土地巡查员补助等支出，完成年初预算的66.67%，决算数与年初预算数存在差异的主要原因是街道土地巡查员人员变化，人员补助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8.住房保障支出90.70万元，具体包括：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90.70万元,主要是街道在职人员住房公积金等支出，完成年初预算的59.28%，决算数与年初预算数存在差异的主要原因是街道人员变化，公积金缴费基数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2024年度政府性基金预算财政拨款支出389.56万元。按支出功能分类科目分，包括：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1.城乡社区支出319.56万元，具体包括：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319.50万元,主要是街道征收补偿款等支出，完成年初预算的100%，决算数与年初预算数存在差异的主要原因是完全按照预算执行，决算数与预算数实际上无任何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土地开发支出（项）0.06万元,主要是满堂耕地占用税等支出，完成年初预算的100%，决算数与年初预算数存在差异的主要原因是完全按照预算执行，决算数与预算数实际上无任何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2.其他支出70.00万元，具体包括：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社会福利的彩票公益金支出（项）70.00万元,主要是幸福宜居村项目工程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962.97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857.66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105.31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105.31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比上年增加6.08万元，增长6.13%</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街道办公人员人数增加导致公用经费增加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，其他用车主要是以前使用业务用车（因车辆改革移交综合事务服务中心统一调度，但财务未做账形成）</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具体而言，本年度我部门共组织对42个项目实施了绩效评价。从预算资金来源看，涉及一般公共预算的项目38个，涉及政府性基金预算的项目4个，涉及国有资本经营预算的项目0个。</w:t>
        <w:br/>
        <w:t xml:space="preserve">    上述评价工作共涉及财政资金2547.59万元。其中，一般公共预算资金2158.03万元，占资金总额的84.71%；政府性基金预算资金389.56万元，占15.29%；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13个；得分在80分（含）至90分、等级为“良”的项目有6个；得分在60分（含）至80分、等级为“中”的项目有5；得分在60分以下、等级为“差”的项目有18个。各项目自评发现，部分项目存在2问题，如：部分项目在本年未开展相关工作、项目请款不及时、个别效益指标未能完全达成，已要求相关项目单位分析原因并制定改进措施。</w:t>
        <w:br/>
        <w:t xml:space="preserve">    3.部门重点评价情况及结果。</w:t>
        <w:br/>
        <w:t xml:space="preserve">    我部门不涉及重点项目评价。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16.一般公共服务支出（类）政府办公厅（室）及相关机构事务（款）行政运行（项）：反映行政单位（包括实行公务员管理的事业单位）的基本支出。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2,158.03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1,592.44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389.56</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176.42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35.51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20.00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324.56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224.04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13.92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90.70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70.00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2,547.59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2,547.59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2,547.59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2,547.59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2,547.59</w:t>
            </w:r>
          </w:p>
        </w:tc>
        <w:tc>
          <w:tcPr>
            <w:tcW w:w="960" w:type="dxa"/>
            <w:tcBorders/>
            <w:vAlign w:val="center"/>
          </w:tcPr>
          <w:p>
            <w:pPr>
              <w:jc w:val="right"/>
            </w:pPr>
            <w:r>
              <w:rPr>
                <w:rFonts w:ascii="宋体" w:eastAsia="宋体" w:hAnsi="宋体" w:cs="宋体"/>
                <w:b/>
                <w:i w:val="0"/>
                <w:color w:val="000000"/>
                <w:sz w:val="13"/>
              </w:rPr>
              <w:t xml:space="preserve">2,547.59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1,592.44</w:t>
            </w:r>
          </w:p>
        </w:tc>
        <w:tc>
          <w:tcPr>
            <w:tcW w:w="960" w:type="dxa"/>
            <w:tcBorders/>
            <w:vAlign w:val="center"/>
          </w:tcPr>
          <w:p>
            <w:pPr>
              <w:jc w:val="right"/>
            </w:pPr>
            <w:r>
              <w:rPr>
                <w:rFonts w:ascii="宋体" w:eastAsia="宋体" w:hAnsi="宋体" w:cs="宋体"/>
                <w:b w:val="0"/>
                <w:i w:val="0"/>
                <w:color w:val="000000"/>
                <w:sz w:val="13"/>
              </w:rPr>
              <w:t xml:space="preserve">1,592.44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1,044.55</w:t>
            </w:r>
          </w:p>
        </w:tc>
        <w:tc>
          <w:tcPr>
            <w:tcW w:w="960" w:type="dxa"/>
            <w:tcBorders/>
            <w:vAlign w:val="center"/>
          </w:tcPr>
          <w:p>
            <w:pPr>
              <w:jc w:val="right"/>
            </w:pPr>
            <w:r>
              <w:rPr>
                <w:rFonts w:ascii="宋体" w:eastAsia="宋体" w:hAnsi="宋体" w:cs="宋体"/>
                <w:b w:val="0"/>
                <w:i w:val="0"/>
                <w:color w:val="000000"/>
                <w:sz w:val="13"/>
              </w:rPr>
              <w:t xml:space="preserve">1,044.55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721.19</w:t>
            </w:r>
          </w:p>
        </w:tc>
        <w:tc>
          <w:tcPr>
            <w:tcW w:w="960" w:type="dxa"/>
            <w:tcBorders/>
            <w:vAlign w:val="center"/>
          </w:tcPr>
          <w:p>
            <w:pPr>
              <w:jc w:val="right"/>
            </w:pPr>
            <w:r>
              <w:rPr>
                <w:rFonts w:ascii="宋体" w:eastAsia="宋体" w:hAnsi="宋体" w:cs="宋体"/>
                <w:b w:val="0"/>
                <w:i w:val="0"/>
                <w:color w:val="000000"/>
                <w:sz w:val="13"/>
              </w:rPr>
              <w:t xml:space="preserve">721.19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19.98</w:t>
            </w:r>
          </w:p>
        </w:tc>
        <w:tc>
          <w:tcPr>
            <w:tcW w:w="960" w:type="dxa"/>
            <w:tcBorders/>
            <w:vAlign w:val="center"/>
          </w:tcPr>
          <w:p>
            <w:pPr>
              <w:jc w:val="right"/>
            </w:pPr>
            <w:r>
              <w:rPr>
                <w:rFonts w:ascii="宋体" w:eastAsia="宋体" w:hAnsi="宋体" w:cs="宋体"/>
                <w:b w:val="0"/>
                <w:i w:val="0"/>
                <w:color w:val="000000"/>
                <w:sz w:val="13"/>
              </w:rPr>
              <w:t xml:space="preserve">19.98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303.38</w:t>
            </w:r>
          </w:p>
        </w:tc>
        <w:tc>
          <w:tcPr>
            <w:tcW w:w="960" w:type="dxa"/>
            <w:tcBorders/>
            <w:vAlign w:val="center"/>
          </w:tcPr>
          <w:p>
            <w:pPr>
              <w:jc w:val="right"/>
            </w:pPr>
            <w:r>
              <w:rPr>
                <w:rFonts w:ascii="宋体" w:eastAsia="宋体" w:hAnsi="宋体" w:cs="宋体"/>
                <w:b w:val="0"/>
                <w:i w:val="0"/>
                <w:color w:val="000000"/>
                <w:sz w:val="13"/>
              </w:rPr>
              <w:t xml:space="preserve">303.38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4.39</w:t>
            </w:r>
          </w:p>
        </w:tc>
        <w:tc>
          <w:tcPr>
            <w:tcW w:w="960" w:type="dxa"/>
            <w:tcBorders/>
            <w:vAlign w:val="center"/>
          </w:tcPr>
          <w:p>
            <w:pPr>
              <w:jc w:val="right"/>
            </w:pPr>
            <w:r>
              <w:rPr>
                <w:rFonts w:ascii="宋体" w:eastAsia="宋体" w:hAnsi="宋体" w:cs="宋体"/>
                <w:b w:val="0"/>
                <w:i w:val="0"/>
                <w:color w:val="000000"/>
                <w:sz w:val="13"/>
              </w:rPr>
              <w:t xml:space="preserve">4.39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4.39</w:t>
            </w:r>
          </w:p>
        </w:tc>
        <w:tc>
          <w:tcPr>
            <w:tcW w:w="960" w:type="dxa"/>
            <w:tcBorders/>
            <w:vAlign w:val="center"/>
          </w:tcPr>
          <w:p>
            <w:pPr>
              <w:jc w:val="right"/>
            </w:pPr>
            <w:r>
              <w:rPr>
                <w:rFonts w:ascii="宋体" w:eastAsia="宋体" w:hAnsi="宋体" w:cs="宋体"/>
                <w:b w:val="0"/>
                <w:i w:val="0"/>
                <w:color w:val="000000"/>
                <w:sz w:val="13"/>
              </w:rPr>
              <w:t xml:space="preserve">4.39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515.00</w:t>
            </w:r>
          </w:p>
        </w:tc>
        <w:tc>
          <w:tcPr>
            <w:tcW w:w="960" w:type="dxa"/>
            <w:tcBorders/>
            <w:vAlign w:val="center"/>
          </w:tcPr>
          <w:p>
            <w:pPr>
              <w:jc w:val="right"/>
            </w:pPr>
            <w:r>
              <w:rPr>
                <w:rFonts w:ascii="宋体" w:eastAsia="宋体" w:hAnsi="宋体" w:cs="宋体"/>
                <w:b w:val="0"/>
                <w:i w:val="0"/>
                <w:color w:val="000000"/>
                <w:sz w:val="13"/>
              </w:rPr>
              <w:t xml:space="preserve">515.00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515.00</w:t>
            </w:r>
          </w:p>
        </w:tc>
        <w:tc>
          <w:tcPr>
            <w:tcW w:w="960" w:type="dxa"/>
            <w:tcBorders/>
            <w:vAlign w:val="center"/>
          </w:tcPr>
          <w:p>
            <w:pPr>
              <w:jc w:val="right"/>
            </w:pPr>
            <w:r>
              <w:rPr>
                <w:rFonts w:ascii="宋体" w:eastAsia="宋体" w:hAnsi="宋体" w:cs="宋体"/>
                <w:b w:val="0"/>
                <w:i w:val="0"/>
                <w:color w:val="000000"/>
                <w:sz w:val="13"/>
              </w:rPr>
              <w:t xml:space="preserve">515.00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176.42</w:t>
            </w:r>
          </w:p>
        </w:tc>
        <w:tc>
          <w:tcPr>
            <w:tcW w:w="960" w:type="dxa"/>
            <w:tcBorders/>
            <w:vAlign w:val="center"/>
          </w:tcPr>
          <w:p>
            <w:pPr>
              <w:jc w:val="right"/>
            </w:pPr>
            <w:r>
              <w:rPr>
                <w:rFonts w:ascii="宋体" w:eastAsia="宋体" w:hAnsi="宋体" w:cs="宋体"/>
                <w:b w:val="0"/>
                <w:i w:val="0"/>
                <w:color w:val="000000"/>
                <w:sz w:val="13"/>
              </w:rPr>
              <w:t xml:space="preserve">176.42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60.85</w:t>
            </w:r>
          </w:p>
        </w:tc>
        <w:tc>
          <w:tcPr>
            <w:tcW w:w="960" w:type="dxa"/>
            <w:tcBorders/>
            <w:vAlign w:val="center"/>
          </w:tcPr>
          <w:p>
            <w:pPr>
              <w:jc w:val="right"/>
            </w:pPr>
            <w:r>
              <w:rPr>
                <w:rFonts w:ascii="宋体" w:eastAsia="宋体" w:hAnsi="宋体" w:cs="宋体"/>
                <w:b w:val="0"/>
                <w:i w:val="0"/>
                <w:color w:val="000000"/>
                <w:sz w:val="13"/>
              </w:rPr>
              <w:t xml:space="preserve">60.85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60.85</w:t>
            </w:r>
          </w:p>
        </w:tc>
        <w:tc>
          <w:tcPr>
            <w:tcW w:w="960" w:type="dxa"/>
            <w:tcBorders/>
            <w:vAlign w:val="center"/>
          </w:tcPr>
          <w:p>
            <w:pPr>
              <w:jc w:val="right"/>
            </w:pPr>
            <w:r>
              <w:rPr>
                <w:rFonts w:ascii="宋体" w:eastAsia="宋体" w:hAnsi="宋体" w:cs="宋体"/>
                <w:b w:val="0"/>
                <w:i w:val="0"/>
                <w:color w:val="000000"/>
                <w:sz w:val="13"/>
              </w:rPr>
              <w:t xml:space="preserve">60.85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115.57</w:t>
            </w:r>
          </w:p>
        </w:tc>
        <w:tc>
          <w:tcPr>
            <w:tcW w:w="960" w:type="dxa"/>
            <w:tcBorders/>
            <w:vAlign w:val="center"/>
          </w:tcPr>
          <w:p>
            <w:pPr>
              <w:jc w:val="right"/>
            </w:pPr>
            <w:r>
              <w:rPr>
                <w:rFonts w:ascii="宋体" w:eastAsia="宋体" w:hAnsi="宋体" w:cs="宋体"/>
                <w:b w:val="0"/>
                <w:i w:val="0"/>
                <w:color w:val="000000"/>
                <w:sz w:val="13"/>
              </w:rPr>
              <w:t xml:space="preserve">115.57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85.86</w:t>
            </w:r>
          </w:p>
        </w:tc>
        <w:tc>
          <w:tcPr>
            <w:tcW w:w="960" w:type="dxa"/>
            <w:tcBorders/>
            <w:vAlign w:val="center"/>
          </w:tcPr>
          <w:p>
            <w:pPr>
              <w:jc w:val="right"/>
            </w:pPr>
            <w:r>
              <w:rPr>
                <w:rFonts w:ascii="宋体" w:eastAsia="宋体" w:hAnsi="宋体" w:cs="宋体"/>
                <w:b w:val="0"/>
                <w:i w:val="0"/>
                <w:color w:val="000000"/>
                <w:sz w:val="13"/>
              </w:rPr>
              <w:t xml:space="preserve">85.86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21.69</w:t>
            </w:r>
          </w:p>
        </w:tc>
        <w:tc>
          <w:tcPr>
            <w:tcW w:w="960" w:type="dxa"/>
            <w:tcBorders/>
            <w:vAlign w:val="center"/>
          </w:tcPr>
          <w:p>
            <w:pPr>
              <w:jc w:val="right"/>
            </w:pPr>
            <w:r>
              <w:rPr>
                <w:rFonts w:ascii="宋体" w:eastAsia="宋体" w:hAnsi="宋体" w:cs="宋体"/>
                <w:b w:val="0"/>
                <w:i w:val="0"/>
                <w:color w:val="000000"/>
                <w:sz w:val="13"/>
              </w:rPr>
              <w:t xml:space="preserve">21.69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35.51</w:t>
            </w:r>
          </w:p>
        </w:tc>
        <w:tc>
          <w:tcPr>
            <w:tcW w:w="960" w:type="dxa"/>
            <w:tcBorders/>
            <w:vAlign w:val="center"/>
          </w:tcPr>
          <w:p>
            <w:pPr>
              <w:jc w:val="right"/>
            </w:pPr>
            <w:r>
              <w:rPr>
                <w:rFonts w:ascii="宋体" w:eastAsia="宋体" w:hAnsi="宋体" w:cs="宋体"/>
                <w:b w:val="0"/>
                <w:i w:val="0"/>
                <w:color w:val="000000"/>
                <w:sz w:val="13"/>
              </w:rPr>
              <w:t xml:space="preserve">35.51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35.51</w:t>
            </w:r>
          </w:p>
        </w:tc>
        <w:tc>
          <w:tcPr>
            <w:tcW w:w="960" w:type="dxa"/>
            <w:tcBorders/>
            <w:vAlign w:val="center"/>
          </w:tcPr>
          <w:p>
            <w:pPr>
              <w:jc w:val="right"/>
            </w:pPr>
            <w:r>
              <w:rPr>
                <w:rFonts w:ascii="宋体" w:eastAsia="宋体" w:hAnsi="宋体" w:cs="宋体"/>
                <w:b w:val="0"/>
                <w:i w:val="0"/>
                <w:color w:val="000000"/>
                <w:sz w:val="13"/>
              </w:rPr>
              <w:t xml:space="preserve">35.51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35.51</w:t>
            </w:r>
          </w:p>
        </w:tc>
        <w:tc>
          <w:tcPr>
            <w:tcW w:w="960" w:type="dxa"/>
            <w:tcBorders/>
            <w:vAlign w:val="center"/>
          </w:tcPr>
          <w:p>
            <w:pPr>
              <w:jc w:val="right"/>
            </w:pPr>
            <w:r>
              <w:rPr>
                <w:rFonts w:ascii="宋体" w:eastAsia="宋体" w:hAnsi="宋体" w:cs="宋体"/>
                <w:b w:val="0"/>
                <w:i w:val="0"/>
                <w:color w:val="000000"/>
                <w:sz w:val="13"/>
              </w:rPr>
              <w:t xml:space="preserve">35.51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2110301</w:t>
            </w:r>
          </w:p>
        </w:tc>
        <w:tc>
          <w:tcPr>
            <w:tcW w:w="3200" w:type="dxa"/>
            <w:tcBorders/>
            <w:vAlign w:val="center"/>
          </w:tcPr>
          <w:p>
            <w:pPr>
              <w:jc w:val="left"/>
            </w:pPr>
            <w:r>
              <w:rPr>
                <w:rFonts w:ascii="宋体" w:eastAsia="宋体" w:hAnsi="宋体" w:cs="宋体"/>
                <w:b w:val="0"/>
                <w:i w:val="0"/>
                <w:color w:val="000000"/>
                <w:sz w:val="13"/>
              </w:rPr>
              <w:t xml:space="preserve">大气</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324.56</w:t>
            </w:r>
          </w:p>
        </w:tc>
        <w:tc>
          <w:tcPr>
            <w:tcW w:w="960" w:type="dxa"/>
            <w:tcBorders/>
            <w:vAlign w:val="center"/>
          </w:tcPr>
          <w:p>
            <w:pPr>
              <w:jc w:val="right"/>
            </w:pPr>
            <w:r>
              <w:rPr>
                <w:rFonts w:ascii="宋体" w:eastAsia="宋体" w:hAnsi="宋体" w:cs="宋体"/>
                <w:b w:val="0"/>
                <w:i w:val="0"/>
                <w:color w:val="000000"/>
                <w:sz w:val="13"/>
              </w:rPr>
              <w:t xml:space="preserve">324.56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319.56</w:t>
            </w:r>
          </w:p>
        </w:tc>
        <w:tc>
          <w:tcPr>
            <w:tcW w:w="960" w:type="dxa"/>
            <w:tcBorders/>
            <w:vAlign w:val="center"/>
          </w:tcPr>
          <w:p>
            <w:pPr>
              <w:jc w:val="right"/>
            </w:pPr>
            <w:r>
              <w:rPr>
                <w:rFonts w:ascii="宋体" w:eastAsia="宋体" w:hAnsi="宋体" w:cs="宋体"/>
                <w:b w:val="0"/>
                <w:i w:val="0"/>
                <w:color w:val="000000"/>
                <w:sz w:val="13"/>
              </w:rPr>
              <w:t xml:space="preserve">319.56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319.50</w:t>
            </w:r>
          </w:p>
        </w:tc>
        <w:tc>
          <w:tcPr>
            <w:tcW w:w="960" w:type="dxa"/>
            <w:tcBorders/>
            <w:vAlign w:val="center"/>
          </w:tcPr>
          <w:p>
            <w:pPr>
              <w:jc w:val="right"/>
            </w:pPr>
            <w:r>
              <w:rPr>
                <w:rFonts w:ascii="宋体" w:eastAsia="宋体" w:hAnsi="宋体" w:cs="宋体"/>
                <w:b w:val="0"/>
                <w:i w:val="0"/>
                <w:color w:val="000000"/>
                <w:sz w:val="13"/>
              </w:rPr>
              <w:t xml:space="preserve">319.50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0.06</w:t>
            </w:r>
          </w:p>
        </w:tc>
        <w:tc>
          <w:tcPr>
            <w:tcW w:w="960" w:type="dxa"/>
            <w:tcBorders/>
            <w:vAlign w:val="center"/>
          </w:tcPr>
          <w:p>
            <w:pPr>
              <w:jc w:val="right"/>
            </w:pPr>
            <w:r>
              <w:rPr>
                <w:rFonts w:ascii="宋体" w:eastAsia="宋体" w:hAnsi="宋体" w:cs="宋体"/>
                <w:b w:val="0"/>
                <w:i w:val="0"/>
                <w:color w:val="000000"/>
                <w:sz w:val="13"/>
              </w:rPr>
              <w:t xml:space="preserve">0.06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224.05</w:t>
            </w:r>
          </w:p>
        </w:tc>
        <w:tc>
          <w:tcPr>
            <w:tcW w:w="960" w:type="dxa"/>
            <w:tcBorders/>
            <w:vAlign w:val="center"/>
          </w:tcPr>
          <w:p>
            <w:pPr>
              <w:jc w:val="right"/>
            </w:pPr>
            <w:r>
              <w:rPr>
                <w:rFonts w:ascii="宋体" w:eastAsia="宋体" w:hAnsi="宋体" w:cs="宋体"/>
                <w:b w:val="0"/>
                <w:i w:val="0"/>
                <w:color w:val="000000"/>
                <w:sz w:val="13"/>
              </w:rPr>
              <w:t xml:space="preserve">224.05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43.29</w:t>
            </w:r>
          </w:p>
        </w:tc>
        <w:tc>
          <w:tcPr>
            <w:tcW w:w="960" w:type="dxa"/>
            <w:tcBorders/>
            <w:vAlign w:val="center"/>
          </w:tcPr>
          <w:p>
            <w:pPr>
              <w:jc w:val="right"/>
            </w:pPr>
            <w:r>
              <w:rPr>
                <w:rFonts w:ascii="宋体" w:eastAsia="宋体" w:hAnsi="宋体" w:cs="宋体"/>
                <w:b w:val="0"/>
                <w:i w:val="0"/>
                <w:color w:val="000000"/>
                <w:sz w:val="13"/>
              </w:rPr>
              <w:t xml:space="preserve">43.29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21.75</w:t>
            </w:r>
          </w:p>
        </w:tc>
        <w:tc>
          <w:tcPr>
            <w:tcW w:w="960" w:type="dxa"/>
            <w:tcBorders/>
            <w:vAlign w:val="center"/>
          </w:tcPr>
          <w:p>
            <w:pPr>
              <w:jc w:val="right"/>
            </w:pPr>
            <w:r>
              <w:rPr>
                <w:rFonts w:ascii="宋体" w:eastAsia="宋体" w:hAnsi="宋体" w:cs="宋体"/>
                <w:b w:val="0"/>
                <w:i w:val="0"/>
                <w:color w:val="000000"/>
                <w:sz w:val="13"/>
              </w:rPr>
              <w:t xml:space="preserve">21.75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15.98</w:t>
            </w:r>
          </w:p>
        </w:tc>
        <w:tc>
          <w:tcPr>
            <w:tcW w:w="960" w:type="dxa"/>
            <w:tcBorders/>
            <w:vAlign w:val="center"/>
          </w:tcPr>
          <w:p>
            <w:pPr>
              <w:jc w:val="right"/>
            </w:pPr>
            <w:r>
              <w:rPr>
                <w:rFonts w:ascii="宋体" w:eastAsia="宋体" w:hAnsi="宋体" w:cs="宋体"/>
                <w:b w:val="0"/>
                <w:i w:val="0"/>
                <w:color w:val="000000"/>
                <w:sz w:val="13"/>
              </w:rPr>
              <w:t xml:space="preserve">15.98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2130153</w:t>
            </w:r>
          </w:p>
        </w:tc>
        <w:tc>
          <w:tcPr>
            <w:tcW w:w="3200" w:type="dxa"/>
            <w:tcBorders/>
            <w:vAlign w:val="center"/>
          </w:tcPr>
          <w:p>
            <w:pPr>
              <w:jc w:val="left"/>
            </w:pPr>
            <w:r>
              <w:rPr>
                <w:rFonts w:ascii="宋体" w:eastAsia="宋体" w:hAnsi="宋体" w:cs="宋体"/>
                <w:b w:val="0"/>
                <w:i w:val="0"/>
                <w:color w:val="000000"/>
                <w:sz w:val="13"/>
              </w:rPr>
              <w:t xml:space="preserve">耕地建设与利用</w:t>
            </w:r>
          </w:p>
        </w:tc>
        <w:tc>
          <w:tcPr>
            <w:tcW w:w="960" w:type="dxa"/>
            <w:tcBorders/>
            <w:vAlign w:val="center"/>
          </w:tcPr>
          <w:p>
            <w:pPr>
              <w:jc w:val="right"/>
            </w:pPr>
            <w:r>
              <w:rPr>
                <w:rFonts w:ascii="宋体" w:eastAsia="宋体" w:hAnsi="宋体" w:cs="宋体"/>
                <w:b w:val="0"/>
                <w:i w:val="0"/>
                <w:color w:val="000000"/>
                <w:sz w:val="13"/>
              </w:rPr>
              <w:t xml:space="preserve">5.56</w:t>
            </w:r>
          </w:p>
        </w:tc>
        <w:tc>
          <w:tcPr>
            <w:tcW w:w="960" w:type="dxa"/>
            <w:tcBorders/>
            <w:vAlign w:val="center"/>
          </w:tcPr>
          <w:p>
            <w:pPr>
              <w:jc w:val="right"/>
            </w:pPr>
            <w:r>
              <w:rPr>
                <w:rFonts w:ascii="宋体" w:eastAsia="宋体" w:hAnsi="宋体" w:cs="宋体"/>
                <w:b w:val="0"/>
                <w:i w:val="0"/>
                <w:color w:val="000000"/>
                <w:sz w:val="13"/>
              </w:rPr>
              <w:t xml:space="preserve">5.56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96.00</w:t>
            </w:r>
          </w:p>
        </w:tc>
        <w:tc>
          <w:tcPr>
            <w:tcW w:w="960" w:type="dxa"/>
            <w:tcBorders/>
            <w:vAlign w:val="center"/>
          </w:tcPr>
          <w:p>
            <w:pPr>
              <w:jc w:val="right"/>
            </w:pPr>
            <w:r>
              <w:rPr>
                <w:rFonts w:ascii="宋体" w:eastAsia="宋体" w:hAnsi="宋体" w:cs="宋体"/>
                <w:b w:val="0"/>
                <w:i w:val="0"/>
                <w:color w:val="000000"/>
                <w:sz w:val="13"/>
              </w:rPr>
              <w:t xml:space="preserve">96.00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96.00</w:t>
            </w:r>
          </w:p>
        </w:tc>
        <w:tc>
          <w:tcPr>
            <w:tcW w:w="960" w:type="dxa"/>
            <w:tcBorders/>
            <w:vAlign w:val="center"/>
          </w:tcPr>
          <w:p>
            <w:pPr>
              <w:jc w:val="right"/>
            </w:pPr>
            <w:r>
              <w:rPr>
                <w:rFonts w:ascii="宋体" w:eastAsia="宋体" w:hAnsi="宋体" w:cs="宋体"/>
                <w:b w:val="0"/>
                <w:i w:val="0"/>
                <w:color w:val="000000"/>
                <w:sz w:val="13"/>
              </w:rPr>
              <w:t xml:space="preserve">96.00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73.23</w:t>
            </w:r>
          </w:p>
        </w:tc>
        <w:tc>
          <w:tcPr>
            <w:tcW w:w="960" w:type="dxa"/>
            <w:tcBorders/>
            <w:vAlign w:val="center"/>
          </w:tcPr>
          <w:p>
            <w:pPr>
              <w:jc w:val="right"/>
            </w:pPr>
            <w:r>
              <w:rPr>
                <w:rFonts w:ascii="宋体" w:eastAsia="宋体" w:hAnsi="宋体" w:cs="宋体"/>
                <w:b w:val="0"/>
                <w:i w:val="0"/>
                <w:color w:val="000000"/>
                <w:sz w:val="13"/>
              </w:rPr>
              <w:t xml:space="preserve">73.23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73.23</w:t>
            </w:r>
          </w:p>
        </w:tc>
        <w:tc>
          <w:tcPr>
            <w:tcW w:w="960" w:type="dxa"/>
            <w:tcBorders/>
            <w:vAlign w:val="center"/>
          </w:tcPr>
          <w:p>
            <w:pPr>
              <w:jc w:val="right"/>
            </w:pPr>
            <w:r>
              <w:rPr>
                <w:rFonts w:ascii="宋体" w:eastAsia="宋体" w:hAnsi="宋体" w:cs="宋体"/>
                <w:b w:val="0"/>
                <w:i w:val="0"/>
                <w:color w:val="000000"/>
                <w:sz w:val="13"/>
              </w:rPr>
              <w:t xml:space="preserve">73.23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6.53</w:t>
            </w:r>
          </w:p>
        </w:tc>
        <w:tc>
          <w:tcPr>
            <w:tcW w:w="960" w:type="dxa"/>
            <w:tcBorders/>
            <w:vAlign w:val="center"/>
          </w:tcPr>
          <w:p>
            <w:pPr>
              <w:jc w:val="right"/>
            </w:pPr>
            <w:r>
              <w:rPr>
                <w:rFonts w:ascii="宋体" w:eastAsia="宋体" w:hAnsi="宋体" w:cs="宋体"/>
                <w:b w:val="0"/>
                <w:i w:val="0"/>
                <w:color w:val="000000"/>
                <w:sz w:val="13"/>
              </w:rPr>
              <w:t xml:space="preserve">6.53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6.53</w:t>
            </w:r>
          </w:p>
        </w:tc>
        <w:tc>
          <w:tcPr>
            <w:tcW w:w="960" w:type="dxa"/>
            <w:tcBorders/>
            <w:vAlign w:val="center"/>
          </w:tcPr>
          <w:p>
            <w:pPr>
              <w:jc w:val="right"/>
            </w:pPr>
            <w:r>
              <w:rPr>
                <w:rFonts w:ascii="宋体" w:eastAsia="宋体" w:hAnsi="宋体" w:cs="宋体"/>
                <w:b w:val="0"/>
                <w:i w:val="0"/>
                <w:color w:val="000000"/>
                <w:sz w:val="13"/>
              </w:rPr>
              <w:t xml:space="preserve">6.53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13.92</w:t>
            </w:r>
          </w:p>
        </w:tc>
        <w:tc>
          <w:tcPr>
            <w:tcW w:w="960" w:type="dxa"/>
            <w:tcBorders/>
            <w:vAlign w:val="center"/>
          </w:tcPr>
          <w:p>
            <w:pPr>
              <w:jc w:val="right"/>
            </w:pPr>
            <w:r>
              <w:rPr>
                <w:rFonts w:ascii="宋体" w:eastAsia="宋体" w:hAnsi="宋体" w:cs="宋体"/>
                <w:b w:val="0"/>
                <w:i w:val="0"/>
                <w:color w:val="000000"/>
                <w:sz w:val="13"/>
              </w:rPr>
              <w:t xml:space="preserve">13.92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13.92</w:t>
            </w:r>
          </w:p>
        </w:tc>
        <w:tc>
          <w:tcPr>
            <w:tcW w:w="960" w:type="dxa"/>
            <w:tcBorders/>
            <w:vAlign w:val="center"/>
          </w:tcPr>
          <w:p>
            <w:pPr>
              <w:jc w:val="right"/>
            </w:pPr>
            <w:r>
              <w:rPr>
                <w:rFonts w:ascii="宋体" w:eastAsia="宋体" w:hAnsi="宋体" w:cs="宋体"/>
                <w:b w:val="0"/>
                <w:i w:val="0"/>
                <w:color w:val="000000"/>
                <w:sz w:val="13"/>
              </w:rPr>
              <w:t xml:space="preserve">13.92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13.92</w:t>
            </w:r>
          </w:p>
        </w:tc>
        <w:tc>
          <w:tcPr>
            <w:tcW w:w="960" w:type="dxa"/>
            <w:tcBorders/>
            <w:vAlign w:val="center"/>
          </w:tcPr>
          <w:p>
            <w:pPr>
              <w:jc w:val="right"/>
            </w:pPr>
            <w:r>
              <w:rPr>
                <w:rFonts w:ascii="宋体" w:eastAsia="宋体" w:hAnsi="宋体" w:cs="宋体"/>
                <w:b w:val="0"/>
                <w:i w:val="0"/>
                <w:color w:val="000000"/>
                <w:sz w:val="13"/>
              </w:rPr>
              <w:t xml:space="preserve">13.92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90.70</w:t>
            </w:r>
          </w:p>
        </w:tc>
        <w:tc>
          <w:tcPr>
            <w:tcW w:w="960" w:type="dxa"/>
            <w:tcBorders/>
            <w:vAlign w:val="center"/>
          </w:tcPr>
          <w:p>
            <w:pPr>
              <w:jc w:val="right"/>
            </w:pPr>
            <w:r>
              <w:rPr>
                <w:rFonts w:ascii="宋体" w:eastAsia="宋体" w:hAnsi="宋体" w:cs="宋体"/>
                <w:b w:val="0"/>
                <w:i w:val="0"/>
                <w:color w:val="000000"/>
                <w:sz w:val="13"/>
              </w:rPr>
              <w:t xml:space="preserve">90.70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90.70</w:t>
            </w:r>
          </w:p>
        </w:tc>
        <w:tc>
          <w:tcPr>
            <w:tcW w:w="960" w:type="dxa"/>
            <w:tcBorders/>
            <w:vAlign w:val="center"/>
          </w:tcPr>
          <w:p>
            <w:pPr>
              <w:jc w:val="right"/>
            </w:pPr>
            <w:r>
              <w:rPr>
                <w:rFonts w:ascii="宋体" w:eastAsia="宋体" w:hAnsi="宋体" w:cs="宋体"/>
                <w:b w:val="0"/>
                <w:i w:val="0"/>
                <w:color w:val="000000"/>
                <w:sz w:val="13"/>
              </w:rPr>
              <w:t xml:space="preserve">90.70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90.70</w:t>
            </w:r>
          </w:p>
        </w:tc>
        <w:tc>
          <w:tcPr>
            <w:tcW w:w="960" w:type="dxa"/>
            <w:tcBorders/>
            <w:vAlign w:val="center"/>
          </w:tcPr>
          <w:p>
            <w:pPr>
              <w:jc w:val="right"/>
            </w:pPr>
            <w:r>
              <w:rPr>
                <w:rFonts w:ascii="宋体" w:eastAsia="宋体" w:hAnsi="宋体" w:cs="宋体"/>
                <w:b w:val="0"/>
                <w:i w:val="0"/>
                <w:color w:val="000000"/>
                <w:sz w:val="13"/>
              </w:rPr>
              <w:t xml:space="preserve">90.70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2296002</w:t>
            </w:r>
          </w:p>
        </w:tc>
        <w:tc>
          <w:tcPr>
            <w:tcW w:w="3200" w:type="dxa"/>
            <w:tcBorders/>
            <w:vAlign w:val="center"/>
          </w:tcPr>
          <w:p>
            <w:pPr>
              <w:jc w:val="left"/>
            </w:pPr>
            <w:r>
              <w:rPr>
                <w:rFonts w:ascii="宋体" w:eastAsia="宋体" w:hAnsi="宋体" w:cs="宋体"/>
                <w:b w:val="0"/>
                <w:i w:val="0"/>
                <w:color w:val="000000"/>
                <w:sz w:val="13"/>
              </w:rPr>
              <w:t xml:space="preserve">用于社会福利的彩票公益金支出</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2,547.59</w:t>
            </w:r>
          </w:p>
        </w:tc>
        <w:tc>
          <w:tcPr>
            <w:tcW w:w="1060" w:type="dxa"/>
            <w:tcBorders/>
            <w:vAlign w:val="center"/>
          </w:tcPr>
          <w:p>
            <w:pPr>
              <w:jc w:val="right"/>
            </w:pPr>
            <w:r>
              <w:rPr>
                <w:rFonts w:ascii="宋体" w:eastAsia="宋体" w:hAnsi="宋体" w:cs="宋体"/>
                <w:b/>
                <w:i w:val="0"/>
                <w:color w:val="000000"/>
                <w:sz w:val="14"/>
              </w:rPr>
              <w:t xml:space="preserve">962.97</w:t>
            </w:r>
          </w:p>
        </w:tc>
        <w:tc>
          <w:tcPr>
            <w:tcW w:w="1060" w:type="dxa"/>
            <w:tcBorders/>
            <w:vAlign w:val="center"/>
          </w:tcPr>
          <w:p>
            <w:pPr>
              <w:jc w:val="right"/>
            </w:pPr>
            <w:r>
              <w:rPr>
                <w:rFonts w:ascii="宋体" w:eastAsia="宋体" w:hAnsi="宋体" w:cs="宋体"/>
                <w:b/>
                <w:i w:val="0"/>
                <w:color w:val="000000"/>
                <w:sz w:val="14"/>
              </w:rPr>
              <w:t xml:space="preserve">1,584.62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1,592.44</w:t>
            </w:r>
          </w:p>
        </w:tc>
        <w:tc>
          <w:tcPr>
            <w:tcW w:w="1060" w:type="dxa"/>
            <w:tcBorders/>
            <w:vAlign w:val="center"/>
          </w:tcPr>
          <w:p>
            <w:pPr>
              <w:jc w:val="right"/>
            </w:pPr>
            <w:r>
              <w:rPr>
                <w:rFonts w:ascii="宋体" w:eastAsia="宋体" w:hAnsi="宋体" w:cs="宋体"/>
                <w:b w:val="0"/>
                <w:i w:val="0"/>
                <w:color w:val="000000"/>
                <w:sz w:val="14"/>
              </w:rPr>
              <w:t xml:space="preserve">721.19</w:t>
            </w:r>
          </w:p>
        </w:tc>
        <w:tc>
          <w:tcPr>
            <w:tcW w:w="1060" w:type="dxa"/>
            <w:tcBorders/>
            <w:vAlign w:val="center"/>
          </w:tcPr>
          <w:p>
            <w:pPr>
              <w:jc w:val="right"/>
            </w:pPr>
            <w:r>
              <w:rPr>
                <w:rFonts w:ascii="宋体" w:eastAsia="宋体" w:hAnsi="宋体" w:cs="宋体"/>
                <w:b w:val="0"/>
                <w:i w:val="0"/>
                <w:color w:val="000000"/>
                <w:sz w:val="14"/>
              </w:rPr>
              <w:t xml:space="preserve">871.25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1,044.55</w:t>
            </w:r>
          </w:p>
        </w:tc>
        <w:tc>
          <w:tcPr>
            <w:tcW w:w="1060" w:type="dxa"/>
            <w:tcBorders/>
            <w:vAlign w:val="center"/>
          </w:tcPr>
          <w:p>
            <w:pPr>
              <w:jc w:val="right"/>
            </w:pPr>
            <w:r>
              <w:rPr>
                <w:rFonts w:ascii="宋体" w:eastAsia="宋体" w:hAnsi="宋体" w:cs="宋体"/>
                <w:b w:val="0"/>
                <w:i w:val="0"/>
                <w:color w:val="000000"/>
                <w:sz w:val="14"/>
              </w:rPr>
              <w:t xml:space="preserve">721.19</w:t>
            </w:r>
          </w:p>
        </w:tc>
        <w:tc>
          <w:tcPr>
            <w:tcW w:w="1060" w:type="dxa"/>
            <w:tcBorders/>
            <w:vAlign w:val="center"/>
          </w:tcPr>
          <w:p>
            <w:pPr>
              <w:jc w:val="right"/>
            </w:pPr>
            <w:r>
              <w:rPr>
                <w:rFonts w:ascii="宋体" w:eastAsia="宋体" w:hAnsi="宋体" w:cs="宋体"/>
                <w:b w:val="0"/>
                <w:i w:val="0"/>
                <w:color w:val="000000"/>
                <w:sz w:val="14"/>
              </w:rPr>
              <w:t xml:space="preserve">323.36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721.19</w:t>
            </w:r>
          </w:p>
        </w:tc>
        <w:tc>
          <w:tcPr>
            <w:tcW w:w="1060" w:type="dxa"/>
            <w:tcBorders/>
            <w:vAlign w:val="center"/>
          </w:tcPr>
          <w:p>
            <w:pPr>
              <w:jc w:val="right"/>
            </w:pPr>
            <w:r>
              <w:rPr>
                <w:rFonts w:ascii="宋体" w:eastAsia="宋体" w:hAnsi="宋体" w:cs="宋体"/>
                <w:b w:val="0"/>
                <w:i w:val="0"/>
                <w:color w:val="000000"/>
                <w:sz w:val="14"/>
              </w:rPr>
              <w:t xml:space="preserve">721.19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19.98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303.38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515.00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515.00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176.42</w:t>
            </w:r>
          </w:p>
        </w:tc>
        <w:tc>
          <w:tcPr>
            <w:tcW w:w="1060" w:type="dxa"/>
            <w:tcBorders/>
            <w:vAlign w:val="center"/>
          </w:tcPr>
          <w:p>
            <w:pPr>
              <w:jc w:val="right"/>
            </w:pPr>
            <w:r>
              <w:rPr>
                <w:rFonts w:ascii="宋体" w:eastAsia="宋体" w:hAnsi="宋体" w:cs="宋体"/>
                <w:b w:val="0"/>
                <w:i w:val="0"/>
                <w:color w:val="000000"/>
                <w:sz w:val="14"/>
              </w:rPr>
              <w:t xml:space="preserve">115.57</w:t>
            </w:r>
          </w:p>
        </w:tc>
        <w:tc>
          <w:tcPr>
            <w:tcW w:w="1060" w:type="dxa"/>
            <w:tcBorders/>
            <w:vAlign w:val="center"/>
          </w:tcPr>
          <w:p>
            <w:pPr>
              <w:jc w:val="right"/>
            </w:pPr>
            <w:r>
              <w:rPr>
                <w:rFonts w:ascii="宋体" w:eastAsia="宋体" w:hAnsi="宋体" w:cs="宋体"/>
                <w:b w:val="0"/>
                <w:i w:val="0"/>
                <w:color w:val="000000"/>
                <w:sz w:val="14"/>
              </w:rPr>
              <w:t xml:space="preserve">60.85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60.85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60.85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115.57</w:t>
            </w:r>
          </w:p>
        </w:tc>
        <w:tc>
          <w:tcPr>
            <w:tcW w:w="1060" w:type="dxa"/>
            <w:tcBorders/>
            <w:vAlign w:val="center"/>
          </w:tcPr>
          <w:p>
            <w:pPr>
              <w:jc w:val="right"/>
            </w:pPr>
            <w:r>
              <w:rPr>
                <w:rFonts w:ascii="宋体" w:eastAsia="宋体" w:hAnsi="宋体" w:cs="宋体"/>
                <w:b w:val="0"/>
                <w:i w:val="0"/>
                <w:color w:val="000000"/>
                <w:sz w:val="14"/>
              </w:rPr>
              <w:t xml:space="preserve">115.57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85.86</w:t>
            </w:r>
          </w:p>
        </w:tc>
        <w:tc>
          <w:tcPr>
            <w:tcW w:w="1060" w:type="dxa"/>
            <w:tcBorders/>
            <w:vAlign w:val="center"/>
          </w:tcPr>
          <w:p>
            <w:pPr>
              <w:jc w:val="right"/>
            </w:pPr>
            <w:r>
              <w:rPr>
                <w:rFonts w:ascii="宋体" w:eastAsia="宋体" w:hAnsi="宋体" w:cs="宋体"/>
                <w:b w:val="0"/>
                <w:i w:val="0"/>
                <w:color w:val="000000"/>
                <w:sz w:val="14"/>
              </w:rPr>
              <w:t xml:space="preserve">85.86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21.69</w:t>
            </w:r>
          </w:p>
        </w:tc>
        <w:tc>
          <w:tcPr>
            <w:tcW w:w="1060" w:type="dxa"/>
            <w:tcBorders/>
            <w:vAlign w:val="center"/>
          </w:tcPr>
          <w:p>
            <w:pPr>
              <w:jc w:val="right"/>
            </w:pPr>
            <w:r>
              <w:rPr>
                <w:rFonts w:ascii="宋体" w:eastAsia="宋体" w:hAnsi="宋体" w:cs="宋体"/>
                <w:b w:val="0"/>
                <w:i w:val="0"/>
                <w:color w:val="000000"/>
                <w:sz w:val="14"/>
              </w:rPr>
              <w:t xml:space="preserve">21.69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35.51</w:t>
            </w:r>
          </w:p>
        </w:tc>
        <w:tc>
          <w:tcPr>
            <w:tcW w:w="1060" w:type="dxa"/>
            <w:tcBorders/>
            <w:vAlign w:val="center"/>
          </w:tcPr>
          <w:p>
            <w:pPr>
              <w:jc w:val="right"/>
            </w:pPr>
            <w:r>
              <w:rPr>
                <w:rFonts w:ascii="宋体" w:eastAsia="宋体" w:hAnsi="宋体" w:cs="宋体"/>
                <w:b w:val="0"/>
                <w:i w:val="0"/>
                <w:color w:val="000000"/>
                <w:sz w:val="14"/>
              </w:rPr>
              <w:t xml:space="preserve">35.51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35.51</w:t>
            </w:r>
          </w:p>
        </w:tc>
        <w:tc>
          <w:tcPr>
            <w:tcW w:w="1060" w:type="dxa"/>
            <w:tcBorders/>
            <w:vAlign w:val="center"/>
          </w:tcPr>
          <w:p>
            <w:pPr>
              <w:jc w:val="right"/>
            </w:pPr>
            <w:r>
              <w:rPr>
                <w:rFonts w:ascii="宋体" w:eastAsia="宋体" w:hAnsi="宋体" w:cs="宋体"/>
                <w:b w:val="0"/>
                <w:i w:val="0"/>
                <w:color w:val="000000"/>
                <w:sz w:val="14"/>
              </w:rPr>
              <w:t xml:space="preserve">35.51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35.51</w:t>
            </w:r>
          </w:p>
        </w:tc>
        <w:tc>
          <w:tcPr>
            <w:tcW w:w="1060" w:type="dxa"/>
            <w:tcBorders/>
            <w:vAlign w:val="center"/>
          </w:tcPr>
          <w:p>
            <w:pPr>
              <w:jc w:val="right"/>
            </w:pPr>
            <w:r>
              <w:rPr>
                <w:rFonts w:ascii="宋体" w:eastAsia="宋体" w:hAnsi="宋体" w:cs="宋体"/>
                <w:b w:val="0"/>
                <w:i w:val="0"/>
                <w:color w:val="000000"/>
                <w:sz w:val="14"/>
              </w:rPr>
              <w:t xml:space="preserve">35.51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2110301</w:t>
            </w:r>
          </w:p>
        </w:tc>
        <w:tc>
          <w:tcPr>
            <w:tcW w:w="3440" w:type="dxa"/>
            <w:tcBorders/>
            <w:vAlign w:val="center"/>
          </w:tcPr>
          <w:p>
            <w:pPr>
              <w:jc w:val="left"/>
            </w:pPr>
            <w:r>
              <w:rPr>
                <w:rFonts w:ascii="宋体" w:eastAsia="宋体" w:hAnsi="宋体" w:cs="宋体"/>
                <w:b w:val="0"/>
                <w:i w:val="0"/>
                <w:color w:val="000000"/>
                <w:sz w:val="14"/>
              </w:rPr>
              <w:t xml:space="preserve">大气</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324.56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324.56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319.56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319.56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319.50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319.50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0.06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224.05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43.29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21.75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15.98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2130153</w:t>
            </w:r>
          </w:p>
        </w:tc>
        <w:tc>
          <w:tcPr>
            <w:tcW w:w="3440" w:type="dxa"/>
            <w:tcBorders/>
            <w:vAlign w:val="center"/>
          </w:tcPr>
          <w:p>
            <w:pPr>
              <w:jc w:val="left"/>
            </w:pPr>
            <w:r>
              <w:rPr>
                <w:rFonts w:ascii="宋体" w:eastAsia="宋体" w:hAnsi="宋体" w:cs="宋体"/>
                <w:b w:val="0"/>
                <w:i w:val="0"/>
                <w:color w:val="000000"/>
                <w:sz w:val="14"/>
              </w:rPr>
              <w:t xml:space="preserve">耕地建设与利用</w:t>
            </w:r>
          </w:p>
        </w:tc>
        <w:tc>
          <w:tcPr>
            <w:tcW w:w="1060" w:type="dxa"/>
            <w:tcBorders/>
            <w:vAlign w:val="center"/>
          </w:tcPr>
          <w:p>
            <w:pPr>
              <w:jc w:val="right"/>
            </w:pPr>
            <w:r>
              <w:rPr>
                <w:rFonts w:ascii="宋体" w:eastAsia="宋体" w:hAnsi="宋体" w:cs="宋体"/>
                <w:b w:val="0"/>
                <w:i w:val="0"/>
                <w:color w:val="000000"/>
                <w:sz w:val="14"/>
              </w:rPr>
              <w:t xml:space="preserve">5.56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96.00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96.00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73.23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73.23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6.53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6.53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13.92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13.92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13.92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90.70</w:t>
            </w:r>
          </w:p>
        </w:tc>
        <w:tc>
          <w:tcPr>
            <w:tcW w:w="1060" w:type="dxa"/>
            <w:tcBorders/>
            <w:vAlign w:val="center"/>
          </w:tcPr>
          <w:p>
            <w:pPr>
              <w:jc w:val="right"/>
            </w:pPr>
            <w:r>
              <w:rPr>
                <w:rFonts w:ascii="宋体" w:eastAsia="宋体" w:hAnsi="宋体" w:cs="宋体"/>
                <w:b w:val="0"/>
                <w:i w:val="0"/>
                <w:color w:val="000000"/>
                <w:sz w:val="14"/>
              </w:rPr>
              <w:t xml:space="preserve">90.70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90.70</w:t>
            </w:r>
          </w:p>
        </w:tc>
        <w:tc>
          <w:tcPr>
            <w:tcW w:w="1060" w:type="dxa"/>
            <w:tcBorders/>
            <w:vAlign w:val="center"/>
          </w:tcPr>
          <w:p>
            <w:pPr>
              <w:jc w:val="right"/>
            </w:pPr>
            <w:r>
              <w:rPr>
                <w:rFonts w:ascii="宋体" w:eastAsia="宋体" w:hAnsi="宋体" w:cs="宋体"/>
                <w:b w:val="0"/>
                <w:i w:val="0"/>
                <w:color w:val="000000"/>
                <w:sz w:val="14"/>
              </w:rPr>
              <w:t xml:space="preserve">90.70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90.70</w:t>
            </w:r>
          </w:p>
        </w:tc>
        <w:tc>
          <w:tcPr>
            <w:tcW w:w="1060" w:type="dxa"/>
            <w:tcBorders/>
            <w:vAlign w:val="center"/>
          </w:tcPr>
          <w:p>
            <w:pPr>
              <w:jc w:val="right"/>
            </w:pPr>
            <w:r>
              <w:rPr>
                <w:rFonts w:ascii="宋体" w:eastAsia="宋体" w:hAnsi="宋体" w:cs="宋体"/>
                <w:b w:val="0"/>
                <w:i w:val="0"/>
                <w:color w:val="000000"/>
                <w:sz w:val="14"/>
              </w:rPr>
              <w:t xml:space="preserve">90.70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2296002</w:t>
            </w:r>
          </w:p>
        </w:tc>
        <w:tc>
          <w:tcPr>
            <w:tcW w:w="3440" w:type="dxa"/>
            <w:tcBorders/>
            <w:vAlign w:val="center"/>
          </w:tcPr>
          <w:p>
            <w:pPr>
              <w:jc w:val="left"/>
            </w:pPr>
            <w:r>
              <w:rPr>
                <w:rFonts w:ascii="宋体" w:eastAsia="宋体" w:hAnsi="宋体" w:cs="宋体"/>
                <w:b w:val="0"/>
                <w:i w:val="0"/>
                <w:color w:val="000000"/>
                <w:sz w:val="14"/>
              </w:rPr>
              <w:t xml:space="preserve">用于社会福利的彩票公益金支出</w:t>
            </w: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2,158.03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1,592.44</w:t>
            </w:r>
          </w:p>
        </w:tc>
        <w:tc>
          <w:tcPr>
            <w:tcW w:w="1100" w:type="dxa"/>
            <w:tcBorders/>
            <w:vAlign w:val="center"/>
          </w:tcPr>
          <w:p>
            <w:pPr>
              <w:jc w:val="right"/>
            </w:pPr>
            <w:r>
              <w:rPr>
                <w:rFonts w:ascii="宋体" w:eastAsia="宋体" w:hAnsi="宋体" w:cs="宋体"/>
                <w:b w:val="0"/>
                <w:i w:val="0"/>
                <w:color w:val="000000"/>
                <w:sz w:val="14"/>
              </w:rPr>
              <w:t xml:space="preserve">1,592.44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389.56</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176.42</w:t>
            </w:r>
          </w:p>
        </w:tc>
        <w:tc>
          <w:tcPr>
            <w:tcW w:w="1100" w:type="dxa"/>
            <w:tcBorders/>
            <w:vAlign w:val="center"/>
          </w:tcPr>
          <w:p>
            <w:pPr>
              <w:jc w:val="right"/>
            </w:pPr>
            <w:r>
              <w:rPr>
                <w:rFonts w:ascii="宋体" w:eastAsia="宋体" w:hAnsi="宋体" w:cs="宋体"/>
                <w:b w:val="0"/>
                <w:i w:val="0"/>
                <w:color w:val="000000"/>
                <w:sz w:val="14"/>
              </w:rPr>
              <w:t xml:space="preserve">176.42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35.51</w:t>
            </w:r>
          </w:p>
        </w:tc>
        <w:tc>
          <w:tcPr>
            <w:tcW w:w="1100" w:type="dxa"/>
            <w:tcBorders/>
            <w:vAlign w:val="center"/>
          </w:tcPr>
          <w:p>
            <w:pPr>
              <w:jc w:val="right"/>
            </w:pPr>
            <w:r>
              <w:rPr>
                <w:rFonts w:ascii="宋体" w:eastAsia="宋体" w:hAnsi="宋体" w:cs="宋体"/>
                <w:b w:val="0"/>
                <w:i w:val="0"/>
                <w:color w:val="000000"/>
                <w:sz w:val="14"/>
              </w:rPr>
              <w:t xml:space="preserve">35.51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324.56</w:t>
            </w:r>
          </w:p>
        </w:tc>
        <w:tc>
          <w:tcPr>
            <w:tcW w:w="1100" w:type="dxa"/>
            <w:tcBorders/>
            <w:vAlign w:val="center"/>
          </w:tcPr>
          <w:p>
            <w:pPr>
              <w:jc w:val="right"/>
            </w:pPr>
            <w:r>
              <w:rPr>
                <w:rFonts w:ascii="宋体" w:eastAsia="宋体" w:hAnsi="宋体" w:cs="宋体"/>
                <w:b w:val="0"/>
                <w:i w:val="0"/>
                <w:color w:val="000000"/>
                <w:sz w:val="14"/>
              </w:rPr>
              <w:t xml:space="preserve">5.00</w:t>
            </w:r>
          </w:p>
        </w:tc>
        <w:tc>
          <w:tcPr>
            <w:tcW w:w="1100" w:type="dxa"/>
            <w:tcBorders/>
            <w:vAlign w:val="center"/>
          </w:tcPr>
          <w:p>
            <w:pPr>
              <w:jc w:val="right"/>
            </w:pPr>
            <w:r>
              <w:rPr>
                <w:rFonts w:ascii="宋体" w:eastAsia="宋体" w:hAnsi="宋体" w:cs="宋体"/>
                <w:b w:val="0"/>
                <w:i w:val="0"/>
                <w:color w:val="000000"/>
                <w:sz w:val="14"/>
              </w:rPr>
              <w:t xml:space="preserve">319.56</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224.04</w:t>
            </w:r>
          </w:p>
        </w:tc>
        <w:tc>
          <w:tcPr>
            <w:tcW w:w="1100" w:type="dxa"/>
            <w:tcBorders/>
            <w:vAlign w:val="center"/>
          </w:tcPr>
          <w:p>
            <w:pPr>
              <w:jc w:val="right"/>
            </w:pPr>
            <w:r>
              <w:rPr>
                <w:rFonts w:ascii="宋体" w:eastAsia="宋体" w:hAnsi="宋体" w:cs="宋体"/>
                <w:b w:val="0"/>
                <w:i w:val="0"/>
                <w:color w:val="000000"/>
                <w:sz w:val="14"/>
              </w:rPr>
              <w:t xml:space="preserve">224.04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13.92</w:t>
            </w:r>
          </w:p>
        </w:tc>
        <w:tc>
          <w:tcPr>
            <w:tcW w:w="1100" w:type="dxa"/>
            <w:tcBorders/>
            <w:vAlign w:val="center"/>
          </w:tcPr>
          <w:p>
            <w:pPr>
              <w:jc w:val="right"/>
            </w:pPr>
            <w:r>
              <w:rPr>
                <w:rFonts w:ascii="宋体" w:eastAsia="宋体" w:hAnsi="宋体" w:cs="宋体"/>
                <w:b w:val="0"/>
                <w:i w:val="0"/>
                <w:color w:val="000000"/>
                <w:sz w:val="14"/>
              </w:rPr>
              <w:t xml:space="preserve">13.92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90.70</w:t>
            </w:r>
          </w:p>
        </w:tc>
        <w:tc>
          <w:tcPr>
            <w:tcW w:w="1100" w:type="dxa"/>
            <w:tcBorders/>
            <w:vAlign w:val="center"/>
          </w:tcPr>
          <w:p>
            <w:pPr>
              <w:jc w:val="right"/>
            </w:pPr>
            <w:r>
              <w:rPr>
                <w:rFonts w:ascii="宋体" w:eastAsia="宋体" w:hAnsi="宋体" w:cs="宋体"/>
                <w:b w:val="0"/>
                <w:i w:val="0"/>
                <w:color w:val="000000"/>
                <w:sz w:val="14"/>
              </w:rPr>
              <w:t xml:space="preserve">90.70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70.00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70.00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2,547.59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2,547.59</w:t>
            </w:r>
          </w:p>
        </w:tc>
        <w:tc>
          <w:tcPr>
            <w:tcW w:w="1100" w:type="dxa"/>
            <w:tcBorders/>
            <w:vAlign w:val="center"/>
          </w:tcPr>
          <w:p>
            <w:pPr>
              <w:jc w:val="right"/>
            </w:pPr>
            <w:r>
              <w:rPr>
                <w:rFonts w:ascii="宋体" w:eastAsia="宋体" w:hAnsi="宋体" w:cs="宋体"/>
                <w:b w:val="0"/>
                <w:i w:val="0"/>
                <w:color w:val="000000"/>
                <w:sz w:val="14"/>
              </w:rPr>
              <w:t xml:space="preserve">2,158.03</w:t>
            </w:r>
          </w:p>
        </w:tc>
        <w:tc>
          <w:tcPr>
            <w:tcW w:w="1100" w:type="dxa"/>
            <w:tcBorders/>
            <w:vAlign w:val="center"/>
          </w:tcPr>
          <w:p>
            <w:pPr>
              <w:jc w:val="right"/>
            </w:pPr>
            <w:r>
              <w:rPr>
                <w:rFonts w:ascii="宋体" w:eastAsia="宋体" w:hAnsi="宋体" w:cs="宋体"/>
                <w:b w:val="0"/>
                <w:i w:val="0"/>
                <w:color w:val="000000"/>
                <w:sz w:val="14"/>
              </w:rPr>
              <w:t xml:space="preserve">389.56</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2,547.59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2,547.59</w:t>
            </w:r>
          </w:p>
        </w:tc>
        <w:tc>
          <w:tcPr>
            <w:tcW w:w="1100" w:type="dxa"/>
            <w:tcBorders/>
            <w:vAlign w:val="center"/>
          </w:tcPr>
          <w:p>
            <w:pPr>
              <w:jc w:val="right"/>
            </w:pPr>
            <w:r>
              <w:rPr>
                <w:rFonts w:ascii="宋体" w:eastAsia="宋体" w:hAnsi="宋体" w:cs="宋体"/>
                <w:b w:val="0"/>
                <w:i w:val="0"/>
                <w:color w:val="000000"/>
                <w:sz w:val="14"/>
              </w:rPr>
              <w:t xml:space="preserve">2,158.03</w:t>
            </w:r>
          </w:p>
        </w:tc>
        <w:tc>
          <w:tcPr>
            <w:tcW w:w="1100" w:type="dxa"/>
            <w:tcBorders/>
            <w:vAlign w:val="center"/>
          </w:tcPr>
          <w:p>
            <w:pPr>
              <w:jc w:val="right"/>
            </w:pPr>
            <w:r>
              <w:rPr>
                <w:rFonts w:ascii="宋体" w:eastAsia="宋体" w:hAnsi="宋体" w:cs="宋体"/>
                <w:b w:val="0"/>
                <w:i w:val="0"/>
                <w:color w:val="000000"/>
                <w:sz w:val="14"/>
              </w:rPr>
              <w:t xml:space="preserve">389.56</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2,158.03</w:t>
            </w:r>
          </w:p>
        </w:tc>
        <w:tc>
          <w:tcPr>
            <w:tcW w:w="1780" w:type="dxa"/>
            <w:tcBorders/>
            <w:vAlign w:val="center"/>
          </w:tcPr>
          <w:p>
            <w:pPr>
              <w:jc w:val="right"/>
            </w:pPr>
            <w:r>
              <w:rPr>
                <w:rFonts w:ascii="宋体" w:eastAsia="宋体" w:hAnsi="宋体" w:cs="宋体"/>
                <w:b/>
                <w:i w:val="0"/>
                <w:color w:val="000000"/>
                <w:sz w:val="18"/>
              </w:rPr>
              <w:t xml:space="preserve">962.97</w:t>
            </w:r>
          </w:p>
        </w:tc>
        <w:tc>
          <w:tcPr>
            <w:tcW w:w="1772" w:type="dxa"/>
            <w:tcBorders/>
            <w:vAlign w:val="center"/>
          </w:tcPr>
          <w:p>
            <w:pPr>
              <w:jc w:val="right"/>
            </w:pPr>
            <w:r>
              <w:rPr>
                <w:rFonts w:ascii="宋体" w:eastAsia="宋体" w:hAnsi="宋体" w:cs="宋体"/>
                <w:b/>
                <w:i w:val="0"/>
                <w:color w:val="000000"/>
                <w:sz w:val="18"/>
              </w:rPr>
              <w:t xml:space="preserve">1,195.06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1,592.44</w:t>
            </w:r>
          </w:p>
        </w:tc>
        <w:tc>
          <w:tcPr>
            <w:tcW w:w="1780" w:type="dxa"/>
            <w:tcBorders/>
            <w:vAlign w:val="center"/>
          </w:tcPr>
          <w:p>
            <w:pPr>
              <w:jc w:val="right"/>
            </w:pPr>
            <w:r>
              <w:rPr>
                <w:rFonts w:ascii="宋体" w:eastAsia="宋体" w:hAnsi="宋体" w:cs="宋体"/>
                <w:b w:val="0"/>
                <w:i w:val="0"/>
                <w:color w:val="000000"/>
                <w:sz w:val="18"/>
              </w:rPr>
              <w:t xml:space="preserve">721.19</w:t>
            </w:r>
          </w:p>
        </w:tc>
        <w:tc>
          <w:tcPr>
            <w:tcW w:w="1772" w:type="dxa"/>
            <w:tcBorders/>
            <w:vAlign w:val="center"/>
          </w:tcPr>
          <w:p>
            <w:pPr>
              <w:jc w:val="right"/>
            </w:pPr>
            <w:r>
              <w:rPr>
                <w:rFonts w:ascii="宋体" w:eastAsia="宋体" w:hAnsi="宋体" w:cs="宋体"/>
                <w:b w:val="0"/>
                <w:i w:val="0"/>
                <w:color w:val="000000"/>
                <w:sz w:val="18"/>
              </w:rPr>
              <w:t xml:space="preserve">871.25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1,044.55</w:t>
            </w:r>
          </w:p>
        </w:tc>
        <w:tc>
          <w:tcPr>
            <w:tcW w:w="1780" w:type="dxa"/>
            <w:tcBorders/>
            <w:vAlign w:val="center"/>
          </w:tcPr>
          <w:p>
            <w:pPr>
              <w:jc w:val="right"/>
            </w:pPr>
            <w:r>
              <w:rPr>
                <w:rFonts w:ascii="宋体" w:eastAsia="宋体" w:hAnsi="宋体" w:cs="宋体"/>
                <w:b w:val="0"/>
                <w:i w:val="0"/>
                <w:color w:val="000000"/>
                <w:sz w:val="18"/>
              </w:rPr>
              <w:t xml:space="preserve">721.19</w:t>
            </w:r>
          </w:p>
        </w:tc>
        <w:tc>
          <w:tcPr>
            <w:tcW w:w="1772" w:type="dxa"/>
            <w:tcBorders/>
            <w:vAlign w:val="center"/>
          </w:tcPr>
          <w:p>
            <w:pPr>
              <w:jc w:val="right"/>
            </w:pPr>
            <w:r>
              <w:rPr>
                <w:rFonts w:ascii="宋体" w:eastAsia="宋体" w:hAnsi="宋体" w:cs="宋体"/>
                <w:b w:val="0"/>
                <w:i w:val="0"/>
                <w:color w:val="000000"/>
                <w:sz w:val="18"/>
              </w:rPr>
              <w:t xml:space="preserve">323.36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721.19</w:t>
            </w:r>
          </w:p>
        </w:tc>
        <w:tc>
          <w:tcPr>
            <w:tcW w:w="1780" w:type="dxa"/>
            <w:tcBorders/>
            <w:vAlign w:val="center"/>
          </w:tcPr>
          <w:p>
            <w:pPr>
              <w:jc w:val="right"/>
            </w:pPr>
            <w:r>
              <w:rPr>
                <w:rFonts w:ascii="宋体" w:eastAsia="宋体" w:hAnsi="宋体" w:cs="宋体"/>
                <w:b w:val="0"/>
                <w:i w:val="0"/>
                <w:color w:val="000000"/>
                <w:sz w:val="18"/>
              </w:rPr>
              <w:t xml:space="preserve">721.19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19.98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303.38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303.38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27.50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27.50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4.39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4.39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515.00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515.00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515.00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515.00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176.42</w:t>
            </w:r>
          </w:p>
        </w:tc>
        <w:tc>
          <w:tcPr>
            <w:tcW w:w="1780" w:type="dxa"/>
            <w:tcBorders/>
            <w:vAlign w:val="center"/>
          </w:tcPr>
          <w:p>
            <w:pPr>
              <w:jc w:val="right"/>
            </w:pPr>
            <w:r>
              <w:rPr>
                <w:rFonts w:ascii="宋体" w:eastAsia="宋体" w:hAnsi="宋体" w:cs="宋体"/>
                <w:b w:val="0"/>
                <w:i w:val="0"/>
                <w:color w:val="000000"/>
                <w:sz w:val="18"/>
              </w:rPr>
              <w:t xml:space="preserve">115.57</w:t>
            </w:r>
          </w:p>
        </w:tc>
        <w:tc>
          <w:tcPr>
            <w:tcW w:w="1772" w:type="dxa"/>
            <w:tcBorders/>
            <w:vAlign w:val="center"/>
          </w:tcPr>
          <w:p>
            <w:pPr>
              <w:jc w:val="right"/>
            </w:pPr>
            <w:r>
              <w:rPr>
                <w:rFonts w:ascii="宋体" w:eastAsia="宋体" w:hAnsi="宋体" w:cs="宋体"/>
                <w:b w:val="0"/>
                <w:i w:val="0"/>
                <w:color w:val="000000"/>
                <w:sz w:val="18"/>
              </w:rPr>
              <w:t xml:space="preserve">60.85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60.85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60.85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115.57</w:t>
            </w:r>
          </w:p>
        </w:tc>
        <w:tc>
          <w:tcPr>
            <w:tcW w:w="1780" w:type="dxa"/>
            <w:tcBorders/>
            <w:vAlign w:val="center"/>
          </w:tcPr>
          <w:p>
            <w:pPr>
              <w:jc w:val="right"/>
            </w:pPr>
            <w:r>
              <w:rPr>
                <w:rFonts w:ascii="宋体" w:eastAsia="宋体" w:hAnsi="宋体" w:cs="宋体"/>
                <w:b w:val="0"/>
                <w:i w:val="0"/>
                <w:color w:val="000000"/>
                <w:sz w:val="18"/>
              </w:rPr>
              <w:t xml:space="preserve">115.57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85.86</w:t>
            </w:r>
          </w:p>
        </w:tc>
        <w:tc>
          <w:tcPr>
            <w:tcW w:w="1780" w:type="dxa"/>
            <w:tcBorders/>
            <w:vAlign w:val="center"/>
          </w:tcPr>
          <w:p>
            <w:pPr>
              <w:jc w:val="right"/>
            </w:pPr>
            <w:r>
              <w:rPr>
                <w:rFonts w:ascii="宋体" w:eastAsia="宋体" w:hAnsi="宋体" w:cs="宋体"/>
                <w:b w:val="0"/>
                <w:i w:val="0"/>
                <w:color w:val="000000"/>
                <w:sz w:val="18"/>
              </w:rPr>
              <w:t xml:space="preserve">85.86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21.69</w:t>
            </w:r>
          </w:p>
        </w:tc>
        <w:tc>
          <w:tcPr>
            <w:tcW w:w="1780" w:type="dxa"/>
            <w:tcBorders/>
            <w:vAlign w:val="center"/>
          </w:tcPr>
          <w:p>
            <w:pPr>
              <w:jc w:val="right"/>
            </w:pPr>
            <w:r>
              <w:rPr>
                <w:rFonts w:ascii="宋体" w:eastAsia="宋体" w:hAnsi="宋体" w:cs="宋体"/>
                <w:b w:val="0"/>
                <w:i w:val="0"/>
                <w:color w:val="000000"/>
                <w:sz w:val="18"/>
              </w:rPr>
              <w:t xml:space="preserve">21.69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35.51</w:t>
            </w:r>
          </w:p>
        </w:tc>
        <w:tc>
          <w:tcPr>
            <w:tcW w:w="1780" w:type="dxa"/>
            <w:tcBorders/>
            <w:vAlign w:val="center"/>
          </w:tcPr>
          <w:p>
            <w:pPr>
              <w:jc w:val="right"/>
            </w:pPr>
            <w:r>
              <w:rPr>
                <w:rFonts w:ascii="宋体" w:eastAsia="宋体" w:hAnsi="宋体" w:cs="宋体"/>
                <w:b w:val="0"/>
                <w:i w:val="0"/>
                <w:color w:val="000000"/>
                <w:sz w:val="18"/>
              </w:rPr>
              <w:t xml:space="preserve">35.51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35.51</w:t>
            </w:r>
          </w:p>
        </w:tc>
        <w:tc>
          <w:tcPr>
            <w:tcW w:w="1780" w:type="dxa"/>
            <w:tcBorders/>
            <w:vAlign w:val="center"/>
          </w:tcPr>
          <w:p>
            <w:pPr>
              <w:jc w:val="right"/>
            </w:pPr>
            <w:r>
              <w:rPr>
                <w:rFonts w:ascii="宋体" w:eastAsia="宋体" w:hAnsi="宋体" w:cs="宋体"/>
                <w:b w:val="0"/>
                <w:i w:val="0"/>
                <w:color w:val="000000"/>
                <w:sz w:val="18"/>
              </w:rPr>
              <w:t xml:space="preserve">35.51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35.51</w:t>
            </w:r>
          </w:p>
        </w:tc>
        <w:tc>
          <w:tcPr>
            <w:tcW w:w="1780" w:type="dxa"/>
            <w:tcBorders/>
            <w:vAlign w:val="center"/>
          </w:tcPr>
          <w:p>
            <w:pPr>
              <w:jc w:val="right"/>
            </w:pPr>
            <w:r>
              <w:rPr>
                <w:rFonts w:ascii="宋体" w:eastAsia="宋体" w:hAnsi="宋体" w:cs="宋体"/>
                <w:b w:val="0"/>
                <w:i w:val="0"/>
                <w:color w:val="000000"/>
                <w:sz w:val="18"/>
              </w:rPr>
              <w:t xml:space="preserve">35.51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2110301</w:t>
            </w:r>
          </w:p>
        </w:tc>
        <w:tc>
          <w:tcPr>
            <w:tcW w:w="4300" w:type="dxa"/>
            <w:tcBorders/>
            <w:vAlign w:val="center"/>
          </w:tcPr>
          <w:p>
            <w:pPr>
              <w:jc w:val="left"/>
            </w:pPr>
            <w:r>
              <w:rPr>
                <w:rFonts w:ascii="宋体" w:eastAsia="宋体" w:hAnsi="宋体" w:cs="宋体"/>
                <w:b w:val="0"/>
                <w:i w:val="0"/>
                <w:color w:val="000000"/>
                <w:sz w:val="18"/>
              </w:rPr>
              <w:t xml:space="preserve">大气</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224.05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224.05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43.29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21.75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15.98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2130153</w:t>
            </w:r>
          </w:p>
        </w:tc>
        <w:tc>
          <w:tcPr>
            <w:tcW w:w="4300" w:type="dxa"/>
            <w:tcBorders/>
            <w:vAlign w:val="center"/>
          </w:tcPr>
          <w:p>
            <w:pPr>
              <w:jc w:val="left"/>
            </w:pPr>
            <w:r>
              <w:rPr>
                <w:rFonts w:ascii="宋体" w:eastAsia="宋体" w:hAnsi="宋体" w:cs="宋体"/>
                <w:b w:val="0"/>
                <w:i w:val="0"/>
                <w:color w:val="000000"/>
                <w:sz w:val="18"/>
              </w:rPr>
              <w:t xml:space="preserve">耕地建设与利用</w:t>
            </w:r>
          </w:p>
        </w:tc>
        <w:tc>
          <w:tcPr>
            <w:tcW w:w="1780" w:type="dxa"/>
            <w:tcBorders/>
            <w:vAlign w:val="center"/>
          </w:tcPr>
          <w:p>
            <w:pPr>
              <w:jc w:val="right"/>
            </w:pPr>
            <w:r>
              <w:rPr>
                <w:rFonts w:ascii="宋体" w:eastAsia="宋体" w:hAnsi="宋体" w:cs="宋体"/>
                <w:b w:val="0"/>
                <w:i w:val="0"/>
                <w:color w:val="000000"/>
                <w:sz w:val="18"/>
              </w:rPr>
              <w:t xml:space="preserve">5.56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96.00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96.00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73.23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73.23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6.53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6.53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13.92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13.92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13.92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90.70</w:t>
            </w:r>
          </w:p>
        </w:tc>
        <w:tc>
          <w:tcPr>
            <w:tcW w:w="1780" w:type="dxa"/>
            <w:tcBorders/>
            <w:vAlign w:val="center"/>
          </w:tcPr>
          <w:p>
            <w:pPr>
              <w:jc w:val="right"/>
            </w:pPr>
            <w:r>
              <w:rPr>
                <w:rFonts w:ascii="宋体" w:eastAsia="宋体" w:hAnsi="宋体" w:cs="宋体"/>
                <w:b w:val="0"/>
                <w:i w:val="0"/>
                <w:color w:val="000000"/>
                <w:sz w:val="18"/>
              </w:rPr>
              <w:t xml:space="preserve">90.70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90.70</w:t>
            </w:r>
          </w:p>
        </w:tc>
        <w:tc>
          <w:tcPr>
            <w:tcW w:w="1780" w:type="dxa"/>
            <w:tcBorders/>
            <w:vAlign w:val="center"/>
          </w:tcPr>
          <w:p>
            <w:pPr>
              <w:jc w:val="right"/>
            </w:pPr>
            <w:r>
              <w:rPr>
                <w:rFonts w:ascii="宋体" w:eastAsia="宋体" w:hAnsi="宋体" w:cs="宋体"/>
                <w:b w:val="0"/>
                <w:i w:val="0"/>
                <w:color w:val="000000"/>
                <w:sz w:val="18"/>
              </w:rPr>
              <w:t xml:space="preserve">90.70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90.70</w:t>
            </w:r>
          </w:p>
        </w:tc>
        <w:tc>
          <w:tcPr>
            <w:tcW w:w="1780" w:type="dxa"/>
            <w:tcBorders/>
            <w:vAlign w:val="center"/>
          </w:tcPr>
          <w:p>
            <w:pPr>
              <w:jc w:val="right"/>
            </w:pPr>
            <w:r>
              <w:rPr>
                <w:rFonts w:ascii="宋体" w:eastAsia="宋体" w:hAnsi="宋体" w:cs="宋体"/>
                <w:b w:val="0"/>
                <w:i w:val="0"/>
                <w:color w:val="000000"/>
                <w:sz w:val="18"/>
              </w:rPr>
              <w:t xml:space="preserve">90.70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845.14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105.31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216.09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11.99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117.99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194.33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19.21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61.02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2.76</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85.86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16.69</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21.69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30.25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35.51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11.09</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2.75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90.70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12.52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8.02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4.50</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4.78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27.74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857.66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105.31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389.56</w:t>
            </w:r>
          </w:p>
        </w:tc>
        <w:tc>
          <w:tcPr>
            <w:tcW w:w="1040" w:type="dxa"/>
            <w:tcBorders/>
            <w:vAlign w:val="center"/>
          </w:tcPr>
          <w:p>
            <w:pPr>
              <w:jc w:val="right"/>
            </w:pPr>
            <w:r>
              <w:rPr>
                <w:rFonts w:ascii="宋体" w:eastAsia="宋体" w:hAnsi="宋体" w:cs="宋体"/>
                <w:b/>
                <w:i w:val="0"/>
                <w:color w:val="000000"/>
                <w:sz w:val="15"/>
              </w:rPr>
              <w:t xml:space="preserve">389.56</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389.56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319.56</w:t>
            </w:r>
          </w:p>
        </w:tc>
        <w:tc>
          <w:tcPr>
            <w:tcW w:w="1040" w:type="dxa"/>
            <w:tcBorders/>
            <w:vAlign w:val="center"/>
          </w:tcPr>
          <w:p>
            <w:pPr>
              <w:jc w:val="right"/>
            </w:pPr>
            <w:r>
              <w:rPr>
                <w:rFonts w:ascii="宋体" w:eastAsia="宋体" w:hAnsi="宋体" w:cs="宋体"/>
                <w:b w:val="0"/>
                <w:i w:val="0"/>
                <w:color w:val="000000"/>
                <w:sz w:val="15"/>
              </w:rPr>
              <w:t xml:space="preserve">319.56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319.56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319.56</w:t>
            </w:r>
          </w:p>
        </w:tc>
        <w:tc>
          <w:tcPr>
            <w:tcW w:w="1040" w:type="dxa"/>
            <w:tcBorders/>
            <w:vAlign w:val="center"/>
          </w:tcPr>
          <w:p>
            <w:pPr>
              <w:jc w:val="right"/>
            </w:pPr>
            <w:r>
              <w:rPr>
                <w:rFonts w:ascii="宋体" w:eastAsia="宋体" w:hAnsi="宋体" w:cs="宋体"/>
                <w:b w:val="0"/>
                <w:i w:val="0"/>
                <w:color w:val="000000"/>
                <w:sz w:val="15"/>
              </w:rPr>
              <w:t xml:space="preserve">319.56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319.56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319.50</w:t>
            </w:r>
          </w:p>
        </w:tc>
        <w:tc>
          <w:tcPr>
            <w:tcW w:w="1040" w:type="dxa"/>
            <w:tcBorders/>
            <w:vAlign w:val="center"/>
          </w:tcPr>
          <w:p>
            <w:pPr>
              <w:jc w:val="right"/>
            </w:pPr>
            <w:r>
              <w:rPr>
                <w:rFonts w:ascii="宋体" w:eastAsia="宋体" w:hAnsi="宋体" w:cs="宋体"/>
                <w:b w:val="0"/>
                <w:i w:val="0"/>
                <w:color w:val="000000"/>
                <w:sz w:val="15"/>
              </w:rPr>
              <w:t xml:space="preserve">319.50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319.50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0.06</w:t>
            </w:r>
          </w:p>
        </w:tc>
        <w:tc>
          <w:tcPr>
            <w:tcW w:w="1040" w:type="dxa"/>
            <w:tcBorders/>
            <w:vAlign w:val="center"/>
          </w:tcPr>
          <w:p>
            <w:pPr>
              <w:jc w:val="right"/>
            </w:pPr>
            <w:r>
              <w:rPr>
                <w:rFonts w:ascii="宋体" w:eastAsia="宋体" w:hAnsi="宋体" w:cs="宋体"/>
                <w:b w:val="0"/>
                <w:i w:val="0"/>
                <w:color w:val="000000"/>
                <w:sz w:val="15"/>
              </w:rPr>
              <w:t xml:space="preserve">0.06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0.06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70.00</w:t>
            </w:r>
          </w:p>
        </w:tc>
        <w:tc>
          <w:tcPr>
            <w:tcW w:w="1040" w:type="dxa"/>
            <w:tcBorders/>
            <w:vAlign w:val="center"/>
          </w:tcPr>
          <w:p>
            <w:pPr>
              <w:jc w:val="right"/>
            </w:pPr>
            <w:r>
              <w:rPr>
                <w:rFonts w:ascii="宋体" w:eastAsia="宋体" w:hAnsi="宋体" w:cs="宋体"/>
                <w:b w:val="0"/>
                <w:i w:val="0"/>
                <w:color w:val="000000"/>
                <w:sz w:val="15"/>
              </w:rPr>
              <w:t xml:space="preserve">70.00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70.00</w:t>
            </w:r>
          </w:p>
        </w:tc>
        <w:tc>
          <w:tcPr>
            <w:tcW w:w="1040" w:type="dxa"/>
            <w:tcBorders/>
            <w:vAlign w:val="center"/>
          </w:tcPr>
          <w:p>
            <w:pPr>
              <w:jc w:val="right"/>
            </w:pPr>
            <w:r>
              <w:rPr>
                <w:rFonts w:ascii="宋体" w:eastAsia="宋体" w:hAnsi="宋体" w:cs="宋体"/>
                <w:b w:val="0"/>
                <w:i w:val="0"/>
                <w:color w:val="000000"/>
                <w:sz w:val="15"/>
              </w:rPr>
              <w:t xml:space="preserve">70.00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2296002</w:t>
            </w:r>
          </w:p>
        </w:tc>
        <w:tc>
          <w:tcPr>
            <w:tcW w:w="3540" w:type="dxa"/>
            <w:tcBorders/>
            <w:vAlign w:val="center"/>
          </w:tcPr>
          <w:p>
            <w:pPr>
              <w:jc w:val="left"/>
            </w:pPr>
            <w:r>
              <w:rPr>
                <w:rFonts w:ascii="宋体" w:eastAsia="宋体" w:hAnsi="宋体" w:cs="宋体"/>
                <w:b w:val="0"/>
                <w:i w:val="0"/>
                <w:color w:val="000000"/>
                <w:sz w:val="15"/>
              </w:rPr>
              <w:t xml:space="preserve">用于社会福利的彩票公益金支出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70.00</w:t>
            </w:r>
          </w:p>
        </w:tc>
        <w:tc>
          <w:tcPr>
            <w:tcW w:w="1040" w:type="dxa"/>
            <w:tcBorders/>
            <w:vAlign w:val="center"/>
          </w:tcPr>
          <w:p>
            <w:pPr>
              <w:jc w:val="right"/>
            </w:pPr>
            <w:r>
              <w:rPr>
                <w:rFonts w:ascii="宋体" w:eastAsia="宋体" w:hAnsi="宋体" w:cs="宋体"/>
                <w:b w:val="0"/>
                <w:i w:val="0"/>
                <w:color w:val="000000"/>
                <w:sz w:val="15"/>
              </w:rPr>
              <w:t xml:space="preserve">70.00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70.00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部门：辽宁省沈阳市浑南区满堂街道办事处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050001沈阳市浑南区满堂街道办事处本级-210112000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1118.3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1118.3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665.16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665.16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220.24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保障街道正常工作运转，做好街道域内防火、秸秆、信访维稳、解决困难人群生活等相关工作，保障街道域内居民利益，提高居民生活水平</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保障街道正常工作运转，做好街道域内防火、秸秆、信访维稳、解决困难人群生活等相关工作，保障街道域内居民利益，提高居民生活水平</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2024年本街道未进行预算调整</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其他:加强预算收支管理，加强预算管理事前调查，更加科学，有效的制定预算项目绩效目标。</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2024年街道部分项目未开展活动，未发生项目相关支出，部分项目经费由其他部门经费支出代替。</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其他:加强预算收支管理，提高项目预算事前调查准确性，细化预算项目资金使用情况，加强预算上级财政部门沟通，及时了解相关政策信息</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促进生态环境质量持续改善</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改善质量</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接待对象满意度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信访群众投诉满意率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域内共有254家“九小场所”，80家企业，应急办需要就安全生产、燃气安全等方面，按照上级要求进行相应的安全生产培训、安全检查、隐患排查工作，这其中针对疑难项目需要聘请专家进行专业指导，还需要根据工作重点进行专题的宣传。经费目标是为了保障完成街道安全生产工作，消除安全隐患，避免出现安全生产事故。</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街道较好的完成了绩效目标。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参与安全事故应急处置率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维护公共卫生安全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安全环保长效机制健全性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保证财政工作正常有序进行，更好的完成财政相关工作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较好完成绩效目标，保障财务工作有序进行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奖补资金到位发放率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合理安排</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23.4475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提高城市社区环境卫生质量，处理沉积垃圾，开展创城工作。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2024年满堂街道未发生此项项目支出，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完成辖区内工作，服务辖区内居民，保障居民生活及社区正常运行。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较好的完成年初既定绩效目标，保障城市社区工作人员正常工作。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城乡社区建设数量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7.0434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其他:部分城市社区办公场所暂住在所在辖区内的社区物业办公楼内，采暖费有所在物业公司承担。</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正常使用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其他:部分城市社区办公场所暂住在所在辖区内的社区物业办公楼内，采暖费有所在物业公司承担。</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提升社区服务水平情况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19.75404686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通过“一定三有”规范社区基层党组织职能、活动等，提升党组织凝聚力、战斗力实现阵地达标、制度规范、队伍有为、领导有力、群众满意的工作目标。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较好的完成年初既定绩效目标，社区基层党组织通过组织党员活动，提升党组织凝聚力。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其他:2024年街道城市社区党建经费由上级城市社区党建经费列支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资金违规支出率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其他:2024年满堂街道未发生此项项目支出，2024年城市社区党建经费由上级城市党建经费中列支。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其他:2024年满堂街道未发生此项项目支出，2024年城市社区党建经费由上级城市党建经费中列支。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其他:2024年满堂街道未发生此项项目支出，2024年城市社区党建经费由上级城市党建经费中列支。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完成辖区内工作，服务辖区内居民，保障居民生活及社区正常运行。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较好的完成绩效目标，保障城市社区工作有序进行，更好的服务辖区内居民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城乡社区建设数量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55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其他:此项目经费由上级财政按季度拨付，尾款未及时下达。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其他:加强与财政都沟通，提高与财政局请款的效率，。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其他:此项目经费由上级财政按季度拨付，尾款未及时下达。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其他:此项目经费由上级财政按季度拨付，尾款未及时下达。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86.27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保障村代管会计人员正常工作进行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较好的完成既定绩效目标，保障村代管会计人员正常工作进行。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其他:2024年满堂街道未发生此项项目支出，此项经费由街道财政管理评价奖补资金列支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其他:2024年满堂街道未发生此项项目支出，此项经费由街道财政管理评价奖补资金列支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其他:2024年满堂街道未发生此项项目支出，此项经费由街道财政管理评价奖补资金列支    。</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其他:2024年满堂街道未发生此项项目支出，此项经费由街道财政管理评价奖补资金列支    。</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保证监督委员会人员工作有序进行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较好的完成年初既定绩效目标，保障监督委员会人员工作有序进行。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每村补助资金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其他:此项目经费由上级财政按季度拨付，尾款未及时下达。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其他:此项目经费由上级财政按季度拨付，尾款未及时下达。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对每村的补助资金总额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其他:此项目经费由上级财政按季度拨付，尾款未及时下达。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地上物补偿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保障街道域内征收项目地上物征收补偿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较好的完成了设定的绩效目标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补助资金合理率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保障使用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第二批上级保护性耕作工作经费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第二批上级保护性耕作工作经费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保护性耕作工作有序进行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保障街道域内人民生命财产安全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较好的完成了年初绩效目标，保障街道域内人民生命财产安全。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森林防火安全检查覆盖率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防火点检查次数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防火物资合格率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其他:项目经费按季度拨付，年末资金未达账。年初绩效目标设定过高。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其他:加强年初预算编制、细化预算内容，提高向上级财政请款效率。</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森林防火专项资金当期任务完成率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防火设备设施维修维护成本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其他:年初项目预算编制偏高，对街道内防火相关设备的检查、评估不精准。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其他:加强对年初预算编制细化和精准性，精准掌握自有设备的使用情况。</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有利于社会各界森林草原防火</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改善农村人居环境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农村受益居民满意度满意度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满堂街道现有社区35个，满堂街道域内有蒲河流经东四家子社区和古砬子社区，这两个社区存在汛期河水带来的农田淹没和水面淹没桥梁的危险，如果降水量过大还需要疏散转移群众。前陵社区和新屯社区都存在地质灾害隐患点，防汛抗旱经费用于上述问题点位，以及其他社区可能存在的抗旱和防汛工作需要，目标是保障街道群众生命安全。2.街道负责英达公铁桥下的正常通行，街道要负责桥下抽水泵电费及水泵的维修养护，2022年以来因沈白高铁施工造成水流携带泥沙剧增，下水管线清理工作量增加，申请经费目标是保障马宋公路英达公铁桥路段全年畅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保障街道域内居民生命财产安全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防汛抗旱物资储备培训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防汛抗旱物资定点仓库盘亏率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防汛抗旱物资采购成本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完成执行救灾任务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及时救灾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水土流失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山洪灾害易发区群众满意度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农村受益居民满意度满意度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耕地占用税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严格依法履行批后实施程序，妥善解决好被用地单位群众的生产和生活。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资金拨付准确无误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保障雇员、派遣人员、公益岗人员工作经费的使用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较好的完成绩效目标，保障工作人员的吃饭、办公需求。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15.2175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其他:街道根据政策导向变化，优先保障民生经费使用，压缩雇员、派遣人员等人员经费使用，绩效目标设置过高。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其他:提高预算进准度，细化预算编制，优化绩效目标的设定。加强与上级财政的沟通，提高经费申请的速度。</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其他:按照上级指示要求，对非刚性支出进行压缩，上级请款不够及时，资金不到位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其他:加强细化预算编制，提高预算编制的精准性，加强与上级财政部门的沟通，提高预算申请的合理性和依据充分性，提高项目资金的请款效率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荒地苇塘租地款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保障村民正常生活，维护社会稳定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保障村民正常生活。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212.4114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其他:年初预算为预测数额，按实际村民发包土地面为准。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耕作物种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14.94060377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保障街道工作的正常进行，及时应对街道的各种突发事项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较好的完成年初既定绩效目标，能够及时应对各种突发事项。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其他:该项目为应对街道突发事件资金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38.9987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1.577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其他:该项经费为应对街道突发事件经费，此项经费为分批次拨付。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其他:该项目为应对街道突发实际资金，按照街道突发事件实际发生为准。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其他:该项目为应对街道应急突发事项资金，街道按照事件实际发生金额为准。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5.64641569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姜锡林社会稳定维护专项经费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姜锡林社会稳定维护费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一事一议补助资金发放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其他:此项目经费由上级财政分批次拨付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其他:此项目经费由上级财政按批次拨付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资金发放实名制率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保障在职在编人员权益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其他:对残疾人就业保障金政策理解不足，导致绩效目标设置不合理。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其他:加强业务人员对残疾人就业保障金的学习理解，对绩效目标设置更精准。</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保障社会公众权益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提升保健对象保健意识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26.0734801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对街道域内的秸秆进行秸秆打捆、离田、残渣清运等处理，保障蓝天工程。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较好的完成街道既定绩效目标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秸秆综合利用重点县数量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保证秸秆禁烧巡查工作正常开展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雇佣第三方单位确保秸秆禁烧巡查工作的开展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其他:年初预算市场调研不够精准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发放奖补资金单位数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20.42222222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通过“一定三有”规范社区基层党组织职能、活动等，提升党组织凝聚力、战斗力实现阵地达标、制度规范、队伍有为、领导有力、群众满意的工作目标。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加强社区加成党组织凝聚力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发展党建指导员、联络员数量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党建和发展会议参会人次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参加培训人员的到课率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党员的党组织关系转地方完成进度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项目概算执行情况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夯实街道社区党建工作基础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街道卫生室电采暖费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满足卫生室和村部日常办公需求，加强基层公共卫生处置力量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满足卫生室日常办公需求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其他:2024年满堂街道未发生此项项目支出，此项工作由各涉农社区自行缴纳相关费用。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其他:2024年满堂街道未发生此项项目支出，此项工作由各涉农社区自行缴纳相关费用。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其他:2024年满堂街道未发生此项项目支出，此项工作由各涉农社区自行缴纳相关费用。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其他:2024年满堂街道未发生此项项目支出，此项工作由各涉农社区自行缴纳相关费用。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其他:2024年满堂街道未发生此项项目支出，此项工作由各涉农社区自行缴纳相关费用。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其他:2024年满堂街道未发生此项项目支出，此项工作由各涉农社区自行缴纳相关费用。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保障低保及困难群体的临时性医疗、住房、教育需求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2024年满堂街道未发生此项项目支出。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救助资金发放时间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最低生活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困难群众基本生活救助保障制度完善性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保障退休人员正常生活。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较好的完成年初既定的绩效目标，保障退休人员正常生活。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其他:绩效目标制定过于理想化，未预留风险空间，小部分退休人员去世，暂定发放退休费用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其他:调查调整绩效目标的设定，加强预算项目前期调查，加强预算收支管理。</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资金发放实名制率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解决离退休人员遗留问题时限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保障离退休人员合法权益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最低生活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满堂街道征收补偿款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保障满堂街道域内这征地村民的利益，应对被征地村民进行征地补偿款的支付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较好的完善既定的绩效目标，保障被征收村民的利益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资金发放实名制率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资金及时下达率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补助资金合理率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满堂信访维稳专项资金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为做好辖区信访稳定工作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做好辖区内信访稳定工作。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保障街道域内村名饮用水安全。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保障街道域内村民饮用水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农村饮水实施维修养护项目数量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饮水设施改造后水质达标率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农村饮水安全维修养护工程验收合格率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农村饮水全部维修养护项目完成及时率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保障居民饮水安全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该项资金主要用于人大、政协的考察活动，该项资金的投入，为代表、委员依法履职提供资金保障。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2024年满堂街道为开展此项项目活动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奖补资金到位发放率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人员到岗及时率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项目资金使用规范性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其他:2024年满堂街道为开展此项项目活动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城市社区党建经费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其他:该项经费为分批次拨付，尾款为及时下达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其他:加强预算收支管理，提高与财政部门申请部门请款的效率</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其他:该项目经费为分批次拨付，尾款为及时下达，导致资金到位率为达到既定目标。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其他:加强预算收支管理，及时与财政部门沟通，提高与财政部门请款的效率，避免目标设定过高</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23.19085106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街道党建经费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较好的完成了既定的绩效目标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党建和发展会议参会人次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其他:预算编制不够精准，项目预算事前调查不足。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上级农村党员教育经费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村党员教育经费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保障社工等人员餐费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保障社工正常用餐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1.23744292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社会稳定维护专项业务经费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保障信访问题有效化解。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有效化解信访问题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补助资金合理率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社区办公用房租金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合理安排</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土地巡查员补助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保障土地巡查员工作正常进行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较好的完成年初既定绩效目标，保障土地巡查员工作正常进行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其他:此项目为分批次拨付经费，尾款未及时下达。需对土地巡查员进行考核评分后再支付。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其他:加快与财政部门都沟通及土地巡查员的考核评价，加快请款审批的效率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合理安排</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13.54214559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保障武装工作规范、有序进行，推进基层武装部优质、高效发展。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较好的完成了年初绩效目标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其他:2024年满堂街道未发生此项项目支出，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提高城市社区环境卫生质量，处理沉积垃圾，开展创城工作。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较好完成既定的绩效目标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其他:该项目为分批次拨付，尾款年末未下达。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其他:加强预算编制精细化、精准化，充分与财政部门沟通，了解财政收支形势和政策导向，提高预算申请尚未合理性和依据充分性。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7.91304167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紧紧围绕区委、区政府“四零”建设工作的总体部署，通过深入开展“零上访”社区（村）、企事业单位建设工作，推动我区信访形势持续好转，实现全区到市、到省、进京上访量大幅下降。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较好完成了年初既定的绩效目标，时间全区到市、到省、进京上访量下降。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最低生活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幸福宜居村项目工程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保障街道古砬子幸福宜居村建设项目有序进行。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较好的完成绩效目标，保障古砬子村幸福宜居村建设项目有序进行。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资金及时下达率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其他:该项目全额拨付至古砬子村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其他:加强年初预算事前调查的精细性、准确性。充分与财政部门沟通，了解财政收支形势和政策导向，提高预算申请尚未合理性和依据充分性</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1、监督社区党组织贯彻执行党的路线、方针、政策和国家法律法规政策情况，助推社区党组织落实全面从严治党主体责任。  2、监督社区“两委”班子及其成员、党员和其它从事管理的人员廉洁自律、公正履职情况，严格落实中央八项规定精神、坚决纠正“四风”问题情况。3、监督社区党务公开、居务公开、财务公开情况；监督社区资金、资产和资源使用管理等情况；监督“四议两公开”制度贯彻执行情况；监督社区重大决策、重大开支情况以及其他事关群众切身利益的事项依规依纪依法运行情况。4、关注本辖区惠民惠农政策落实、扶贫领域、黑恶势力及其保护伞、换届选举等方面存在的侵害群众利益问题。5、关注涉农、民生等领域群众“急难愁盼”的热点难点问题。6、收集上报社区“两委”班子及其成员、党员和其它从事管理的人员违纪违法问题线索。6、落实区自然资源局耕地保护网格化管理，保护耕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较好的完成年初绩效目标，保障正风肃纪监督员工作有序进行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14.30574074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1、监督社区党组织贯彻执行党的路线、方针、政策和国家法律法规政策情况，助推社区党组织落实全面从严治党主体责任。  2、监督社区“两委”班子及其成员、党员和其它从事管理的人员廉洁自律、公正履职情况，严格落实中央八项规定精神、坚决纠正“四风”问题情况。3、监督社区党务公开、居务公开、财务公开情况；监督社区资金、资产和资源使用管理等情况；监督“四议两公开”制度贯彻执行情况；监督社区重大决策、重大开支情况以及其他事关群众切身利益的事项依规依纪依法运行情况。4、关注本辖区惠民惠农政策落实、扶贫领域、黑恶势力及其保护伞、换届选举等方面存在的侵害群众利益问题。5、关注涉农、民生等领域群众“急难愁盼”的热点难点问题。6、收集上报社区“两委”班子及其成员、党员和其它从事管理的人员违纪违法问题线索。6、落实区自然资源局耕地保护网格化管理，保护耕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较好的完成年初绩效目标，保障正风肃纪监督员工作有序进行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其他:该项经费分批拨付，尾款年末上级未下达。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其他:加强与上级财政部门的沟通，提高向上级财政请款的效率，提高资金的下达速度。</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14.30574074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2023年保护性耕作上级剩余补贴资金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沈阳市浑南区满堂街道办事处本级-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2023年保护性耕作上级剩余补贴资金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较好完成绩效目标，保障补贴按时发放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奖补资金到位发放率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资金发放实名制率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