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辽宁省沈阳市浑南区残疾人联合会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辽宁省沈阳市浑南区残疾人联合会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辽宁省沈阳市浑南区残疾人联合会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辽宁省沈阳市浑南区残疾人联合会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辽宁省沈阳市浑南区残疾人联合会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辽宁省沈阳市浑南区残疾人联合会概况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浑南区残疾人联合会贯彻落实党中央关于财政工作的方针政策和决策部署及省委有关要求，在履行职责过程中坚持和加强党对财政工作的集中统一领导。主要职责如下：</w:t>
        <w:br/>
        <w:t xml:space="preserve">    1. 弘扬人道主义，发展残疾人事业，保障残疾人平等参与社会生活，共享社会物质文化成果。代表残疾人的共同利益，维护残疾人的合法权益，向政府有关方面反映残疾人的意见和要求，为残疾人服务。</w:t>
        <w:br/>
        <w:t xml:space="preserve">    2.协助政府制定、实施有关残疾人事业的政策和计划。</w:t>
        <w:br/>
        <w:t xml:space="preserve">    3.组织、协调、配合有关部门开展残疾人办证换证、鉴定、数据动态更新培训及调查、康复、教育、劳动就业、职业培训、文化体育、福利救济、走访慰问和辅助用品用具供应等工作。</w:t>
        <w:br/>
        <w:t xml:space="preserve">    4.团结教育残疾人，做好残疾人的思想工作。</w:t>
        <w:br/>
        <w:t xml:space="preserve">    5.宣传残疾人事业，动员社会力量为残疾人创造良好的社会环境。</w:t>
        <w:br/>
        <w:t xml:space="preserve">    6.承担政府交办的其他工作。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辽宁省沈阳市浑南区残疾人联合会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1.沈阳市浑南区残疾人联合会本级</w:t>
        <w:br/>
        <w:t xml:space="preserve">    2.沈阳市浑南区残疾人服务中心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2239.65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2237.70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2090.35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147.35</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1.95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主要是上级资金两节救济、有功人员奖励等收入。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减少2417.75万元，降低51.91%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今年预算较上年减少，一是本年度没有对地方政府其他一般债务还本支出；二是有一位领导于2023年退休；三是儿童康复、就业扶持等项目延续至2025年支出</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2239.65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169.27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7.56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工资福利支出142.13万元；商品和服务支出25.01万元；对个人和家庭的补助2.13万元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2070.38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92.44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主要包括办公费、维修（护）费、专用材料费、劳务费、委托业务费、其他商品和服务支出、生活补助、救济费、助学金、奖励金、代缴社会保险费、其他对个人和家庭的补助、其他对企业补助等业务支出。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减少2417.75万元，降低51.91%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今年预算较上年减少，一是本年度没有大型修缮类支出；二是有一位领导于2023年退休；三是儿童康复、就业扶持等项目延续至2025年支出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没有该笔资金形成的结转结余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2237.70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169.27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2068.43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减少2418.15万元，降低51.94%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本年度没有资本性支出，另儿童康复、就业扶持等项目延续至2025年支出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149.19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90.06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157.66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2024年度一般公共预算财政拨款支出2090.35万元。按支出功能分类科目分，包括：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1.社会保障和就业支出2067.07万元，具体包括：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（1）社会保障和就业支出（类）行政事业单位养老支出（款）行政单位离退休（项）1.91万元,主要是退休费等支出，完成年初预算的88.02%，决算数与年初预算数存在差异的主要原因是没有退休干部活动费的支出。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0.22万元,主要是退休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15.99万元,主要是机关事业单位基本养老保险缴费等支出，完成年初预算的112.92%，决算数与年初预算数存在差异的主要原因是本年度调入一位处级领导基本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残疾人事业（款）行政运行（项）83.14万元,主要是基本工资、津贴补贴、奖金、伙食补助费、其他社会保障缴费、办公费、邮电费、差旅费、工会经费、其他交通费用等支出，完成年初预算的94.51%，决算数与年初预算数存在差异的主要原因是奖金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残疾人事业（款）一般行政管理事务（项）2.78万元,主要是劳务费、其他商品和服务支出等支出，完成年初预算的121.40%，决算数与年初预算数存在差异的主要原因是增加一项残疾人就业保障金的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（6）社会保障和就业支出（类）残疾人事业（款）残疾人康复（项）322.28万元,主要是残疾人康复等支出，完成年初预算的48.60%，决算数与年初预算数存在差异的主要原因是残疾人康复款项延续至2025年支出。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（7）社会保障和就业支出（类）残疾人事业（款）残疾人就业（项）23.90万元,主要是残疾人就业等支出，完成年初预算的27.35%，决算数与年初预算数存在差异的主要原因是就业扶持资金款项延续至2025年支出。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残疾人事业（款）残疾人体育（项）1.00万元,主要是专用材料费等支出，完成年初预算的100%，决算数与年初预算数存在差异的主要原因是未列入年初预算，此项支出为上级专项资金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残疾人事业（款）其他残疾人事业支出（项）1615.85万元,主要是基本工资、津贴补贴、奖金、伙食补助费、绩效工资、其他社会保障缴费、办公费、水费、电费、邮电费、取暖费、维修（护）费、劳务费、委托业务费、工会经费、生活补助、救济费、助学金、奖励金、代缴社会保险费、其他对个人和家庭的补助等支出，完成年初预算的82.92%，决算数与年初预算数存在差异的主要原因是退休一名残疾人专职干事，劳务费支出有所减少；困难重度残疾人家庭无障碍改造项目未全部完工，其他对个人和家庭的补助支出有所减少；儿童康复、就业扶持等项目延续至2025年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2.卫生健康支出6.59万元，具体包括：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4.43万元,主要是职工基本医疗保险缴费等支出，完成年初预算的102.55%，决算数与年初预算数存在差异的主要原因是本年度调入一位处级领导基本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2.16万元,主要是医疗生育保险缴费等支出，完成年初预算的120.67%，决算数与年初预算数存在差异的主要原因是在职人员升级升档，医疗生育保险费有所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3.住房保障支出16.70万元，具体包括：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（1）住房保障支出（类）住房改革支出（款）住房公积金（项）16.70万元,主要是住房公积金等支出，完成年初预算的72.36%，决算数与年初预算数存在差异的主要原因是本年度没有高比例公积金的支出。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2024年度政府性基金预算财政拨款支出147.35万元。按支出功能分类科目分，包括：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1.其他支出147.35万元，具体包括：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残疾人事业的彩票公益金支出（项）147.35万元,主要是其他对个人和家庭的补助、专用材料费、生活补助费、救济费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169.27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144.26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25.01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10.88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比上年增加0.69万元，增长6.77%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本年度调入一位处级领导公用经费支出增加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具体而言，本年度我部门共组织对2个项目实施了绩效评价。从预算资金来源看，涉及一般公共预算的项目2个，涉及政府性基金预算的项目0个，涉及国有资本经营预算的项目0个。</w:t>
        <w:br/>
        <w:t xml:space="preserve">    上述评价工作共涉及财政资金187.95万元。其中，一般公共预算资金187.95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12个；得分在80分（含）至90分、等级为“良”的项目有3个；得分在60分（含）至80分、等级为“中”的项目有2个；得分在60分以下、等级为“差”的项目有10个。各项目自评发现，部分项目存在执行层面问题，如：预算执行进度偏慢、个别产出指标未能完全达成，还有少数项目在预算资金设置上存在不足，单位已分析原因并制定改进措施。</w:t>
        <w:br/>
        <w:t xml:space="preserve">    3.部门重点评价情况及结果。</w:t>
        <w:br/>
        <w:t xml:space="preserve">    在全面自评的基础上，本部门选取了4个资金量大、社会关注度高、具有代表性的重点项目实施了部门重点评价。评价工作通过组建评价小组、数据采集分析方式进行，确保了评价结果的客观性和公正性。</w:t>
        <w:br/>
        <w:t xml:space="preserve">    我部门组织对4个项目重点评价，结果显示，被评价项目整体绩效情况良好。其中：第一个重点项目为残疾人专干专委补贴，涉及资金685.34万元，评价平均分为98.56分，评级情况为优；第二个重点项目为残疾人康复体育进社区进家庭，涉及资金1万元，评价平均分为100分，评级情况为优；第三个重点项目为两节救济，涉及资金18.3万元，评价平均分为100分，评级情况为优；第四个重点项目为中央财政残疾人事业发展补助资金，涉及资金22.3万元，评价平均分为100分，评级情况为优。同时，评价也发现残疾人专干专委补贴、国家开放残疾人教育助学金项目存在问题，如：绩效指标设置不够细化、资金使用效益有待进一步提升；发现残疾人康复体育进社区进家庭项目存在问题，如：绩效年初设定目标设置数值不够具体。针对评价发现的问题，我们已督促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2,090.35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147.35</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1.95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2,069.02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6.58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16.70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147.35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2,239.65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2,239.65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2,239.65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2,239.65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2,239.65</w:t>
            </w:r>
          </w:p>
        </w:tc>
        <w:tc>
          <w:tcPr>
            <w:tcW w:w="960" w:type="dxa"/>
            <w:tcBorders/>
            <w:vAlign w:val="center"/>
          </w:tcPr>
          <w:p>
            <w:pPr>
              <w:jc w:val="right"/>
            </w:pPr>
            <w:r>
              <w:rPr>
                <w:rFonts w:ascii="宋体" w:eastAsia="宋体" w:hAnsi="宋体" w:cs="宋体"/>
                <w:b/>
                <w:i w:val="0"/>
                <w:color w:val="000000"/>
                <w:sz w:val="13"/>
              </w:rPr>
              <w:t xml:space="preserve">2,237.70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1.95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2,069.02</w:t>
            </w:r>
          </w:p>
        </w:tc>
        <w:tc>
          <w:tcPr>
            <w:tcW w:w="960" w:type="dxa"/>
            <w:tcBorders/>
            <w:vAlign w:val="center"/>
          </w:tcPr>
          <w:p>
            <w:pPr>
              <w:jc w:val="right"/>
            </w:pPr>
            <w:r>
              <w:rPr>
                <w:rFonts w:ascii="宋体" w:eastAsia="宋体" w:hAnsi="宋体" w:cs="宋体"/>
                <w:b w:val="0"/>
                <w:i w:val="0"/>
                <w:color w:val="000000"/>
                <w:sz w:val="13"/>
              </w:rPr>
              <w:t xml:space="preserve">2,067.07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1.95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18.12</w:t>
            </w:r>
          </w:p>
        </w:tc>
        <w:tc>
          <w:tcPr>
            <w:tcW w:w="960" w:type="dxa"/>
            <w:tcBorders/>
            <w:vAlign w:val="center"/>
          </w:tcPr>
          <w:p>
            <w:pPr>
              <w:jc w:val="right"/>
            </w:pPr>
            <w:r>
              <w:rPr>
                <w:rFonts w:ascii="宋体" w:eastAsia="宋体" w:hAnsi="宋体" w:cs="宋体"/>
                <w:b w:val="0"/>
                <w:i w:val="0"/>
                <w:color w:val="000000"/>
                <w:sz w:val="13"/>
              </w:rPr>
              <w:t xml:space="preserve">18.12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1.91</w:t>
            </w:r>
          </w:p>
        </w:tc>
        <w:tc>
          <w:tcPr>
            <w:tcW w:w="960" w:type="dxa"/>
            <w:tcBorders/>
            <w:vAlign w:val="center"/>
          </w:tcPr>
          <w:p>
            <w:pPr>
              <w:jc w:val="right"/>
            </w:pPr>
            <w:r>
              <w:rPr>
                <w:rFonts w:ascii="宋体" w:eastAsia="宋体" w:hAnsi="宋体" w:cs="宋体"/>
                <w:b w:val="0"/>
                <w:i w:val="0"/>
                <w:color w:val="000000"/>
                <w:sz w:val="13"/>
              </w:rPr>
              <w:t xml:space="preserve">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0.22</w:t>
            </w:r>
          </w:p>
        </w:tc>
        <w:tc>
          <w:tcPr>
            <w:tcW w:w="960" w:type="dxa"/>
            <w:tcBorders/>
            <w:vAlign w:val="center"/>
          </w:tcPr>
          <w:p>
            <w:pPr>
              <w:jc w:val="right"/>
            </w:pPr>
            <w:r>
              <w:rPr>
                <w:rFonts w:ascii="宋体" w:eastAsia="宋体" w:hAnsi="宋体" w:cs="宋体"/>
                <w:b w:val="0"/>
                <w:i w:val="0"/>
                <w:color w:val="000000"/>
                <w:sz w:val="13"/>
              </w:rPr>
              <w:t xml:space="preserve">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15.99</w:t>
            </w:r>
          </w:p>
        </w:tc>
        <w:tc>
          <w:tcPr>
            <w:tcW w:w="960" w:type="dxa"/>
            <w:tcBorders/>
            <w:vAlign w:val="center"/>
          </w:tcPr>
          <w:p>
            <w:pPr>
              <w:jc w:val="right"/>
            </w:pPr>
            <w:r>
              <w:rPr>
                <w:rFonts w:ascii="宋体" w:eastAsia="宋体" w:hAnsi="宋体" w:cs="宋体"/>
                <w:b w:val="0"/>
                <w:i w:val="0"/>
                <w:color w:val="000000"/>
                <w:sz w:val="13"/>
              </w:rPr>
              <w:t xml:space="preserve">15.99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2,050.90</w:t>
            </w:r>
          </w:p>
        </w:tc>
        <w:tc>
          <w:tcPr>
            <w:tcW w:w="960" w:type="dxa"/>
            <w:tcBorders/>
            <w:vAlign w:val="center"/>
          </w:tcPr>
          <w:p>
            <w:pPr>
              <w:jc w:val="right"/>
            </w:pPr>
            <w:r>
              <w:rPr>
                <w:rFonts w:ascii="宋体" w:eastAsia="宋体" w:hAnsi="宋体" w:cs="宋体"/>
                <w:b w:val="0"/>
                <w:i w:val="0"/>
                <w:color w:val="000000"/>
                <w:sz w:val="13"/>
              </w:rPr>
              <w:t xml:space="preserve">2,048.95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1.95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2.78</w:t>
            </w:r>
          </w:p>
        </w:tc>
        <w:tc>
          <w:tcPr>
            <w:tcW w:w="960" w:type="dxa"/>
            <w:tcBorders/>
            <w:vAlign w:val="center"/>
          </w:tcPr>
          <w:p>
            <w:pPr>
              <w:jc w:val="right"/>
            </w:pPr>
            <w:r>
              <w:rPr>
                <w:rFonts w:ascii="宋体" w:eastAsia="宋体" w:hAnsi="宋体" w:cs="宋体"/>
                <w:b w:val="0"/>
                <w:i w:val="0"/>
                <w:color w:val="000000"/>
                <w:sz w:val="13"/>
              </w:rPr>
              <w:t xml:space="preserve">2.78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2081104</w:t>
            </w:r>
          </w:p>
        </w:tc>
        <w:tc>
          <w:tcPr>
            <w:tcW w:w="3200" w:type="dxa"/>
            <w:tcBorders/>
            <w:vAlign w:val="center"/>
          </w:tcPr>
          <w:p>
            <w:pPr>
              <w:jc w:val="left"/>
            </w:pPr>
            <w:r>
              <w:rPr>
                <w:rFonts w:ascii="宋体" w:eastAsia="宋体" w:hAnsi="宋体" w:cs="宋体"/>
                <w:b w:val="0"/>
                <w:i w:val="0"/>
                <w:color w:val="000000"/>
                <w:sz w:val="13"/>
              </w:rPr>
              <w:t xml:space="preserve">残疾人康复</w:t>
            </w:r>
          </w:p>
        </w:tc>
        <w:tc>
          <w:tcPr>
            <w:tcW w:w="960" w:type="dxa"/>
            <w:tcBorders/>
            <w:vAlign w:val="center"/>
          </w:tcPr>
          <w:p>
            <w:pPr>
              <w:jc w:val="right"/>
            </w:pPr>
            <w:r>
              <w:rPr>
                <w:rFonts w:ascii="宋体" w:eastAsia="宋体" w:hAnsi="宋体" w:cs="宋体"/>
                <w:b w:val="0"/>
                <w:i w:val="0"/>
                <w:color w:val="000000"/>
                <w:sz w:val="13"/>
              </w:rPr>
              <w:t xml:space="preserve">322.28</w:t>
            </w:r>
          </w:p>
        </w:tc>
        <w:tc>
          <w:tcPr>
            <w:tcW w:w="960" w:type="dxa"/>
            <w:tcBorders/>
            <w:vAlign w:val="center"/>
          </w:tcPr>
          <w:p>
            <w:pPr>
              <w:jc w:val="right"/>
            </w:pPr>
            <w:r>
              <w:rPr>
                <w:rFonts w:ascii="宋体" w:eastAsia="宋体" w:hAnsi="宋体" w:cs="宋体"/>
                <w:b w:val="0"/>
                <w:i w:val="0"/>
                <w:color w:val="000000"/>
                <w:sz w:val="13"/>
              </w:rPr>
              <w:t xml:space="preserve">322.28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2081105</w:t>
            </w:r>
          </w:p>
        </w:tc>
        <w:tc>
          <w:tcPr>
            <w:tcW w:w="3200" w:type="dxa"/>
            <w:tcBorders/>
            <w:vAlign w:val="center"/>
          </w:tcPr>
          <w:p>
            <w:pPr>
              <w:jc w:val="left"/>
            </w:pPr>
            <w:r>
              <w:rPr>
                <w:rFonts w:ascii="宋体" w:eastAsia="宋体" w:hAnsi="宋体" w:cs="宋体"/>
                <w:b w:val="0"/>
                <w:i w:val="0"/>
                <w:color w:val="000000"/>
                <w:sz w:val="13"/>
              </w:rPr>
              <w:t xml:space="preserve">残疾人就业</w:t>
            </w:r>
          </w:p>
        </w:tc>
        <w:tc>
          <w:tcPr>
            <w:tcW w:w="960" w:type="dxa"/>
            <w:tcBorders/>
            <w:vAlign w:val="center"/>
          </w:tcPr>
          <w:p>
            <w:pPr>
              <w:jc w:val="right"/>
            </w:pPr>
            <w:r>
              <w:rPr>
                <w:rFonts w:ascii="宋体" w:eastAsia="宋体" w:hAnsi="宋体" w:cs="宋体"/>
                <w:b w:val="0"/>
                <w:i w:val="0"/>
                <w:color w:val="000000"/>
                <w:sz w:val="13"/>
              </w:rPr>
              <w:t xml:space="preserve">23.90</w:t>
            </w:r>
          </w:p>
        </w:tc>
        <w:tc>
          <w:tcPr>
            <w:tcW w:w="960" w:type="dxa"/>
            <w:tcBorders/>
            <w:vAlign w:val="center"/>
          </w:tcPr>
          <w:p>
            <w:pPr>
              <w:jc w:val="right"/>
            </w:pPr>
            <w:r>
              <w:rPr>
                <w:rFonts w:ascii="宋体" w:eastAsia="宋体" w:hAnsi="宋体" w:cs="宋体"/>
                <w:b w:val="0"/>
                <w:i w:val="0"/>
                <w:color w:val="000000"/>
                <w:sz w:val="13"/>
              </w:rPr>
              <w:t xml:space="preserve">23.90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2081106</w:t>
            </w:r>
          </w:p>
        </w:tc>
        <w:tc>
          <w:tcPr>
            <w:tcW w:w="3200" w:type="dxa"/>
            <w:tcBorders/>
            <w:vAlign w:val="center"/>
          </w:tcPr>
          <w:p>
            <w:pPr>
              <w:jc w:val="left"/>
            </w:pPr>
            <w:r>
              <w:rPr>
                <w:rFonts w:ascii="宋体" w:eastAsia="宋体" w:hAnsi="宋体" w:cs="宋体"/>
                <w:b w:val="0"/>
                <w:i w:val="0"/>
                <w:color w:val="000000"/>
                <w:sz w:val="13"/>
              </w:rPr>
              <w:t xml:space="preserve">残疾人体育</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1,617.80</w:t>
            </w:r>
          </w:p>
        </w:tc>
        <w:tc>
          <w:tcPr>
            <w:tcW w:w="960" w:type="dxa"/>
            <w:tcBorders/>
            <w:vAlign w:val="center"/>
          </w:tcPr>
          <w:p>
            <w:pPr>
              <w:jc w:val="right"/>
            </w:pPr>
            <w:r>
              <w:rPr>
                <w:rFonts w:ascii="宋体" w:eastAsia="宋体" w:hAnsi="宋体" w:cs="宋体"/>
                <w:b w:val="0"/>
                <w:i w:val="0"/>
                <w:color w:val="000000"/>
                <w:sz w:val="13"/>
              </w:rPr>
              <w:t xml:space="preserve">1,615.85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1.95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6.59</w:t>
            </w:r>
          </w:p>
        </w:tc>
        <w:tc>
          <w:tcPr>
            <w:tcW w:w="960" w:type="dxa"/>
            <w:tcBorders/>
            <w:vAlign w:val="center"/>
          </w:tcPr>
          <w:p>
            <w:pPr>
              <w:jc w:val="right"/>
            </w:pPr>
            <w:r>
              <w:rPr>
                <w:rFonts w:ascii="宋体" w:eastAsia="宋体" w:hAnsi="宋体" w:cs="宋体"/>
                <w:b w:val="0"/>
                <w:i w:val="0"/>
                <w:color w:val="000000"/>
                <w:sz w:val="13"/>
              </w:rPr>
              <w:t xml:space="preserve">6.59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6.59</w:t>
            </w:r>
          </w:p>
        </w:tc>
        <w:tc>
          <w:tcPr>
            <w:tcW w:w="960" w:type="dxa"/>
            <w:tcBorders/>
            <w:vAlign w:val="center"/>
          </w:tcPr>
          <w:p>
            <w:pPr>
              <w:jc w:val="right"/>
            </w:pPr>
            <w:r>
              <w:rPr>
                <w:rFonts w:ascii="宋体" w:eastAsia="宋体" w:hAnsi="宋体" w:cs="宋体"/>
                <w:b w:val="0"/>
                <w:i w:val="0"/>
                <w:color w:val="000000"/>
                <w:sz w:val="13"/>
              </w:rPr>
              <w:t xml:space="preserve">6.59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16.70</w:t>
            </w:r>
          </w:p>
        </w:tc>
        <w:tc>
          <w:tcPr>
            <w:tcW w:w="960" w:type="dxa"/>
            <w:tcBorders/>
            <w:vAlign w:val="center"/>
          </w:tcPr>
          <w:p>
            <w:pPr>
              <w:jc w:val="right"/>
            </w:pPr>
            <w:r>
              <w:rPr>
                <w:rFonts w:ascii="宋体" w:eastAsia="宋体" w:hAnsi="宋体" w:cs="宋体"/>
                <w:b w:val="0"/>
                <w:i w:val="0"/>
                <w:color w:val="000000"/>
                <w:sz w:val="13"/>
              </w:rPr>
              <w:t xml:space="preserve">16.70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16.70</w:t>
            </w:r>
          </w:p>
        </w:tc>
        <w:tc>
          <w:tcPr>
            <w:tcW w:w="960" w:type="dxa"/>
            <w:tcBorders/>
            <w:vAlign w:val="center"/>
          </w:tcPr>
          <w:p>
            <w:pPr>
              <w:jc w:val="right"/>
            </w:pPr>
            <w:r>
              <w:rPr>
                <w:rFonts w:ascii="宋体" w:eastAsia="宋体" w:hAnsi="宋体" w:cs="宋体"/>
                <w:b w:val="0"/>
                <w:i w:val="0"/>
                <w:color w:val="000000"/>
                <w:sz w:val="13"/>
              </w:rPr>
              <w:t xml:space="preserve">16.70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16.70</w:t>
            </w:r>
          </w:p>
        </w:tc>
        <w:tc>
          <w:tcPr>
            <w:tcW w:w="960" w:type="dxa"/>
            <w:tcBorders/>
            <w:vAlign w:val="center"/>
          </w:tcPr>
          <w:p>
            <w:pPr>
              <w:jc w:val="right"/>
            </w:pPr>
            <w:r>
              <w:rPr>
                <w:rFonts w:ascii="宋体" w:eastAsia="宋体" w:hAnsi="宋体" w:cs="宋体"/>
                <w:b w:val="0"/>
                <w:i w:val="0"/>
                <w:color w:val="000000"/>
                <w:sz w:val="13"/>
              </w:rPr>
              <w:t xml:space="preserve">16.70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147.35</w:t>
            </w:r>
          </w:p>
        </w:tc>
        <w:tc>
          <w:tcPr>
            <w:tcW w:w="960" w:type="dxa"/>
            <w:tcBorders/>
            <w:vAlign w:val="center"/>
          </w:tcPr>
          <w:p>
            <w:pPr>
              <w:jc w:val="right"/>
            </w:pPr>
            <w:r>
              <w:rPr>
                <w:rFonts w:ascii="宋体" w:eastAsia="宋体" w:hAnsi="宋体" w:cs="宋体"/>
                <w:b w:val="0"/>
                <w:i w:val="0"/>
                <w:color w:val="000000"/>
                <w:sz w:val="13"/>
              </w:rPr>
              <w:t xml:space="preserve">147.35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147.35</w:t>
            </w:r>
          </w:p>
        </w:tc>
        <w:tc>
          <w:tcPr>
            <w:tcW w:w="960" w:type="dxa"/>
            <w:tcBorders/>
            <w:vAlign w:val="center"/>
          </w:tcPr>
          <w:p>
            <w:pPr>
              <w:jc w:val="right"/>
            </w:pPr>
            <w:r>
              <w:rPr>
                <w:rFonts w:ascii="宋体" w:eastAsia="宋体" w:hAnsi="宋体" w:cs="宋体"/>
                <w:b w:val="0"/>
                <w:i w:val="0"/>
                <w:color w:val="000000"/>
                <w:sz w:val="13"/>
              </w:rPr>
              <w:t xml:space="preserve">147.35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2296006</w:t>
            </w:r>
          </w:p>
        </w:tc>
        <w:tc>
          <w:tcPr>
            <w:tcW w:w="3200" w:type="dxa"/>
            <w:tcBorders/>
            <w:vAlign w:val="center"/>
          </w:tcPr>
          <w:p>
            <w:pPr>
              <w:jc w:val="left"/>
            </w:pPr>
            <w:r>
              <w:rPr>
                <w:rFonts w:ascii="宋体" w:eastAsia="宋体" w:hAnsi="宋体" w:cs="宋体"/>
                <w:b w:val="0"/>
                <w:i w:val="0"/>
                <w:color w:val="000000"/>
                <w:sz w:val="13"/>
              </w:rPr>
              <w:t xml:space="preserve">用于残疾人事业的彩票公益金支出</w:t>
            </w:r>
          </w:p>
        </w:tc>
        <w:tc>
          <w:tcPr>
            <w:tcW w:w="960" w:type="dxa"/>
            <w:tcBorders/>
            <w:vAlign w:val="center"/>
          </w:tcPr>
          <w:p>
            <w:pPr>
              <w:jc w:val="right"/>
            </w:pPr>
            <w:r>
              <w:rPr>
                <w:rFonts w:ascii="宋体" w:eastAsia="宋体" w:hAnsi="宋体" w:cs="宋体"/>
                <w:b w:val="0"/>
                <w:i w:val="0"/>
                <w:color w:val="000000"/>
                <w:sz w:val="13"/>
              </w:rPr>
              <w:t xml:space="preserve">147.35</w:t>
            </w:r>
          </w:p>
        </w:tc>
        <w:tc>
          <w:tcPr>
            <w:tcW w:w="960" w:type="dxa"/>
            <w:tcBorders/>
            <w:vAlign w:val="center"/>
          </w:tcPr>
          <w:p>
            <w:pPr>
              <w:jc w:val="right"/>
            </w:pPr>
            <w:r>
              <w:rPr>
                <w:rFonts w:ascii="宋体" w:eastAsia="宋体" w:hAnsi="宋体" w:cs="宋体"/>
                <w:b w:val="0"/>
                <w:i w:val="0"/>
                <w:color w:val="000000"/>
                <w:sz w:val="13"/>
              </w:rPr>
              <w:t xml:space="preserve">147.35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2,239.65</w:t>
            </w:r>
          </w:p>
        </w:tc>
        <w:tc>
          <w:tcPr>
            <w:tcW w:w="1060" w:type="dxa"/>
            <w:tcBorders/>
            <w:vAlign w:val="center"/>
          </w:tcPr>
          <w:p>
            <w:pPr>
              <w:jc w:val="right"/>
            </w:pPr>
            <w:r>
              <w:rPr>
                <w:rFonts w:ascii="宋体" w:eastAsia="宋体" w:hAnsi="宋体" w:cs="宋体"/>
                <w:b/>
                <w:i w:val="0"/>
                <w:color w:val="000000"/>
                <w:sz w:val="14"/>
              </w:rPr>
              <w:t xml:space="preserve">169.27</w:t>
            </w:r>
          </w:p>
        </w:tc>
        <w:tc>
          <w:tcPr>
            <w:tcW w:w="1060" w:type="dxa"/>
            <w:tcBorders/>
            <w:vAlign w:val="center"/>
          </w:tcPr>
          <w:p>
            <w:pPr>
              <w:jc w:val="right"/>
            </w:pPr>
            <w:r>
              <w:rPr>
                <w:rFonts w:ascii="宋体" w:eastAsia="宋体" w:hAnsi="宋体" w:cs="宋体"/>
                <w:b/>
                <w:i w:val="0"/>
                <w:color w:val="000000"/>
                <w:sz w:val="14"/>
              </w:rPr>
              <w:t xml:space="preserve">2,070.38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2,069.02</w:t>
            </w:r>
          </w:p>
        </w:tc>
        <w:tc>
          <w:tcPr>
            <w:tcW w:w="1060" w:type="dxa"/>
            <w:tcBorders/>
            <w:vAlign w:val="center"/>
          </w:tcPr>
          <w:p>
            <w:pPr>
              <w:jc w:val="right"/>
            </w:pPr>
            <w:r>
              <w:rPr>
                <w:rFonts w:ascii="宋体" w:eastAsia="宋体" w:hAnsi="宋体" w:cs="宋体"/>
                <w:b w:val="0"/>
                <w:i w:val="0"/>
                <w:color w:val="000000"/>
                <w:sz w:val="14"/>
              </w:rPr>
              <w:t xml:space="preserve">145.99</w:t>
            </w:r>
          </w:p>
        </w:tc>
        <w:tc>
          <w:tcPr>
            <w:tcW w:w="1060" w:type="dxa"/>
            <w:tcBorders/>
            <w:vAlign w:val="center"/>
          </w:tcPr>
          <w:p>
            <w:pPr>
              <w:jc w:val="right"/>
            </w:pPr>
            <w:r>
              <w:rPr>
                <w:rFonts w:ascii="宋体" w:eastAsia="宋体" w:hAnsi="宋体" w:cs="宋体"/>
                <w:b w:val="0"/>
                <w:i w:val="0"/>
                <w:color w:val="000000"/>
                <w:sz w:val="14"/>
              </w:rPr>
              <w:t xml:space="preserve">1,923.03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18.12</w:t>
            </w:r>
          </w:p>
        </w:tc>
        <w:tc>
          <w:tcPr>
            <w:tcW w:w="1060" w:type="dxa"/>
            <w:tcBorders/>
            <w:vAlign w:val="center"/>
          </w:tcPr>
          <w:p>
            <w:pPr>
              <w:jc w:val="right"/>
            </w:pPr>
            <w:r>
              <w:rPr>
                <w:rFonts w:ascii="宋体" w:eastAsia="宋体" w:hAnsi="宋体" w:cs="宋体"/>
                <w:b w:val="0"/>
                <w:i w:val="0"/>
                <w:color w:val="000000"/>
                <w:sz w:val="14"/>
              </w:rPr>
              <w:t xml:space="preserve">18.12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1.91</w:t>
            </w:r>
          </w:p>
        </w:tc>
        <w:tc>
          <w:tcPr>
            <w:tcW w:w="1060" w:type="dxa"/>
            <w:tcBorders/>
            <w:vAlign w:val="center"/>
          </w:tcPr>
          <w:p>
            <w:pPr>
              <w:jc w:val="right"/>
            </w:pPr>
            <w:r>
              <w:rPr>
                <w:rFonts w:ascii="宋体" w:eastAsia="宋体" w:hAnsi="宋体" w:cs="宋体"/>
                <w:b w:val="0"/>
                <w:i w:val="0"/>
                <w:color w:val="000000"/>
                <w:sz w:val="14"/>
              </w:rPr>
              <w:t xml:space="preserve">1.91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0.22</w:t>
            </w:r>
          </w:p>
        </w:tc>
        <w:tc>
          <w:tcPr>
            <w:tcW w:w="1060" w:type="dxa"/>
            <w:tcBorders/>
            <w:vAlign w:val="center"/>
          </w:tcPr>
          <w:p>
            <w:pPr>
              <w:jc w:val="right"/>
            </w:pPr>
            <w:r>
              <w:rPr>
                <w:rFonts w:ascii="宋体" w:eastAsia="宋体" w:hAnsi="宋体" w:cs="宋体"/>
                <w:b w:val="0"/>
                <w:i w:val="0"/>
                <w:color w:val="000000"/>
                <w:sz w:val="14"/>
              </w:rPr>
              <w:t xml:space="preserve">0.22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15.99</w:t>
            </w:r>
          </w:p>
        </w:tc>
        <w:tc>
          <w:tcPr>
            <w:tcW w:w="1060" w:type="dxa"/>
            <w:tcBorders/>
            <w:vAlign w:val="center"/>
          </w:tcPr>
          <w:p>
            <w:pPr>
              <w:jc w:val="right"/>
            </w:pPr>
            <w:r>
              <w:rPr>
                <w:rFonts w:ascii="宋体" w:eastAsia="宋体" w:hAnsi="宋体" w:cs="宋体"/>
                <w:b w:val="0"/>
                <w:i w:val="0"/>
                <w:color w:val="000000"/>
                <w:sz w:val="14"/>
              </w:rPr>
              <w:t xml:space="preserve">15.99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2,050.90</w:t>
            </w:r>
          </w:p>
        </w:tc>
        <w:tc>
          <w:tcPr>
            <w:tcW w:w="1060" w:type="dxa"/>
            <w:tcBorders/>
            <w:vAlign w:val="center"/>
          </w:tcPr>
          <w:p>
            <w:pPr>
              <w:jc w:val="right"/>
            </w:pPr>
            <w:r>
              <w:rPr>
                <w:rFonts w:ascii="宋体" w:eastAsia="宋体" w:hAnsi="宋体" w:cs="宋体"/>
                <w:b w:val="0"/>
                <w:i w:val="0"/>
                <w:color w:val="000000"/>
                <w:sz w:val="14"/>
              </w:rPr>
              <w:t xml:space="preserve">127.87</w:t>
            </w:r>
          </w:p>
        </w:tc>
        <w:tc>
          <w:tcPr>
            <w:tcW w:w="1060" w:type="dxa"/>
            <w:tcBorders/>
            <w:vAlign w:val="center"/>
          </w:tcPr>
          <w:p>
            <w:pPr>
              <w:jc w:val="right"/>
            </w:pPr>
            <w:r>
              <w:rPr>
                <w:rFonts w:ascii="宋体" w:eastAsia="宋体" w:hAnsi="宋体" w:cs="宋体"/>
                <w:b w:val="0"/>
                <w:i w:val="0"/>
                <w:color w:val="000000"/>
                <w:sz w:val="14"/>
              </w:rPr>
              <w:t xml:space="preserve">1,923.03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2081104</w:t>
            </w:r>
          </w:p>
        </w:tc>
        <w:tc>
          <w:tcPr>
            <w:tcW w:w="3440" w:type="dxa"/>
            <w:tcBorders/>
            <w:vAlign w:val="center"/>
          </w:tcPr>
          <w:p>
            <w:pPr>
              <w:jc w:val="left"/>
            </w:pPr>
            <w:r>
              <w:rPr>
                <w:rFonts w:ascii="宋体" w:eastAsia="宋体" w:hAnsi="宋体" w:cs="宋体"/>
                <w:b w:val="0"/>
                <w:i w:val="0"/>
                <w:color w:val="000000"/>
                <w:sz w:val="14"/>
              </w:rPr>
              <w:t xml:space="preserve">残疾人康复</w:t>
            </w:r>
          </w:p>
        </w:tc>
        <w:tc>
          <w:tcPr>
            <w:tcW w:w="1060" w:type="dxa"/>
            <w:tcBorders/>
            <w:vAlign w:val="center"/>
          </w:tcPr>
          <w:p>
            <w:pPr>
              <w:jc w:val="right"/>
            </w:pPr>
            <w:r>
              <w:rPr>
                <w:rFonts w:ascii="宋体" w:eastAsia="宋体" w:hAnsi="宋体" w:cs="宋体"/>
                <w:b w:val="0"/>
                <w:i w:val="0"/>
                <w:color w:val="000000"/>
                <w:sz w:val="14"/>
              </w:rPr>
              <w:t xml:space="preserve">322.28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322.28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2081105</w:t>
            </w:r>
          </w:p>
        </w:tc>
        <w:tc>
          <w:tcPr>
            <w:tcW w:w="3440" w:type="dxa"/>
            <w:tcBorders/>
            <w:vAlign w:val="center"/>
          </w:tcPr>
          <w:p>
            <w:pPr>
              <w:jc w:val="left"/>
            </w:pPr>
            <w:r>
              <w:rPr>
                <w:rFonts w:ascii="宋体" w:eastAsia="宋体" w:hAnsi="宋体" w:cs="宋体"/>
                <w:b w:val="0"/>
                <w:i w:val="0"/>
                <w:color w:val="000000"/>
                <w:sz w:val="14"/>
              </w:rPr>
              <w:t xml:space="preserve">残疾人就业</w:t>
            </w:r>
          </w:p>
        </w:tc>
        <w:tc>
          <w:tcPr>
            <w:tcW w:w="1060" w:type="dxa"/>
            <w:tcBorders/>
            <w:vAlign w:val="center"/>
          </w:tcPr>
          <w:p>
            <w:pPr>
              <w:jc w:val="right"/>
            </w:pPr>
            <w:r>
              <w:rPr>
                <w:rFonts w:ascii="宋体" w:eastAsia="宋体" w:hAnsi="宋体" w:cs="宋体"/>
                <w:b w:val="0"/>
                <w:i w:val="0"/>
                <w:color w:val="000000"/>
                <w:sz w:val="14"/>
              </w:rPr>
              <w:t xml:space="preserve">23.90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2081106</w:t>
            </w:r>
          </w:p>
        </w:tc>
        <w:tc>
          <w:tcPr>
            <w:tcW w:w="3440" w:type="dxa"/>
            <w:tcBorders/>
            <w:vAlign w:val="center"/>
          </w:tcPr>
          <w:p>
            <w:pPr>
              <w:jc w:val="left"/>
            </w:pPr>
            <w:r>
              <w:rPr>
                <w:rFonts w:ascii="宋体" w:eastAsia="宋体" w:hAnsi="宋体" w:cs="宋体"/>
                <w:b w:val="0"/>
                <w:i w:val="0"/>
                <w:color w:val="000000"/>
                <w:sz w:val="14"/>
              </w:rPr>
              <w:t xml:space="preserve">残疾人体育</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1,617.80</w:t>
            </w:r>
          </w:p>
        </w:tc>
        <w:tc>
          <w:tcPr>
            <w:tcW w:w="1060" w:type="dxa"/>
            <w:tcBorders/>
            <w:vAlign w:val="center"/>
          </w:tcPr>
          <w:p>
            <w:pPr>
              <w:jc w:val="right"/>
            </w:pPr>
            <w:r>
              <w:rPr>
                <w:rFonts w:ascii="宋体" w:eastAsia="宋体" w:hAnsi="宋体" w:cs="宋体"/>
                <w:b w:val="0"/>
                <w:i w:val="0"/>
                <w:color w:val="000000"/>
                <w:sz w:val="14"/>
              </w:rPr>
              <w:t xml:space="preserve">44.73</w:t>
            </w:r>
          </w:p>
        </w:tc>
        <w:tc>
          <w:tcPr>
            <w:tcW w:w="1060" w:type="dxa"/>
            <w:tcBorders/>
            <w:vAlign w:val="center"/>
          </w:tcPr>
          <w:p>
            <w:pPr>
              <w:jc w:val="right"/>
            </w:pPr>
            <w:r>
              <w:rPr>
                <w:rFonts w:ascii="宋体" w:eastAsia="宋体" w:hAnsi="宋体" w:cs="宋体"/>
                <w:b w:val="0"/>
                <w:i w:val="0"/>
                <w:color w:val="000000"/>
                <w:sz w:val="14"/>
              </w:rPr>
              <w:t xml:space="preserve">1,573.07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6.59</w:t>
            </w:r>
          </w:p>
        </w:tc>
        <w:tc>
          <w:tcPr>
            <w:tcW w:w="1060" w:type="dxa"/>
            <w:tcBorders/>
            <w:vAlign w:val="center"/>
          </w:tcPr>
          <w:p>
            <w:pPr>
              <w:jc w:val="right"/>
            </w:pPr>
            <w:r>
              <w:rPr>
                <w:rFonts w:ascii="宋体" w:eastAsia="宋体" w:hAnsi="宋体" w:cs="宋体"/>
                <w:b w:val="0"/>
                <w:i w:val="0"/>
                <w:color w:val="000000"/>
                <w:sz w:val="14"/>
              </w:rPr>
              <w:t xml:space="preserve">6.59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6.59</w:t>
            </w:r>
          </w:p>
        </w:tc>
        <w:tc>
          <w:tcPr>
            <w:tcW w:w="1060" w:type="dxa"/>
            <w:tcBorders/>
            <w:vAlign w:val="center"/>
          </w:tcPr>
          <w:p>
            <w:pPr>
              <w:jc w:val="right"/>
            </w:pPr>
            <w:r>
              <w:rPr>
                <w:rFonts w:ascii="宋体" w:eastAsia="宋体" w:hAnsi="宋体" w:cs="宋体"/>
                <w:b w:val="0"/>
                <w:i w:val="0"/>
                <w:color w:val="000000"/>
                <w:sz w:val="14"/>
              </w:rPr>
              <w:t xml:space="preserve">6.59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16.70</w:t>
            </w:r>
          </w:p>
        </w:tc>
        <w:tc>
          <w:tcPr>
            <w:tcW w:w="1060" w:type="dxa"/>
            <w:tcBorders/>
            <w:vAlign w:val="center"/>
          </w:tcPr>
          <w:p>
            <w:pPr>
              <w:jc w:val="right"/>
            </w:pPr>
            <w:r>
              <w:rPr>
                <w:rFonts w:ascii="宋体" w:eastAsia="宋体" w:hAnsi="宋体" w:cs="宋体"/>
                <w:b w:val="0"/>
                <w:i w:val="0"/>
                <w:color w:val="000000"/>
                <w:sz w:val="14"/>
              </w:rPr>
              <w:t xml:space="preserve">16.70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16.70</w:t>
            </w:r>
          </w:p>
        </w:tc>
        <w:tc>
          <w:tcPr>
            <w:tcW w:w="1060" w:type="dxa"/>
            <w:tcBorders/>
            <w:vAlign w:val="center"/>
          </w:tcPr>
          <w:p>
            <w:pPr>
              <w:jc w:val="right"/>
            </w:pPr>
            <w:r>
              <w:rPr>
                <w:rFonts w:ascii="宋体" w:eastAsia="宋体" w:hAnsi="宋体" w:cs="宋体"/>
                <w:b w:val="0"/>
                <w:i w:val="0"/>
                <w:color w:val="000000"/>
                <w:sz w:val="14"/>
              </w:rPr>
              <w:t xml:space="preserve">16.70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16.70</w:t>
            </w:r>
          </w:p>
        </w:tc>
        <w:tc>
          <w:tcPr>
            <w:tcW w:w="1060" w:type="dxa"/>
            <w:tcBorders/>
            <w:vAlign w:val="center"/>
          </w:tcPr>
          <w:p>
            <w:pPr>
              <w:jc w:val="right"/>
            </w:pPr>
            <w:r>
              <w:rPr>
                <w:rFonts w:ascii="宋体" w:eastAsia="宋体" w:hAnsi="宋体" w:cs="宋体"/>
                <w:b w:val="0"/>
                <w:i w:val="0"/>
                <w:color w:val="000000"/>
                <w:sz w:val="14"/>
              </w:rPr>
              <w:t xml:space="preserve">16.70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147.35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147.35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147.35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147.35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2296006</w:t>
            </w:r>
          </w:p>
        </w:tc>
        <w:tc>
          <w:tcPr>
            <w:tcW w:w="3440" w:type="dxa"/>
            <w:tcBorders/>
            <w:vAlign w:val="center"/>
          </w:tcPr>
          <w:p>
            <w:pPr>
              <w:jc w:val="left"/>
            </w:pPr>
            <w:r>
              <w:rPr>
                <w:rFonts w:ascii="宋体" w:eastAsia="宋体" w:hAnsi="宋体" w:cs="宋体"/>
                <w:b w:val="0"/>
                <w:i w:val="0"/>
                <w:color w:val="000000"/>
                <w:sz w:val="14"/>
              </w:rPr>
              <w:t xml:space="preserve">用于残疾人事业的彩票公益金支出</w:t>
            </w:r>
          </w:p>
        </w:tc>
        <w:tc>
          <w:tcPr>
            <w:tcW w:w="1060" w:type="dxa"/>
            <w:tcBorders/>
            <w:vAlign w:val="center"/>
          </w:tcPr>
          <w:p>
            <w:pPr>
              <w:jc w:val="right"/>
            </w:pPr>
            <w:r>
              <w:rPr>
                <w:rFonts w:ascii="宋体" w:eastAsia="宋体" w:hAnsi="宋体" w:cs="宋体"/>
                <w:b w:val="0"/>
                <w:i w:val="0"/>
                <w:color w:val="000000"/>
                <w:sz w:val="14"/>
              </w:rPr>
              <w:t xml:space="preserve">147.35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147.35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2,090.35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147.35</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2,067.07</w:t>
            </w:r>
          </w:p>
        </w:tc>
        <w:tc>
          <w:tcPr>
            <w:tcW w:w="1100" w:type="dxa"/>
            <w:tcBorders/>
            <w:vAlign w:val="center"/>
          </w:tcPr>
          <w:p>
            <w:pPr>
              <w:jc w:val="right"/>
            </w:pPr>
            <w:r>
              <w:rPr>
                <w:rFonts w:ascii="宋体" w:eastAsia="宋体" w:hAnsi="宋体" w:cs="宋体"/>
                <w:b w:val="0"/>
                <w:i w:val="0"/>
                <w:color w:val="000000"/>
                <w:sz w:val="14"/>
              </w:rPr>
              <w:t xml:space="preserve">2,067.07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6.58</w:t>
            </w:r>
          </w:p>
        </w:tc>
        <w:tc>
          <w:tcPr>
            <w:tcW w:w="1100" w:type="dxa"/>
            <w:tcBorders/>
            <w:vAlign w:val="center"/>
          </w:tcPr>
          <w:p>
            <w:pPr>
              <w:jc w:val="right"/>
            </w:pPr>
            <w:r>
              <w:rPr>
                <w:rFonts w:ascii="宋体" w:eastAsia="宋体" w:hAnsi="宋体" w:cs="宋体"/>
                <w:b w:val="0"/>
                <w:i w:val="0"/>
                <w:color w:val="000000"/>
                <w:sz w:val="14"/>
              </w:rPr>
              <w:t xml:space="preserve">6.58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16.70</w:t>
            </w:r>
          </w:p>
        </w:tc>
        <w:tc>
          <w:tcPr>
            <w:tcW w:w="1100" w:type="dxa"/>
            <w:tcBorders/>
            <w:vAlign w:val="center"/>
          </w:tcPr>
          <w:p>
            <w:pPr>
              <w:jc w:val="right"/>
            </w:pPr>
            <w:r>
              <w:rPr>
                <w:rFonts w:ascii="宋体" w:eastAsia="宋体" w:hAnsi="宋体" w:cs="宋体"/>
                <w:b w:val="0"/>
                <w:i w:val="0"/>
                <w:color w:val="000000"/>
                <w:sz w:val="14"/>
              </w:rPr>
              <w:t xml:space="preserve">16.70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147.35</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147.35</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2,237.70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2,237.70</w:t>
            </w:r>
          </w:p>
        </w:tc>
        <w:tc>
          <w:tcPr>
            <w:tcW w:w="1100" w:type="dxa"/>
            <w:tcBorders/>
            <w:vAlign w:val="center"/>
          </w:tcPr>
          <w:p>
            <w:pPr>
              <w:jc w:val="right"/>
            </w:pPr>
            <w:r>
              <w:rPr>
                <w:rFonts w:ascii="宋体" w:eastAsia="宋体" w:hAnsi="宋体" w:cs="宋体"/>
                <w:b w:val="0"/>
                <w:i w:val="0"/>
                <w:color w:val="000000"/>
                <w:sz w:val="14"/>
              </w:rPr>
              <w:t xml:space="preserve">2,090.35</w:t>
            </w:r>
          </w:p>
        </w:tc>
        <w:tc>
          <w:tcPr>
            <w:tcW w:w="1100" w:type="dxa"/>
            <w:tcBorders/>
            <w:vAlign w:val="center"/>
          </w:tcPr>
          <w:p>
            <w:pPr>
              <w:jc w:val="right"/>
            </w:pPr>
            <w:r>
              <w:rPr>
                <w:rFonts w:ascii="宋体" w:eastAsia="宋体" w:hAnsi="宋体" w:cs="宋体"/>
                <w:b w:val="0"/>
                <w:i w:val="0"/>
                <w:color w:val="000000"/>
                <w:sz w:val="14"/>
              </w:rPr>
              <w:t xml:space="preserve">147.35</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2,237.70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2,237.70</w:t>
            </w:r>
          </w:p>
        </w:tc>
        <w:tc>
          <w:tcPr>
            <w:tcW w:w="1100" w:type="dxa"/>
            <w:tcBorders/>
            <w:vAlign w:val="center"/>
          </w:tcPr>
          <w:p>
            <w:pPr>
              <w:jc w:val="right"/>
            </w:pPr>
            <w:r>
              <w:rPr>
                <w:rFonts w:ascii="宋体" w:eastAsia="宋体" w:hAnsi="宋体" w:cs="宋体"/>
                <w:b w:val="0"/>
                <w:i w:val="0"/>
                <w:color w:val="000000"/>
                <w:sz w:val="14"/>
              </w:rPr>
              <w:t xml:space="preserve">2,090.35</w:t>
            </w:r>
          </w:p>
        </w:tc>
        <w:tc>
          <w:tcPr>
            <w:tcW w:w="1100" w:type="dxa"/>
            <w:tcBorders/>
            <w:vAlign w:val="center"/>
          </w:tcPr>
          <w:p>
            <w:pPr>
              <w:jc w:val="right"/>
            </w:pPr>
            <w:r>
              <w:rPr>
                <w:rFonts w:ascii="宋体" w:eastAsia="宋体" w:hAnsi="宋体" w:cs="宋体"/>
                <w:b w:val="0"/>
                <w:i w:val="0"/>
                <w:color w:val="000000"/>
                <w:sz w:val="14"/>
              </w:rPr>
              <w:t xml:space="preserve">147.35</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2,090.35</w:t>
            </w:r>
          </w:p>
        </w:tc>
        <w:tc>
          <w:tcPr>
            <w:tcW w:w="1780" w:type="dxa"/>
            <w:tcBorders/>
            <w:vAlign w:val="center"/>
          </w:tcPr>
          <w:p>
            <w:pPr>
              <w:jc w:val="right"/>
            </w:pPr>
            <w:r>
              <w:rPr>
                <w:rFonts w:ascii="宋体" w:eastAsia="宋体" w:hAnsi="宋体" w:cs="宋体"/>
                <w:b/>
                <w:i w:val="0"/>
                <w:color w:val="000000"/>
                <w:sz w:val="18"/>
              </w:rPr>
              <w:t xml:space="preserve">169.27</w:t>
            </w:r>
          </w:p>
        </w:tc>
        <w:tc>
          <w:tcPr>
            <w:tcW w:w="1772" w:type="dxa"/>
            <w:tcBorders/>
            <w:vAlign w:val="center"/>
          </w:tcPr>
          <w:p>
            <w:pPr>
              <w:jc w:val="right"/>
            </w:pPr>
            <w:r>
              <w:rPr>
                <w:rFonts w:ascii="宋体" w:eastAsia="宋体" w:hAnsi="宋体" w:cs="宋体"/>
                <w:b/>
                <w:i w:val="0"/>
                <w:color w:val="000000"/>
                <w:sz w:val="18"/>
              </w:rPr>
              <w:t xml:space="preserve">1,921.08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2,067.07</w:t>
            </w:r>
          </w:p>
        </w:tc>
        <w:tc>
          <w:tcPr>
            <w:tcW w:w="1780" w:type="dxa"/>
            <w:tcBorders/>
            <w:vAlign w:val="center"/>
          </w:tcPr>
          <w:p>
            <w:pPr>
              <w:jc w:val="right"/>
            </w:pPr>
            <w:r>
              <w:rPr>
                <w:rFonts w:ascii="宋体" w:eastAsia="宋体" w:hAnsi="宋体" w:cs="宋体"/>
                <w:b w:val="0"/>
                <w:i w:val="0"/>
                <w:color w:val="000000"/>
                <w:sz w:val="18"/>
              </w:rPr>
              <w:t xml:space="preserve">145.99</w:t>
            </w:r>
          </w:p>
        </w:tc>
        <w:tc>
          <w:tcPr>
            <w:tcW w:w="1772" w:type="dxa"/>
            <w:tcBorders/>
            <w:vAlign w:val="center"/>
          </w:tcPr>
          <w:p>
            <w:pPr>
              <w:jc w:val="right"/>
            </w:pPr>
            <w:r>
              <w:rPr>
                <w:rFonts w:ascii="宋体" w:eastAsia="宋体" w:hAnsi="宋体" w:cs="宋体"/>
                <w:b w:val="0"/>
                <w:i w:val="0"/>
                <w:color w:val="000000"/>
                <w:sz w:val="18"/>
              </w:rPr>
              <w:t xml:space="preserve">1,921.08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18.12</w:t>
            </w:r>
          </w:p>
        </w:tc>
        <w:tc>
          <w:tcPr>
            <w:tcW w:w="1780" w:type="dxa"/>
            <w:tcBorders/>
            <w:vAlign w:val="center"/>
          </w:tcPr>
          <w:p>
            <w:pPr>
              <w:jc w:val="right"/>
            </w:pPr>
            <w:r>
              <w:rPr>
                <w:rFonts w:ascii="宋体" w:eastAsia="宋体" w:hAnsi="宋体" w:cs="宋体"/>
                <w:b w:val="0"/>
                <w:i w:val="0"/>
                <w:color w:val="000000"/>
                <w:sz w:val="18"/>
              </w:rPr>
              <w:t xml:space="preserve">18.12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1.91</w:t>
            </w:r>
          </w:p>
        </w:tc>
        <w:tc>
          <w:tcPr>
            <w:tcW w:w="1780" w:type="dxa"/>
            <w:tcBorders/>
            <w:vAlign w:val="center"/>
          </w:tcPr>
          <w:p>
            <w:pPr>
              <w:jc w:val="right"/>
            </w:pPr>
            <w:r>
              <w:rPr>
                <w:rFonts w:ascii="宋体" w:eastAsia="宋体" w:hAnsi="宋体" w:cs="宋体"/>
                <w:b w:val="0"/>
                <w:i w:val="0"/>
                <w:color w:val="000000"/>
                <w:sz w:val="18"/>
              </w:rPr>
              <w:t xml:space="preserve">1.91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0.22</w:t>
            </w:r>
          </w:p>
        </w:tc>
        <w:tc>
          <w:tcPr>
            <w:tcW w:w="1780" w:type="dxa"/>
            <w:tcBorders/>
            <w:vAlign w:val="center"/>
          </w:tcPr>
          <w:p>
            <w:pPr>
              <w:jc w:val="right"/>
            </w:pPr>
            <w:r>
              <w:rPr>
                <w:rFonts w:ascii="宋体" w:eastAsia="宋体" w:hAnsi="宋体" w:cs="宋体"/>
                <w:b w:val="0"/>
                <w:i w:val="0"/>
                <w:color w:val="000000"/>
                <w:sz w:val="18"/>
              </w:rPr>
              <w:t xml:space="preserve">0.22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15.99</w:t>
            </w:r>
          </w:p>
        </w:tc>
        <w:tc>
          <w:tcPr>
            <w:tcW w:w="1780" w:type="dxa"/>
            <w:tcBorders/>
            <w:vAlign w:val="center"/>
          </w:tcPr>
          <w:p>
            <w:pPr>
              <w:jc w:val="right"/>
            </w:pPr>
            <w:r>
              <w:rPr>
                <w:rFonts w:ascii="宋体" w:eastAsia="宋体" w:hAnsi="宋体" w:cs="宋体"/>
                <w:b w:val="0"/>
                <w:i w:val="0"/>
                <w:color w:val="000000"/>
                <w:sz w:val="18"/>
              </w:rPr>
              <w:t xml:space="preserve">15.99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2,048.95</w:t>
            </w:r>
          </w:p>
        </w:tc>
        <w:tc>
          <w:tcPr>
            <w:tcW w:w="1780" w:type="dxa"/>
            <w:tcBorders/>
            <w:vAlign w:val="center"/>
          </w:tcPr>
          <w:p>
            <w:pPr>
              <w:jc w:val="right"/>
            </w:pPr>
            <w:r>
              <w:rPr>
                <w:rFonts w:ascii="宋体" w:eastAsia="宋体" w:hAnsi="宋体" w:cs="宋体"/>
                <w:b w:val="0"/>
                <w:i w:val="0"/>
                <w:color w:val="000000"/>
                <w:sz w:val="18"/>
              </w:rPr>
              <w:t xml:space="preserve">127.87</w:t>
            </w:r>
          </w:p>
        </w:tc>
        <w:tc>
          <w:tcPr>
            <w:tcW w:w="1772" w:type="dxa"/>
            <w:tcBorders/>
            <w:vAlign w:val="center"/>
          </w:tcPr>
          <w:p>
            <w:pPr>
              <w:jc w:val="right"/>
            </w:pPr>
            <w:r>
              <w:rPr>
                <w:rFonts w:ascii="宋体" w:eastAsia="宋体" w:hAnsi="宋体" w:cs="宋体"/>
                <w:b w:val="0"/>
                <w:i w:val="0"/>
                <w:color w:val="000000"/>
                <w:sz w:val="18"/>
              </w:rPr>
              <w:t xml:space="preserve">1,921.08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2081104</w:t>
            </w:r>
          </w:p>
        </w:tc>
        <w:tc>
          <w:tcPr>
            <w:tcW w:w="4300" w:type="dxa"/>
            <w:tcBorders/>
            <w:vAlign w:val="center"/>
          </w:tcPr>
          <w:p>
            <w:pPr>
              <w:jc w:val="left"/>
            </w:pPr>
            <w:r>
              <w:rPr>
                <w:rFonts w:ascii="宋体" w:eastAsia="宋体" w:hAnsi="宋体" w:cs="宋体"/>
                <w:b w:val="0"/>
                <w:i w:val="0"/>
                <w:color w:val="000000"/>
                <w:sz w:val="18"/>
              </w:rPr>
              <w:t xml:space="preserve">残疾人康复</w:t>
            </w:r>
          </w:p>
        </w:tc>
        <w:tc>
          <w:tcPr>
            <w:tcW w:w="1780" w:type="dxa"/>
            <w:tcBorders/>
            <w:vAlign w:val="center"/>
          </w:tcPr>
          <w:p>
            <w:pPr>
              <w:jc w:val="right"/>
            </w:pPr>
            <w:r>
              <w:rPr>
                <w:rFonts w:ascii="宋体" w:eastAsia="宋体" w:hAnsi="宋体" w:cs="宋体"/>
                <w:b w:val="0"/>
                <w:i w:val="0"/>
                <w:color w:val="000000"/>
                <w:sz w:val="18"/>
              </w:rPr>
              <w:t xml:space="preserve">322.28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322.28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2081105</w:t>
            </w:r>
          </w:p>
        </w:tc>
        <w:tc>
          <w:tcPr>
            <w:tcW w:w="4300" w:type="dxa"/>
            <w:tcBorders/>
            <w:vAlign w:val="center"/>
          </w:tcPr>
          <w:p>
            <w:pPr>
              <w:jc w:val="left"/>
            </w:pPr>
            <w:r>
              <w:rPr>
                <w:rFonts w:ascii="宋体" w:eastAsia="宋体" w:hAnsi="宋体" w:cs="宋体"/>
                <w:b w:val="0"/>
                <w:i w:val="0"/>
                <w:color w:val="000000"/>
                <w:sz w:val="18"/>
              </w:rPr>
              <w:t xml:space="preserve">残疾人就业</w:t>
            </w:r>
          </w:p>
        </w:tc>
        <w:tc>
          <w:tcPr>
            <w:tcW w:w="1780" w:type="dxa"/>
            <w:tcBorders/>
            <w:vAlign w:val="center"/>
          </w:tcPr>
          <w:p>
            <w:pPr>
              <w:jc w:val="right"/>
            </w:pPr>
            <w:r>
              <w:rPr>
                <w:rFonts w:ascii="宋体" w:eastAsia="宋体" w:hAnsi="宋体" w:cs="宋体"/>
                <w:b w:val="0"/>
                <w:i w:val="0"/>
                <w:color w:val="000000"/>
                <w:sz w:val="18"/>
              </w:rPr>
              <w:t xml:space="preserve">23.90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2081106</w:t>
            </w:r>
          </w:p>
        </w:tc>
        <w:tc>
          <w:tcPr>
            <w:tcW w:w="4300" w:type="dxa"/>
            <w:tcBorders/>
            <w:vAlign w:val="center"/>
          </w:tcPr>
          <w:p>
            <w:pPr>
              <w:jc w:val="left"/>
            </w:pPr>
            <w:r>
              <w:rPr>
                <w:rFonts w:ascii="宋体" w:eastAsia="宋体" w:hAnsi="宋体" w:cs="宋体"/>
                <w:b w:val="0"/>
                <w:i w:val="0"/>
                <w:color w:val="000000"/>
                <w:sz w:val="18"/>
              </w:rPr>
              <w:t xml:space="preserve">残疾人体育</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1,615.85</w:t>
            </w:r>
          </w:p>
        </w:tc>
        <w:tc>
          <w:tcPr>
            <w:tcW w:w="1780" w:type="dxa"/>
            <w:tcBorders/>
            <w:vAlign w:val="center"/>
          </w:tcPr>
          <w:p>
            <w:pPr>
              <w:jc w:val="right"/>
            </w:pPr>
            <w:r>
              <w:rPr>
                <w:rFonts w:ascii="宋体" w:eastAsia="宋体" w:hAnsi="宋体" w:cs="宋体"/>
                <w:b w:val="0"/>
                <w:i w:val="0"/>
                <w:color w:val="000000"/>
                <w:sz w:val="18"/>
              </w:rPr>
              <w:t xml:space="preserve">44.73</w:t>
            </w:r>
          </w:p>
        </w:tc>
        <w:tc>
          <w:tcPr>
            <w:tcW w:w="1772" w:type="dxa"/>
            <w:tcBorders/>
            <w:vAlign w:val="center"/>
          </w:tcPr>
          <w:p>
            <w:pPr>
              <w:jc w:val="right"/>
            </w:pPr>
            <w:r>
              <w:rPr>
                <w:rFonts w:ascii="宋体" w:eastAsia="宋体" w:hAnsi="宋体" w:cs="宋体"/>
                <w:b w:val="0"/>
                <w:i w:val="0"/>
                <w:color w:val="000000"/>
                <w:sz w:val="18"/>
              </w:rPr>
              <w:t xml:space="preserve">1,571.12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6.59</w:t>
            </w:r>
          </w:p>
        </w:tc>
        <w:tc>
          <w:tcPr>
            <w:tcW w:w="1780" w:type="dxa"/>
            <w:tcBorders/>
            <w:vAlign w:val="center"/>
          </w:tcPr>
          <w:p>
            <w:pPr>
              <w:jc w:val="right"/>
            </w:pPr>
            <w:r>
              <w:rPr>
                <w:rFonts w:ascii="宋体" w:eastAsia="宋体" w:hAnsi="宋体" w:cs="宋体"/>
                <w:b w:val="0"/>
                <w:i w:val="0"/>
                <w:color w:val="000000"/>
                <w:sz w:val="18"/>
              </w:rPr>
              <w:t xml:space="preserve">6.59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6.59</w:t>
            </w:r>
          </w:p>
        </w:tc>
        <w:tc>
          <w:tcPr>
            <w:tcW w:w="1780" w:type="dxa"/>
            <w:tcBorders/>
            <w:vAlign w:val="center"/>
          </w:tcPr>
          <w:p>
            <w:pPr>
              <w:jc w:val="right"/>
            </w:pPr>
            <w:r>
              <w:rPr>
                <w:rFonts w:ascii="宋体" w:eastAsia="宋体" w:hAnsi="宋体" w:cs="宋体"/>
                <w:b w:val="0"/>
                <w:i w:val="0"/>
                <w:color w:val="000000"/>
                <w:sz w:val="18"/>
              </w:rPr>
              <w:t xml:space="preserve">6.59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16.70</w:t>
            </w:r>
          </w:p>
        </w:tc>
        <w:tc>
          <w:tcPr>
            <w:tcW w:w="1780" w:type="dxa"/>
            <w:tcBorders/>
            <w:vAlign w:val="center"/>
          </w:tcPr>
          <w:p>
            <w:pPr>
              <w:jc w:val="right"/>
            </w:pPr>
            <w:r>
              <w:rPr>
                <w:rFonts w:ascii="宋体" w:eastAsia="宋体" w:hAnsi="宋体" w:cs="宋体"/>
                <w:b w:val="0"/>
                <w:i w:val="0"/>
                <w:color w:val="000000"/>
                <w:sz w:val="18"/>
              </w:rPr>
              <w:t xml:space="preserve">16.70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16.70</w:t>
            </w:r>
          </w:p>
        </w:tc>
        <w:tc>
          <w:tcPr>
            <w:tcW w:w="1780" w:type="dxa"/>
            <w:tcBorders/>
            <w:vAlign w:val="center"/>
          </w:tcPr>
          <w:p>
            <w:pPr>
              <w:jc w:val="right"/>
            </w:pPr>
            <w:r>
              <w:rPr>
                <w:rFonts w:ascii="宋体" w:eastAsia="宋体" w:hAnsi="宋体" w:cs="宋体"/>
                <w:b w:val="0"/>
                <w:i w:val="0"/>
                <w:color w:val="000000"/>
                <w:sz w:val="18"/>
              </w:rPr>
              <w:t xml:space="preserve">16.70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16.70</w:t>
            </w:r>
          </w:p>
        </w:tc>
        <w:tc>
          <w:tcPr>
            <w:tcW w:w="1780" w:type="dxa"/>
            <w:tcBorders/>
            <w:vAlign w:val="center"/>
          </w:tcPr>
          <w:p>
            <w:pPr>
              <w:jc w:val="right"/>
            </w:pPr>
            <w:r>
              <w:rPr>
                <w:rFonts w:ascii="宋体" w:eastAsia="宋体" w:hAnsi="宋体" w:cs="宋体"/>
                <w:b w:val="0"/>
                <w:i w:val="0"/>
                <w:color w:val="000000"/>
                <w:sz w:val="18"/>
              </w:rPr>
              <w:t xml:space="preserve">16.70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142.13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25.01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41.33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1.93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22.45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19.23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3.51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15.84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15.99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2.54</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5.64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6.58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8.53</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0.49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16.70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2.13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2.13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0.81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5.28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144.26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25.01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147.35</w:t>
            </w:r>
          </w:p>
        </w:tc>
        <w:tc>
          <w:tcPr>
            <w:tcW w:w="1040" w:type="dxa"/>
            <w:tcBorders/>
            <w:vAlign w:val="center"/>
          </w:tcPr>
          <w:p>
            <w:pPr>
              <w:jc w:val="right"/>
            </w:pPr>
            <w:r>
              <w:rPr>
                <w:rFonts w:ascii="宋体" w:eastAsia="宋体" w:hAnsi="宋体" w:cs="宋体"/>
                <w:b/>
                <w:i w:val="0"/>
                <w:color w:val="000000"/>
                <w:sz w:val="15"/>
              </w:rPr>
              <w:t xml:space="preserve">147.35</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147.35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147.35</w:t>
            </w:r>
          </w:p>
        </w:tc>
        <w:tc>
          <w:tcPr>
            <w:tcW w:w="1040" w:type="dxa"/>
            <w:tcBorders/>
            <w:vAlign w:val="center"/>
          </w:tcPr>
          <w:p>
            <w:pPr>
              <w:jc w:val="right"/>
            </w:pPr>
            <w:r>
              <w:rPr>
                <w:rFonts w:ascii="宋体" w:eastAsia="宋体" w:hAnsi="宋体" w:cs="宋体"/>
                <w:b w:val="0"/>
                <w:i w:val="0"/>
                <w:color w:val="000000"/>
                <w:sz w:val="15"/>
              </w:rPr>
              <w:t xml:space="preserve">147.35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147.35</w:t>
            </w:r>
          </w:p>
        </w:tc>
        <w:tc>
          <w:tcPr>
            <w:tcW w:w="1040" w:type="dxa"/>
            <w:tcBorders/>
            <w:vAlign w:val="center"/>
          </w:tcPr>
          <w:p>
            <w:pPr>
              <w:jc w:val="right"/>
            </w:pPr>
            <w:r>
              <w:rPr>
                <w:rFonts w:ascii="宋体" w:eastAsia="宋体" w:hAnsi="宋体" w:cs="宋体"/>
                <w:b w:val="0"/>
                <w:i w:val="0"/>
                <w:color w:val="000000"/>
                <w:sz w:val="15"/>
              </w:rPr>
              <w:t xml:space="preserve">147.35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2296006</w:t>
            </w:r>
          </w:p>
        </w:tc>
        <w:tc>
          <w:tcPr>
            <w:tcW w:w="3540" w:type="dxa"/>
            <w:tcBorders/>
            <w:vAlign w:val="center"/>
          </w:tcPr>
          <w:p>
            <w:pPr>
              <w:jc w:val="left"/>
            </w:pPr>
            <w:r>
              <w:rPr>
                <w:rFonts w:ascii="宋体" w:eastAsia="宋体" w:hAnsi="宋体" w:cs="宋体"/>
                <w:b w:val="0"/>
                <w:i w:val="0"/>
                <w:color w:val="000000"/>
                <w:sz w:val="15"/>
              </w:rPr>
              <w:t xml:space="preserve">用于残疾人事业的彩票公益金支出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147.35</w:t>
            </w:r>
          </w:p>
        </w:tc>
        <w:tc>
          <w:tcPr>
            <w:tcW w:w="1040" w:type="dxa"/>
            <w:tcBorders/>
            <w:vAlign w:val="center"/>
          </w:tcPr>
          <w:p>
            <w:pPr>
              <w:jc w:val="right"/>
            </w:pPr>
            <w:r>
              <w:rPr>
                <w:rFonts w:ascii="宋体" w:eastAsia="宋体" w:hAnsi="宋体" w:cs="宋体"/>
                <w:b w:val="0"/>
                <w:i w:val="0"/>
                <w:color w:val="000000"/>
                <w:sz w:val="15"/>
              </w:rPr>
              <w:t xml:space="preserve">147.35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147.35</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部门：辽宁省沈阳市浑南区残疾人联合会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044001沈阳市浑南区残疾人联合会本级-210112000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119.48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119.48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充分利用预算资金，确保机构顺畅运行。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确保了各项经费的及时支出。</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利于促进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为残疾人服务的人员专业技能提高</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能力提升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服务职工群众内部工作机制建立情况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044002沈阳市浑南区残疾人服务中心-210112000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贯彻执行国家、省、市、区有关残疾人服务工作的方针、政策和规定，收集、反映残疾人意见和需求。</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指标已完成。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数据利用率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完工验收通过率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政府采购资金节约率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提升能力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残疾人机动轮椅车燃油补助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为全区26名持证残疾人车主发放燃油补贴，保障残疾人合法权益，维护特殊群体稳定。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为全区24名持证残疾人车主发放燃油补贴，保障残疾人合法权益，维护特殊群体稳定。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经费保障:按照2024年全区应发放残疾人机动轮椅车燃油补助人数24人，目前已全部发放到位。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经费保障:精准统计需发放残疾人机动轮椅车燃油补助人员数量，按照上级下达指标执行，专款专用。</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发放残疾人机动轮椅车燃油补贴人次数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经费保障:按照2024年全区应发放残疾人机动轮椅车燃油补助人数24人，目前已全部发放到位。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经费保障:精准统计需发放残疾人机动轮椅车燃油补助人员数量，按照上级下达指标执行，专款专用。</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残疾人机动轮椅车燃油补贴年均补助标准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残疾人机动轮椅车车主出行便利程度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便利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接受燃油补贴残疾人满意度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残疾人康复体育进社区进家庭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残疾人康复体育进社区进家庭项目，让重度残疾人就近参加康复体育健身活动，不断改善身体机能，走出家门，融入社会，让残疾人感受党和政府对他们的关心和关爱，享受浑南区社会经济发展带给他们的幸福美好的生活，通过在社区和重度残疾人家庭中建设康复体育健身示范点和示范户项目，能让重度残疾人就近或在家就能进行康复体育健身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为了能让重度残疾人就近或在家就能进行康复体育健身活动，2024年我区建设康复体育示范点2个。</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残疾人康复体育社区健身示范点数量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总成本控制数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帮助残疾人增强生活信心提高社会融入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促进残疾人平等参与和融入社会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残疾人事业管理专项业务经费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残联统一工作部署，按时为全区持有二代残疾人证的残疾人更换第三代残疾人证，并为申请办理残疾人证的居民免费提供残疾人证体检。按省、市残联工作安排，对全区办证残疾人进行入户调查，详细了解残疾人各项需求，并填写、录入调查数据及信息，以此作为后期制定政策的依据和支撑。充分发挥基层组织作用桥梁和纽带作用，积极开展各项活动，密切联系本地区残疾人。 确保按期换届。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完成了1-6月驻区残疾人专干4人伙食费，剩余经费预计于2025年支出。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资格审查流程规范率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氛围浓厚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31.59471366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残疾人专干经费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干的工作理念、工作对象、工作内容具有明显的社会工作特征。因此，残疾人专干的定位就是专门从事残疾人工作的社会工作者。主要工作为：入户走访了解并反映需求，协调有关部门做好残疾人生活保障、康复、就业、医疗、教育、扶贫、托养、维权和无障碍等工作，组织文体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2024年已完成请款9.764万元，预计于2025年支出。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残疾人专干专委补贴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干和专职委员的工作理念、工作对象、工作内容具有明显的社会工作特征。因此，残疾人专干和专职委员的定位就是专门从事残疾人工作的社会工作者。主要工作为：入户走访了解并反映需求，协调有关部门做好残疾人生活保障、康复、就业、医疗、教育、扶贫、托养、维权和无障碍等工作，组织文体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完成年初工作目标。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符合发放条件的残疾人专职委员补贴发放率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其他:因编制预算后有残疾人专职委员于12月解聘，故2024年全区应发放残疾人专职委员工资人数21人，目前已全部发放到位。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其他:统计每年需发放残疾人专职委员人员数量，精准编制残疾人专职委员工资经费，专款专用。</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残疾人专职委员补贴发放规范性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接受专职委员补贴的残疾人满意度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完成伙食费、办公费、工会经费及取暖费的及时支出，确保了单位正常运转。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8.99868996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困难残疾人家庭无障碍改造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为进一步推动全区残疾人无障碍理念，提升优化公共无障碍环境建设工作，帮助残疾家庭创造便利环境、提高生活质量。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2024年困难残疾人家庭无障碍改造完成支付22%进度款，剩余资金预计于2025年支出。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帮助残疾人增强生活信心提高社会融入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接受无障碍改造残疾人家庭满意度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32.98763198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助残“阳光行动”专项经费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确保了单位正常运转。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资格审查流程规范率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氛围浓厚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促进残疾人平等参与和融入社会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积极参与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办公楼为保证正常运转，维护维修费为7万元。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为保障我单位日常办公，维护费共计2.83万已经全部执行。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质量监测时长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残保金（残服中心）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行政事业单位残保金：现有事业单位119家，在职职工5675人，按1万元*5657人*1.5%=855万元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浑南区残疾人服务中心执行残保金金额为720.346155万元，现已全部达成。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得到残疾评定补贴的残疾人人数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改善残疾人家庭状况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残疾儿童康复救助项目补助支出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省、中央儿童抢救性康复项目4岁以下11人*2.4=26.4万元，4-14岁28人*1.8=50.4万元。人工耳蜗2人*10万=20万元，生活补助3人*2=6万元，辅助器具3人*0.5=1.5万元，小计104.3万，全部为市级资金。2.市级儿童抢救性康复项目303人*1.8万=545.4万元。特困家庭儿童生活救助7人*2万元=14万元。小计559.4万，市区1:1匹配。 市级匹配资金279.7万元，区级匹配资金279.7万元。             资金总计663.7万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儿童康复资金指标下达656.68万元，2024年执行总金额为411.857万元，剩余指标已经在2025年完成2024年儿童康复全部请款，并已支出。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得到康复救助的残疾儿童数量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有需求的残疾儿童得到康复救助的覆盖率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17.27180828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国务院办公厅关于印发促进残疾人就业三年行动方案（2022-2024年）的通知（国办发【2022】6号）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2024年度由于财政资金较为紧张，此项目无支出。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接受高中及以上教育残疾人数增长率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残疾人家庭人均可支配收入年均增速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不断丰富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改善残疾人居家环境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残疾人学习机动车C5驾驶技能培训补贴费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残疾人学习机动车C5驾驶技能培训补贴（残服中心）残疾人学习C5驾驶技能培训补贴0.1万元×2人=0.2万元，市区1:1配套，区级资金0.1万。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2024年C5驾驶技能培训补贴在2024年采集信息，审核后，2025年执行此项目金额。</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补助就业创业的残疾人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安置残疾人就业人数为年度培训完成率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提高残疾人生存技能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残疾人意外伤害和家庭财产保险（残服中心）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残疾人缴纳商业保险8000人*60元=48万元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2024年度完成金额为24.115万元。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平台服务残疾人数量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残疾人对补贴救助政策的知晓率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改善残疾人居家环境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26.00207383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低收入一级残疾人救助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《关于开展2023年度低收人一级残疾人专项救助调查的通知》：一级救助80户*766元/月*12月合计73.536万，市区1:1匹配，区级资金36.768,市级资金36.768万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我区2024年度低收入一级残疾人专项救助完成指标为57.9683万元。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残疾人特殊教育完成率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残疾人基本康复服务覆盖率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残疾人家庭人均可支配收入年均增速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扶持残疾人个体灵活就业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扶持残疾人个体自主创业70户*0.8万元=56万元，就业基地3家，每一家就业基地补贴7万*3家=21万，盲人按摩院（所）13户*0.8万元=10.4万元。共计87.4万元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扶持残疾人个体自主创业执行金额为79.8292万元。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培训有就业需求残疾人人数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补贴残疾人个人创业就业人数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8.41914498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各类别残疾人权益普及及服务经费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残联相关文件：沈阳市残联关于开展第二十四次全国爱耳日宣传教育活动的通知、沈阳市政府残工委秘书处关于组织开展第七次残疾预防日宣传教育活动的通知等指导意见，在残疾人主题活动日，举行相关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由于我区财政资金较为紧张，对于宣传教育活动，我单位通过张贴市级下发的宣传海报已经线上宣传的方式为残疾人宣传活动日。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平台服务残疾人数量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接受高中及以上教育残疾人数增长率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残疾人社会参与度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保障雇员和劳务派遣人员伙食以及日常工作办公用品的消耗和个人福利等，为单位正常开展工作提供保障。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为保障雇员和劳务派遣人员的伙食及日常办公，我单位按季度完成请款，由于我区财政资金较为紧张，2024年四季度雇员及派遣人员经费暂未下拨。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经费保障:2024年度我中心雇员及派遣人员经费由于财政资金紧张的原因，财政暂未下拨四季度经费。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经费保障:及时与财政沟通，保证我中心2024年度雇员及派遣人员经费下拨后用于我单位正常办公。</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其他:我单位现2024年四季度雇员及派遣经费暂未下拨，等待财政下拨后用于日常经费运转。</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其他:等待财政拨款后，及时下发2024年第四季度的雇员及派遣人员经费，以保障中心办公正常运行。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国家开放残疾人教育助学金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国家开放教育助学金21人*0.19万元=4万元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2024年度国家开放教育助学金我中心支出金额为0.32万元。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接受高中及以上教育残疾人数增长率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残疾儿童义务教育增长率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残疾人专职委员补贴发放规范性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提高残疾人受教育水平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减轻残疾大学生经济负担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基本减轻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32.48148148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居家养残公益岗位补贴（市级）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 沈财指社【2023】8018号 居家养残公益性岗位补贴27万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居家养残公益性岗位补贴已全部支出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居家养残公益性岗位补贴（助残民生服务岗位）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排经费57万岗位补贴按1910元：1910*15*12=34.38万单位承担保险：养老保险656.96、失业保险20.53元、医疗保险552元、工伤保险8.21元（656.96+20.53+552+8.21）*15*12=22.2786万共计：岗位补贴+保险=34.38+22.2786=56.6585万注：助残民生服务岗位资金由市、区两级财政按照1:1比例负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残疾人服务中心居家养残项目执行金额为24.07万元。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困难家庭子女学费补贴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资助残疾人及残疾人子女义务教育阶段人160*0.1万元=16万元；残疾人大学生及困难残疾人家庭大学生25人*0.3万元=7.5万元；合计23.5万元，市区1:1配套，区级资金11.75万。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我区关于资助残疾人及残疾人大学生及困难家庭的指标2024年度完成19.7万元。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特殊困难帮扶人数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安置就业困难残疾人社会保险补贴人数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改善残疾人家庭状况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两节救济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健康水平,保障残疾人与全市人民一起迈入全面小康社会,使残疾人获得持续健康福祉。深入贯彻习近平总书记关于疫情防控和基本民生保障的重要指示精神，结合实际，落实“两个找到”专项行动要求，积极参与全市开展的解民忧、纾民困、暖民心活动，进行走访慰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两节救济已支付18.3万元。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资金发放实名制率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发放奖金标准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改善残疾人生活境况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为了保证中心工作的正常办公。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为了保证中心正常办公，我中心按季度完成物业费请款，等待财政下拨2024年度物业费。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因物业工作不到位影响办公的次数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物业管理费缴纳的及时性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物业费缴纳的时效性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物业式规范管理服务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物业式管理服务规范性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阳光家园计划-托养服务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沈财指社【2024】462号 下达托养服务补贴资金的通知：下达浑南区指标20万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我单位经过实地考察，走访后，经过研究，现暂缓我区承办阳光家园计划。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补助就业创业的残疾人人数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中央财政残疾人事业发展补助资金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里文件要求，为具有我区户口的残疾人（含末领证14周岁以下残疾儿童）残疾人辅具（轮椅、假肢、助听器、拐杖）采购经费，经过需求筛查我区假肢类14件，残疾儿童辅具2件，肢体类106件，听力类15件，视力类20件，精神类12件，根据标准残疾儿童辅助器具人均补贴0.125万，0.125*2=0.25万；精神智力0.0615万，0.0615*12=0.738万；视力类0.121万，0.121*20=2.42万；听力类0.114万，0.114*15=1.71万；肢体类0.055万，0.055*106=5.83万假肢及矫形器类0.793万元，0.793*14=11.102万；依据2023年辅具申请情况，我区有需求外申请辅具的情况，根据实际需求2024年申请自采轮椅10台，腋拐10副， 0.055*20=1.1 万。合计23.15万。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残疾人事业发展资金指标现已全部完成。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残疾人康复体育社区健身示范点数量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残疾人康复体育器材引进家庭数量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残疾人辅助器具适配率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残疾人适配辅助器具配备率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55-59周岁重度残疾人生活补助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55-59周岁重度残疾人92人*119元/月×12月=13.1376万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关于55-59周岁重残补助，完成执行总金额为11.354万元。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55-59周岁重度残疾人生活补贴覆盖率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提供生活补贴的55-59周岁重度残疾人人数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残疾人生活自理能力提升率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98.92</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