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辽宁省沈阳市浑南区妇女联合会</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辽宁省沈阳市浑南区妇女联合会</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辽宁省沈阳市浑南区妇女联合会</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辽宁省沈阳市浑南区妇女联合会</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辽宁省沈阳市浑南区妇女联合会</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辽宁省沈阳市浑南区妇女联合会概况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妇女联合会是全国各族各界妇女在中国共产党领导下为争取进一步解放而联合起来的社会群众团体，是党和政府联系妇女群众的桥梁和纽带，是国家政权的重要社会支柱。</w:t>
        <w:br/>
        <w:t xml:space="preserve">    中国妇女是建设中国特色社会主义的重要力量。浑南区妇女联合会以马克思列宁主义、毛泽东思想、邓小平理论和“三个代表”重要思想为行动指南。在社会主义初级阶段，妇女联合会要坚持党的基本理论、基本路线、基本纲领和基本经验，坚持马克思主义妇女观，贯彻男女平等基本国策，团结、引导广大妇女在全面建设小康社会和推进社会主义物质文明、政治文明和精神文明中发挥积极作用。浑南区妇女联合会的基本职能是：代表和维护妇女权益，促进男女平等。主要职责如下下：</w:t>
        <w:br/>
        <w:t xml:space="preserve">    第一，团结、动员妇女投身改革开放和社会主义现代化建设，促进经济发展和社会全面进步。</w:t>
        <w:br/>
        <w:t xml:space="preserve">    第二，教育、引导广大妇女发扬自尊、自信、自立、自强的精神，提高综合素质，促进全面发展。</w:t>
        <w:br/>
        <w:t xml:space="preserve">    第三，代表妇女参与国家和社会事务的民主决策、民主管理、民主监督，参与有关妇女儿童法律、法规、规章和政策的制定，推动中国妇女、儿童发展纲要的实施，维护妇女儿童合法权益</w:t>
        <w:br/>
        <w:t xml:space="preserve">    第四，为妇女儿童服务。加强与社会各界的联系，协调和推动社会各界为妇女儿童办实事。</w:t>
        <w:br/>
        <w:t xml:space="preserve">    第五，巩固和扩大各族各界妇女的大团结。加强同香港特别行政区、澳门特别行政区、台湾地区及华侨和海外华人妇女、妇女组织的联谊，促进祖国统一大业。积极发展同世界各国妇女和妇女组织的友好交往，增进了解、友谊与合作，维护世界和平。是党和政府联系妇女群众的桥梁和纽带。</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辽宁省沈阳市浑南区妇女联合会</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沈阳市浑南区妇女联合会，本单位无下设机构。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122.81</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121.61</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99.02</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121.61</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1.20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0.98</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主要是上级拨款等收入。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减少25.11万元，降低16.98%</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各项工资减少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122.81</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119.36</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97.18</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工资福利支出106.15万元；商品和服务支出12.16万元；对个人和家庭的补助1.04万元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3.46</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2.82</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主要包括编外人员办公费、伙食费等业务支出。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减少25.11万元，降低16.98%</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各项工资支出减少</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无结转结余</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121.61</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119.36</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2.26</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减少24.31万元，降低16.66%</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各项工资支出减少</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74.66</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82.53</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12.37</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2024年度一般公共预算财政拨款支出121.61万元。按支出功能分类科目分，包括：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1.一般公共服务支出91.74万元，具体包括：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（1）一般公共服务支出（类）群众团体事务（款）行政运行（项）89.48万元,主要是工资绩效等支出，完成年初预算的100%，决算数与年初预算数存在差异的主要原因是完全按照预算安排支付。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（2）一般公共服务支出（类）群众团体事务（款）一般行政管理事务（项）2.26万元,主要是办公用品等支出，完成年初预算的100%，决算数与年初预算数存在差异的主要原因是完全按照预算安排支付。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2.社会保障和就业支出12.73万元，具体包括：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（1）社会保障和就业支出（类）行政事业单位养老支出（款）行政单位离退休（项）1.04万元,主要是养老保险等支出，完成年初预算的100%，决算数与年初预算数存在差异的主要原因是完全按照预算安排支付。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11.69万元,主要是退休人员归口工资等支出，完成年初预算的100%，决算数与年初预算数存在差异的主要原因是完全按照预算安排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3.卫生健康支出4.49万元，具体包括：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（1）卫生健康支出（类）行政事业单位医疗（款）行政单位医疗（项）4.49万元,主要是医疗保险等支出，完成年初预算的100%，决算数与年初预算数存在差异的主要原因是完全按照预算安排支付。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4.住房保障支出12.65万元，具体包括：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（1）住房保障支出（类）住房改革支出（款）住房公积金（项）12.65万元,主要是住房公积金等支出，完成年初预算的100%，决算数与年初预算数存在差异的主要原因是完全按照预算安排支付。</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119.35</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107.19</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12.16</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12.16</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比上年增加2.43万元，增长24.97%</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增加残保金的支出</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1.整体绩效评价情况与结果。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具体而言，本年度我部门共组织对5个项目实施了绩效评价。从预算资金来源看，涉及一般公共预算的项目5个，涉及政府性基金预算的项目0个，涉及国有资本经营预算的项目0个。</w:t>
        <w:br/>
        <w:t xml:space="preserve">    上述评价工作共涉及财政资金146.89万元。其中，一般公共预算资金146.89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2个；得分在80分（含）至90分、等级为“良”的项目有0个；得分在60分（含）至80分、等级为“中”的项目有2；得分在60分以下、等级为“差”的项目有1个。各项目自评发现，部分项目存在资金使用不完全的问题，已要求相关项目单位分析原因并制定改进措施。</w:t>
        <w:br/>
        <w:t xml:space="preserve">    3.部门重点评价情况及结果。</w:t>
        <w:br/>
        <w:t xml:space="preserve">    在全面自评的基础上，本部门选取了1个资金量大、社会关注度高、具有代表性的重点项目实施了部门重点评价。评价工作通过组建评价小组方式进行，确保了评价结果的客观性和公正性。</w:t>
        <w:br/>
        <w:t xml:space="preserve">    我部门组织对1个项目重点评价，结果显示，被评价项目整体绩效情况良好。重点项目为群团组织管理专项业务经费，涉及资金15.2万元，评价平均分为59分，评级情况为差。同时，评价也发现该项目存在问题，资金使用效益有待进一步提升等。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部门：辽宁省沈阳市浑南区妇女联合会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121.61</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92.94</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1.20</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12.73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4.49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12.65</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122.81</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122.81</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122.81</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122.81</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部门：辽宁省沈阳市浑南区妇女联合会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122.81</w:t>
            </w:r>
          </w:p>
        </w:tc>
        <w:tc>
          <w:tcPr>
            <w:tcW w:w="960" w:type="dxa"/>
            <w:tcBorders/>
            <w:vAlign w:val="center"/>
          </w:tcPr>
          <w:p>
            <w:pPr>
              <w:jc w:val="right"/>
            </w:pPr>
            <w:r>
              <w:rPr>
                <w:rFonts w:ascii="宋体" w:eastAsia="宋体" w:hAnsi="宋体" w:cs="宋体"/>
                <w:b/>
                <w:i w:val="0"/>
                <w:color w:val="000000"/>
                <w:sz w:val="13"/>
              </w:rPr>
              <w:t xml:space="preserve">121.61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1.20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92.94</w:t>
            </w:r>
          </w:p>
        </w:tc>
        <w:tc>
          <w:tcPr>
            <w:tcW w:w="960" w:type="dxa"/>
            <w:tcBorders/>
            <w:vAlign w:val="center"/>
          </w:tcPr>
          <w:p>
            <w:pPr>
              <w:jc w:val="right"/>
            </w:pPr>
            <w:r>
              <w:rPr>
                <w:rFonts w:ascii="宋体" w:eastAsia="宋体" w:hAnsi="宋体" w:cs="宋体"/>
                <w:b w:val="0"/>
                <w:i w:val="0"/>
                <w:color w:val="000000"/>
                <w:sz w:val="13"/>
              </w:rPr>
              <w:t xml:space="preserve">91.74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1.20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20129</w:t>
            </w:r>
          </w:p>
        </w:tc>
        <w:tc>
          <w:tcPr>
            <w:tcW w:w="3200" w:type="dxa"/>
            <w:tcBorders/>
            <w:vAlign w:val="center"/>
          </w:tcPr>
          <w:p>
            <w:pPr>
              <w:jc w:val="left"/>
            </w:pPr>
            <w:r>
              <w:rPr>
                <w:rFonts w:ascii="宋体" w:eastAsia="宋体" w:hAnsi="宋体" w:cs="宋体"/>
                <w:b w:val="0"/>
                <w:i w:val="0"/>
                <w:color w:val="000000"/>
                <w:sz w:val="13"/>
              </w:rPr>
              <w:t xml:space="preserve">群众团体事务</w:t>
            </w:r>
          </w:p>
        </w:tc>
        <w:tc>
          <w:tcPr>
            <w:tcW w:w="960" w:type="dxa"/>
            <w:tcBorders/>
            <w:vAlign w:val="center"/>
          </w:tcPr>
          <w:p>
            <w:pPr>
              <w:jc w:val="right"/>
            </w:pPr>
            <w:r>
              <w:rPr>
                <w:rFonts w:ascii="宋体" w:eastAsia="宋体" w:hAnsi="宋体" w:cs="宋体"/>
                <w:b w:val="0"/>
                <w:i w:val="0"/>
                <w:color w:val="000000"/>
                <w:sz w:val="13"/>
              </w:rPr>
              <w:t xml:space="preserve">92.94</w:t>
            </w:r>
          </w:p>
        </w:tc>
        <w:tc>
          <w:tcPr>
            <w:tcW w:w="960" w:type="dxa"/>
            <w:tcBorders/>
            <w:vAlign w:val="center"/>
          </w:tcPr>
          <w:p>
            <w:pPr>
              <w:jc w:val="right"/>
            </w:pPr>
            <w:r>
              <w:rPr>
                <w:rFonts w:ascii="宋体" w:eastAsia="宋体" w:hAnsi="宋体" w:cs="宋体"/>
                <w:b w:val="0"/>
                <w:i w:val="0"/>
                <w:color w:val="000000"/>
                <w:sz w:val="13"/>
              </w:rPr>
              <w:t xml:space="preserve">91.74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1.20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2012901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89.48</w:t>
            </w:r>
          </w:p>
        </w:tc>
        <w:tc>
          <w:tcPr>
            <w:tcW w:w="960" w:type="dxa"/>
            <w:tcBorders/>
            <w:vAlign w:val="center"/>
          </w:tcPr>
          <w:p>
            <w:pPr>
              <w:jc w:val="right"/>
            </w:pPr>
            <w:r>
              <w:rPr>
                <w:rFonts w:ascii="宋体" w:eastAsia="宋体" w:hAnsi="宋体" w:cs="宋体"/>
                <w:b w:val="0"/>
                <w:i w:val="0"/>
                <w:color w:val="000000"/>
                <w:sz w:val="13"/>
              </w:rPr>
              <w:t xml:space="preserve">89.48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2012902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3.46</w:t>
            </w:r>
          </w:p>
        </w:tc>
        <w:tc>
          <w:tcPr>
            <w:tcW w:w="960" w:type="dxa"/>
            <w:tcBorders/>
            <w:vAlign w:val="center"/>
          </w:tcPr>
          <w:p>
            <w:pPr>
              <w:jc w:val="right"/>
            </w:pPr>
            <w:r>
              <w:rPr>
                <w:rFonts w:ascii="宋体" w:eastAsia="宋体" w:hAnsi="宋体" w:cs="宋体"/>
                <w:b w:val="0"/>
                <w:i w:val="0"/>
                <w:color w:val="000000"/>
                <w:sz w:val="13"/>
              </w:rPr>
              <w:t xml:space="preserve">2.26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1.20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12.73</w:t>
            </w:r>
          </w:p>
        </w:tc>
        <w:tc>
          <w:tcPr>
            <w:tcW w:w="960" w:type="dxa"/>
            <w:tcBorders/>
            <w:vAlign w:val="center"/>
          </w:tcPr>
          <w:p>
            <w:pPr>
              <w:jc w:val="right"/>
            </w:pPr>
            <w:r>
              <w:rPr>
                <w:rFonts w:ascii="宋体" w:eastAsia="宋体" w:hAnsi="宋体" w:cs="宋体"/>
                <w:b w:val="0"/>
                <w:i w:val="0"/>
                <w:color w:val="000000"/>
                <w:sz w:val="13"/>
              </w:rPr>
              <w:t xml:space="preserve">12.73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12.73</w:t>
            </w:r>
          </w:p>
        </w:tc>
        <w:tc>
          <w:tcPr>
            <w:tcW w:w="960" w:type="dxa"/>
            <w:tcBorders/>
            <w:vAlign w:val="center"/>
          </w:tcPr>
          <w:p>
            <w:pPr>
              <w:jc w:val="right"/>
            </w:pPr>
            <w:r>
              <w:rPr>
                <w:rFonts w:ascii="宋体" w:eastAsia="宋体" w:hAnsi="宋体" w:cs="宋体"/>
                <w:b w:val="0"/>
                <w:i w:val="0"/>
                <w:color w:val="000000"/>
                <w:sz w:val="13"/>
              </w:rPr>
              <w:t xml:space="preserve">12.73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1.04</w:t>
            </w:r>
          </w:p>
        </w:tc>
        <w:tc>
          <w:tcPr>
            <w:tcW w:w="960" w:type="dxa"/>
            <w:tcBorders/>
            <w:vAlign w:val="center"/>
          </w:tcPr>
          <w:p>
            <w:pPr>
              <w:jc w:val="right"/>
            </w:pPr>
            <w:r>
              <w:rPr>
                <w:rFonts w:ascii="宋体" w:eastAsia="宋体" w:hAnsi="宋体" w:cs="宋体"/>
                <w:b w:val="0"/>
                <w:i w:val="0"/>
                <w:color w:val="000000"/>
                <w:sz w:val="13"/>
              </w:rPr>
              <w:t xml:space="preserve">1.04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11.69</w:t>
            </w:r>
          </w:p>
        </w:tc>
        <w:tc>
          <w:tcPr>
            <w:tcW w:w="960" w:type="dxa"/>
            <w:tcBorders/>
            <w:vAlign w:val="center"/>
          </w:tcPr>
          <w:p>
            <w:pPr>
              <w:jc w:val="right"/>
            </w:pPr>
            <w:r>
              <w:rPr>
                <w:rFonts w:ascii="宋体" w:eastAsia="宋体" w:hAnsi="宋体" w:cs="宋体"/>
                <w:b w:val="0"/>
                <w:i w:val="0"/>
                <w:color w:val="000000"/>
                <w:sz w:val="13"/>
              </w:rPr>
              <w:t xml:space="preserve">11.69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4.49</w:t>
            </w:r>
          </w:p>
        </w:tc>
        <w:tc>
          <w:tcPr>
            <w:tcW w:w="960" w:type="dxa"/>
            <w:tcBorders/>
            <w:vAlign w:val="center"/>
          </w:tcPr>
          <w:p>
            <w:pPr>
              <w:jc w:val="right"/>
            </w:pPr>
            <w:r>
              <w:rPr>
                <w:rFonts w:ascii="宋体" w:eastAsia="宋体" w:hAnsi="宋体" w:cs="宋体"/>
                <w:b w:val="0"/>
                <w:i w:val="0"/>
                <w:color w:val="000000"/>
                <w:sz w:val="13"/>
              </w:rPr>
              <w:t xml:space="preserve">4.49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4.49</w:t>
            </w:r>
          </w:p>
        </w:tc>
        <w:tc>
          <w:tcPr>
            <w:tcW w:w="960" w:type="dxa"/>
            <w:tcBorders/>
            <w:vAlign w:val="center"/>
          </w:tcPr>
          <w:p>
            <w:pPr>
              <w:jc w:val="right"/>
            </w:pPr>
            <w:r>
              <w:rPr>
                <w:rFonts w:ascii="宋体" w:eastAsia="宋体" w:hAnsi="宋体" w:cs="宋体"/>
                <w:b w:val="0"/>
                <w:i w:val="0"/>
                <w:color w:val="000000"/>
                <w:sz w:val="13"/>
              </w:rPr>
              <w:t xml:space="preserve">4.49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4.49</w:t>
            </w:r>
          </w:p>
        </w:tc>
        <w:tc>
          <w:tcPr>
            <w:tcW w:w="960" w:type="dxa"/>
            <w:tcBorders/>
            <w:vAlign w:val="center"/>
          </w:tcPr>
          <w:p>
            <w:pPr>
              <w:jc w:val="right"/>
            </w:pPr>
            <w:r>
              <w:rPr>
                <w:rFonts w:ascii="宋体" w:eastAsia="宋体" w:hAnsi="宋体" w:cs="宋体"/>
                <w:b w:val="0"/>
                <w:i w:val="0"/>
                <w:color w:val="000000"/>
                <w:sz w:val="13"/>
              </w:rPr>
              <w:t xml:space="preserve">4.49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12.65</w:t>
            </w:r>
          </w:p>
        </w:tc>
        <w:tc>
          <w:tcPr>
            <w:tcW w:w="960" w:type="dxa"/>
            <w:tcBorders/>
            <w:vAlign w:val="center"/>
          </w:tcPr>
          <w:p>
            <w:pPr>
              <w:jc w:val="right"/>
            </w:pPr>
            <w:r>
              <w:rPr>
                <w:rFonts w:ascii="宋体" w:eastAsia="宋体" w:hAnsi="宋体" w:cs="宋体"/>
                <w:b w:val="0"/>
                <w:i w:val="0"/>
                <w:color w:val="000000"/>
                <w:sz w:val="13"/>
              </w:rPr>
              <w:t xml:space="preserve">12.65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12.65</w:t>
            </w:r>
          </w:p>
        </w:tc>
        <w:tc>
          <w:tcPr>
            <w:tcW w:w="960" w:type="dxa"/>
            <w:tcBorders/>
            <w:vAlign w:val="center"/>
          </w:tcPr>
          <w:p>
            <w:pPr>
              <w:jc w:val="right"/>
            </w:pPr>
            <w:r>
              <w:rPr>
                <w:rFonts w:ascii="宋体" w:eastAsia="宋体" w:hAnsi="宋体" w:cs="宋体"/>
                <w:b w:val="0"/>
                <w:i w:val="0"/>
                <w:color w:val="000000"/>
                <w:sz w:val="13"/>
              </w:rPr>
              <w:t xml:space="preserve">12.65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12.65</w:t>
            </w:r>
          </w:p>
        </w:tc>
        <w:tc>
          <w:tcPr>
            <w:tcW w:w="960" w:type="dxa"/>
            <w:tcBorders/>
            <w:vAlign w:val="center"/>
          </w:tcPr>
          <w:p>
            <w:pPr>
              <w:jc w:val="right"/>
            </w:pPr>
            <w:r>
              <w:rPr>
                <w:rFonts w:ascii="宋体" w:eastAsia="宋体" w:hAnsi="宋体" w:cs="宋体"/>
                <w:b w:val="0"/>
                <w:i w:val="0"/>
                <w:color w:val="000000"/>
                <w:sz w:val="13"/>
              </w:rPr>
              <w:t xml:space="preserve">12.65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部门：辽宁省沈阳市浑南区妇女联合会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122.81</w:t>
            </w:r>
          </w:p>
        </w:tc>
        <w:tc>
          <w:tcPr>
            <w:tcW w:w="1060" w:type="dxa"/>
            <w:tcBorders/>
            <w:vAlign w:val="center"/>
          </w:tcPr>
          <w:p>
            <w:pPr>
              <w:jc w:val="right"/>
            </w:pPr>
            <w:r>
              <w:rPr>
                <w:rFonts w:ascii="宋体" w:eastAsia="宋体" w:hAnsi="宋体" w:cs="宋体"/>
                <w:b/>
                <w:i w:val="0"/>
                <w:color w:val="000000"/>
                <w:sz w:val="14"/>
              </w:rPr>
              <w:t xml:space="preserve">119.36</w:t>
            </w:r>
          </w:p>
        </w:tc>
        <w:tc>
          <w:tcPr>
            <w:tcW w:w="1060" w:type="dxa"/>
            <w:tcBorders/>
            <w:vAlign w:val="center"/>
          </w:tcPr>
          <w:p>
            <w:pPr>
              <w:jc w:val="right"/>
            </w:pPr>
            <w:r>
              <w:rPr>
                <w:rFonts w:ascii="宋体" w:eastAsia="宋体" w:hAnsi="宋体" w:cs="宋体"/>
                <w:b/>
                <w:i w:val="0"/>
                <w:color w:val="000000"/>
                <w:sz w:val="14"/>
              </w:rPr>
              <w:t xml:space="preserve">3.46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92.94</w:t>
            </w:r>
          </w:p>
        </w:tc>
        <w:tc>
          <w:tcPr>
            <w:tcW w:w="1060" w:type="dxa"/>
            <w:tcBorders/>
            <w:vAlign w:val="center"/>
          </w:tcPr>
          <w:p>
            <w:pPr>
              <w:jc w:val="right"/>
            </w:pPr>
            <w:r>
              <w:rPr>
                <w:rFonts w:ascii="宋体" w:eastAsia="宋体" w:hAnsi="宋体" w:cs="宋体"/>
                <w:b w:val="0"/>
                <w:i w:val="0"/>
                <w:color w:val="000000"/>
                <w:sz w:val="14"/>
              </w:rPr>
              <w:t xml:space="preserve">89.48</w:t>
            </w:r>
          </w:p>
        </w:tc>
        <w:tc>
          <w:tcPr>
            <w:tcW w:w="1060" w:type="dxa"/>
            <w:tcBorders/>
            <w:vAlign w:val="center"/>
          </w:tcPr>
          <w:p>
            <w:pPr>
              <w:jc w:val="right"/>
            </w:pPr>
            <w:r>
              <w:rPr>
                <w:rFonts w:ascii="宋体" w:eastAsia="宋体" w:hAnsi="宋体" w:cs="宋体"/>
                <w:b w:val="0"/>
                <w:i w:val="0"/>
                <w:color w:val="000000"/>
                <w:sz w:val="14"/>
              </w:rPr>
              <w:t xml:space="preserve">3.46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20129</w:t>
            </w:r>
          </w:p>
        </w:tc>
        <w:tc>
          <w:tcPr>
            <w:tcW w:w="3440" w:type="dxa"/>
            <w:tcBorders/>
            <w:vAlign w:val="center"/>
          </w:tcPr>
          <w:p>
            <w:pPr>
              <w:jc w:val="left"/>
            </w:pPr>
            <w:r>
              <w:rPr>
                <w:rFonts w:ascii="宋体" w:eastAsia="宋体" w:hAnsi="宋体" w:cs="宋体"/>
                <w:b w:val="0"/>
                <w:i w:val="0"/>
                <w:color w:val="000000"/>
                <w:sz w:val="14"/>
              </w:rPr>
              <w:t xml:space="preserve">群众团体事务</w:t>
            </w:r>
          </w:p>
        </w:tc>
        <w:tc>
          <w:tcPr>
            <w:tcW w:w="1060" w:type="dxa"/>
            <w:tcBorders/>
            <w:vAlign w:val="center"/>
          </w:tcPr>
          <w:p>
            <w:pPr>
              <w:jc w:val="right"/>
            </w:pPr>
            <w:r>
              <w:rPr>
                <w:rFonts w:ascii="宋体" w:eastAsia="宋体" w:hAnsi="宋体" w:cs="宋体"/>
                <w:b w:val="0"/>
                <w:i w:val="0"/>
                <w:color w:val="000000"/>
                <w:sz w:val="14"/>
              </w:rPr>
              <w:t xml:space="preserve">92.94</w:t>
            </w:r>
          </w:p>
        </w:tc>
        <w:tc>
          <w:tcPr>
            <w:tcW w:w="1060" w:type="dxa"/>
            <w:tcBorders/>
            <w:vAlign w:val="center"/>
          </w:tcPr>
          <w:p>
            <w:pPr>
              <w:jc w:val="right"/>
            </w:pPr>
            <w:r>
              <w:rPr>
                <w:rFonts w:ascii="宋体" w:eastAsia="宋体" w:hAnsi="宋体" w:cs="宋体"/>
                <w:b w:val="0"/>
                <w:i w:val="0"/>
                <w:color w:val="000000"/>
                <w:sz w:val="14"/>
              </w:rPr>
              <w:t xml:space="preserve">89.48</w:t>
            </w:r>
          </w:p>
        </w:tc>
        <w:tc>
          <w:tcPr>
            <w:tcW w:w="1060" w:type="dxa"/>
            <w:tcBorders/>
            <w:vAlign w:val="center"/>
          </w:tcPr>
          <w:p>
            <w:pPr>
              <w:jc w:val="right"/>
            </w:pPr>
            <w:r>
              <w:rPr>
                <w:rFonts w:ascii="宋体" w:eastAsia="宋体" w:hAnsi="宋体" w:cs="宋体"/>
                <w:b w:val="0"/>
                <w:i w:val="0"/>
                <w:color w:val="000000"/>
                <w:sz w:val="14"/>
              </w:rPr>
              <w:t xml:space="preserve">3.46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2012901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89.48</w:t>
            </w:r>
          </w:p>
        </w:tc>
        <w:tc>
          <w:tcPr>
            <w:tcW w:w="1060" w:type="dxa"/>
            <w:tcBorders/>
            <w:vAlign w:val="center"/>
          </w:tcPr>
          <w:p>
            <w:pPr>
              <w:jc w:val="right"/>
            </w:pPr>
            <w:r>
              <w:rPr>
                <w:rFonts w:ascii="宋体" w:eastAsia="宋体" w:hAnsi="宋体" w:cs="宋体"/>
                <w:b w:val="0"/>
                <w:i w:val="0"/>
                <w:color w:val="000000"/>
                <w:sz w:val="14"/>
              </w:rPr>
              <w:t xml:space="preserve">89.48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2012902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3.46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3.46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12.73</w:t>
            </w:r>
          </w:p>
        </w:tc>
        <w:tc>
          <w:tcPr>
            <w:tcW w:w="1060" w:type="dxa"/>
            <w:tcBorders/>
            <w:vAlign w:val="center"/>
          </w:tcPr>
          <w:p>
            <w:pPr>
              <w:jc w:val="right"/>
            </w:pPr>
            <w:r>
              <w:rPr>
                <w:rFonts w:ascii="宋体" w:eastAsia="宋体" w:hAnsi="宋体" w:cs="宋体"/>
                <w:b w:val="0"/>
                <w:i w:val="0"/>
                <w:color w:val="000000"/>
                <w:sz w:val="14"/>
              </w:rPr>
              <w:t xml:space="preserve">12.73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12.73</w:t>
            </w:r>
          </w:p>
        </w:tc>
        <w:tc>
          <w:tcPr>
            <w:tcW w:w="1060" w:type="dxa"/>
            <w:tcBorders/>
            <w:vAlign w:val="center"/>
          </w:tcPr>
          <w:p>
            <w:pPr>
              <w:jc w:val="right"/>
            </w:pPr>
            <w:r>
              <w:rPr>
                <w:rFonts w:ascii="宋体" w:eastAsia="宋体" w:hAnsi="宋体" w:cs="宋体"/>
                <w:b w:val="0"/>
                <w:i w:val="0"/>
                <w:color w:val="000000"/>
                <w:sz w:val="14"/>
              </w:rPr>
              <w:t xml:space="preserve">12.73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1.04</w:t>
            </w:r>
          </w:p>
        </w:tc>
        <w:tc>
          <w:tcPr>
            <w:tcW w:w="1060" w:type="dxa"/>
            <w:tcBorders/>
            <w:vAlign w:val="center"/>
          </w:tcPr>
          <w:p>
            <w:pPr>
              <w:jc w:val="right"/>
            </w:pPr>
            <w:r>
              <w:rPr>
                <w:rFonts w:ascii="宋体" w:eastAsia="宋体" w:hAnsi="宋体" w:cs="宋体"/>
                <w:b w:val="0"/>
                <w:i w:val="0"/>
                <w:color w:val="000000"/>
                <w:sz w:val="14"/>
              </w:rPr>
              <w:t xml:space="preserve">1.04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11.69</w:t>
            </w:r>
          </w:p>
        </w:tc>
        <w:tc>
          <w:tcPr>
            <w:tcW w:w="1060" w:type="dxa"/>
            <w:tcBorders/>
            <w:vAlign w:val="center"/>
          </w:tcPr>
          <w:p>
            <w:pPr>
              <w:jc w:val="right"/>
            </w:pPr>
            <w:r>
              <w:rPr>
                <w:rFonts w:ascii="宋体" w:eastAsia="宋体" w:hAnsi="宋体" w:cs="宋体"/>
                <w:b w:val="0"/>
                <w:i w:val="0"/>
                <w:color w:val="000000"/>
                <w:sz w:val="14"/>
              </w:rPr>
              <w:t xml:space="preserve">11.69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4.49</w:t>
            </w:r>
          </w:p>
        </w:tc>
        <w:tc>
          <w:tcPr>
            <w:tcW w:w="1060" w:type="dxa"/>
            <w:tcBorders/>
            <w:vAlign w:val="center"/>
          </w:tcPr>
          <w:p>
            <w:pPr>
              <w:jc w:val="right"/>
            </w:pPr>
            <w:r>
              <w:rPr>
                <w:rFonts w:ascii="宋体" w:eastAsia="宋体" w:hAnsi="宋体" w:cs="宋体"/>
                <w:b w:val="0"/>
                <w:i w:val="0"/>
                <w:color w:val="000000"/>
                <w:sz w:val="14"/>
              </w:rPr>
              <w:t xml:space="preserve">4.49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4.49</w:t>
            </w:r>
          </w:p>
        </w:tc>
        <w:tc>
          <w:tcPr>
            <w:tcW w:w="1060" w:type="dxa"/>
            <w:tcBorders/>
            <w:vAlign w:val="center"/>
          </w:tcPr>
          <w:p>
            <w:pPr>
              <w:jc w:val="right"/>
            </w:pPr>
            <w:r>
              <w:rPr>
                <w:rFonts w:ascii="宋体" w:eastAsia="宋体" w:hAnsi="宋体" w:cs="宋体"/>
                <w:b w:val="0"/>
                <w:i w:val="0"/>
                <w:color w:val="000000"/>
                <w:sz w:val="14"/>
              </w:rPr>
              <w:t xml:space="preserve">4.49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4.49</w:t>
            </w:r>
          </w:p>
        </w:tc>
        <w:tc>
          <w:tcPr>
            <w:tcW w:w="1060" w:type="dxa"/>
            <w:tcBorders/>
            <w:vAlign w:val="center"/>
          </w:tcPr>
          <w:p>
            <w:pPr>
              <w:jc w:val="right"/>
            </w:pPr>
            <w:r>
              <w:rPr>
                <w:rFonts w:ascii="宋体" w:eastAsia="宋体" w:hAnsi="宋体" w:cs="宋体"/>
                <w:b w:val="0"/>
                <w:i w:val="0"/>
                <w:color w:val="000000"/>
                <w:sz w:val="14"/>
              </w:rPr>
              <w:t xml:space="preserve">4.49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12.65</w:t>
            </w:r>
          </w:p>
        </w:tc>
        <w:tc>
          <w:tcPr>
            <w:tcW w:w="1060" w:type="dxa"/>
            <w:tcBorders/>
            <w:vAlign w:val="center"/>
          </w:tcPr>
          <w:p>
            <w:pPr>
              <w:jc w:val="right"/>
            </w:pPr>
            <w:r>
              <w:rPr>
                <w:rFonts w:ascii="宋体" w:eastAsia="宋体" w:hAnsi="宋体" w:cs="宋体"/>
                <w:b w:val="0"/>
                <w:i w:val="0"/>
                <w:color w:val="000000"/>
                <w:sz w:val="14"/>
              </w:rPr>
              <w:t xml:space="preserve">12.65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12.65</w:t>
            </w:r>
          </w:p>
        </w:tc>
        <w:tc>
          <w:tcPr>
            <w:tcW w:w="1060" w:type="dxa"/>
            <w:tcBorders/>
            <w:vAlign w:val="center"/>
          </w:tcPr>
          <w:p>
            <w:pPr>
              <w:jc w:val="right"/>
            </w:pPr>
            <w:r>
              <w:rPr>
                <w:rFonts w:ascii="宋体" w:eastAsia="宋体" w:hAnsi="宋体" w:cs="宋体"/>
                <w:b w:val="0"/>
                <w:i w:val="0"/>
                <w:color w:val="000000"/>
                <w:sz w:val="14"/>
              </w:rPr>
              <w:t xml:space="preserve">12.65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12.65</w:t>
            </w:r>
          </w:p>
        </w:tc>
        <w:tc>
          <w:tcPr>
            <w:tcW w:w="1060" w:type="dxa"/>
            <w:tcBorders/>
            <w:vAlign w:val="center"/>
          </w:tcPr>
          <w:p>
            <w:pPr>
              <w:jc w:val="right"/>
            </w:pPr>
            <w:r>
              <w:rPr>
                <w:rFonts w:ascii="宋体" w:eastAsia="宋体" w:hAnsi="宋体" w:cs="宋体"/>
                <w:b w:val="0"/>
                <w:i w:val="0"/>
                <w:color w:val="000000"/>
                <w:sz w:val="14"/>
              </w:rPr>
              <w:t xml:space="preserve">12.65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部门：辽宁省沈阳市浑南区妇女联合会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121.61</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91.74</w:t>
            </w:r>
          </w:p>
        </w:tc>
        <w:tc>
          <w:tcPr>
            <w:tcW w:w="1100" w:type="dxa"/>
            <w:tcBorders/>
            <w:vAlign w:val="center"/>
          </w:tcPr>
          <w:p>
            <w:pPr>
              <w:jc w:val="right"/>
            </w:pPr>
            <w:r>
              <w:rPr>
                <w:rFonts w:ascii="宋体" w:eastAsia="宋体" w:hAnsi="宋体" w:cs="宋体"/>
                <w:b w:val="0"/>
                <w:i w:val="0"/>
                <w:color w:val="000000"/>
                <w:sz w:val="14"/>
              </w:rPr>
              <w:t xml:space="preserve">91.74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12.73</w:t>
            </w:r>
          </w:p>
        </w:tc>
        <w:tc>
          <w:tcPr>
            <w:tcW w:w="1100" w:type="dxa"/>
            <w:tcBorders/>
            <w:vAlign w:val="center"/>
          </w:tcPr>
          <w:p>
            <w:pPr>
              <w:jc w:val="right"/>
            </w:pPr>
            <w:r>
              <w:rPr>
                <w:rFonts w:ascii="宋体" w:eastAsia="宋体" w:hAnsi="宋体" w:cs="宋体"/>
                <w:b w:val="0"/>
                <w:i w:val="0"/>
                <w:color w:val="000000"/>
                <w:sz w:val="14"/>
              </w:rPr>
              <w:t xml:space="preserve">12.73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4.49</w:t>
            </w:r>
          </w:p>
        </w:tc>
        <w:tc>
          <w:tcPr>
            <w:tcW w:w="1100" w:type="dxa"/>
            <w:tcBorders/>
            <w:vAlign w:val="center"/>
          </w:tcPr>
          <w:p>
            <w:pPr>
              <w:jc w:val="right"/>
            </w:pPr>
            <w:r>
              <w:rPr>
                <w:rFonts w:ascii="宋体" w:eastAsia="宋体" w:hAnsi="宋体" w:cs="宋体"/>
                <w:b w:val="0"/>
                <w:i w:val="0"/>
                <w:color w:val="000000"/>
                <w:sz w:val="14"/>
              </w:rPr>
              <w:t xml:space="preserve">4.49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12.65</w:t>
            </w:r>
          </w:p>
        </w:tc>
        <w:tc>
          <w:tcPr>
            <w:tcW w:w="1100" w:type="dxa"/>
            <w:tcBorders/>
            <w:vAlign w:val="center"/>
          </w:tcPr>
          <w:p>
            <w:pPr>
              <w:jc w:val="right"/>
            </w:pPr>
            <w:r>
              <w:rPr>
                <w:rFonts w:ascii="宋体" w:eastAsia="宋体" w:hAnsi="宋体" w:cs="宋体"/>
                <w:b w:val="0"/>
                <w:i w:val="0"/>
                <w:color w:val="000000"/>
                <w:sz w:val="14"/>
              </w:rPr>
              <w:t xml:space="preserve">12.65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121.61</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121.61</w:t>
            </w:r>
          </w:p>
        </w:tc>
        <w:tc>
          <w:tcPr>
            <w:tcW w:w="1100" w:type="dxa"/>
            <w:tcBorders/>
            <w:vAlign w:val="center"/>
          </w:tcPr>
          <w:p>
            <w:pPr>
              <w:jc w:val="right"/>
            </w:pPr>
            <w:r>
              <w:rPr>
                <w:rFonts w:ascii="宋体" w:eastAsia="宋体" w:hAnsi="宋体" w:cs="宋体"/>
                <w:b w:val="0"/>
                <w:i w:val="0"/>
                <w:color w:val="000000"/>
                <w:sz w:val="14"/>
              </w:rPr>
              <w:t xml:space="preserve">121.61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121.61</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121.61</w:t>
            </w:r>
          </w:p>
        </w:tc>
        <w:tc>
          <w:tcPr>
            <w:tcW w:w="1100" w:type="dxa"/>
            <w:tcBorders/>
            <w:vAlign w:val="center"/>
          </w:tcPr>
          <w:p>
            <w:pPr>
              <w:jc w:val="right"/>
            </w:pPr>
            <w:r>
              <w:rPr>
                <w:rFonts w:ascii="宋体" w:eastAsia="宋体" w:hAnsi="宋体" w:cs="宋体"/>
                <w:b w:val="0"/>
                <w:i w:val="0"/>
                <w:color w:val="000000"/>
                <w:sz w:val="14"/>
              </w:rPr>
              <w:t xml:space="preserve">121.61</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部门：辽宁省沈阳市浑南区妇女联合会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121.61</w:t>
            </w:r>
          </w:p>
        </w:tc>
        <w:tc>
          <w:tcPr>
            <w:tcW w:w="1780" w:type="dxa"/>
            <w:tcBorders/>
            <w:vAlign w:val="center"/>
          </w:tcPr>
          <w:p>
            <w:pPr>
              <w:jc w:val="right"/>
            </w:pPr>
            <w:r>
              <w:rPr>
                <w:rFonts w:ascii="宋体" w:eastAsia="宋体" w:hAnsi="宋体" w:cs="宋体"/>
                <w:b/>
                <w:i w:val="0"/>
                <w:color w:val="000000"/>
                <w:sz w:val="18"/>
              </w:rPr>
              <w:t xml:space="preserve">119.36</w:t>
            </w:r>
          </w:p>
        </w:tc>
        <w:tc>
          <w:tcPr>
            <w:tcW w:w="1772" w:type="dxa"/>
            <w:tcBorders/>
            <w:vAlign w:val="center"/>
          </w:tcPr>
          <w:p>
            <w:pPr>
              <w:jc w:val="right"/>
            </w:pPr>
            <w:r>
              <w:rPr>
                <w:rFonts w:ascii="宋体" w:eastAsia="宋体" w:hAnsi="宋体" w:cs="宋体"/>
                <w:b/>
                <w:i w:val="0"/>
                <w:color w:val="000000"/>
                <w:sz w:val="18"/>
              </w:rPr>
              <w:t xml:space="preserve">2.26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91.74</w:t>
            </w:r>
          </w:p>
        </w:tc>
        <w:tc>
          <w:tcPr>
            <w:tcW w:w="1780" w:type="dxa"/>
            <w:tcBorders/>
            <w:vAlign w:val="center"/>
          </w:tcPr>
          <w:p>
            <w:pPr>
              <w:jc w:val="right"/>
            </w:pPr>
            <w:r>
              <w:rPr>
                <w:rFonts w:ascii="宋体" w:eastAsia="宋体" w:hAnsi="宋体" w:cs="宋体"/>
                <w:b w:val="0"/>
                <w:i w:val="0"/>
                <w:color w:val="000000"/>
                <w:sz w:val="18"/>
              </w:rPr>
              <w:t xml:space="preserve">89.48</w:t>
            </w:r>
          </w:p>
        </w:tc>
        <w:tc>
          <w:tcPr>
            <w:tcW w:w="1772" w:type="dxa"/>
            <w:tcBorders/>
            <w:vAlign w:val="center"/>
          </w:tcPr>
          <w:p>
            <w:pPr>
              <w:jc w:val="right"/>
            </w:pPr>
            <w:r>
              <w:rPr>
                <w:rFonts w:ascii="宋体" w:eastAsia="宋体" w:hAnsi="宋体" w:cs="宋体"/>
                <w:b w:val="0"/>
                <w:i w:val="0"/>
                <w:color w:val="000000"/>
                <w:sz w:val="18"/>
              </w:rPr>
              <w:t xml:space="preserve">2.26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20129</w:t>
            </w:r>
          </w:p>
        </w:tc>
        <w:tc>
          <w:tcPr>
            <w:tcW w:w="4300" w:type="dxa"/>
            <w:tcBorders/>
            <w:vAlign w:val="center"/>
          </w:tcPr>
          <w:p>
            <w:pPr>
              <w:jc w:val="left"/>
            </w:pPr>
            <w:r>
              <w:rPr>
                <w:rFonts w:ascii="宋体" w:eastAsia="宋体" w:hAnsi="宋体" w:cs="宋体"/>
                <w:b w:val="0"/>
                <w:i w:val="0"/>
                <w:color w:val="000000"/>
                <w:sz w:val="18"/>
              </w:rPr>
              <w:t xml:space="preserve">群众团体事务</w:t>
            </w:r>
          </w:p>
        </w:tc>
        <w:tc>
          <w:tcPr>
            <w:tcW w:w="1780" w:type="dxa"/>
            <w:tcBorders/>
            <w:vAlign w:val="center"/>
          </w:tcPr>
          <w:p>
            <w:pPr>
              <w:jc w:val="right"/>
            </w:pPr>
            <w:r>
              <w:rPr>
                <w:rFonts w:ascii="宋体" w:eastAsia="宋体" w:hAnsi="宋体" w:cs="宋体"/>
                <w:b w:val="0"/>
                <w:i w:val="0"/>
                <w:color w:val="000000"/>
                <w:sz w:val="18"/>
              </w:rPr>
              <w:t xml:space="preserve">91.74</w:t>
            </w:r>
          </w:p>
        </w:tc>
        <w:tc>
          <w:tcPr>
            <w:tcW w:w="1780" w:type="dxa"/>
            <w:tcBorders/>
            <w:vAlign w:val="center"/>
          </w:tcPr>
          <w:p>
            <w:pPr>
              <w:jc w:val="right"/>
            </w:pPr>
            <w:r>
              <w:rPr>
                <w:rFonts w:ascii="宋体" w:eastAsia="宋体" w:hAnsi="宋体" w:cs="宋体"/>
                <w:b w:val="0"/>
                <w:i w:val="0"/>
                <w:color w:val="000000"/>
                <w:sz w:val="18"/>
              </w:rPr>
              <w:t xml:space="preserve">89.48</w:t>
            </w:r>
          </w:p>
        </w:tc>
        <w:tc>
          <w:tcPr>
            <w:tcW w:w="1772" w:type="dxa"/>
            <w:tcBorders/>
            <w:vAlign w:val="center"/>
          </w:tcPr>
          <w:p>
            <w:pPr>
              <w:jc w:val="right"/>
            </w:pPr>
            <w:r>
              <w:rPr>
                <w:rFonts w:ascii="宋体" w:eastAsia="宋体" w:hAnsi="宋体" w:cs="宋体"/>
                <w:b w:val="0"/>
                <w:i w:val="0"/>
                <w:color w:val="000000"/>
                <w:sz w:val="18"/>
              </w:rPr>
              <w:t xml:space="preserve">2.26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2012901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89.48</w:t>
            </w:r>
          </w:p>
        </w:tc>
        <w:tc>
          <w:tcPr>
            <w:tcW w:w="1780" w:type="dxa"/>
            <w:tcBorders/>
            <w:vAlign w:val="center"/>
          </w:tcPr>
          <w:p>
            <w:pPr>
              <w:jc w:val="right"/>
            </w:pPr>
            <w:r>
              <w:rPr>
                <w:rFonts w:ascii="宋体" w:eastAsia="宋体" w:hAnsi="宋体" w:cs="宋体"/>
                <w:b w:val="0"/>
                <w:i w:val="0"/>
                <w:color w:val="000000"/>
                <w:sz w:val="18"/>
              </w:rPr>
              <w:t xml:space="preserve">89.48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2012902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2.26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2.26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12.73</w:t>
            </w:r>
          </w:p>
        </w:tc>
        <w:tc>
          <w:tcPr>
            <w:tcW w:w="1780" w:type="dxa"/>
            <w:tcBorders/>
            <w:vAlign w:val="center"/>
          </w:tcPr>
          <w:p>
            <w:pPr>
              <w:jc w:val="right"/>
            </w:pPr>
            <w:r>
              <w:rPr>
                <w:rFonts w:ascii="宋体" w:eastAsia="宋体" w:hAnsi="宋体" w:cs="宋体"/>
                <w:b w:val="0"/>
                <w:i w:val="0"/>
                <w:color w:val="000000"/>
                <w:sz w:val="18"/>
              </w:rPr>
              <w:t xml:space="preserve">12.73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12.73</w:t>
            </w:r>
          </w:p>
        </w:tc>
        <w:tc>
          <w:tcPr>
            <w:tcW w:w="1780" w:type="dxa"/>
            <w:tcBorders/>
            <w:vAlign w:val="center"/>
          </w:tcPr>
          <w:p>
            <w:pPr>
              <w:jc w:val="right"/>
            </w:pPr>
            <w:r>
              <w:rPr>
                <w:rFonts w:ascii="宋体" w:eastAsia="宋体" w:hAnsi="宋体" w:cs="宋体"/>
                <w:b w:val="0"/>
                <w:i w:val="0"/>
                <w:color w:val="000000"/>
                <w:sz w:val="18"/>
              </w:rPr>
              <w:t xml:space="preserve">12.73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1.04</w:t>
            </w:r>
          </w:p>
        </w:tc>
        <w:tc>
          <w:tcPr>
            <w:tcW w:w="1780" w:type="dxa"/>
            <w:tcBorders/>
            <w:vAlign w:val="center"/>
          </w:tcPr>
          <w:p>
            <w:pPr>
              <w:jc w:val="right"/>
            </w:pPr>
            <w:r>
              <w:rPr>
                <w:rFonts w:ascii="宋体" w:eastAsia="宋体" w:hAnsi="宋体" w:cs="宋体"/>
                <w:b w:val="0"/>
                <w:i w:val="0"/>
                <w:color w:val="000000"/>
                <w:sz w:val="18"/>
              </w:rPr>
              <w:t xml:space="preserve">1.04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11.69</w:t>
            </w:r>
          </w:p>
        </w:tc>
        <w:tc>
          <w:tcPr>
            <w:tcW w:w="1780" w:type="dxa"/>
            <w:tcBorders/>
            <w:vAlign w:val="center"/>
          </w:tcPr>
          <w:p>
            <w:pPr>
              <w:jc w:val="right"/>
            </w:pPr>
            <w:r>
              <w:rPr>
                <w:rFonts w:ascii="宋体" w:eastAsia="宋体" w:hAnsi="宋体" w:cs="宋体"/>
                <w:b w:val="0"/>
                <w:i w:val="0"/>
                <w:color w:val="000000"/>
                <w:sz w:val="18"/>
              </w:rPr>
              <w:t xml:space="preserve">11.69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4.49</w:t>
            </w:r>
          </w:p>
        </w:tc>
        <w:tc>
          <w:tcPr>
            <w:tcW w:w="1780" w:type="dxa"/>
            <w:tcBorders/>
            <w:vAlign w:val="center"/>
          </w:tcPr>
          <w:p>
            <w:pPr>
              <w:jc w:val="right"/>
            </w:pPr>
            <w:r>
              <w:rPr>
                <w:rFonts w:ascii="宋体" w:eastAsia="宋体" w:hAnsi="宋体" w:cs="宋体"/>
                <w:b w:val="0"/>
                <w:i w:val="0"/>
                <w:color w:val="000000"/>
                <w:sz w:val="18"/>
              </w:rPr>
              <w:t xml:space="preserve">4.49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4.49</w:t>
            </w:r>
          </w:p>
        </w:tc>
        <w:tc>
          <w:tcPr>
            <w:tcW w:w="1780" w:type="dxa"/>
            <w:tcBorders/>
            <w:vAlign w:val="center"/>
          </w:tcPr>
          <w:p>
            <w:pPr>
              <w:jc w:val="right"/>
            </w:pPr>
            <w:r>
              <w:rPr>
                <w:rFonts w:ascii="宋体" w:eastAsia="宋体" w:hAnsi="宋体" w:cs="宋体"/>
                <w:b w:val="0"/>
                <w:i w:val="0"/>
                <w:color w:val="000000"/>
                <w:sz w:val="18"/>
              </w:rPr>
              <w:t xml:space="preserve">4.49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4.49</w:t>
            </w:r>
          </w:p>
        </w:tc>
        <w:tc>
          <w:tcPr>
            <w:tcW w:w="1780" w:type="dxa"/>
            <w:tcBorders/>
            <w:vAlign w:val="center"/>
          </w:tcPr>
          <w:p>
            <w:pPr>
              <w:jc w:val="right"/>
            </w:pPr>
            <w:r>
              <w:rPr>
                <w:rFonts w:ascii="宋体" w:eastAsia="宋体" w:hAnsi="宋体" w:cs="宋体"/>
                <w:b w:val="0"/>
                <w:i w:val="0"/>
                <w:color w:val="000000"/>
                <w:sz w:val="18"/>
              </w:rPr>
              <w:t xml:space="preserve">4.49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12.65</w:t>
            </w:r>
          </w:p>
        </w:tc>
        <w:tc>
          <w:tcPr>
            <w:tcW w:w="1780" w:type="dxa"/>
            <w:tcBorders/>
            <w:vAlign w:val="center"/>
          </w:tcPr>
          <w:p>
            <w:pPr>
              <w:jc w:val="right"/>
            </w:pPr>
            <w:r>
              <w:rPr>
                <w:rFonts w:ascii="宋体" w:eastAsia="宋体" w:hAnsi="宋体" w:cs="宋体"/>
                <w:b w:val="0"/>
                <w:i w:val="0"/>
                <w:color w:val="000000"/>
                <w:sz w:val="18"/>
              </w:rPr>
              <w:t xml:space="preserve">12.65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12.65</w:t>
            </w:r>
          </w:p>
        </w:tc>
        <w:tc>
          <w:tcPr>
            <w:tcW w:w="1780" w:type="dxa"/>
            <w:tcBorders/>
            <w:vAlign w:val="center"/>
          </w:tcPr>
          <w:p>
            <w:pPr>
              <w:jc w:val="right"/>
            </w:pPr>
            <w:r>
              <w:rPr>
                <w:rFonts w:ascii="宋体" w:eastAsia="宋体" w:hAnsi="宋体" w:cs="宋体"/>
                <w:b w:val="0"/>
                <w:i w:val="0"/>
                <w:color w:val="000000"/>
                <w:sz w:val="18"/>
              </w:rPr>
              <w:t xml:space="preserve">12.65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12.65</w:t>
            </w:r>
          </w:p>
        </w:tc>
        <w:tc>
          <w:tcPr>
            <w:tcW w:w="1780" w:type="dxa"/>
            <w:tcBorders/>
            <w:vAlign w:val="center"/>
          </w:tcPr>
          <w:p>
            <w:pPr>
              <w:jc w:val="right"/>
            </w:pPr>
            <w:r>
              <w:rPr>
                <w:rFonts w:ascii="宋体" w:eastAsia="宋体" w:hAnsi="宋体" w:cs="宋体"/>
                <w:b w:val="0"/>
                <w:i w:val="0"/>
                <w:color w:val="000000"/>
                <w:sz w:val="18"/>
              </w:rPr>
              <w:t xml:space="preserve">12.65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部门：辽宁省沈阳市浑南区妇女联合会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106.15</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12.16</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30.34</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0.69</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22.67</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21.77</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2.25</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11.69</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4.39</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4.49</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0.29</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0.32</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12.65</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1.04</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1.04</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0.58</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6.18</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107.19</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12.16</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部门：辽宁省沈阳市浑南区妇女联合会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部门：辽宁省沈阳市浑南区妇女联合会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部门：辽宁省沈阳市浑南区妇女联合会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沈阳市浑南区妇女联合会-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沈阳市浑南区妇女联合会本级-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66.58%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17.65789474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沈阳市浑南区妇女联合会-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沈阳市浑南区妇女联合会本级-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97.34%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残疾人就业保障金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残疾人就业保障金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受益残疾人数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参加培训班的人次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特困人员准确率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特困人员供养服务机构运行维护费覆盖率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回访慰问标准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个人负担比例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推动残疾人康复服务水平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提升民众环境保护意识情况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残疾人就业及康复政策区域性宣贯政策知晓率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沈阳市浑南区妇女联合会-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沈阳市浑南区妇女联合会本级-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56.35%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1.伙食费：5400元    2.办公费：3754元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完成绩效目标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项目申报数量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农村居民人均可支配收入增长率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基层人才培训合格率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项目整体投资支付率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三年行动计划子项目覆盖率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项目单位满意度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社会公众对文化云平台文化内容满意度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26.63539773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群团组织管理专项业务经费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沈阳市浑南区妇女联合会-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沈阳市浑南区妇女联合会本级-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027001沈阳市浑南区妇女联合会本级-210112000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144.63</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144.63</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24.18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24.17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89.19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89.19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完成区妇联本单位全年预算目标</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完成区妇联本单位全年预算目标</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提高家庭教育社会公共服务水平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提高水平</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机关工作人员满意度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当地群众满意度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科技人才培养激励机制健全性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机制健全</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人才培养机制健全性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机制健全</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