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浑南区工商业联合会</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浑南区工商联</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atLeast"/>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（一）参与全区重要问题的政治协商，参政议政，民主监督。</w:t>
      </w:r>
    </w:p>
    <w:p>
      <w:pPr>
        <w:ind w:firstLine="640" w:firstLineChars="200"/>
        <w:rPr>
          <w:rFonts w:hint="eastAsia" w:ascii="仿宋" w:hAnsi="仿宋" w:eastAsia="仿宋" w:cs="仿宋"/>
          <w:bCs/>
          <w:sz w:val="32"/>
          <w:szCs w:val="32"/>
        </w:rPr>
      </w:pPr>
      <w:r>
        <w:rPr>
          <w:rFonts w:hint="eastAsia" w:ascii="仿宋" w:hAnsi="仿宋" w:eastAsia="仿宋" w:cs="仿宋"/>
          <w:bCs/>
          <w:sz w:val="32"/>
          <w:szCs w:val="32"/>
        </w:rPr>
        <w:t>（二）非公企业代表人士政治安排的推荐工作。</w:t>
      </w:r>
    </w:p>
    <w:p>
      <w:pPr>
        <w:ind w:left="55" w:leftChars="26" w:firstLine="579" w:firstLineChars="181"/>
        <w:rPr>
          <w:rFonts w:hint="eastAsia" w:ascii="仿宋" w:hAnsi="仿宋" w:eastAsia="仿宋" w:cs="仿宋"/>
          <w:bCs/>
          <w:sz w:val="32"/>
          <w:szCs w:val="32"/>
        </w:rPr>
      </w:pPr>
      <w:r>
        <w:rPr>
          <w:rFonts w:hint="eastAsia" w:ascii="仿宋" w:hAnsi="仿宋" w:eastAsia="仿宋" w:cs="仿宋"/>
          <w:bCs/>
          <w:sz w:val="32"/>
          <w:szCs w:val="32"/>
        </w:rPr>
        <w:t>（三）在非公有制经济人士中，宣传、贯彻党和国家的方针政策，加强思想政治工作。</w:t>
      </w:r>
    </w:p>
    <w:p>
      <w:pPr>
        <w:ind w:left="13" w:leftChars="6" w:firstLine="624" w:firstLineChars="195"/>
        <w:rPr>
          <w:rFonts w:hint="eastAsia" w:ascii="仿宋" w:hAnsi="仿宋" w:eastAsia="仿宋" w:cs="仿宋"/>
          <w:bCs/>
          <w:sz w:val="32"/>
          <w:szCs w:val="32"/>
        </w:rPr>
      </w:pPr>
      <w:r>
        <w:rPr>
          <w:rFonts w:hint="eastAsia" w:ascii="仿宋" w:hAnsi="仿宋" w:eastAsia="仿宋" w:cs="仿宋"/>
          <w:bCs/>
          <w:sz w:val="32"/>
          <w:szCs w:val="32"/>
        </w:rPr>
        <w:t>（四）代表并维护会员的合法权益，反映会员的意见、要求和建议。</w:t>
      </w:r>
    </w:p>
    <w:p>
      <w:pPr>
        <w:ind w:firstLine="640" w:firstLineChars="200"/>
        <w:rPr>
          <w:rFonts w:hint="eastAsia" w:ascii="仿宋" w:hAnsi="仿宋" w:eastAsia="仿宋" w:cs="仿宋"/>
          <w:bCs/>
          <w:sz w:val="32"/>
          <w:szCs w:val="32"/>
        </w:rPr>
      </w:pPr>
      <w:r>
        <w:rPr>
          <w:rFonts w:hint="eastAsia" w:ascii="仿宋" w:hAnsi="仿宋" w:eastAsia="仿宋" w:cs="仿宋"/>
          <w:bCs/>
          <w:sz w:val="32"/>
          <w:szCs w:val="32"/>
        </w:rPr>
        <w:t>（五）引导会员积极参与“光彩事业”；为会员提供信息和科技、管理、法律、融资、咨询等服务。</w:t>
      </w:r>
    </w:p>
    <w:p>
      <w:pPr>
        <w:ind w:firstLine="640" w:firstLineChars="200"/>
        <w:rPr>
          <w:rFonts w:hint="eastAsia" w:ascii="仿宋" w:hAnsi="仿宋" w:eastAsia="仿宋" w:cs="仿宋"/>
          <w:bCs/>
          <w:sz w:val="32"/>
          <w:szCs w:val="32"/>
        </w:rPr>
      </w:pPr>
      <w:r>
        <w:rPr>
          <w:rFonts w:hint="eastAsia" w:ascii="仿宋" w:hAnsi="仿宋" w:eastAsia="仿宋" w:cs="仿宋"/>
          <w:bCs/>
          <w:sz w:val="32"/>
          <w:szCs w:val="32"/>
        </w:rPr>
        <w:t>（六）开展工商专业培训，帮助会员改进经营管理。</w:t>
      </w:r>
    </w:p>
    <w:p>
      <w:pPr>
        <w:ind w:firstLine="640" w:firstLineChars="200"/>
        <w:rPr>
          <w:rFonts w:hint="eastAsia" w:ascii="仿宋" w:hAnsi="仿宋" w:eastAsia="仿宋" w:cs="仿宋"/>
          <w:bCs/>
          <w:sz w:val="32"/>
          <w:szCs w:val="32"/>
        </w:rPr>
      </w:pPr>
      <w:r>
        <w:rPr>
          <w:rFonts w:hint="eastAsia" w:ascii="仿宋" w:hAnsi="仿宋" w:eastAsia="仿宋" w:cs="仿宋"/>
          <w:bCs/>
          <w:sz w:val="32"/>
          <w:szCs w:val="32"/>
        </w:rPr>
        <w:t>（七）组织会员举办和参加各种对内对外展销会、交易会；增进与各地区工商社团及工商经济界人士的联系和友谊，促进经济、技术和贸易合作。</w:t>
      </w:r>
    </w:p>
    <w:p>
      <w:pPr>
        <w:ind w:firstLine="640" w:firstLineChars="200"/>
        <w:rPr>
          <w:rFonts w:hint="eastAsia" w:ascii="仿宋" w:hAnsi="仿宋" w:eastAsia="仿宋" w:cs="仿宋"/>
          <w:b/>
          <w:sz w:val="32"/>
          <w:szCs w:val="32"/>
        </w:rPr>
      </w:pPr>
      <w:r>
        <w:rPr>
          <w:rFonts w:hint="eastAsia" w:ascii="仿宋" w:hAnsi="仿宋" w:eastAsia="仿宋" w:cs="仿宋"/>
          <w:bCs/>
          <w:sz w:val="32"/>
          <w:szCs w:val="32"/>
        </w:rPr>
        <w:t>（八）承办政府和有关部门的委托事项。</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exact"/>
        <w:ind w:firstLine="640"/>
        <w:rPr>
          <w:rFonts w:hint="default"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纳入本单位2022年决算编制范围的是浑南区工商联本级</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浑南区工商联</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138.35</w:t>
      </w:r>
      <w:r>
        <w:rPr>
          <w:rFonts w:ascii="楷体_GB2312" w:eastAsia="楷体_GB2312"/>
          <w:b/>
          <w:sz w:val="32"/>
        </w:rPr>
        <w:t>万元</w:t>
      </w:r>
      <w:r>
        <w:rPr>
          <w:rFonts w:hint="eastAsia" w:ascii="楷体_GB2312" w:eastAsia="楷体_GB2312"/>
          <w:b/>
          <w:sz w:val="32"/>
          <w:lang w:eastAsia="zh-CN"/>
        </w:rPr>
        <w:t>，</w:t>
      </w:r>
      <w:r>
        <w:rPr>
          <w:rFonts w:ascii="楷体_GB2312" w:eastAsia="楷体_GB2312"/>
          <w:b/>
          <w:sz w:val="32"/>
        </w:rPr>
        <w:t>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138.35</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138.35</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eastAsia" w:ascii="仿宋_GB2312" w:eastAsia="仿宋_GB2312"/>
          <w:sz w:val="32"/>
          <w:lang w:eastAsia="zh-CN"/>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lang w:eastAsia="zh-CN"/>
        </w:rPr>
        <w:t>没形成该笔资金。</w:t>
      </w:r>
    </w:p>
    <w:p>
      <w:pPr>
        <w:pStyle w:val="6"/>
        <w:spacing w:line="560" w:lineRule="exact"/>
        <w:ind w:firstLine="660"/>
        <w:rPr>
          <w:rFonts w:hint="eastAsia" w:ascii="仿宋_GB2312" w:eastAsia="仿宋_GB2312"/>
          <w:sz w:val="32"/>
          <w:lang w:eastAsia="zh-CN"/>
        </w:rPr>
      </w:pPr>
      <w:r>
        <w:rPr>
          <w:rFonts w:ascii="仿宋_GB2312" w:eastAsia="仿宋_GB2312"/>
          <w:sz w:val="32"/>
        </w:rPr>
        <w:t>与上年相比，今年收入增加</w:t>
      </w:r>
      <w:r>
        <w:rPr>
          <w:rFonts w:hint="eastAsia" w:ascii="仿宋_GB2312" w:eastAsia="仿宋_GB2312"/>
          <w:sz w:val="32"/>
          <w:lang w:val="en-US" w:eastAsia="zh-CN"/>
        </w:rPr>
        <w:t>20.78</w:t>
      </w:r>
      <w:r>
        <w:rPr>
          <w:rFonts w:ascii="仿宋_GB2312" w:eastAsia="仿宋_GB2312"/>
          <w:sz w:val="32"/>
        </w:rPr>
        <w:t>万元，增长</w:t>
      </w:r>
      <w:r>
        <w:rPr>
          <w:rFonts w:hint="eastAsia" w:ascii="仿宋_GB2312" w:eastAsia="仿宋_GB2312"/>
          <w:sz w:val="32"/>
          <w:lang w:val="en-US" w:eastAsia="zh-CN"/>
        </w:rPr>
        <w:t>17.67</w:t>
      </w:r>
      <w:r>
        <w:rPr>
          <w:rFonts w:ascii="仿宋_GB2312" w:eastAsia="仿宋_GB2312"/>
          <w:sz w:val="32"/>
        </w:rPr>
        <w:t>%，主要原因：</w:t>
      </w:r>
      <w:r>
        <w:rPr>
          <w:rFonts w:hint="eastAsia" w:ascii="仿宋_GB2312" w:eastAsia="仿宋_GB2312"/>
          <w:sz w:val="32"/>
          <w:lang w:eastAsia="zh-CN"/>
        </w:rPr>
        <w:t>一般公共预算财政拨款收入增加。</w:t>
      </w:r>
    </w:p>
    <w:p>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138.35</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108.66</w:t>
      </w:r>
      <w:r>
        <w:rPr>
          <w:rFonts w:ascii="仿宋_GB2312" w:eastAsia="仿宋_GB2312"/>
          <w:sz w:val="32"/>
        </w:rPr>
        <w:t>万元，占支出总计的</w:t>
      </w:r>
      <w:r>
        <w:rPr>
          <w:rFonts w:hint="eastAsia" w:ascii="仿宋_GB2312" w:eastAsia="仿宋_GB2312"/>
          <w:sz w:val="32"/>
          <w:lang w:val="en-US" w:eastAsia="zh-CN"/>
        </w:rPr>
        <w:t>78.54</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97.85</w:t>
      </w:r>
      <w:r>
        <w:rPr>
          <w:rFonts w:ascii="仿宋_GB2312" w:eastAsia="仿宋_GB2312"/>
          <w:sz w:val="32"/>
        </w:rPr>
        <w:t>万元，对个人和家庭的补助支出</w:t>
      </w:r>
      <w:r>
        <w:rPr>
          <w:rFonts w:hint="eastAsia" w:ascii="仿宋_GB2312" w:eastAsia="仿宋_GB2312"/>
          <w:sz w:val="32"/>
          <w:lang w:val="en-US" w:eastAsia="zh-CN"/>
        </w:rPr>
        <w:t>1.37</w:t>
      </w:r>
      <w:r>
        <w:rPr>
          <w:rFonts w:ascii="仿宋_GB2312" w:eastAsia="仿宋_GB2312"/>
          <w:sz w:val="32"/>
        </w:rPr>
        <w:t>万元，商品和服务支出</w:t>
      </w:r>
      <w:r>
        <w:rPr>
          <w:rFonts w:hint="eastAsia" w:ascii="仿宋_GB2312" w:eastAsia="仿宋_GB2312"/>
          <w:sz w:val="32"/>
          <w:lang w:val="en-US" w:eastAsia="zh-CN"/>
        </w:rPr>
        <w:t>9.29</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29.7</w:t>
      </w:r>
      <w:r>
        <w:rPr>
          <w:rFonts w:ascii="仿宋_GB2312" w:eastAsia="仿宋_GB2312"/>
          <w:sz w:val="32"/>
        </w:rPr>
        <w:t>万元，占支出总计的</w:t>
      </w:r>
      <w:r>
        <w:rPr>
          <w:rFonts w:hint="eastAsia" w:ascii="仿宋_GB2312" w:eastAsia="仿宋_GB2312"/>
          <w:sz w:val="32"/>
          <w:lang w:val="en-US" w:eastAsia="zh-CN"/>
        </w:rPr>
        <w:t>21.46</w:t>
      </w:r>
      <w:r>
        <w:rPr>
          <w:rFonts w:ascii="仿宋_GB2312" w:eastAsia="仿宋_GB2312"/>
          <w:sz w:val="32"/>
        </w:rPr>
        <w:t>%。主要包括</w:t>
      </w:r>
      <w:r>
        <w:rPr>
          <w:rFonts w:hint="eastAsia" w:ascii="仿宋_GB2312" w:eastAsia="仿宋_GB2312"/>
          <w:sz w:val="32"/>
          <w:lang w:eastAsia="zh-CN"/>
        </w:rPr>
        <w:t>“浑南蓝空间”平台建设、开展主题教育轮值活动、制播宣传视频、订阅企业报刊、理论学习培训</w:t>
      </w:r>
      <w:r>
        <w:rPr>
          <w:rFonts w:ascii="仿宋_GB2312" w:eastAsia="仿宋_GB2312"/>
          <w:sz w:val="32"/>
        </w:rPr>
        <w:t>等业务支出。</w:t>
      </w:r>
    </w:p>
    <w:p>
      <w:pPr>
        <w:pStyle w:val="6"/>
        <w:spacing w:line="560" w:lineRule="exact"/>
        <w:ind w:firstLine="660"/>
        <w:rPr>
          <w:rFonts w:hint="eastAsia" w:ascii="仿宋_GB2312" w:eastAsia="仿宋_GB2312"/>
          <w:sz w:val="32"/>
          <w:lang w:eastAsia="zh-CN"/>
        </w:rPr>
      </w:pPr>
      <w:r>
        <w:rPr>
          <w:rFonts w:ascii="仿宋_GB2312" w:eastAsia="仿宋_GB2312"/>
          <w:sz w:val="32"/>
        </w:rPr>
        <w:t>与上年相比，今年支出增加</w:t>
      </w:r>
      <w:r>
        <w:rPr>
          <w:rFonts w:hint="eastAsia" w:ascii="仿宋_GB2312" w:eastAsia="仿宋_GB2312"/>
          <w:sz w:val="32"/>
          <w:lang w:val="en-US" w:eastAsia="zh-CN"/>
        </w:rPr>
        <w:t>20.78</w:t>
      </w:r>
      <w:r>
        <w:rPr>
          <w:rFonts w:ascii="仿宋_GB2312" w:eastAsia="仿宋_GB2312"/>
          <w:sz w:val="32"/>
        </w:rPr>
        <w:t>万元，增长</w:t>
      </w:r>
      <w:r>
        <w:rPr>
          <w:rFonts w:hint="eastAsia" w:ascii="仿宋_GB2312" w:eastAsia="仿宋_GB2312"/>
          <w:sz w:val="32"/>
          <w:lang w:val="en-US" w:eastAsia="zh-CN"/>
        </w:rPr>
        <w:t>17.67</w:t>
      </w:r>
      <w:r>
        <w:rPr>
          <w:rFonts w:ascii="仿宋_GB2312" w:eastAsia="仿宋_GB2312"/>
          <w:sz w:val="32"/>
        </w:rPr>
        <w:t>%，主要原因：</w:t>
      </w:r>
      <w:r>
        <w:rPr>
          <w:rFonts w:hint="eastAsia" w:ascii="仿宋_GB2312" w:eastAsia="仿宋_GB2312"/>
          <w:sz w:val="32"/>
          <w:lang w:eastAsia="zh-CN"/>
        </w:rPr>
        <w:t>本年度单位基本支出增加。</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eastAsia" w:ascii="仿宋" w:hAnsi="仿宋" w:eastAsia="仿宋" w:cs="仿宋"/>
          <w:bCs/>
          <w:sz w:val="32"/>
          <w:szCs w:val="32"/>
        </w:rPr>
      </w:pPr>
      <w:r>
        <w:rPr>
          <w:rFonts w:hint="eastAsia" w:ascii="仿宋" w:hAnsi="仿宋" w:eastAsia="仿宋" w:cs="仿宋"/>
          <w:bCs/>
          <w:sz w:val="32"/>
          <w:szCs w:val="32"/>
        </w:rPr>
        <w:t>与上年相比，年末结转结余0万元，与上年持平。原因：今年无结余。</w:t>
      </w:r>
    </w:p>
    <w:p>
      <w:pPr>
        <w:pStyle w:val="6"/>
        <w:numPr>
          <w:ilvl w:val="0"/>
          <w:numId w:val="1"/>
        </w:numPr>
        <w:spacing w:line="560" w:lineRule="exact"/>
        <w:ind w:firstLine="660"/>
        <w:rPr>
          <w:rFonts w:ascii="黑体" w:eastAsia="黑体"/>
          <w:sz w:val="32"/>
        </w:rPr>
      </w:pPr>
      <w:r>
        <w:rPr>
          <w:rFonts w:ascii="黑体" w:eastAsia="黑体"/>
          <w:sz w:val="32"/>
        </w:rPr>
        <w:t>财政拨款收入支出决算情况说明</w:t>
      </w:r>
    </w:p>
    <w:p>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138.35</w:t>
      </w:r>
      <w:r>
        <w:rPr>
          <w:rFonts w:ascii="仿宋_GB2312" w:eastAsia="仿宋_GB2312"/>
          <w:sz w:val="32"/>
        </w:rPr>
        <w:t>万元，其中：基本支出</w:t>
      </w:r>
      <w:r>
        <w:rPr>
          <w:rFonts w:hint="eastAsia" w:ascii="仿宋_GB2312" w:eastAsia="仿宋_GB2312"/>
          <w:sz w:val="32"/>
          <w:lang w:val="en-US" w:eastAsia="zh-CN"/>
        </w:rPr>
        <w:t>108.66</w:t>
      </w:r>
      <w:r>
        <w:rPr>
          <w:rFonts w:ascii="仿宋_GB2312" w:eastAsia="仿宋_GB2312"/>
          <w:sz w:val="32"/>
        </w:rPr>
        <w:t>万元，项目支出</w:t>
      </w:r>
      <w:r>
        <w:rPr>
          <w:rFonts w:hint="eastAsia" w:ascii="仿宋_GB2312" w:eastAsia="仿宋_GB2312"/>
          <w:sz w:val="32"/>
          <w:lang w:val="en-US" w:eastAsia="zh-CN"/>
        </w:rPr>
        <w:t>29.7</w:t>
      </w:r>
      <w:r>
        <w:rPr>
          <w:rFonts w:ascii="仿宋_GB2312" w:eastAsia="仿宋_GB2312"/>
          <w:sz w:val="32"/>
        </w:rPr>
        <w:t>万元。与上年相比，财政拨款支出增加</w:t>
      </w:r>
      <w:r>
        <w:rPr>
          <w:rFonts w:hint="eastAsia" w:ascii="仿宋_GB2312" w:eastAsia="仿宋_GB2312"/>
          <w:sz w:val="32"/>
          <w:lang w:val="en-US" w:eastAsia="zh-CN"/>
        </w:rPr>
        <w:t>20.78</w:t>
      </w:r>
      <w:r>
        <w:rPr>
          <w:rFonts w:ascii="仿宋_GB2312" w:eastAsia="仿宋_GB2312"/>
          <w:sz w:val="32"/>
        </w:rPr>
        <w:t>万元，增长</w:t>
      </w:r>
      <w:r>
        <w:rPr>
          <w:rFonts w:hint="eastAsia" w:ascii="仿宋_GB2312" w:eastAsia="仿宋_GB2312"/>
          <w:sz w:val="32"/>
          <w:lang w:val="en-US" w:eastAsia="zh-CN"/>
        </w:rPr>
        <w:t>17.67</w:t>
      </w:r>
      <w:r>
        <w:rPr>
          <w:rFonts w:ascii="仿宋_GB2312" w:eastAsia="仿宋_GB2312"/>
          <w:sz w:val="32"/>
        </w:rPr>
        <w:t>%，主要原因：</w:t>
      </w:r>
      <w:r>
        <w:rPr>
          <w:rFonts w:hint="eastAsia" w:ascii="仿宋_GB2312" w:eastAsia="仿宋_GB2312"/>
          <w:sz w:val="32"/>
          <w:lang w:eastAsia="zh-CN"/>
        </w:rPr>
        <w:t>本年度单位基本支出增加。</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86.52</w:t>
      </w:r>
      <w:r>
        <w:rPr>
          <w:rFonts w:ascii="仿宋_GB2312" w:eastAsia="仿宋_GB2312"/>
          <w:sz w:val="32"/>
        </w:rPr>
        <w:t>%，其中：基本支出完成年初预算的</w:t>
      </w:r>
      <w:r>
        <w:rPr>
          <w:rFonts w:hint="eastAsia" w:ascii="仿宋_GB2312" w:eastAsia="仿宋_GB2312"/>
          <w:sz w:val="32"/>
          <w:lang w:val="en-US" w:eastAsia="zh-CN"/>
        </w:rPr>
        <w:t>89.45</w:t>
      </w:r>
      <w:r>
        <w:rPr>
          <w:rFonts w:ascii="仿宋_GB2312" w:eastAsia="仿宋_GB2312"/>
          <w:sz w:val="32"/>
        </w:rPr>
        <w:t>%，项目支出完成年初预算的</w:t>
      </w:r>
      <w:r>
        <w:rPr>
          <w:rFonts w:hint="eastAsia" w:ascii="仿宋_GB2312" w:eastAsia="仿宋_GB2312"/>
          <w:sz w:val="32"/>
          <w:lang w:val="en-US" w:eastAsia="zh-CN"/>
        </w:rPr>
        <w:t>77.3</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eastAsia" w:ascii="仿宋" w:hAnsi="仿宋" w:eastAsia="仿宋" w:cs="仿宋"/>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138.35</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124.03</w:t>
      </w:r>
      <w:r>
        <w:rPr>
          <w:rFonts w:ascii="仿宋_GB2312" w:hAnsi="宋体" w:eastAsia="仿宋_GB2312"/>
          <w:sz w:val="32"/>
          <w:szCs w:val="32"/>
        </w:rPr>
        <w:t>万元，占</w:t>
      </w:r>
      <w:r>
        <w:rPr>
          <w:rFonts w:hint="eastAsia" w:ascii="仿宋_GB2312" w:hAnsi="宋体" w:eastAsia="仿宋_GB2312"/>
          <w:sz w:val="32"/>
          <w:szCs w:val="32"/>
          <w:lang w:val="en-US" w:eastAsia="zh-CN"/>
        </w:rPr>
        <w:t>89.65</w:t>
      </w:r>
      <w:r>
        <w:rPr>
          <w:rFonts w:ascii="仿宋_GB2312" w:hAnsi="宋体" w:eastAsia="仿宋_GB2312"/>
          <w:sz w:val="32"/>
          <w:szCs w:val="32"/>
        </w:rPr>
        <w:t>%；</w:t>
      </w:r>
      <w:r>
        <w:rPr>
          <w:rFonts w:hint="eastAsia" w:ascii="仿宋" w:hAnsi="仿宋" w:eastAsia="仿宋" w:cs="仿宋"/>
          <w:sz w:val="32"/>
          <w:szCs w:val="32"/>
        </w:rPr>
        <w:t>社会保障和就业支出</w:t>
      </w:r>
      <w:r>
        <w:rPr>
          <w:rFonts w:hint="eastAsia" w:ascii="仿宋" w:hAnsi="仿宋" w:eastAsia="仿宋" w:cs="仿宋"/>
          <w:sz w:val="32"/>
          <w:szCs w:val="32"/>
          <w:lang w:val="en-US" w:eastAsia="zh-CN"/>
        </w:rPr>
        <w:t>9.77</w:t>
      </w:r>
      <w:r>
        <w:rPr>
          <w:rFonts w:hint="eastAsia" w:ascii="仿宋" w:hAnsi="仿宋" w:eastAsia="仿宋" w:cs="仿宋"/>
          <w:sz w:val="32"/>
          <w:szCs w:val="32"/>
        </w:rPr>
        <w:t>万元，占</w:t>
      </w:r>
      <w:r>
        <w:rPr>
          <w:rFonts w:hint="eastAsia" w:ascii="仿宋" w:hAnsi="仿宋" w:eastAsia="仿宋" w:cs="仿宋"/>
          <w:sz w:val="32"/>
          <w:szCs w:val="32"/>
          <w:lang w:val="en-US" w:eastAsia="zh-CN"/>
        </w:rPr>
        <w:t>7.06</w:t>
      </w:r>
      <w:r>
        <w:rPr>
          <w:rFonts w:hint="eastAsia" w:ascii="仿宋" w:hAnsi="仿宋" w:eastAsia="仿宋" w:cs="仿宋"/>
          <w:sz w:val="32"/>
          <w:szCs w:val="32"/>
        </w:rPr>
        <w:t>%；卫生健康支出3.58万元，占</w:t>
      </w:r>
      <w:r>
        <w:rPr>
          <w:rFonts w:hint="eastAsia" w:ascii="仿宋" w:hAnsi="仿宋" w:eastAsia="仿宋" w:cs="仿宋"/>
          <w:sz w:val="32"/>
          <w:szCs w:val="32"/>
          <w:lang w:val="en-US" w:eastAsia="zh-CN"/>
        </w:rPr>
        <w:t>2.59</w:t>
      </w:r>
      <w:r>
        <w:rPr>
          <w:rFonts w:hint="eastAsia" w:ascii="仿宋" w:hAnsi="仿宋" w:eastAsia="仿宋" w:cs="仿宋"/>
          <w:sz w:val="32"/>
          <w:szCs w:val="32"/>
        </w:rPr>
        <w:t>%；住房保障支出1</w:t>
      </w:r>
      <w:r>
        <w:rPr>
          <w:rFonts w:hint="eastAsia" w:ascii="仿宋" w:hAnsi="仿宋" w:eastAsia="仿宋" w:cs="仿宋"/>
          <w:sz w:val="32"/>
          <w:szCs w:val="32"/>
          <w:lang w:val="en-US" w:eastAsia="zh-CN"/>
        </w:rPr>
        <w:t>.24</w:t>
      </w:r>
      <w:r>
        <w:rPr>
          <w:rFonts w:hint="eastAsia" w:ascii="仿宋" w:hAnsi="仿宋" w:eastAsia="仿宋" w:cs="仿宋"/>
          <w:sz w:val="32"/>
          <w:szCs w:val="32"/>
        </w:rPr>
        <w:t>万元，占</w:t>
      </w:r>
      <w:r>
        <w:rPr>
          <w:rFonts w:hint="eastAsia" w:ascii="仿宋" w:hAnsi="仿宋" w:eastAsia="仿宋" w:cs="仿宋"/>
          <w:sz w:val="32"/>
          <w:szCs w:val="32"/>
          <w:lang w:val="en-US" w:eastAsia="zh-CN"/>
        </w:rPr>
        <w:t>0.9</w:t>
      </w:r>
      <w:r>
        <w:rPr>
          <w:rFonts w:hint="eastAsia" w:ascii="仿宋" w:hAnsi="仿宋" w:eastAsia="仿宋" w:cs="仿宋"/>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124.03</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（1）一般公共服务支出（类）财政事务（款）行政运行（项）</w:t>
      </w:r>
      <w:r>
        <w:rPr>
          <w:rFonts w:hint="eastAsia" w:ascii="仿宋_GB2312" w:hAnsi="宋体" w:eastAsia="仿宋_GB2312"/>
          <w:sz w:val="32"/>
          <w:szCs w:val="32"/>
          <w:lang w:val="en-US" w:eastAsia="zh-CN"/>
        </w:rPr>
        <w:t>94.33</w:t>
      </w:r>
      <w:r>
        <w:rPr>
          <w:rFonts w:ascii="仿宋_GB2312" w:hAnsi="宋体" w:eastAsia="仿宋_GB2312"/>
          <w:sz w:val="32"/>
          <w:szCs w:val="32"/>
        </w:rPr>
        <w:t>万元，主要是</w:t>
      </w:r>
      <w:r>
        <w:rPr>
          <w:rFonts w:hint="eastAsia" w:ascii="仿宋" w:hAnsi="仿宋" w:eastAsia="仿宋" w:cs="仿宋"/>
          <w:kern w:val="2"/>
          <w:sz w:val="32"/>
          <w:szCs w:val="32"/>
        </w:rPr>
        <w:t>工资、福利及办公费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88.07</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全年有部分月份出现人员减少</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 w:hAnsi="仿宋" w:eastAsia="仿宋" w:cs="仿宋"/>
          <w:sz w:val="32"/>
          <w:szCs w:val="32"/>
        </w:rPr>
        <w:t>一般公共服务支出（类）财政事务（款）一般行政管理事务（项）</w:t>
      </w:r>
      <w:r>
        <w:rPr>
          <w:rFonts w:hint="eastAsia" w:ascii="仿宋" w:hAnsi="仿宋" w:eastAsia="仿宋" w:cs="仿宋"/>
          <w:sz w:val="32"/>
          <w:szCs w:val="32"/>
          <w:lang w:val="en-US" w:eastAsia="zh-CN"/>
        </w:rPr>
        <w:t>29.7</w:t>
      </w:r>
      <w:r>
        <w:rPr>
          <w:rFonts w:hint="eastAsia" w:ascii="仿宋" w:hAnsi="仿宋" w:eastAsia="仿宋" w:cs="仿宋"/>
          <w:sz w:val="32"/>
          <w:szCs w:val="32"/>
        </w:rPr>
        <w:t>万元，主要用于</w:t>
      </w:r>
      <w:r>
        <w:rPr>
          <w:rFonts w:hint="eastAsia" w:ascii="仿宋" w:hAnsi="仿宋" w:eastAsia="仿宋" w:cs="仿宋"/>
          <w:sz w:val="32"/>
          <w:szCs w:val="32"/>
          <w:lang w:eastAsia="zh-CN"/>
        </w:rPr>
        <w:t>项目活动、</w:t>
      </w:r>
      <w:r>
        <w:rPr>
          <w:rFonts w:hint="eastAsia" w:ascii="仿宋" w:hAnsi="仿宋" w:eastAsia="仿宋" w:cs="仿宋"/>
          <w:sz w:val="32"/>
          <w:szCs w:val="32"/>
        </w:rPr>
        <w:t>绩效评价服务费等支出，完成年初预算的</w:t>
      </w:r>
      <w:r>
        <w:rPr>
          <w:rFonts w:hint="eastAsia" w:ascii="仿宋" w:hAnsi="仿宋" w:eastAsia="仿宋" w:cs="仿宋"/>
          <w:sz w:val="32"/>
          <w:szCs w:val="32"/>
          <w:lang w:val="en-US" w:eastAsia="zh-CN"/>
        </w:rPr>
        <w:t>77.3</w:t>
      </w:r>
      <w:r>
        <w:rPr>
          <w:rFonts w:hint="eastAsia" w:ascii="仿宋" w:hAnsi="仿宋" w:eastAsia="仿宋" w:cs="仿宋"/>
          <w:sz w:val="32"/>
          <w:szCs w:val="32"/>
        </w:rPr>
        <w:t>%，决算数</w:t>
      </w:r>
      <w:r>
        <w:rPr>
          <w:rFonts w:hint="eastAsia" w:ascii="仿宋" w:hAnsi="仿宋" w:eastAsia="仿宋" w:cs="仿宋"/>
          <w:sz w:val="32"/>
          <w:szCs w:val="32"/>
          <w:lang w:eastAsia="zh-CN"/>
        </w:rPr>
        <w:t>小</w:t>
      </w:r>
      <w:r>
        <w:rPr>
          <w:rFonts w:hint="eastAsia" w:ascii="仿宋" w:hAnsi="仿宋" w:eastAsia="仿宋" w:cs="仿宋"/>
          <w:sz w:val="32"/>
          <w:szCs w:val="32"/>
        </w:rPr>
        <w:t>于年初预算数的原因主要是区工商联未单独设置顶级科目的其他项目支出</w:t>
      </w:r>
      <w:r>
        <w:rPr>
          <w:rFonts w:ascii="仿宋_GB2312" w:hAnsi="宋体" w:eastAsia="仿宋_GB2312"/>
          <w:sz w:val="32"/>
          <w:szCs w:val="32"/>
        </w:rPr>
        <w:t>。</w:t>
      </w:r>
    </w:p>
    <w:p>
      <w:pPr>
        <w:pStyle w:val="6"/>
        <w:spacing w:line="560" w:lineRule="atLeast"/>
        <w:ind w:firstLine="660"/>
        <w:rPr>
          <w:rFonts w:hint="eastAsia" w:ascii="仿宋" w:hAnsi="仿宋" w:eastAsia="仿宋" w:cs="仿宋"/>
          <w:sz w:val="32"/>
          <w:szCs w:val="32"/>
        </w:rPr>
      </w:pPr>
      <w:r>
        <w:rPr>
          <w:rFonts w:ascii="仿宋_GB2312" w:hAnsi="宋体" w:eastAsia="仿宋_GB2312"/>
          <w:sz w:val="32"/>
          <w:szCs w:val="32"/>
        </w:rPr>
        <w:t>2.</w:t>
      </w:r>
      <w:r>
        <w:rPr>
          <w:rFonts w:hint="eastAsia" w:ascii="仿宋" w:hAnsi="仿宋" w:eastAsia="仿宋" w:cs="仿宋"/>
          <w:sz w:val="32"/>
          <w:szCs w:val="32"/>
        </w:rPr>
        <w:t>社会保障和就业支出</w:t>
      </w:r>
      <w:r>
        <w:rPr>
          <w:rFonts w:hint="eastAsia" w:ascii="仿宋" w:hAnsi="仿宋" w:eastAsia="仿宋" w:cs="仿宋"/>
          <w:sz w:val="32"/>
          <w:szCs w:val="32"/>
          <w:lang w:val="en-US" w:eastAsia="zh-CN"/>
        </w:rPr>
        <w:t>9.76</w:t>
      </w:r>
      <w:r>
        <w:rPr>
          <w:rFonts w:hint="eastAsia" w:ascii="仿宋" w:hAnsi="仿宋" w:eastAsia="仿宋" w:cs="仿宋"/>
          <w:sz w:val="32"/>
          <w:szCs w:val="32"/>
        </w:rPr>
        <w:t>万元，具体包括：</w:t>
      </w:r>
    </w:p>
    <w:p>
      <w:pPr>
        <w:numPr>
          <w:ilvl w:val="0"/>
          <w:numId w:val="2"/>
        </w:num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社会保障和就业支出（类）行政事业单位养老支出（款）行政单位离退休（项）</w:t>
      </w:r>
      <w:r>
        <w:rPr>
          <w:rFonts w:hint="eastAsia" w:ascii="仿宋_GB2312" w:eastAsia="仿宋_GB2312"/>
          <w:sz w:val="32"/>
          <w:szCs w:val="32"/>
        </w:rPr>
        <w:t>1.3</w:t>
      </w:r>
      <w:r>
        <w:rPr>
          <w:rFonts w:hint="eastAsia" w:ascii="仿宋_GB2312" w:eastAsia="仿宋_GB2312"/>
          <w:sz w:val="32"/>
          <w:szCs w:val="32"/>
          <w:lang w:val="en-US" w:eastAsia="zh-CN"/>
        </w:rPr>
        <w:t>6</w:t>
      </w:r>
      <w:r>
        <w:rPr>
          <w:rFonts w:hint="eastAsia" w:ascii="仿宋_GB2312" w:eastAsia="仿宋_GB2312"/>
          <w:sz w:val="32"/>
          <w:szCs w:val="32"/>
        </w:rPr>
        <w:t>万元，主要用于退休人员的费用支出，完成年初预算的100%，</w:t>
      </w:r>
      <w:r>
        <w:rPr>
          <w:rFonts w:hint="eastAsia" w:ascii="仿宋_GB2312" w:hAnsi="宋体" w:eastAsia="仿宋_GB2312"/>
          <w:sz w:val="32"/>
          <w:szCs w:val="32"/>
        </w:rPr>
        <w:t>因各项支出均按预算执行，因此100%完成。</w:t>
      </w:r>
    </w:p>
    <w:p>
      <w:pPr>
        <w:spacing w:line="560" w:lineRule="exact"/>
        <w:ind w:firstLine="660"/>
        <w:rPr>
          <w:rFonts w:hint="default" w:ascii="仿宋_GB2312" w:hAnsi="宋体" w:eastAsia="仿宋_GB2312"/>
          <w:sz w:val="32"/>
          <w:szCs w:val="32"/>
        </w:rPr>
      </w:pPr>
      <w:r>
        <w:rPr>
          <w:rFonts w:hint="eastAsia" w:ascii="仿宋_GB2312" w:eastAsia="仿宋_GB2312"/>
          <w:sz w:val="32"/>
          <w:szCs w:val="32"/>
        </w:rPr>
        <w:t>（2）</w:t>
      </w:r>
      <w:r>
        <w:rPr>
          <w:rFonts w:hint="eastAsia" w:ascii="仿宋_GB2312" w:hAnsi="宋体" w:eastAsia="仿宋_GB2312"/>
          <w:sz w:val="32"/>
          <w:szCs w:val="32"/>
        </w:rPr>
        <w:t>社会保障和就业支出（类）行政事业单位养老支出（款）机关事业单位基本养老保险缴费支出（项）</w:t>
      </w:r>
      <w:r>
        <w:rPr>
          <w:rFonts w:hint="eastAsia" w:ascii="仿宋_GB2312" w:eastAsia="仿宋_GB2312"/>
          <w:sz w:val="32"/>
          <w:szCs w:val="32"/>
          <w:lang w:val="en-US" w:eastAsia="zh-CN"/>
        </w:rPr>
        <w:t>8.4</w:t>
      </w:r>
      <w:r>
        <w:rPr>
          <w:rFonts w:hint="eastAsia" w:ascii="仿宋_GB2312" w:eastAsia="仿宋_GB2312"/>
          <w:sz w:val="32"/>
          <w:szCs w:val="32"/>
        </w:rPr>
        <w:t>万元，</w:t>
      </w:r>
      <w:r>
        <w:rPr>
          <w:rFonts w:hint="eastAsia" w:ascii="仿宋_GB2312" w:hAnsi="宋体" w:eastAsia="仿宋_GB2312"/>
          <w:sz w:val="32"/>
          <w:szCs w:val="32"/>
        </w:rPr>
        <w:t>主要用于养老保险支出，</w:t>
      </w:r>
      <w:r>
        <w:rPr>
          <w:rFonts w:hint="eastAsia" w:ascii="仿宋_GB2312" w:eastAsia="仿宋_GB2312"/>
          <w:sz w:val="32"/>
          <w:szCs w:val="32"/>
        </w:rPr>
        <w:t>完成年初预算的</w:t>
      </w:r>
      <w:r>
        <w:rPr>
          <w:rFonts w:hint="eastAsia" w:ascii="仿宋_GB2312" w:eastAsia="仿宋_GB2312"/>
          <w:sz w:val="32"/>
          <w:szCs w:val="32"/>
          <w:lang w:val="en-US" w:eastAsia="zh-CN"/>
        </w:rPr>
        <w:t>134.19</w:t>
      </w:r>
      <w:r>
        <w:rPr>
          <w:rFonts w:hint="eastAsia" w:ascii="仿宋_GB2312" w:eastAsia="仿宋_GB2312"/>
          <w:sz w:val="32"/>
          <w:szCs w:val="32"/>
        </w:rPr>
        <w:t>%，</w:t>
      </w:r>
      <w:r>
        <w:rPr>
          <w:rFonts w:hint="eastAsia" w:ascii="仿宋" w:hAnsi="仿宋" w:eastAsia="仿宋" w:cs="仿宋"/>
          <w:sz w:val="32"/>
          <w:szCs w:val="32"/>
        </w:rPr>
        <w:t>决算数</w:t>
      </w:r>
      <w:r>
        <w:rPr>
          <w:rFonts w:hint="eastAsia" w:ascii="仿宋" w:hAnsi="仿宋" w:eastAsia="仿宋" w:cs="仿宋"/>
          <w:sz w:val="32"/>
          <w:szCs w:val="32"/>
          <w:lang w:eastAsia="zh-CN"/>
        </w:rPr>
        <w:t>大</w:t>
      </w:r>
      <w:r>
        <w:rPr>
          <w:rFonts w:hint="eastAsia" w:ascii="仿宋" w:hAnsi="仿宋" w:eastAsia="仿宋" w:cs="仿宋"/>
          <w:sz w:val="32"/>
          <w:szCs w:val="32"/>
        </w:rPr>
        <w:t>于年初预算数的原因主要是</w:t>
      </w:r>
      <w:r>
        <w:rPr>
          <w:rFonts w:hint="eastAsia" w:ascii="仿宋_GB2312" w:hAnsi="宋体" w:eastAsia="仿宋_GB2312"/>
          <w:sz w:val="32"/>
          <w:szCs w:val="32"/>
          <w:lang w:eastAsia="zh-CN"/>
        </w:rPr>
        <w:t>养老保险基数增加</w:t>
      </w:r>
      <w:r>
        <w:rPr>
          <w:rFonts w:ascii="仿宋_GB2312" w:hAnsi="宋体" w:eastAsia="仿宋_GB2312"/>
          <w:sz w:val="32"/>
          <w:szCs w:val="32"/>
        </w:rPr>
        <w:t>。</w:t>
      </w:r>
    </w:p>
    <w:p>
      <w:pPr>
        <w:spacing w:line="560" w:lineRule="exact"/>
        <w:ind w:firstLine="66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w:t>
      </w:r>
      <w:r>
        <w:rPr>
          <w:rFonts w:hint="eastAsia" w:ascii="仿宋_GB2312" w:eastAsia="仿宋_GB2312"/>
          <w:sz w:val="32"/>
          <w:szCs w:val="32"/>
        </w:rPr>
        <w:t>社会保障和就业支出（类）行政事业单位养老支出（款）机关事业单位职业年金缴费（项）支出</w:t>
      </w:r>
      <w:r>
        <w:rPr>
          <w:rFonts w:hint="eastAsia" w:ascii="仿宋_GB2312" w:eastAsia="仿宋_GB2312"/>
          <w:sz w:val="32"/>
          <w:szCs w:val="32"/>
          <w:lang w:val="en-US" w:eastAsia="zh-CN"/>
        </w:rPr>
        <w:t>0.0041</w:t>
      </w:r>
      <w:r>
        <w:rPr>
          <w:rFonts w:hint="eastAsia" w:ascii="仿宋_GB2312" w:eastAsia="仿宋_GB2312"/>
          <w:sz w:val="32"/>
          <w:szCs w:val="32"/>
        </w:rPr>
        <w:t>万元，完成年初预算的</w:t>
      </w:r>
      <w:r>
        <w:rPr>
          <w:rFonts w:hint="eastAsia" w:ascii="仿宋_GB2312" w:eastAsia="仿宋_GB2312"/>
          <w:sz w:val="32"/>
          <w:szCs w:val="32"/>
          <w:lang w:val="en-US" w:eastAsia="zh-CN"/>
        </w:rPr>
        <w:t>0.13</w:t>
      </w:r>
      <w:r>
        <w:rPr>
          <w:rFonts w:hint="eastAsia" w:ascii="仿宋_GB2312" w:eastAsia="仿宋_GB2312"/>
          <w:sz w:val="32"/>
          <w:szCs w:val="32"/>
        </w:rPr>
        <w:t>%，决算数小于预算数的主要原因是职业年金业务未开展。</w:t>
      </w:r>
    </w:p>
    <w:p>
      <w:pPr>
        <w:pStyle w:val="6"/>
        <w:spacing w:line="560" w:lineRule="atLeast"/>
        <w:ind w:firstLine="66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卫生健康支出</w:t>
      </w:r>
      <w:r>
        <w:rPr>
          <w:rFonts w:hint="eastAsia" w:ascii="仿宋" w:hAnsi="仿宋" w:eastAsia="仿宋" w:cs="仿宋"/>
          <w:sz w:val="32"/>
          <w:szCs w:val="32"/>
          <w:lang w:val="en-US" w:eastAsia="zh-CN"/>
        </w:rPr>
        <w:t>3.32</w:t>
      </w:r>
      <w:r>
        <w:rPr>
          <w:rFonts w:hint="eastAsia" w:ascii="仿宋" w:hAnsi="仿宋" w:eastAsia="仿宋" w:cs="仿宋"/>
          <w:sz w:val="32"/>
          <w:szCs w:val="32"/>
        </w:rPr>
        <w:t>万元，具体包括：</w:t>
      </w:r>
    </w:p>
    <w:p>
      <w:pPr>
        <w:pStyle w:val="6"/>
        <w:spacing w:line="560" w:lineRule="atLeast"/>
        <w:ind w:firstLine="660"/>
        <w:rPr>
          <w:rFonts w:hint="eastAsia" w:ascii="仿宋_GB2312" w:eastAsia="仿宋_GB2312"/>
          <w:sz w:val="32"/>
          <w:szCs w:val="32"/>
        </w:rPr>
      </w:pPr>
      <w:r>
        <w:rPr>
          <w:rFonts w:hint="eastAsia" w:ascii="仿宋_GB2312" w:eastAsia="仿宋_GB2312"/>
          <w:sz w:val="32"/>
          <w:szCs w:val="32"/>
        </w:rPr>
        <w:t>卫生健康支出（类）行政事业单位医疗（款）公务员医疗补助（项）</w:t>
      </w:r>
      <w:r>
        <w:rPr>
          <w:rFonts w:hint="eastAsia" w:ascii="仿宋_GB2312" w:eastAsia="仿宋_GB2312"/>
          <w:sz w:val="32"/>
          <w:szCs w:val="32"/>
          <w:lang w:val="en-US" w:eastAsia="zh-CN"/>
        </w:rPr>
        <w:t>3.32</w:t>
      </w:r>
      <w:r>
        <w:rPr>
          <w:rFonts w:hint="eastAsia" w:ascii="仿宋_GB2312" w:eastAsia="仿宋_GB2312"/>
          <w:sz w:val="32"/>
          <w:szCs w:val="32"/>
        </w:rPr>
        <w:t>万元，主要用于医疗</w:t>
      </w:r>
      <w:r>
        <w:rPr>
          <w:rFonts w:hint="eastAsia" w:ascii="仿宋_GB2312" w:eastAsia="仿宋_GB2312"/>
          <w:sz w:val="32"/>
          <w:szCs w:val="32"/>
          <w:lang w:eastAsia="zh-CN"/>
        </w:rPr>
        <w:t>保险、</w:t>
      </w:r>
      <w:r>
        <w:rPr>
          <w:rFonts w:hint="eastAsia" w:ascii="仿宋_GB2312" w:eastAsia="仿宋_GB2312"/>
          <w:sz w:val="32"/>
          <w:szCs w:val="32"/>
        </w:rPr>
        <w:t>补助</w:t>
      </w:r>
      <w:r>
        <w:rPr>
          <w:rFonts w:hint="eastAsia" w:ascii="仿宋_GB2312" w:eastAsia="仿宋_GB2312"/>
          <w:sz w:val="32"/>
          <w:szCs w:val="32"/>
          <w:lang w:eastAsia="zh-CN"/>
        </w:rPr>
        <w:t>等</w:t>
      </w:r>
      <w:r>
        <w:rPr>
          <w:rFonts w:hint="eastAsia" w:ascii="仿宋_GB2312" w:eastAsia="仿宋_GB2312"/>
          <w:sz w:val="32"/>
          <w:szCs w:val="32"/>
        </w:rPr>
        <w:t>支出，完成年初预算的9</w:t>
      </w:r>
      <w:r>
        <w:rPr>
          <w:rFonts w:hint="eastAsia" w:ascii="仿宋_GB2312" w:eastAsia="仿宋_GB2312"/>
          <w:sz w:val="32"/>
          <w:szCs w:val="32"/>
          <w:lang w:val="en-US" w:eastAsia="zh-CN"/>
        </w:rPr>
        <w:t>6.79</w:t>
      </w:r>
      <w:r>
        <w:rPr>
          <w:rFonts w:hint="eastAsia" w:ascii="仿宋_GB2312" w:eastAsia="仿宋_GB2312"/>
          <w:sz w:val="32"/>
          <w:szCs w:val="32"/>
        </w:rPr>
        <w:t>%，决算数小于预算的主要原因是人员的调出减少。</w:t>
      </w:r>
    </w:p>
    <w:p>
      <w:pPr>
        <w:pStyle w:val="6"/>
        <w:spacing w:line="560" w:lineRule="atLeast"/>
        <w:ind w:firstLine="66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住房保障支出</w:t>
      </w:r>
      <w:r>
        <w:rPr>
          <w:rFonts w:hint="eastAsia" w:ascii="仿宋" w:hAnsi="仿宋" w:eastAsia="仿宋" w:cs="仿宋"/>
          <w:sz w:val="32"/>
          <w:szCs w:val="32"/>
          <w:lang w:val="en-US" w:eastAsia="zh-CN"/>
        </w:rPr>
        <w:t>1.24</w:t>
      </w:r>
      <w:r>
        <w:rPr>
          <w:rFonts w:hint="eastAsia" w:ascii="仿宋" w:hAnsi="仿宋" w:eastAsia="仿宋" w:cs="仿宋"/>
          <w:sz w:val="32"/>
          <w:szCs w:val="32"/>
        </w:rPr>
        <w:t>万元，具体包括：</w:t>
      </w:r>
    </w:p>
    <w:p>
      <w:pPr>
        <w:numPr>
          <w:numId w:val="0"/>
        </w:num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住房保障支出（类）住房改革支出（款）住房公积金（项）</w:t>
      </w:r>
      <w:r>
        <w:rPr>
          <w:rFonts w:hint="eastAsia" w:ascii="仿宋_GB2312" w:hAnsi="宋体" w:eastAsia="仿宋_GB2312"/>
          <w:sz w:val="32"/>
          <w:szCs w:val="32"/>
          <w:lang w:val="en-US" w:eastAsia="zh-CN"/>
        </w:rPr>
        <w:t>1.24</w:t>
      </w:r>
      <w:r>
        <w:rPr>
          <w:rFonts w:hint="eastAsia" w:ascii="仿宋_GB2312" w:hAnsi="宋体" w:eastAsia="仿宋_GB2312"/>
          <w:sz w:val="32"/>
          <w:szCs w:val="32"/>
        </w:rPr>
        <w:t>万元，主要是单位职工住房公积金支出，完成年初预算的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%，因各项支出均按预算执行，因此100%完成。</w:t>
      </w:r>
    </w:p>
    <w:p>
      <w:pPr>
        <w:numPr>
          <w:ilvl w:val="0"/>
          <w:numId w:val="3"/>
        </w:numPr>
        <w:spacing w:line="540" w:lineRule="exact"/>
        <w:ind w:firstLine="643" w:firstLineChars="200"/>
        <w:outlineLvl w:val="2"/>
        <w:rPr>
          <w:rFonts w:ascii="楷体_GB2312" w:hAnsi="宋体" w:eastAsia="楷体_GB2312"/>
          <w:b/>
          <w:sz w:val="32"/>
          <w:szCs w:val="32"/>
        </w:rPr>
      </w:pPr>
      <w:r>
        <w:rPr>
          <w:rFonts w:ascii="楷体_GB2312" w:hAnsi="宋体" w:eastAsia="楷体_GB2312"/>
          <w:b/>
          <w:sz w:val="32"/>
          <w:szCs w:val="32"/>
        </w:rPr>
        <w:t>政府性基金预算财政拨款支出情况。</w:t>
      </w:r>
    </w:p>
    <w:p>
      <w:pPr>
        <w:numPr>
          <w:ilvl w:val="0"/>
          <w:numId w:val="0"/>
        </w:num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numPr>
          <w:ilvl w:val="0"/>
          <w:numId w:val="0"/>
        </w:numPr>
        <w:spacing w:line="540" w:lineRule="exact"/>
        <w:ind w:firstLine="640" w:firstLineChars="200"/>
        <w:rPr>
          <w:rFonts w:hint="eastAsia" w:ascii="仿宋_GB2312" w:hAnsi="宋体" w:eastAsia="仿宋_GB2312"/>
          <w:sz w:val="32"/>
          <w:szCs w:val="32"/>
          <w:lang w:val="en-US" w:eastAsia="zh-CN"/>
        </w:rPr>
      </w:pPr>
    </w:p>
    <w:p>
      <w:pPr>
        <w:numPr>
          <w:ilvl w:val="0"/>
          <w:numId w:val="3"/>
        </w:numPr>
        <w:spacing w:line="560" w:lineRule="exact"/>
        <w:ind w:left="0" w:leftChars="0" w:firstLine="643" w:firstLineChars="20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pStyle w:val="6"/>
        <w:numPr>
          <w:ilvl w:val="0"/>
          <w:numId w:val="1"/>
        </w:numPr>
        <w:autoSpaceDN w:val="0"/>
        <w:spacing w:line="560" w:lineRule="exact"/>
        <w:ind w:left="0" w:leftChars="0" w:firstLine="660" w:firstLineChars="0"/>
        <w:rPr>
          <w:rFonts w:ascii="黑体" w:eastAsia="黑体"/>
          <w:sz w:val="32"/>
        </w:rPr>
      </w:pPr>
      <w:r>
        <w:rPr>
          <w:rFonts w:ascii="黑体" w:eastAsia="黑体"/>
          <w:sz w:val="32"/>
        </w:rPr>
        <w:t>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年度一般公共预算财政拨款安排的“三公”经费支出0万元，完成年初预算的0%，决算数等于年初预算数的主要原因是零增加。其中：因公出国（境）费0万元，公务接待费0万元，公务用车购置及运行维护费0万元。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1.因公出国（境）费0万元，占“三公”经费支出的0%。</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年参加出国（境）团组0个，累计0人次,</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年因公出国（境）费与年初预算数相比减少0万元，下降0%，主要</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年无因公出国（境）任务。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2.公务接待费0万元，占“三公”经费支出的0%。</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年国内公务接待累计0批次、0人、0万元；其中外事接待累计0批次、0人、0万元。</w:t>
      </w:r>
      <w:r>
        <w:rPr>
          <w:rFonts w:hint="eastAsia" w:ascii="仿宋_GB2312" w:hAnsi="宋体" w:eastAsia="仿宋_GB2312"/>
          <w:sz w:val="32"/>
          <w:szCs w:val="32"/>
          <w:lang w:eastAsia="zh-CN"/>
        </w:rPr>
        <w:t>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年公务接待费与年初预算数相比增加0万元，下降0%，主要是无接待任务。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w:t>
      </w:r>
      <w:r>
        <w:rPr>
          <w:rFonts w:hint="eastAsia"/>
        </w:rPr>
        <w:t xml:space="preserve"> </w:t>
      </w:r>
      <w:r>
        <w:rPr>
          <w:rFonts w:hint="eastAsia" w:ascii="仿宋_GB2312" w:hAnsi="宋体" w:eastAsia="仿宋_GB2312"/>
          <w:sz w:val="32"/>
          <w:szCs w:val="32"/>
        </w:rPr>
        <w:t>公务用车购置及</w:t>
      </w:r>
      <w:r>
        <w:rPr>
          <w:rFonts w:ascii="仿宋_GB2312" w:hAnsi="宋体" w:eastAsia="仿宋_GB2312"/>
          <w:sz w:val="32"/>
          <w:szCs w:val="32"/>
        </w:rPr>
        <w:t>运行费</w:t>
      </w:r>
      <w:r>
        <w:rPr>
          <w:rFonts w:hint="eastAsia" w:ascii="仿宋_GB2312" w:hAnsi="宋体" w:eastAsia="仿宋_GB2312"/>
          <w:sz w:val="32"/>
          <w:szCs w:val="32"/>
        </w:rPr>
        <w:t>0万元，占“三公”经费支出的0%。与年初预算数比减少0万元，下降0%，主要是无公务用车购置计划。</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其中：公务用车购置费0万元，当年购置公务用车0辆。公务用车运行维护费0万元，截至年末使用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138.35</w:t>
      </w:r>
      <w:r>
        <w:rPr>
          <w:rFonts w:ascii="仿宋_GB2312" w:eastAsia="仿宋_GB2312"/>
          <w:sz w:val="32"/>
        </w:rPr>
        <w:t>万元，其中：人员经费</w:t>
      </w:r>
      <w:r>
        <w:rPr>
          <w:rFonts w:hint="eastAsia" w:ascii="仿宋_GB2312" w:eastAsia="仿宋_GB2312"/>
          <w:sz w:val="32"/>
          <w:lang w:val="en-US" w:eastAsia="zh-CN"/>
        </w:rPr>
        <w:t>99.21</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9.44</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9.44</w:t>
      </w:r>
      <w:r>
        <w:rPr>
          <w:rFonts w:ascii="仿宋_GB2312" w:eastAsia="仿宋_GB2312"/>
          <w:sz w:val="32"/>
        </w:rPr>
        <w:t>万元，比上年决算数减少</w:t>
      </w:r>
      <w:r>
        <w:rPr>
          <w:rFonts w:hint="eastAsia" w:ascii="仿宋_GB2312" w:eastAsia="仿宋_GB2312"/>
          <w:sz w:val="32"/>
          <w:lang w:val="en-US" w:eastAsia="zh-CN"/>
        </w:rPr>
        <w:t>2.42</w:t>
      </w:r>
      <w:r>
        <w:rPr>
          <w:rFonts w:ascii="仿宋_GB2312" w:eastAsia="仿宋_GB2312"/>
          <w:sz w:val="32"/>
        </w:rPr>
        <w:t>万元，降低</w:t>
      </w:r>
      <w:r>
        <w:rPr>
          <w:rFonts w:hint="eastAsia" w:ascii="仿宋_GB2312" w:eastAsia="仿宋_GB2312"/>
          <w:sz w:val="32"/>
          <w:lang w:val="en-US" w:eastAsia="zh-CN"/>
        </w:rPr>
        <w:t>20.4</w:t>
      </w:r>
      <w:r>
        <w:rPr>
          <w:rFonts w:ascii="仿宋_GB2312" w:eastAsia="仿宋_GB2312"/>
          <w:sz w:val="32"/>
        </w:rPr>
        <w:t>%，主要原因是</w:t>
      </w:r>
      <w:r>
        <w:rPr>
          <w:rFonts w:hint="eastAsia" w:ascii="仿宋" w:hAnsi="仿宋" w:eastAsia="仿宋" w:cs="仿宋"/>
          <w:bCs/>
          <w:kern w:val="2"/>
          <w:sz w:val="32"/>
          <w:szCs w:val="32"/>
        </w:rPr>
        <w:t>本单位本年度机关人员</w:t>
      </w:r>
      <w:r>
        <w:rPr>
          <w:rFonts w:hint="eastAsia" w:ascii="仿宋" w:hAnsi="仿宋" w:eastAsia="仿宋" w:cs="仿宋"/>
          <w:bCs/>
          <w:kern w:val="2"/>
          <w:sz w:val="32"/>
          <w:szCs w:val="32"/>
          <w:lang w:eastAsia="zh-CN"/>
        </w:rPr>
        <w:t>有减少</w:t>
      </w:r>
      <w:r>
        <w:rPr>
          <w:rFonts w:ascii="仿宋_GB2312" w:eastAsia="仿宋_GB2312"/>
          <w:sz w:val="32"/>
        </w:rPr>
        <w:t>。</w:t>
      </w:r>
    </w:p>
    <w:p>
      <w:pPr>
        <w:pStyle w:val="6"/>
        <w:numPr>
          <w:ilvl w:val="0"/>
          <w:numId w:val="4"/>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4"/>
        </w:numPr>
        <w:spacing w:line="560" w:lineRule="exact"/>
        <w:ind w:left="0" w:leftChars="0" w:firstLine="640" w:firstLineChars="0"/>
        <w:rPr>
          <w:rFonts w:hint="eastAsia" w:ascii="楷体_GB2312" w:eastAsia="楷体_GB2312"/>
          <w:b/>
          <w:sz w:val="32"/>
          <w:lang w:eastAsia="zh-CN"/>
        </w:rPr>
      </w:pP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8个（其中：一般公共预算项目8个，政府性基金预算项目0个，国有资本经营预算项目0个），涉及资金151.04万元（其中：一般公共预算资金151.04万元，政府性基金预算资金0万元，国有资本经营预算资金0万元），自评覆盖率</w:t>
      </w:r>
      <w:r>
        <w:rPr>
          <w:rFonts w:hint="eastAsia" w:ascii="仿宋_GB2312" w:hAnsi="宋体" w:eastAsia="仿宋_GB2312" w:cs="宋体"/>
          <w:color w:val="auto"/>
          <w:kern w:val="2"/>
          <w:sz w:val="32"/>
          <w:szCs w:val="32"/>
          <w:highlight w:val="none"/>
          <w:shd w:val="clear" w:color="auto" w:fill="auto"/>
          <w:lang w:val="en-US" w:eastAsia="zh-CN" w:bidi="ar"/>
        </w:rPr>
        <w:t>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仿宋_GB2312"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151.04</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我单位</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基本支出人经费</w:t>
      </w:r>
      <w:r>
        <w:rPr>
          <w:rFonts w:hint="eastAsia" w:ascii="仿宋" w:hAnsi="仿宋" w:eastAsia="仿宋"/>
          <w:sz w:val="32"/>
          <w:highlight w:val="none"/>
          <w:shd w:val="clear" w:color="auto" w:fill="auto"/>
        </w:rPr>
        <w:t>”“</w:t>
      </w:r>
      <w:r>
        <w:rPr>
          <w:rFonts w:hint="eastAsia" w:ascii="仿宋" w:hAnsi="仿宋" w:eastAsia="仿宋"/>
          <w:sz w:val="32"/>
          <w:highlight w:val="none"/>
          <w:shd w:val="clear" w:color="auto" w:fill="auto"/>
          <w:lang w:eastAsia="zh-CN"/>
        </w:rPr>
        <w:t>公用经费</w:t>
      </w:r>
      <w:r>
        <w:rPr>
          <w:rFonts w:hint="eastAsia" w:ascii="仿宋" w:hAnsi="仿宋" w:eastAsia="仿宋"/>
          <w:sz w:val="32"/>
          <w:highlight w:val="none"/>
          <w:shd w:val="clear" w:color="auto" w:fill="auto"/>
        </w:rPr>
        <w:t>”</w:t>
      </w:r>
      <w:r>
        <w:rPr>
          <w:rFonts w:hint="eastAsia" w:ascii="仿宋" w:hAnsi="仿宋" w:eastAsia="仿宋"/>
          <w:sz w:val="32"/>
          <w:highlight w:val="none"/>
          <w:shd w:val="clear" w:color="auto" w:fill="auto"/>
          <w:lang w:eastAsia="zh-CN"/>
        </w:rPr>
        <w:t>“理论学习培训费”</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8</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151.04</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（其中：一般公共预算资金151.04万元，政府性基金预算资金0万元，国有资本经营预算资金0万元）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w:t>
      </w:r>
      <w:r>
        <w:rPr>
          <w:rFonts w:hint="default" w:hAnsi="宋体" w:eastAsia="仿宋_GB2312" w:cs="仿宋_GB2312"/>
          <w:color w:val="auto"/>
          <w:kern w:val="2"/>
          <w:sz w:val="32"/>
          <w:szCs w:val="32"/>
          <w:highlight w:val="none"/>
          <w:shd w:val="clear" w:color="auto" w:fill="auto"/>
          <w:lang w:val="en" w:eastAsia="zh-CN" w:bidi="ar"/>
        </w:rPr>
        <w:t>较好地完成非公经济人士政治引领、服务等方面工作</w:t>
      </w:r>
      <w:r>
        <w:rPr>
          <w:rFonts w:hint="eastAsia" w:hAnsi="宋体" w:eastAsia="仿宋_GB2312" w:cs="仿宋_GB2312"/>
          <w:color w:val="auto"/>
          <w:kern w:val="2"/>
          <w:sz w:val="32"/>
          <w:szCs w:val="32"/>
          <w:highlight w:val="none"/>
          <w:shd w:val="clear" w:color="auto" w:fill="auto"/>
          <w:lang w:val="en"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 w:eastAsia="zh-CN" w:bidi="ar"/>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 w:eastAsia="zh-CN" w:bidi="ar"/>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我部门在2022年度决算中反映</w:t>
      </w:r>
      <w:r>
        <w:rPr>
          <w:rFonts w:hint="eastAsia" w:ascii="仿宋" w:hAnsi="仿宋" w:eastAsia="仿宋"/>
          <w:sz w:val="32"/>
          <w:highlight w:val="none"/>
          <w:shd w:val="clear" w:color="auto" w:fill="auto"/>
          <w:lang w:eastAsia="zh-CN"/>
        </w:rPr>
        <w:t>“理论学习培训费”</w:t>
      </w:r>
      <w:r>
        <w:rPr>
          <w:rFonts w:hint="eastAsia" w:ascii="仿宋_GB2312" w:hAnsi="宋体" w:eastAsia="仿宋_GB2312" w:cs="仿宋_GB2312"/>
          <w:color w:val="auto"/>
          <w:kern w:val="2"/>
          <w:sz w:val="32"/>
          <w:szCs w:val="32"/>
          <w:highlight w:val="none"/>
          <w:shd w:val="clear" w:color="auto" w:fill="auto"/>
          <w:lang w:val="en-US" w:eastAsia="zh-CN" w:bidi="ar"/>
        </w:rPr>
        <w:t>“订阅报刊经费”等6个项目绩效自评结果。</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“理论学习培训经费”项目自评综述：根据年初设定的绩效目标，项目自评得分100分。项目全年预算数为5万元，执行数为5万元，完成预算的100%。项目绩效目标完成情况：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引导非公经济人士加强自我学习、自我提升</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最大限度服务非公经济。</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（2）“订阅报刊经费”项目自评综述：根据年初设定的绩效目标，项目自评得分92.5分。项目全年预算数为2.99万元，执行数为2.58万元，完成预算的86.29%。项目绩效目标完成情况：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用于订阅《中华工商时报》71份</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订阅《中国工商》杂志2份。发现的主要问题及原因：实际订阅数量有所减少。下一步改进措施：统筹做好人员订阅数量把控。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3）“主题活动经费”项目自评综述：根据年初设定的绩效目标，项目自评得分92分。项目全年预算数为6万元，执行数为5万元，完成预算的83.33%。项目绩效目标完成情况：较好完成了轮值主席制度安排，活动安排。发现的主要问题及原因：活动前期统筹规划有待细化。下一步改进措施：细化各项活动的前期规划统筹工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4）“民主党派及工商联专项业务经费”项目自评综述：根据年初设定的绩效目标，项目自评得分98.7分。项目全年预算数为12万元，执行数为11.9万元，完成预算的99.17%。项目绩效目标完成情况：较好完成非公经济人士政治引领、服务等方面工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5）“雇员经费”项目自评综述：根据年初设定的绩效目标，项目自评得分96.9分。项目全年预算数为2.78万元，执行数为2.62万元，完成预算的92.24%。项目绩效目标完成情况：较好完成雇员餐费、办公经费等费用的使用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6）“公益性岗位经费”项目自评综述：根据年初设定的绩效目标，项目自评得分99.5分。项目全年预算数为0.79万元，执行数为0.78万元，完成预算的98.73%。项目绩效目标完成情况：较好完成公益岗人员餐费、办公经费等费用的使用支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细化项目支出分类，充分考虑到工商联具体业务情况，将类似换届、届中调整等项目提前预判支出金额，统筹做好预算资金的执行运用。</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default" w:ascii="仿宋_GB2312" w:hAnsi="宋体" w:eastAsia="仿宋_GB2312" w:cs="仿宋_GB2312"/>
          <w:color w:val="auto"/>
          <w:kern w:val="2"/>
          <w:sz w:val="32"/>
          <w:szCs w:val="32"/>
          <w:highlight w:val="none"/>
          <w:shd w:val="clear" w:color="auto" w:fill="auto"/>
          <w:lang w:val="en-US" w:eastAsia="zh-CN" w:bidi="ar"/>
        </w:rPr>
        <w:t>该项目绩效自评效果较好，类似项目财政将继续安排，（如有偏差，望你单位针对偏差原因及时整改），用好财政资金，发挥资金效益。</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浑南区工商联</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bookmarkStart w:id="0" w:name="_GoBack"/>
      <w:bookmarkEnd w:id="0"/>
    </w:p>
    <w:p>
      <w:pPr>
        <w:jc w:val="center"/>
        <w:rPr>
          <w:rFonts w:hint="eastAsia" w:ascii="宋体" w:hAnsi="宋体"/>
          <w:b/>
          <w:sz w:val="52"/>
          <w:szCs w:val="52"/>
        </w:rPr>
      </w:pPr>
    </w:p>
    <w:p>
      <w:pPr>
        <w:numPr>
          <w:ilvl w:val="0"/>
          <w:numId w:val="6"/>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6FE939"/>
    <w:multiLevelType w:val="singleLevel"/>
    <w:tmpl w:val="E46FE939"/>
    <w:lvl w:ilvl="0" w:tentative="0">
      <w:start w:val="2"/>
      <w:numFmt w:val="chineseCounting"/>
      <w:suff w:val="nothing"/>
      <w:lvlText w:val="%1、"/>
      <w:lvlJc w:val="left"/>
      <w:rPr>
        <w:rFonts w:hint="eastAsia"/>
      </w:rPr>
    </w:lvl>
  </w:abstractNum>
  <w:abstractNum w:abstractNumId="1">
    <w:nsid w:val="13502FD0"/>
    <w:multiLevelType w:val="singleLevel"/>
    <w:tmpl w:val="13502FD0"/>
    <w:lvl w:ilvl="0" w:tentative="0">
      <w:start w:val="2"/>
      <w:numFmt w:val="chineseCounting"/>
      <w:suff w:val="nothing"/>
      <w:lvlText w:val="（%1）"/>
      <w:lvlJc w:val="left"/>
      <w:rPr>
        <w:rFonts w:hint="eastAsia"/>
      </w:rPr>
    </w:lvl>
  </w:abstractNum>
  <w:abstractNum w:abstractNumId="2">
    <w:nsid w:val="1D980817"/>
    <w:multiLevelType w:val="singleLevel"/>
    <w:tmpl w:val="1D980817"/>
    <w:lvl w:ilvl="0" w:tentative="0">
      <w:start w:val="1"/>
      <w:numFmt w:val="decimal"/>
      <w:suff w:val="nothing"/>
      <w:lvlText w:val="（%1）"/>
      <w:lvlJc w:val="left"/>
    </w:lvl>
  </w:abstractNum>
  <w:abstractNum w:abstractNumId="3">
    <w:nsid w:val="2F641151"/>
    <w:multiLevelType w:val="singleLevel"/>
    <w:tmpl w:val="2F641151"/>
    <w:lvl w:ilvl="0" w:tentative="0">
      <w:start w:val="1"/>
      <w:numFmt w:val="decimal"/>
      <w:suff w:val="nothing"/>
      <w:lvlText w:val="（%1）"/>
      <w:lvlJc w:val="left"/>
    </w:lvl>
  </w:abstractNum>
  <w:abstractNum w:abstractNumId="4">
    <w:nsid w:val="44275232"/>
    <w:multiLevelType w:val="singleLevel"/>
    <w:tmpl w:val="44275232"/>
    <w:lvl w:ilvl="0" w:tentative="0">
      <w:start w:val="5"/>
      <w:numFmt w:val="chineseCounting"/>
      <w:suff w:val="space"/>
      <w:lvlText w:val="第%1部分"/>
      <w:lvlJc w:val="left"/>
      <w:rPr>
        <w:rFonts w:hint="eastAsia"/>
      </w:rPr>
    </w:lvl>
  </w:abstractNum>
  <w:abstractNum w:abstractNumId="5">
    <w:nsid w:val="51018732"/>
    <w:multiLevelType w:val="singleLevel"/>
    <w:tmpl w:val="51018732"/>
    <w:lvl w:ilvl="0" w:tentative="0">
      <w:start w:val="3"/>
      <w:numFmt w:val="chineseCounting"/>
      <w:suff w:val="nothing"/>
      <w:lvlText w:val="（%1）"/>
      <w:lvlJc w:val="left"/>
      <w:rPr>
        <w:rFonts w:hint="eastAsia"/>
      </w:rPr>
    </w:lvl>
  </w:abstractNum>
  <w:num w:numId="1">
    <w:abstractNumId w:val="0"/>
  </w:num>
  <w:num w:numId="2">
    <w:abstractNumId w:val="2"/>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0FC3E1B"/>
    <w:rsid w:val="01622E76"/>
    <w:rsid w:val="03CB1CCE"/>
    <w:rsid w:val="04390EE3"/>
    <w:rsid w:val="071F6AB6"/>
    <w:rsid w:val="082C6248"/>
    <w:rsid w:val="09C4782E"/>
    <w:rsid w:val="0A0A1357"/>
    <w:rsid w:val="0B3D39AE"/>
    <w:rsid w:val="0C281F69"/>
    <w:rsid w:val="0D933D59"/>
    <w:rsid w:val="0DA02EFC"/>
    <w:rsid w:val="0DAD4E1B"/>
    <w:rsid w:val="0E295443"/>
    <w:rsid w:val="0ECB7368"/>
    <w:rsid w:val="0EDD528C"/>
    <w:rsid w:val="0FD91C07"/>
    <w:rsid w:val="10A83678"/>
    <w:rsid w:val="11612EA5"/>
    <w:rsid w:val="12CC5588"/>
    <w:rsid w:val="12DA5D22"/>
    <w:rsid w:val="131E2240"/>
    <w:rsid w:val="1542409B"/>
    <w:rsid w:val="188E5849"/>
    <w:rsid w:val="1B8276EF"/>
    <w:rsid w:val="1B9703C5"/>
    <w:rsid w:val="1C4A7CD9"/>
    <w:rsid w:val="1C635C29"/>
    <w:rsid w:val="1C6537BA"/>
    <w:rsid w:val="1D745CED"/>
    <w:rsid w:val="1DC84414"/>
    <w:rsid w:val="20270A5D"/>
    <w:rsid w:val="25B0631A"/>
    <w:rsid w:val="27C958D4"/>
    <w:rsid w:val="286C4199"/>
    <w:rsid w:val="28977847"/>
    <w:rsid w:val="2A3D2189"/>
    <w:rsid w:val="2B2838DB"/>
    <w:rsid w:val="2BE94E19"/>
    <w:rsid w:val="2C083572"/>
    <w:rsid w:val="2CA57561"/>
    <w:rsid w:val="2DAA05D8"/>
    <w:rsid w:val="2E4F6256"/>
    <w:rsid w:val="314E571E"/>
    <w:rsid w:val="32C57C62"/>
    <w:rsid w:val="33F00D0E"/>
    <w:rsid w:val="349647EC"/>
    <w:rsid w:val="358309F1"/>
    <w:rsid w:val="36230505"/>
    <w:rsid w:val="375C2101"/>
    <w:rsid w:val="3BA207ED"/>
    <w:rsid w:val="3D714C6E"/>
    <w:rsid w:val="3E5A3954"/>
    <w:rsid w:val="402257BC"/>
    <w:rsid w:val="429F402B"/>
    <w:rsid w:val="43ED4466"/>
    <w:rsid w:val="46CA2860"/>
    <w:rsid w:val="474C6DD1"/>
    <w:rsid w:val="47E36768"/>
    <w:rsid w:val="4B007356"/>
    <w:rsid w:val="4C43011D"/>
    <w:rsid w:val="4E3C4E24"/>
    <w:rsid w:val="4F275AD4"/>
    <w:rsid w:val="4F4B3B01"/>
    <w:rsid w:val="50940F47"/>
    <w:rsid w:val="5124051D"/>
    <w:rsid w:val="52462715"/>
    <w:rsid w:val="54113C3E"/>
    <w:rsid w:val="54F6469B"/>
    <w:rsid w:val="56D227CA"/>
    <w:rsid w:val="57342827"/>
    <w:rsid w:val="584D35F3"/>
    <w:rsid w:val="59C52B8D"/>
    <w:rsid w:val="5A6C6A91"/>
    <w:rsid w:val="5AE973A2"/>
    <w:rsid w:val="5B697371"/>
    <w:rsid w:val="5FC92290"/>
    <w:rsid w:val="60CA5C5B"/>
    <w:rsid w:val="60F65306"/>
    <w:rsid w:val="67277FC8"/>
    <w:rsid w:val="673C6F2C"/>
    <w:rsid w:val="6792174F"/>
    <w:rsid w:val="69851D54"/>
    <w:rsid w:val="6A114F5F"/>
    <w:rsid w:val="6A8D6CDC"/>
    <w:rsid w:val="6D627EDC"/>
    <w:rsid w:val="6DA15E5C"/>
    <w:rsid w:val="6E146DCC"/>
    <w:rsid w:val="6F15104E"/>
    <w:rsid w:val="6FBC11F6"/>
    <w:rsid w:val="6FE5071F"/>
    <w:rsid w:val="6FE86762"/>
    <w:rsid w:val="70A02B99"/>
    <w:rsid w:val="70C70595"/>
    <w:rsid w:val="724179B2"/>
    <w:rsid w:val="74997316"/>
    <w:rsid w:val="770F5700"/>
    <w:rsid w:val="779D0503"/>
    <w:rsid w:val="77CB499F"/>
    <w:rsid w:val="7A41719B"/>
    <w:rsid w:val="7C136915"/>
    <w:rsid w:val="7D024843"/>
    <w:rsid w:val="7FBA41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5583</Words>
  <Characters>6050</Characters>
  <Lines>37</Lines>
  <Paragraphs>10</Paragraphs>
  <TotalTime>0</TotalTime>
  <ScaleCrop>false</ScaleCrop>
  <LinksUpToDate>false</LinksUpToDate>
  <CharactersWithSpaces>6082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2023-09-12T08:46:20Z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