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辽宁省沈阳市浑南区工商业联合会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辽宁省沈阳市浑南区工商业联合会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辽宁省沈阳市浑南区工商业联合会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辽宁省沈阳市浑南区工商业联合会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辽宁省沈阳市浑南区工商业联合会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辽宁省沈阳市浑南区工商业联合会概况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（一）参与全区重要问题的政治协商，参政议政，民主监督。</w:t>
        <w:br/>
        <w:t xml:space="preserve">    （二）非公企业代表人士政治安排的推荐工作。</w:t>
        <w:br/>
        <w:t xml:space="preserve">    （三）在非公有制经济人士中，宣传、贯彻党和国家的方针政策，加强思想政治工作。</w:t>
        <w:br/>
        <w:t xml:space="preserve">    （四）代表并维护会员的合法权益，反映会员的意见、要求和建议。</w:t>
        <w:br/>
        <w:t xml:space="preserve">    （五）引导会员积极参与“光彩事业”；为会员提供信息和科技、管理、法律、融资、咨询等服务。</w:t>
        <w:br/>
        <w:t xml:space="preserve">    （六）开展工商专业培训，帮助会员改进经营管理。</w:t>
        <w:br/>
        <w:t xml:space="preserve">    （七）组织会员举办和参加各种对内对外展销会、交易会；增进与各地区工商社团及工商经济界人士的联系和友谊，促进经济、技术和贸易合作。</w:t>
        <w:br/>
        <w:t xml:space="preserve">    （八）承办政府和有关部门的委托事项。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辽宁省沈阳市浑南区工商业联合会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浑南区工商联本级，本单位无下设机构。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96.37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96.37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96.37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减少40.56万元，降低29.62%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2024年有一人退休，因此一般公共预算财政拨款收入减少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96.37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92.42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95.90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工资福利支出82.69万元；商品和服务支出8.16万元；对个人和家庭的补助1.57万元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3.95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4.10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主要包括工商联雇员、派遣人员经费和对外联络事务业务经费等业务支出。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减少40.56万元，降低29.62%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按照上级要求，尽力压缩项目支出经费</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今年无结余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96.37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92.42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3.95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减少40.56万元，降低29.62%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本年度单位基本支出和项目支出均有所减少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67.85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85.29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11.73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2024年度一般公共预算财政拨款支出96.37万元。按支出功能分类科目分，包括：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1.一般公共服务支出65.86万元，具体包括：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（1）一般公共服务支出（类）民主党派及工商联事务（款）行政运行（项）62.35万元,主要是工资、福利及办公费等支出，完成年初预算的77.29%，决算数与年初预算数存在差异的主要原因是部分福利未按时发放。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民主党派及工商联事务（款）一般行政管理事务（项）3.51万元,主要是项目活动等支出，完成年初预算的11.83%，决算数与年初预算数存在差异的主要原因是按照上级要求，减少项目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2.教育支出0.44万元，具体包括：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（1）教育支出（类）进修及培训（款）培训支出（项）0.44万元,主要是开展教育培训等支出，完成年初预算的11%，决算数与年初预算数存在差异的主要原因是按照上级要求，减少教育培训等经费支出。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3.社会保障和就业支出19.21万元，具体包括：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（1）社会保障和就业支出（类）行政事业单位养老支出（款）行政单位离退休（项）1.57万元,主要是退休人员等支出，完成年初预算的89.71%，决算数与年初预算数存在差异的主要原因是公用经费未使用。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7.23万元,主要是养老保险等支出，完成年初预算的79.71%，决算数与年初预算数存在差异的主要原因是养老保险基数调整及减少一名退休人员保险缴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10.41万元,主要是一次性补缴退休人员职业年金等支出，完成年初预算的0%，决算数与年初预算数存在差异的主要原因是一次性补缴退休人员职业年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4.卫生健康支出2.88万元，具体包括：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（1）卫生健康支出（类）行政事业单位医疗（款）行政单位医疗（项）2.88万元,主要是医疗保险等支出，完成年初预算的70.76%，决算数与年初预算数存在差异的主要原因是医疗补助未发放。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5.住房保障支出7.98万元，具体包括：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（1）住房保障支出（类）住房改革支出（款）住房公积金（项）7.98万元,主要是住房公积金和高比例公积金等支出，完成年初预算的62.34%，决算数与年初预算数存在差异的主要原因是未发放高比例公积金。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零增加</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2024年无此业务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2024年无因公出国（境）任务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无接待任务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无接待任务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无公务用车购置计划</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无公务用车购置计划</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92.42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84.26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8.16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8.16</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比上年增加1.09万元，增长15.42%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公用经费较上年减少了</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具体而言，本年度我部门共组织对7个项目实施了绩效评价。从预算资金来源看，涉及一般公共预算的项目7个，涉及政府性基金预算的项目0个，涉及国有资本经营预算的项目0个。</w:t>
        <w:br/>
        <w:t xml:space="preserve">    上述评价工作共涉及财政资金3.95万元。其中，一般公共预算资金3.95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2；得分在60分以下、等级为“差”的项目有4个。各项目自评发现，部分项目存在预算执行进度偏慢、个别效益指标未能完全达成等问题，已要求相关项目单位分析原因并制定改进措施。</w:t>
        <w:br/>
        <w:t xml:space="preserve">    3.部门重点评价情况及结果。</w:t>
        <w:br/>
        <w:t xml:space="preserve">    在全面自评的基础上，本部门选取了4个资金量大、社会关注度高、具有代表性的重点项目实施了部门重点评价。评价工作通过数据采集分析方式进行，确保了评价结果的客观性和公正性。</w:t>
        <w:br/>
        <w:t xml:space="preserve">    我部门组织对4个项目重点评价，结果显示，被评价项目整体绩效情况良好。其中：第一个重点项目为基本支出人员经费，涉及资金20.8万元，评价平均分为99.02分，评级情况为优等；第二个重点项目为基本支出公用经费，涉及资金2.72万元，评价平均分为99.01分，评级情况为优等；第三个重点项目为基本支出公用经费，涉及资金67.44万元，评价平均分为99.05分，评级情况为优等；第四个重点项目为基本支出公用经费，涉及资金1.42万元，评价平均分为99.08分，评级情况为优等。同时，评价也发现主题活动经费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部门：辽宁省沈阳市浑南区工商业联合会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96.37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65.86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0.44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19.21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2.88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7.98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96.37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96.37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96.37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96.37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部门：辽宁省沈阳市浑南区工商业联合会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96.37</w:t>
            </w:r>
          </w:p>
        </w:tc>
        <w:tc>
          <w:tcPr>
            <w:tcW w:w="960" w:type="dxa"/>
            <w:tcBorders/>
            <w:vAlign w:val="center"/>
          </w:tcPr>
          <w:p>
            <w:pPr>
              <w:jc w:val="right"/>
            </w:pPr>
            <w:r>
              <w:rPr>
                <w:rFonts w:ascii="宋体" w:eastAsia="宋体" w:hAnsi="宋体" w:cs="宋体"/>
                <w:b/>
                <w:i w:val="0"/>
                <w:color w:val="000000"/>
                <w:sz w:val="13"/>
              </w:rPr>
              <w:t xml:space="preserve">96.37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65.86</w:t>
            </w:r>
          </w:p>
        </w:tc>
        <w:tc>
          <w:tcPr>
            <w:tcW w:w="960" w:type="dxa"/>
            <w:tcBorders/>
            <w:vAlign w:val="center"/>
          </w:tcPr>
          <w:p>
            <w:pPr>
              <w:jc w:val="right"/>
            </w:pPr>
            <w:r>
              <w:rPr>
                <w:rFonts w:ascii="宋体" w:eastAsia="宋体" w:hAnsi="宋体" w:cs="宋体"/>
                <w:b w:val="0"/>
                <w:i w:val="0"/>
                <w:color w:val="000000"/>
                <w:sz w:val="13"/>
              </w:rPr>
              <w:t xml:space="preserve">65.86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20128</w:t>
            </w:r>
          </w:p>
        </w:tc>
        <w:tc>
          <w:tcPr>
            <w:tcW w:w="3200" w:type="dxa"/>
            <w:tcBorders/>
            <w:vAlign w:val="center"/>
          </w:tcPr>
          <w:p>
            <w:pPr>
              <w:jc w:val="left"/>
            </w:pPr>
            <w:r>
              <w:rPr>
                <w:rFonts w:ascii="宋体" w:eastAsia="宋体" w:hAnsi="宋体" w:cs="宋体"/>
                <w:b w:val="0"/>
                <w:i w:val="0"/>
                <w:color w:val="000000"/>
                <w:sz w:val="13"/>
              </w:rPr>
              <w:t xml:space="preserve">民主党派及工商联事务</w:t>
            </w:r>
          </w:p>
        </w:tc>
        <w:tc>
          <w:tcPr>
            <w:tcW w:w="960" w:type="dxa"/>
            <w:tcBorders/>
            <w:vAlign w:val="center"/>
          </w:tcPr>
          <w:p>
            <w:pPr>
              <w:jc w:val="right"/>
            </w:pPr>
            <w:r>
              <w:rPr>
                <w:rFonts w:ascii="宋体" w:eastAsia="宋体" w:hAnsi="宋体" w:cs="宋体"/>
                <w:b w:val="0"/>
                <w:i w:val="0"/>
                <w:color w:val="000000"/>
                <w:sz w:val="13"/>
              </w:rPr>
              <w:t xml:space="preserve">65.86</w:t>
            </w:r>
          </w:p>
        </w:tc>
        <w:tc>
          <w:tcPr>
            <w:tcW w:w="960" w:type="dxa"/>
            <w:tcBorders/>
            <w:vAlign w:val="center"/>
          </w:tcPr>
          <w:p>
            <w:pPr>
              <w:jc w:val="right"/>
            </w:pPr>
            <w:r>
              <w:rPr>
                <w:rFonts w:ascii="宋体" w:eastAsia="宋体" w:hAnsi="宋体" w:cs="宋体"/>
                <w:b w:val="0"/>
                <w:i w:val="0"/>
                <w:color w:val="000000"/>
                <w:sz w:val="13"/>
              </w:rPr>
              <w:t xml:space="preserve">65.86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2012801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62.35</w:t>
            </w:r>
          </w:p>
        </w:tc>
        <w:tc>
          <w:tcPr>
            <w:tcW w:w="960" w:type="dxa"/>
            <w:tcBorders/>
            <w:vAlign w:val="center"/>
          </w:tcPr>
          <w:p>
            <w:pPr>
              <w:jc w:val="right"/>
            </w:pPr>
            <w:r>
              <w:rPr>
                <w:rFonts w:ascii="宋体" w:eastAsia="宋体" w:hAnsi="宋体" w:cs="宋体"/>
                <w:b w:val="0"/>
                <w:i w:val="0"/>
                <w:color w:val="000000"/>
                <w:sz w:val="13"/>
              </w:rPr>
              <w:t xml:space="preserve">62.35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2012802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3.51</w:t>
            </w:r>
          </w:p>
        </w:tc>
        <w:tc>
          <w:tcPr>
            <w:tcW w:w="960" w:type="dxa"/>
            <w:tcBorders/>
            <w:vAlign w:val="center"/>
          </w:tcPr>
          <w:p>
            <w:pPr>
              <w:jc w:val="right"/>
            </w:pPr>
            <w:r>
              <w:rPr>
                <w:rFonts w:ascii="宋体" w:eastAsia="宋体" w:hAnsi="宋体" w:cs="宋体"/>
                <w:b w:val="0"/>
                <w:i w:val="0"/>
                <w:color w:val="000000"/>
                <w:sz w:val="13"/>
              </w:rPr>
              <w:t xml:space="preserve">3.51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0.44</w:t>
            </w:r>
          </w:p>
        </w:tc>
        <w:tc>
          <w:tcPr>
            <w:tcW w:w="960" w:type="dxa"/>
            <w:tcBorders/>
            <w:vAlign w:val="center"/>
          </w:tcPr>
          <w:p>
            <w:pPr>
              <w:jc w:val="right"/>
            </w:pPr>
            <w:r>
              <w:rPr>
                <w:rFonts w:ascii="宋体" w:eastAsia="宋体" w:hAnsi="宋体" w:cs="宋体"/>
                <w:b w:val="0"/>
                <w:i w:val="0"/>
                <w:color w:val="000000"/>
                <w:sz w:val="13"/>
              </w:rPr>
              <w:t xml:space="preserve">0.44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0.44</w:t>
            </w:r>
          </w:p>
        </w:tc>
        <w:tc>
          <w:tcPr>
            <w:tcW w:w="960" w:type="dxa"/>
            <w:tcBorders/>
            <w:vAlign w:val="center"/>
          </w:tcPr>
          <w:p>
            <w:pPr>
              <w:jc w:val="right"/>
            </w:pPr>
            <w:r>
              <w:rPr>
                <w:rFonts w:ascii="宋体" w:eastAsia="宋体" w:hAnsi="宋体" w:cs="宋体"/>
                <w:b w:val="0"/>
                <w:i w:val="0"/>
                <w:color w:val="000000"/>
                <w:sz w:val="13"/>
              </w:rPr>
              <w:t xml:space="preserve">0.44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0.44</w:t>
            </w:r>
          </w:p>
        </w:tc>
        <w:tc>
          <w:tcPr>
            <w:tcW w:w="960" w:type="dxa"/>
            <w:tcBorders/>
            <w:vAlign w:val="center"/>
          </w:tcPr>
          <w:p>
            <w:pPr>
              <w:jc w:val="right"/>
            </w:pPr>
            <w:r>
              <w:rPr>
                <w:rFonts w:ascii="宋体" w:eastAsia="宋体" w:hAnsi="宋体" w:cs="宋体"/>
                <w:b w:val="0"/>
                <w:i w:val="0"/>
                <w:color w:val="000000"/>
                <w:sz w:val="13"/>
              </w:rPr>
              <w:t xml:space="preserve">0.44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19.21</w:t>
            </w:r>
          </w:p>
        </w:tc>
        <w:tc>
          <w:tcPr>
            <w:tcW w:w="960" w:type="dxa"/>
            <w:tcBorders/>
            <w:vAlign w:val="center"/>
          </w:tcPr>
          <w:p>
            <w:pPr>
              <w:jc w:val="right"/>
            </w:pPr>
            <w:r>
              <w:rPr>
                <w:rFonts w:ascii="宋体" w:eastAsia="宋体" w:hAnsi="宋体" w:cs="宋体"/>
                <w:b w:val="0"/>
                <w:i w:val="0"/>
                <w:color w:val="000000"/>
                <w:sz w:val="13"/>
              </w:rPr>
              <w:t xml:space="preserve">19.21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19.21</w:t>
            </w:r>
          </w:p>
        </w:tc>
        <w:tc>
          <w:tcPr>
            <w:tcW w:w="960" w:type="dxa"/>
            <w:tcBorders/>
            <w:vAlign w:val="center"/>
          </w:tcPr>
          <w:p>
            <w:pPr>
              <w:jc w:val="right"/>
            </w:pPr>
            <w:r>
              <w:rPr>
                <w:rFonts w:ascii="宋体" w:eastAsia="宋体" w:hAnsi="宋体" w:cs="宋体"/>
                <w:b w:val="0"/>
                <w:i w:val="0"/>
                <w:color w:val="000000"/>
                <w:sz w:val="13"/>
              </w:rPr>
              <w:t xml:space="preserve">19.21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1.57</w:t>
            </w:r>
          </w:p>
        </w:tc>
        <w:tc>
          <w:tcPr>
            <w:tcW w:w="960" w:type="dxa"/>
            <w:tcBorders/>
            <w:vAlign w:val="center"/>
          </w:tcPr>
          <w:p>
            <w:pPr>
              <w:jc w:val="right"/>
            </w:pPr>
            <w:r>
              <w:rPr>
                <w:rFonts w:ascii="宋体" w:eastAsia="宋体" w:hAnsi="宋体" w:cs="宋体"/>
                <w:b w:val="0"/>
                <w:i w:val="0"/>
                <w:color w:val="000000"/>
                <w:sz w:val="13"/>
              </w:rPr>
              <w:t xml:space="preserve">1.57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7.23</w:t>
            </w:r>
          </w:p>
        </w:tc>
        <w:tc>
          <w:tcPr>
            <w:tcW w:w="960" w:type="dxa"/>
            <w:tcBorders/>
            <w:vAlign w:val="center"/>
          </w:tcPr>
          <w:p>
            <w:pPr>
              <w:jc w:val="right"/>
            </w:pPr>
            <w:r>
              <w:rPr>
                <w:rFonts w:ascii="宋体" w:eastAsia="宋体" w:hAnsi="宋体" w:cs="宋体"/>
                <w:b w:val="0"/>
                <w:i w:val="0"/>
                <w:color w:val="000000"/>
                <w:sz w:val="13"/>
              </w:rPr>
              <w:t xml:space="preserve">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10.41</w:t>
            </w:r>
          </w:p>
        </w:tc>
        <w:tc>
          <w:tcPr>
            <w:tcW w:w="960" w:type="dxa"/>
            <w:tcBorders/>
            <w:vAlign w:val="center"/>
          </w:tcPr>
          <w:p>
            <w:pPr>
              <w:jc w:val="right"/>
            </w:pPr>
            <w:r>
              <w:rPr>
                <w:rFonts w:ascii="宋体" w:eastAsia="宋体" w:hAnsi="宋体" w:cs="宋体"/>
                <w:b w:val="0"/>
                <w:i w:val="0"/>
                <w:color w:val="000000"/>
                <w:sz w:val="13"/>
              </w:rPr>
              <w:t xml:space="preserve">10.41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2.88</w:t>
            </w:r>
          </w:p>
        </w:tc>
        <w:tc>
          <w:tcPr>
            <w:tcW w:w="960" w:type="dxa"/>
            <w:tcBorders/>
            <w:vAlign w:val="center"/>
          </w:tcPr>
          <w:p>
            <w:pPr>
              <w:jc w:val="right"/>
            </w:pPr>
            <w:r>
              <w:rPr>
                <w:rFonts w:ascii="宋体" w:eastAsia="宋体" w:hAnsi="宋体" w:cs="宋体"/>
                <w:b w:val="0"/>
                <w:i w:val="0"/>
                <w:color w:val="000000"/>
                <w:sz w:val="13"/>
              </w:rPr>
              <w:t xml:space="preserve">2.88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2.88</w:t>
            </w:r>
          </w:p>
        </w:tc>
        <w:tc>
          <w:tcPr>
            <w:tcW w:w="960" w:type="dxa"/>
            <w:tcBorders/>
            <w:vAlign w:val="center"/>
          </w:tcPr>
          <w:p>
            <w:pPr>
              <w:jc w:val="right"/>
            </w:pPr>
            <w:r>
              <w:rPr>
                <w:rFonts w:ascii="宋体" w:eastAsia="宋体" w:hAnsi="宋体" w:cs="宋体"/>
                <w:b w:val="0"/>
                <w:i w:val="0"/>
                <w:color w:val="000000"/>
                <w:sz w:val="13"/>
              </w:rPr>
              <w:t xml:space="preserve">2.88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2.88</w:t>
            </w:r>
          </w:p>
        </w:tc>
        <w:tc>
          <w:tcPr>
            <w:tcW w:w="960" w:type="dxa"/>
            <w:tcBorders/>
            <w:vAlign w:val="center"/>
          </w:tcPr>
          <w:p>
            <w:pPr>
              <w:jc w:val="right"/>
            </w:pPr>
            <w:r>
              <w:rPr>
                <w:rFonts w:ascii="宋体" w:eastAsia="宋体" w:hAnsi="宋体" w:cs="宋体"/>
                <w:b w:val="0"/>
                <w:i w:val="0"/>
                <w:color w:val="000000"/>
                <w:sz w:val="13"/>
              </w:rPr>
              <w:t xml:space="preserve">2.88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7.98</w:t>
            </w:r>
          </w:p>
        </w:tc>
        <w:tc>
          <w:tcPr>
            <w:tcW w:w="960" w:type="dxa"/>
            <w:tcBorders/>
            <w:vAlign w:val="center"/>
          </w:tcPr>
          <w:p>
            <w:pPr>
              <w:jc w:val="right"/>
            </w:pPr>
            <w:r>
              <w:rPr>
                <w:rFonts w:ascii="宋体" w:eastAsia="宋体" w:hAnsi="宋体" w:cs="宋体"/>
                <w:b w:val="0"/>
                <w:i w:val="0"/>
                <w:color w:val="000000"/>
                <w:sz w:val="13"/>
              </w:rPr>
              <w:t xml:space="preserve">7.98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7.98</w:t>
            </w:r>
          </w:p>
        </w:tc>
        <w:tc>
          <w:tcPr>
            <w:tcW w:w="960" w:type="dxa"/>
            <w:tcBorders/>
            <w:vAlign w:val="center"/>
          </w:tcPr>
          <w:p>
            <w:pPr>
              <w:jc w:val="right"/>
            </w:pPr>
            <w:r>
              <w:rPr>
                <w:rFonts w:ascii="宋体" w:eastAsia="宋体" w:hAnsi="宋体" w:cs="宋体"/>
                <w:b w:val="0"/>
                <w:i w:val="0"/>
                <w:color w:val="000000"/>
                <w:sz w:val="13"/>
              </w:rPr>
              <w:t xml:space="preserve">7.98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7.98</w:t>
            </w:r>
          </w:p>
        </w:tc>
        <w:tc>
          <w:tcPr>
            <w:tcW w:w="960" w:type="dxa"/>
            <w:tcBorders/>
            <w:vAlign w:val="center"/>
          </w:tcPr>
          <w:p>
            <w:pPr>
              <w:jc w:val="right"/>
            </w:pPr>
            <w:r>
              <w:rPr>
                <w:rFonts w:ascii="宋体" w:eastAsia="宋体" w:hAnsi="宋体" w:cs="宋体"/>
                <w:b w:val="0"/>
                <w:i w:val="0"/>
                <w:color w:val="000000"/>
                <w:sz w:val="13"/>
              </w:rPr>
              <w:t xml:space="preserve">7.98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部门：辽宁省沈阳市浑南区工商业联合会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96.37</w:t>
            </w:r>
          </w:p>
        </w:tc>
        <w:tc>
          <w:tcPr>
            <w:tcW w:w="1060" w:type="dxa"/>
            <w:tcBorders/>
            <w:vAlign w:val="center"/>
          </w:tcPr>
          <w:p>
            <w:pPr>
              <w:jc w:val="right"/>
            </w:pPr>
            <w:r>
              <w:rPr>
                <w:rFonts w:ascii="宋体" w:eastAsia="宋体" w:hAnsi="宋体" w:cs="宋体"/>
                <w:b/>
                <w:i w:val="0"/>
                <w:color w:val="000000"/>
                <w:sz w:val="14"/>
              </w:rPr>
              <w:t xml:space="preserve">92.42</w:t>
            </w:r>
          </w:p>
        </w:tc>
        <w:tc>
          <w:tcPr>
            <w:tcW w:w="1060" w:type="dxa"/>
            <w:tcBorders/>
            <w:vAlign w:val="center"/>
          </w:tcPr>
          <w:p>
            <w:pPr>
              <w:jc w:val="right"/>
            </w:pPr>
            <w:r>
              <w:rPr>
                <w:rFonts w:ascii="宋体" w:eastAsia="宋体" w:hAnsi="宋体" w:cs="宋体"/>
                <w:b/>
                <w:i w:val="0"/>
                <w:color w:val="000000"/>
                <w:sz w:val="14"/>
              </w:rPr>
              <w:t xml:space="preserve">3.95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65.86</w:t>
            </w:r>
          </w:p>
        </w:tc>
        <w:tc>
          <w:tcPr>
            <w:tcW w:w="1060" w:type="dxa"/>
            <w:tcBorders/>
            <w:vAlign w:val="center"/>
          </w:tcPr>
          <w:p>
            <w:pPr>
              <w:jc w:val="right"/>
            </w:pPr>
            <w:r>
              <w:rPr>
                <w:rFonts w:ascii="宋体" w:eastAsia="宋体" w:hAnsi="宋体" w:cs="宋体"/>
                <w:b w:val="0"/>
                <w:i w:val="0"/>
                <w:color w:val="000000"/>
                <w:sz w:val="14"/>
              </w:rPr>
              <w:t xml:space="preserve">62.35</w:t>
            </w:r>
          </w:p>
        </w:tc>
        <w:tc>
          <w:tcPr>
            <w:tcW w:w="1060" w:type="dxa"/>
            <w:tcBorders/>
            <w:vAlign w:val="center"/>
          </w:tcPr>
          <w:p>
            <w:pPr>
              <w:jc w:val="right"/>
            </w:pPr>
            <w:r>
              <w:rPr>
                <w:rFonts w:ascii="宋体" w:eastAsia="宋体" w:hAnsi="宋体" w:cs="宋体"/>
                <w:b w:val="0"/>
                <w:i w:val="0"/>
                <w:color w:val="000000"/>
                <w:sz w:val="14"/>
              </w:rPr>
              <w:t xml:space="preserve">3.51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20128</w:t>
            </w:r>
          </w:p>
        </w:tc>
        <w:tc>
          <w:tcPr>
            <w:tcW w:w="3440" w:type="dxa"/>
            <w:tcBorders/>
            <w:vAlign w:val="center"/>
          </w:tcPr>
          <w:p>
            <w:pPr>
              <w:jc w:val="left"/>
            </w:pPr>
            <w:r>
              <w:rPr>
                <w:rFonts w:ascii="宋体" w:eastAsia="宋体" w:hAnsi="宋体" w:cs="宋体"/>
                <w:b w:val="0"/>
                <w:i w:val="0"/>
                <w:color w:val="000000"/>
                <w:sz w:val="14"/>
              </w:rPr>
              <w:t xml:space="preserve">民主党派及工商联事务</w:t>
            </w:r>
          </w:p>
        </w:tc>
        <w:tc>
          <w:tcPr>
            <w:tcW w:w="1060" w:type="dxa"/>
            <w:tcBorders/>
            <w:vAlign w:val="center"/>
          </w:tcPr>
          <w:p>
            <w:pPr>
              <w:jc w:val="right"/>
            </w:pPr>
            <w:r>
              <w:rPr>
                <w:rFonts w:ascii="宋体" w:eastAsia="宋体" w:hAnsi="宋体" w:cs="宋体"/>
                <w:b w:val="0"/>
                <w:i w:val="0"/>
                <w:color w:val="000000"/>
                <w:sz w:val="14"/>
              </w:rPr>
              <w:t xml:space="preserve">65.86</w:t>
            </w:r>
          </w:p>
        </w:tc>
        <w:tc>
          <w:tcPr>
            <w:tcW w:w="1060" w:type="dxa"/>
            <w:tcBorders/>
            <w:vAlign w:val="center"/>
          </w:tcPr>
          <w:p>
            <w:pPr>
              <w:jc w:val="right"/>
            </w:pPr>
            <w:r>
              <w:rPr>
                <w:rFonts w:ascii="宋体" w:eastAsia="宋体" w:hAnsi="宋体" w:cs="宋体"/>
                <w:b w:val="0"/>
                <w:i w:val="0"/>
                <w:color w:val="000000"/>
                <w:sz w:val="14"/>
              </w:rPr>
              <w:t xml:space="preserve">62.35</w:t>
            </w:r>
          </w:p>
        </w:tc>
        <w:tc>
          <w:tcPr>
            <w:tcW w:w="1060" w:type="dxa"/>
            <w:tcBorders/>
            <w:vAlign w:val="center"/>
          </w:tcPr>
          <w:p>
            <w:pPr>
              <w:jc w:val="right"/>
            </w:pPr>
            <w:r>
              <w:rPr>
                <w:rFonts w:ascii="宋体" w:eastAsia="宋体" w:hAnsi="宋体" w:cs="宋体"/>
                <w:b w:val="0"/>
                <w:i w:val="0"/>
                <w:color w:val="000000"/>
                <w:sz w:val="14"/>
              </w:rPr>
              <w:t xml:space="preserve">3.51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2012801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62.35</w:t>
            </w:r>
          </w:p>
        </w:tc>
        <w:tc>
          <w:tcPr>
            <w:tcW w:w="1060" w:type="dxa"/>
            <w:tcBorders/>
            <w:vAlign w:val="center"/>
          </w:tcPr>
          <w:p>
            <w:pPr>
              <w:jc w:val="right"/>
            </w:pPr>
            <w:r>
              <w:rPr>
                <w:rFonts w:ascii="宋体" w:eastAsia="宋体" w:hAnsi="宋体" w:cs="宋体"/>
                <w:b w:val="0"/>
                <w:i w:val="0"/>
                <w:color w:val="000000"/>
                <w:sz w:val="14"/>
              </w:rPr>
              <w:t xml:space="preserve">62.35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2012802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3.51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0.44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0.44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0.44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19.21</w:t>
            </w:r>
          </w:p>
        </w:tc>
        <w:tc>
          <w:tcPr>
            <w:tcW w:w="1060" w:type="dxa"/>
            <w:tcBorders/>
            <w:vAlign w:val="center"/>
          </w:tcPr>
          <w:p>
            <w:pPr>
              <w:jc w:val="right"/>
            </w:pPr>
            <w:r>
              <w:rPr>
                <w:rFonts w:ascii="宋体" w:eastAsia="宋体" w:hAnsi="宋体" w:cs="宋体"/>
                <w:b w:val="0"/>
                <w:i w:val="0"/>
                <w:color w:val="000000"/>
                <w:sz w:val="14"/>
              </w:rPr>
              <w:t xml:space="preserve">19.21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19.21</w:t>
            </w:r>
          </w:p>
        </w:tc>
        <w:tc>
          <w:tcPr>
            <w:tcW w:w="1060" w:type="dxa"/>
            <w:tcBorders/>
            <w:vAlign w:val="center"/>
          </w:tcPr>
          <w:p>
            <w:pPr>
              <w:jc w:val="right"/>
            </w:pPr>
            <w:r>
              <w:rPr>
                <w:rFonts w:ascii="宋体" w:eastAsia="宋体" w:hAnsi="宋体" w:cs="宋体"/>
                <w:b w:val="0"/>
                <w:i w:val="0"/>
                <w:color w:val="000000"/>
                <w:sz w:val="14"/>
              </w:rPr>
              <w:t xml:space="preserve">19.21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1.57</w:t>
            </w:r>
          </w:p>
        </w:tc>
        <w:tc>
          <w:tcPr>
            <w:tcW w:w="1060" w:type="dxa"/>
            <w:tcBorders/>
            <w:vAlign w:val="center"/>
          </w:tcPr>
          <w:p>
            <w:pPr>
              <w:jc w:val="right"/>
            </w:pPr>
            <w:r>
              <w:rPr>
                <w:rFonts w:ascii="宋体" w:eastAsia="宋体" w:hAnsi="宋体" w:cs="宋体"/>
                <w:b w:val="0"/>
                <w:i w:val="0"/>
                <w:color w:val="000000"/>
                <w:sz w:val="14"/>
              </w:rPr>
              <w:t xml:space="preserve">1.57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7.23</w:t>
            </w:r>
          </w:p>
        </w:tc>
        <w:tc>
          <w:tcPr>
            <w:tcW w:w="1060" w:type="dxa"/>
            <w:tcBorders/>
            <w:vAlign w:val="center"/>
          </w:tcPr>
          <w:p>
            <w:pPr>
              <w:jc w:val="right"/>
            </w:pPr>
            <w:r>
              <w:rPr>
                <w:rFonts w:ascii="宋体" w:eastAsia="宋体" w:hAnsi="宋体" w:cs="宋体"/>
                <w:b w:val="0"/>
                <w:i w:val="0"/>
                <w:color w:val="000000"/>
                <w:sz w:val="14"/>
              </w:rPr>
              <w:t xml:space="preserve">7.23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10.41</w:t>
            </w:r>
          </w:p>
        </w:tc>
        <w:tc>
          <w:tcPr>
            <w:tcW w:w="1060" w:type="dxa"/>
            <w:tcBorders/>
            <w:vAlign w:val="center"/>
          </w:tcPr>
          <w:p>
            <w:pPr>
              <w:jc w:val="right"/>
            </w:pPr>
            <w:r>
              <w:rPr>
                <w:rFonts w:ascii="宋体" w:eastAsia="宋体" w:hAnsi="宋体" w:cs="宋体"/>
                <w:b w:val="0"/>
                <w:i w:val="0"/>
                <w:color w:val="000000"/>
                <w:sz w:val="14"/>
              </w:rPr>
              <w:t xml:space="preserve">10.41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2.88</w:t>
            </w:r>
          </w:p>
        </w:tc>
        <w:tc>
          <w:tcPr>
            <w:tcW w:w="1060" w:type="dxa"/>
            <w:tcBorders/>
            <w:vAlign w:val="center"/>
          </w:tcPr>
          <w:p>
            <w:pPr>
              <w:jc w:val="right"/>
            </w:pPr>
            <w:r>
              <w:rPr>
                <w:rFonts w:ascii="宋体" w:eastAsia="宋体" w:hAnsi="宋体" w:cs="宋体"/>
                <w:b w:val="0"/>
                <w:i w:val="0"/>
                <w:color w:val="000000"/>
                <w:sz w:val="14"/>
              </w:rPr>
              <w:t xml:space="preserve">2.88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2.88</w:t>
            </w:r>
          </w:p>
        </w:tc>
        <w:tc>
          <w:tcPr>
            <w:tcW w:w="1060" w:type="dxa"/>
            <w:tcBorders/>
            <w:vAlign w:val="center"/>
          </w:tcPr>
          <w:p>
            <w:pPr>
              <w:jc w:val="right"/>
            </w:pPr>
            <w:r>
              <w:rPr>
                <w:rFonts w:ascii="宋体" w:eastAsia="宋体" w:hAnsi="宋体" w:cs="宋体"/>
                <w:b w:val="0"/>
                <w:i w:val="0"/>
                <w:color w:val="000000"/>
                <w:sz w:val="14"/>
              </w:rPr>
              <w:t xml:space="preserve">2.88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2.88</w:t>
            </w:r>
          </w:p>
        </w:tc>
        <w:tc>
          <w:tcPr>
            <w:tcW w:w="1060" w:type="dxa"/>
            <w:tcBorders/>
            <w:vAlign w:val="center"/>
          </w:tcPr>
          <w:p>
            <w:pPr>
              <w:jc w:val="right"/>
            </w:pPr>
            <w:r>
              <w:rPr>
                <w:rFonts w:ascii="宋体" w:eastAsia="宋体" w:hAnsi="宋体" w:cs="宋体"/>
                <w:b w:val="0"/>
                <w:i w:val="0"/>
                <w:color w:val="000000"/>
                <w:sz w:val="14"/>
              </w:rPr>
              <w:t xml:space="preserve">2.88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7.98</w:t>
            </w:r>
          </w:p>
        </w:tc>
        <w:tc>
          <w:tcPr>
            <w:tcW w:w="1060" w:type="dxa"/>
            <w:tcBorders/>
            <w:vAlign w:val="center"/>
          </w:tcPr>
          <w:p>
            <w:pPr>
              <w:jc w:val="right"/>
            </w:pPr>
            <w:r>
              <w:rPr>
                <w:rFonts w:ascii="宋体" w:eastAsia="宋体" w:hAnsi="宋体" w:cs="宋体"/>
                <w:b w:val="0"/>
                <w:i w:val="0"/>
                <w:color w:val="000000"/>
                <w:sz w:val="14"/>
              </w:rPr>
              <w:t xml:space="preserve">7.98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7.98</w:t>
            </w:r>
          </w:p>
        </w:tc>
        <w:tc>
          <w:tcPr>
            <w:tcW w:w="1060" w:type="dxa"/>
            <w:tcBorders/>
            <w:vAlign w:val="center"/>
          </w:tcPr>
          <w:p>
            <w:pPr>
              <w:jc w:val="right"/>
            </w:pPr>
            <w:r>
              <w:rPr>
                <w:rFonts w:ascii="宋体" w:eastAsia="宋体" w:hAnsi="宋体" w:cs="宋体"/>
                <w:b w:val="0"/>
                <w:i w:val="0"/>
                <w:color w:val="000000"/>
                <w:sz w:val="14"/>
              </w:rPr>
              <w:t xml:space="preserve">7.98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7.98</w:t>
            </w:r>
          </w:p>
        </w:tc>
        <w:tc>
          <w:tcPr>
            <w:tcW w:w="1060" w:type="dxa"/>
            <w:tcBorders/>
            <w:vAlign w:val="center"/>
          </w:tcPr>
          <w:p>
            <w:pPr>
              <w:jc w:val="right"/>
            </w:pPr>
            <w:r>
              <w:rPr>
                <w:rFonts w:ascii="宋体" w:eastAsia="宋体" w:hAnsi="宋体" w:cs="宋体"/>
                <w:b w:val="0"/>
                <w:i w:val="0"/>
                <w:color w:val="000000"/>
                <w:sz w:val="14"/>
              </w:rPr>
              <w:t xml:space="preserve">7.98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部门：辽宁省沈阳市浑南区工商业联合会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96.37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65.86</w:t>
            </w:r>
          </w:p>
        </w:tc>
        <w:tc>
          <w:tcPr>
            <w:tcW w:w="1100" w:type="dxa"/>
            <w:tcBorders/>
            <w:vAlign w:val="center"/>
          </w:tcPr>
          <w:p>
            <w:pPr>
              <w:jc w:val="right"/>
            </w:pPr>
            <w:r>
              <w:rPr>
                <w:rFonts w:ascii="宋体" w:eastAsia="宋体" w:hAnsi="宋体" w:cs="宋体"/>
                <w:b w:val="0"/>
                <w:i w:val="0"/>
                <w:color w:val="000000"/>
                <w:sz w:val="14"/>
              </w:rPr>
              <w:t xml:space="preserve">65.86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0.44</w:t>
            </w:r>
          </w:p>
        </w:tc>
        <w:tc>
          <w:tcPr>
            <w:tcW w:w="1100" w:type="dxa"/>
            <w:tcBorders/>
            <w:vAlign w:val="center"/>
          </w:tcPr>
          <w:p>
            <w:pPr>
              <w:jc w:val="right"/>
            </w:pPr>
            <w:r>
              <w:rPr>
                <w:rFonts w:ascii="宋体" w:eastAsia="宋体" w:hAnsi="宋体" w:cs="宋体"/>
                <w:b w:val="0"/>
                <w:i w:val="0"/>
                <w:color w:val="000000"/>
                <w:sz w:val="14"/>
              </w:rPr>
              <w:t xml:space="preserve">0.44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19.21</w:t>
            </w:r>
          </w:p>
        </w:tc>
        <w:tc>
          <w:tcPr>
            <w:tcW w:w="1100" w:type="dxa"/>
            <w:tcBorders/>
            <w:vAlign w:val="center"/>
          </w:tcPr>
          <w:p>
            <w:pPr>
              <w:jc w:val="right"/>
            </w:pPr>
            <w:r>
              <w:rPr>
                <w:rFonts w:ascii="宋体" w:eastAsia="宋体" w:hAnsi="宋体" w:cs="宋体"/>
                <w:b w:val="0"/>
                <w:i w:val="0"/>
                <w:color w:val="000000"/>
                <w:sz w:val="14"/>
              </w:rPr>
              <w:t xml:space="preserve">19.21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2.88</w:t>
            </w:r>
          </w:p>
        </w:tc>
        <w:tc>
          <w:tcPr>
            <w:tcW w:w="1100" w:type="dxa"/>
            <w:tcBorders/>
            <w:vAlign w:val="center"/>
          </w:tcPr>
          <w:p>
            <w:pPr>
              <w:jc w:val="right"/>
            </w:pPr>
            <w:r>
              <w:rPr>
                <w:rFonts w:ascii="宋体" w:eastAsia="宋体" w:hAnsi="宋体" w:cs="宋体"/>
                <w:b w:val="0"/>
                <w:i w:val="0"/>
                <w:color w:val="000000"/>
                <w:sz w:val="14"/>
              </w:rPr>
              <w:t xml:space="preserve">2.88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7.98</w:t>
            </w:r>
          </w:p>
        </w:tc>
        <w:tc>
          <w:tcPr>
            <w:tcW w:w="1100" w:type="dxa"/>
            <w:tcBorders/>
            <w:vAlign w:val="center"/>
          </w:tcPr>
          <w:p>
            <w:pPr>
              <w:jc w:val="right"/>
            </w:pPr>
            <w:r>
              <w:rPr>
                <w:rFonts w:ascii="宋体" w:eastAsia="宋体" w:hAnsi="宋体" w:cs="宋体"/>
                <w:b w:val="0"/>
                <w:i w:val="0"/>
                <w:color w:val="000000"/>
                <w:sz w:val="14"/>
              </w:rPr>
              <w:t xml:space="preserve">7.98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96.37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96.37</w:t>
            </w:r>
          </w:p>
        </w:tc>
        <w:tc>
          <w:tcPr>
            <w:tcW w:w="1100" w:type="dxa"/>
            <w:tcBorders/>
            <w:vAlign w:val="center"/>
          </w:tcPr>
          <w:p>
            <w:pPr>
              <w:jc w:val="right"/>
            </w:pPr>
            <w:r>
              <w:rPr>
                <w:rFonts w:ascii="宋体" w:eastAsia="宋体" w:hAnsi="宋体" w:cs="宋体"/>
                <w:b w:val="0"/>
                <w:i w:val="0"/>
                <w:color w:val="000000"/>
                <w:sz w:val="14"/>
              </w:rPr>
              <w:t xml:space="preserve">96.37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96.37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96.37</w:t>
            </w:r>
          </w:p>
        </w:tc>
        <w:tc>
          <w:tcPr>
            <w:tcW w:w="1100" w:type="dxa"/>
            <w:tcBorders/>
            <w:vAlign w:val="center"/>
          </w:tcPr>
          <w:p>
            <w:pPr>
              <w:jc w:val="right"/>
            </w:pPr>
            <w:r>
              <w:rPr>
                <w:rFonts w:ascii="宋体" w:eastAsia="宋体" w:hAnsi="宋体" w:cs="宋体"/>
                <w:b w:val="0"/>
                <w:i w:val="0"/>
                <w:color w:val="000000"/>
                <w:sz w:val="14"/>
              </w:rPr>
              <w:t xml:space="preserve">96.37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部门：辽宁省沈阳市浑南区工商业联合会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96.37</w:t>
            </w:r>
          </w:p>
        </w:tc>
        <w:tc>
          <w:tcPr>
            <w:tcW w:w="1780" w:type="dxa"/>
            <w:tcBorders/>
            <w:vAlign w:val="center"/>
          </w:tcPr>
          <w:p>
            <w:pPr>
              <w:jc w:val="right"/>
            </w:pPr>
            <w:r>
              <w:rPr>
                <w:rFonts w:ascii="宋体" w:eastAsia="宋体" w:hAnsi="宋体" w:cs="宋体"/>
                <w:b/>
                <w:i w:val="0"/>
                <w:color w:val="000000"/>
                <w:sz w:val="18"/>
              </w:rPr>
              <w:t xml:space="preserve">92.42</w:t>
            </w:r>
          </w:p>
        </w:tc>
        <w:tc>
          <w:tcPr>
            <w:tcW w:w="1772" w:type="dxa"/>
            <w:tcBorders/>
            <w:vAlign w:val="center"/>
          </w:tcPr>
          <w:p>
            <w:pPr>
              <w:jc w:val="right"/>
            </w:pPr>
            <w:r>
              <w:rPr>
                <w:rFonts w:ascii="宋体" w:eastAsia="宋体" w:hAnsi="宋体" w:cs="宋体"/>
                <w:b/>
                <w:i w:val="0"/>
                <w:color w:val="000000"/>
                <w:sz w:val="18"/>
              </w:rPr>
              <w:t xml:space="preserve">3.95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65.86</w:t>
            </w:r>
          </w:p>
        </w:tc>
        <w:tc>
          <w:tcPr>
            <w:tcW w:w="1780" w:type="dxa"/>
            <w:tcBorders/>
            <w:vAlign w:val="center"/>
          </w:tcPr>
          <w:p>
            <w:pPr>
              <w:jc w:val="right"/>
            </w:pPr>
            <w:r>
              <w:rPr>
                <w:rFonts w:ascii="宋体" w:eastAsia="宋体" w:hAnsi="宋体" w:cs="宋体"/>
                <w:b w:val="0"/>
                <w:i w:val="0"/>
                <w:color w:val="000000"/>
                <w:sz w:val="18"/>
              </w:rPr>
              <w:t xml:space="preserve">62.35</w:t>
            </w:r>
          </w:p>
        </w:tc>
        <w:tc>
          <w:tcPr>
            <w:tcW w:w="1772" w:type="dxa"/>
            <w:tcBorders/>
            <w:vAlign w:val="center"/>
          </w:tcPr>
          <w:p>
            <w:pPr>
              <w:jc w:val="right"/>
            </w:pPr>
            <w:r>
              <w:rPr>
                <w:rFonts w:ascii="宋体" w:eastAsia="宋体" w:hAnsi="宋体" w:cs="宋体"/>
                <w:b w:val="0"/>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20128</w:t>
            </w:r>
          </w:p>
        </w:tc>
        <w:tc>
          <w:tcPr>
            <w:tcW w:w="4300" w:type="dxa"/>
            <w:tcBorders/>
            <w:vAlign w:val="center"/>
          </w:tcPr>
          <w:p>
            <w:pPr>
              <w:jc w:val="left"/>
            </w:pPr>
            <w:r>
              <w:rPr>
                <w:rFonts w:ascii="宋体" w:eastAsia="宋体" w:hAnsi="宋体" w:cs="宋体"/>
                <w:b w:val="0"/>
                <w:i w:val="0"/>
                <w:color w:val="000000"/>
                <w:sz w:val="18"/>
              </w:rPr>
              <w:t xml:space="preserve">民主党派及工商联事务</w:t>
            </w:r>
          </w:p>
        </w:tc>
        <w:tc>
          <w:tcPr>
            <w:tcW w:w="1780" w:type="dxa"/>
            <w:tcBorders/>
            <w:vAlign w:val="center"/>
          </w:tcPr>
          <w:p>
            <w:pPr>
              <w:jc w:val="right"/>
            </w:pPr>
            <w:r>
              <w:rPr>
                <w:rFonts w:ascii="宋体" w:eastAsia="宋体" w:hAnsi="宋体" w:cs="宋体"/>
                <w:b w:val="0"/>
                <w:i w:val="0"/>
                <w:color w:val="000000"/>
                <w:sz w:val="18"/>
              </w:rPr>
              <w:t xml:space="preserve">65.86</w:t>
            </w:r>
          </w:p>
        </w:tc>
        <w:tc>
          <w:tcPr>
            <w:tcW w:w="1780" w:type="dxa"/>
            <w:tcBorders/>
            <w:vAlign w:val="center"/>
          </w:tcPr>
          <w:p>
            <w:pPr>
              <w:jc w:val="right"/>
            </w:pPr>
            <w:r>
              <w:rPr>
                <w:rFonts w:ascii="宋体" w:eastAsia="宋体" w:hAnsi="宋体" w:cs="宋体"/>
                <w:b w:val="0"/>
                <w:i w:val="0"/>
                <w:color w:val="000000"/>
                <w:sz w:val="18"/>
              </w:rPr>
              <w:t xml:space="preserve">62.35</w:t>
            </w:r>
          </w:p>
        </w:tc>
        <w:tc>
          <w:tcPr>
            <w:tcW w:w="1772" w:type="dxa"/>
            <w:tcBorders/>
            <w:vAlign w:val="center"/>
          </w:tcPr>
          <w:p>
            <w:pPr>
              <w:jc w:val="right"/>
            </w:pPr>
            <w:r>
              <w:rPr>
                <w:rFonts w:ascii="宋体" w:eastAsia="宋体" w:hAnsi="宋体" w:cs="宋体"/>
                <w:b w:val="0"/>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2012801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62.35</w:t>
            </w:r>
          </w:p>
        </w:tc>
        <w:tc>
          <w:tcPr>
            <w:tcW w:w="1780" w:type="dxa"/>
            <w:tcBorders/>
            <w:vAlign w:val="center"/>
          </w:tcPr>
          <w:p>
            <w:pPr>
              <w:jc w:val="right"/>
            </w:pPr>
            <w:r>
              <w:rPr>
                <w:rFonts w:ascii="宋体" w:eastAsia="宋体" w:hAnsi="宋体" w:cs="宋体"/>
                <w:b w:val="0"/>
                <w:i w:val="0"/>
                <w:color w:val="000000"/>
                <w:sz w:val="18"/>
              </w:rPr>
              <w:t xml:space="preserve">62.35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2012802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3.51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0.44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0.44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0.44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0.44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0.44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0.44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19.21</w:t>
            </w:r>
          </w:p>
        </w:tc>
        <w:tc>
          <w:tcPr>
            <w:tcW w:w="1780" w:type="dxa"/>
            <w:tcBorders/>
            <w:vAlign w:val="center"/>
          </w:tcPr>
          <w:p>
            <w:pPr>
              <w:jc w:val="right"/>
            </w:pPr>
            <w:r>
              <w:rPr>
                <w:rFonts w:ascii="宋体" w:eastAsia="宋体" w:hAnsi="宋体" w:cs="宋体"/>
                <w:b w:val="0"/>
                <w:i w:val="0"/>
                <w:color w:val="000000"/>
                <w:sz w:val="18"/>
              </w:rPr>
              <w:t xml:space="preserve">19.21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19.21</w:t>
            </w:r>
          </w:p>
        </w:tc>
        <w:tc>
          <w:tcPr>
            <w:tcW w:w="1780" w:type="dxa"/>
            <w:tcBorders/>
            <w:vAlign w:val="center"/>
          </w:tcPr>
          <w:p>
            <w:pPr>
              <w:jc w:val="right"/>
            </w:pPr>
            <w:r>
              <w:rPr>
                <w:rFonts w:ascii="宋体" w:eastAsia="宋体" w:hAnsi="宋体" w:cs="宋体"/>
                <w:b w:val="0"/>
                <w:i w:val="0"/>
                <w:color w:val="000000"/>
                <w:sz w:val="18"/>
              </w:rPr>
              <w:t xml:space="preserve">19.21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1.57</w:t>
            </w:r>
          </w:p>
        </w:tc>
        <w:tc>
          <w:tcPr>
            <w:tcW w:w="1780" w:type="dxa"/>
            <w:tcBorders/>
            <w:vAlign w:val="center"/>
          </w:tcPr>
          <w:p>
            <w:pPr>
              <w:jc w:val="right"/>
            </w:pPr>
            <w:r>
              <w:rPr>
                <w:rFonts w:ascii="宋体" w:eastAsia="宋体" w:hAnsi="宋体" w:cs="宋体"/>
                <w:b w:val="0"/>
                <w:i w:val="0"/>
                <w:color w:val="000000"/>
                <w:sz w:val="18"/>
              </w:rPr>
              <w:t xml:space="preserve">1.57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7.23</w:t>
            </w:r>
          </w:p>
        </w:tc>
        <w:tc>
          <w:tcPr>
            <w:tcW w:w="1780" w:type="dxa"/>
            <w:tcBorders/>
            <w:vAlign w:val="center"/>
          </w:tcPr>
          <w:p>
            <w:pPr>
              <w:jc w:val="right"/>
            </w:pPr>
            <w:r>
              <w:rPr>
                <w:rFonts w:ascii="宋体" w:eastAsia="宋体" w:hAnsi="宋体" w:cs="宋体"/>
                <w:b w:val="0"/>
                <w:i w:val="0"/>
                <w:color w:val="000000"/>
                <w:sz w:val="18"/>
              </w:rPr>
              <w:t xml:space="preserve">7.23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10.41</w:t>
            </w:r>
          </w:p>
        </w:tc>
        <w:tc>
          <w:tcPr>
            <w:tcW w:w="1780" w:type="dxa"/>
            <w:tcBorders/>
            <w:vAlign w:val="center"/>
          </w:tcPr>
          <w:p>
            <w:pPr>
              <w:jc w:val="right"/>
            </w:pPr>
            <w:r>
              <w:rPr>
                <w:rFonts w:ascii="宋体" w:eastAsia="宋体" w:hAnsi="宋体" w:cs="宋体"/>
                <w:b w:val="0"/>
                <w:i w:val="0"/>
                <w:color w:val="000000"/>
                <w:sz w:val="18"/>
              </w:rPr>
              <w:t xml:space="preserve">10.41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2.88</w:t>
            </w:r>
          </w:p>
        </w:tc>
        <w:tc>
          <w:tcPr>
            <w:tcW w:w="1780" w:type="dxa"/>
            <w:tcBorders/>
            <w:vAlign w:val="center"/>
          </w:tcPr>
          <w:p>
            <w:pPr>
              <w:jc w:val="right"/>
            </w:pPr>
            <w:r>
              <w:rPr>
                <w:rFonts w:ascii="宋体" w:eastAsia="宋体" w:hAnsi="宋体" w:cs="宋体"/>
                <w:b w:val="0"/>
                <w:i w:val="0"/>
                <w:color w:val="000000"/>
                <w:sz w:val="18"/>
              </w:rPr>
              <w:t xml:space="preserve">2.88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2.88</w:t>
            </w:r>
          </w:p>
        </w:tc>
        <w:tc>
          <w:tcPr>
            <w:tcW w:w="1780" w:type="dxa"/>
            <w:tcBorders/>
            <w:vAlign w:val="center"/>
          </w:tcPr>
          <w:p>
            <w:pPr>
              <w:jc w:val="right"/>
            </w:pPr>
            <w:r>
              <w:rPr>
                <w:rFonts w:ascii="宋体" w:eastAsia="宋体" w:hAnsi="宋体" w:cs="宋体"/>
                <w:b w:val="0"/>
                <w:i w:val="0"/>
                <w:color w:val="000000"/>
                <w:sz w:val="18"/>
              </w:rPr>
              <w:t xml:space="preserve">2.88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2.88</w:t>
            </w:r>
          </w:p>
        </w:tc>
        <w:tc>
          <w:tcPr>
            <w:tcW w:w="1780" w:type="dxa"/>
            <w:tcBorders/>
            <w:vAlign w:val="center"/>
          </w:tcPr>
          <w:p>
            <w:pPr>
              <w:jc w:val="right"/>
            </w:pPr>
            <w:r>
              <w:rPr>
                <w:rFonts w:ascii="宋体" w:eastAsia="宋体" w:hAnsi="宋体" w:cs="宋体"/>
                <w:b w:val="0"/>
                <w:i w:val="0"/>
                <w:color w:val="000000"/>
                <w:sz w:val="18"/>
              </w:rPr>
              <w:t xml:space="preserve">2.88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7.98</w:t>
            </w:r>
          </w:p>
        </w:tc>
        <w:tc>
          <w:tcPr>
            <w:tcW w:w="1780" w:type="dxa"/>
            <w:tcBorders/>
            <w:vAlign w:val="center"/>
          </w:tcPr>
          <w:p>
            <w:pPr>
              <w:jc w:val="right"/>
            </w:pPr>
            <w:r>
              <w:rPr>
                <w:rFonts w:ascii="宋体" w:eastAsia="宋体" w:hAnsi="宋体" w:cs="宋体"/>
                <w:b w:val="0"/>
                <w:i w:val="0"/>
                <w:color w:val="000000"/>
                <w:sz w:val="18"/>
              </w:rPr>
              <w:t xml:space="preserve">7.98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7.98</w:t>
            </w:r>
          </w:p>
        </w:tc>
        <w:tc>
          <w:tcPr>
            <w:tcW w:w="1780" w:type="dxa"/>
            <w:tcBorders/>
            <w:vAlign w:val="center"/>
          </w:tcPr>
          <w:p>
            <w:pPr>
              <w:jc w:val="right"/>
            </w:pPr>
            <w:r>
              <w:rPr>
                <w:rFonts w:ascii="宋体" w:eastAsia="宋体" w:hAnsi="宋体" w:cs="宋体"/>
                <w:b w:val="0"/>
                <w:i w:val="0"/>
                <w:color w:val="000000"/>
                <w:sz w:val="18"/>
              </w:rPr>
              <w:t xml:space="preserve">7.98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7.98</w:t>
            </w:r>
          </w:p>
        </w:tc>
        <w:tc>
          <w:tcPr>
            <w:tcW w:w="1780" w:type="dxa"/>
            <w:tcBorders/>
            <w:vAlign w:val="center"/>
          </w:tcPr>
          <w:p>
            <w:pPr>
              <w:jc w:val="right"/>
            </w:pPr>
            <w:r>
              <w:rPr>
                <w:rFonts w:ascii="宋体" w:eastAsia="宋体" w:hAnsi="宋体" w:cs="宋体"/>
                <w:b w:val="0"/>
                <w:i w:val="0"/>
                <w:color w:val="000000"/>
                <w:sz w:val="18"/>
              </w:rPr>
              <w:t xml:space="preserve">7.98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部门：辽宁省沈阳市浑南区工商业联合会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82.69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8.16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19.59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1.02</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14.02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18.78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1.62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7.23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10.41</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2.73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2.88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0.18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7.98</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1.57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1.57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0.41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4.00</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84.26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8.16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部门：辽宁省沈阳市浑南区工商业联合会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部门：辽宁省沈阳市浑南区工商业联合会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部门：辽宁省沈阳市浑南区工商业联合会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残疾人就业保障金经费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96.87%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持续保障残疾人就业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培训有就业需求残疾人人数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培训内容与服务人员的实际工作需求适配率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困难残疾人人均补贴标准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贫困残疾人生活质量得到改善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残疾人幸福感提升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促进残疾人平等参与和融入社会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对外联络事务专项业务经费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确保单位业务工作正常开展。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按照预算标准，资金下达率低，但是不影响全年工作有序开展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参加培训数量的人数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32.108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经费保障:由于经济下行，整体经费保障能力下降，按照财政缩减办公经费等资金使用支出要求，缩减部分支出。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经费保障:刚性执行专款专用，设置资金使用明细，全员成本管控宣导，推动部门过紧日子意识，减少非必要开支。</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8.25217391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民主党派及工商联专项业务经费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保障工商联业务工作正常开展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未使用预算资金，但是活动正常有序开展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项目推介走访企业会员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经费保障:由于经济下行，整体经费保障能力下降，按照财政缩减办公经费等资金使用支出要求，缩减部分支出。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经费保障:刚性执行专款专用，设置资金使用明细，全员成本管控宣导，推动部门过紧日子意识，减少非必要开支。</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12.64772727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主题活动经费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确保单位业务工作正常开展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按照预算标准，资金下达率低，但是不影响全年工作有序开展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项目推介走访企业会员数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会员参加学术交流活动参与率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专项印刷及订阅资料费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沈阳市浑南区工商业联合会本级-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确保单位业务正常开展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该项目已开展，未支付对方资金，形成欠款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赠阅报纸数量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028001沈阳市浑南区工商业联合会本级-210112000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108.36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108.36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67.45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67.44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履行职责过程中坚持和加强党对财政工作和金融工作的集中统一领导。保障2024年度工商联工作正常运行，各项工作正常开展。</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按照各项工作要求，完成上级交办各项任务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由于经济下行，整体经费保障能力下降，按照财政缩减办公经费等资金使用支出要求，缩减部分支出。</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经费保障:刚性执行专款专用，设置资金使用明细，全员成本管控宣导，推动部门过紧日子意识，减少非必要开支。</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政府采购资金节约率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经贸活动与投资促进企业满意度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服务职工群众内部工作机制建立情况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良好</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99.04</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