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辽宁省沈阳市浑南区科学技术协会</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辽宁省沈阳市浑南区科学技术协会</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辽宁省沈阳市浑南区科学技术协会</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辽宁省沈阳市浑南区科学技术协会</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辽宁省沈阳市浑南区科学技术协会</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辽宁省沈阳市浑南区科学技术协会概况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科学技术协会是科技工作者的群众组织，是中国共产党领导下的人民团体，是党和政府联系科学技术工作者的桥梁和纽带，是推动科学技术事业发展的重要力量。开展学术交流，活跃学术思想，繁荣学术园地，促进学科发展和知识创新。</w:t>
        <w:br/>
        <w:t xml:space="preserve">    （二）动员社会各方面力量，开展科普活动和青少年科技教育活动，推广先进技术；指导科普设施、场所的规划、建设和管理，指导科普工作队伍的建设工作；评选、表彰科普工作先进单位和科普工作者。</w:t>
        <w:br/>
        <w:t xml:space="preserve">    （三）全心全意为科技工作者服务，反映科技工作者的意见和要求，维护科技工作者的合法权益；评选、表彰、宣传优秀科技工作者；开展科技工作者的继续教育和培训工作。</w:t>
        <w:br/>
        <w:t xml:space="preserve">    （四）开展民间国际科技交流与合作；促进与港、澳、台科技界的交往与联系；加强与海外科学技术团体、科学技术工作者的民间交往与联系。</w:t>
        <w:br/>
        <w:t xml:space="preserve">    （五）组织科技工作者参与科技政策、法规的制定和政治协商、科学决策、民主监督工作，促进决策科学化、民主化。</w:t>
        <w:br/>
        <w:t xml:space="preserve">    （六）组织科技工作者开展科学论证、咨询服务，提出政策建议，促进科技成果向生产力转化；接受委托承担项目评估、成果鉴定等任务。</w:t>
        <w:br/>
        <w:t xml:space="preserve">    （七）指导区反邪教协会工作，开展捍卫科学尊严和反对愚昧迷信、伪科学、反科学的活动。</w:t>
        <w:br/>
        <w:t xml:space="preserve">    （八）承办区委、区政府交办的其他事项。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辽宁省沈阳市浑南区科学技术协会</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纳入本单位2024年部门决算编制范围的是沈阳市浑南区科学技术协会本级，本单位无下设机构。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48.64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48.64</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48.64</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减少43.75万元，降低47.35%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人员减少1人，运行经费减少，科普工作专项经费减少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48.64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45.33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93.19</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工资福利支出39.38万元；商品和服务支出4.36万元；对个人和家庭的补助1.59万元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3.31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6.81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主要包括科普工作专项业务，雇员经费和残疾人就业保障金等业务支出。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减少43.75万元，降低47.35%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人员减少1人，运行经费减少，科普工作专项经费减少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无年末结转结余资金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48.64</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45.33</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3.31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减少42.75万元，降低46.78%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人员减少1人，运行经费减少，科普工作专项经费减少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68.44</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86.45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17.77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2024年度一般公共预算财政拨款支出48.64万元。按支出功能分类科目分，包括：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1.科学技术支出36.24万元，具体包括：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科学技术支出（类）科学技术管理事务（款）行政运行（项）32.93万元,主要是人员基本支出等支出，完成年初预算的100%，决算数与年初预算数存在差异的主要原因是完全按照预算执行，决算数与预算数几乎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科学技术支出（类）科学技术管理事务（款）一般行政管理事务（项）1.96万元,主要是雇员经费和残疾人就业保障金等支出，完成年初预算的100%，决算数与年初预算数存在差异的主要原因是完全按照预算执行，决算数与预算数几乎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科学技术支出（类）科学技术普及（款）科普活动（项）1.35万元,主要是科普工作专项业务等支出，完成年初预算的100%，决算数与年初预算数存在差异的主要原因是完全按照预算执行，决算数与预算数几乎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2.社会保障和就业支出5.93万元，具体包括：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1.59万元,主要是退休人员采暖补贴等支出，完成年初预算的100%，决算数与年初预算数存在差异的主要原因是按照实际发生额支付，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4.34万元,主要是退休人员养老保险等支出，完成年初预算的100%，决算数与年初预算数存在差异的主要原因是按照实际发生额支付，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3.卫生健康支出1.68万元，具体包括：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（1）卫生健康支出（类）行政事业单位医疗（款）行政单位医疗（项）1.68万元,主要是基本医疗保险等支出，完成年初预算的100%，决算数与年初预算数存在差异的主要原因是按照实际发生额支付，无差异。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4.住房保障支出4.80万元，具体包括：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（1）住房保障支出（类）住房改革支出（款）住房公积金（项）4.80万元,主要是住房公积金等支出，完成年初预算的100%，决算数与年初预算数存在差异的主要原因是按照实际发生额支付，无差异。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无此业务发生</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45.33</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40.97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4.36</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4.36</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比上年减少0.39万元，降低8.21%</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人员减少1人，机关运行经费减少</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48.64万元。其中，一般公共预算资金48.64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1个；得分在60分以下、等级为“差”的项目有1个。各项目自评发现，部分项目存在由于经费紧张不足，预算执行进度偏慢、个别效益指标未能完全达成，相关项目已按要求分析原因并制定改进措施。</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科学技术（类）其他科学技术支出（款）其他科学技术支出（项）：反映其他用于科技方面的支出。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部门：辽宁省沈阳市浑南区科学技术协会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48.64</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jc w:val="right"/>
            </w:pPr>
            <w:r>
              <w:rPr>
                <w:rFonts w:ascii="宋体" w:eastAsia="宋体" w:hAnsi="宋体" w:cs="宋体"/>
                <w:b w:val="0"/>
                <w:i w:val="0"/>
                <w:color w:val="000000"/>
                <w:sz w:val="16"/>
              </w:rPr>
              <w:t xml:space="preserve">36.24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5.92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1.68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4.80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48.64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48.64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48.64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48.64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部门：辽宁省沈阳市浑南区科学技术协会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48.64</w:t>
            </w:r>
          </w:p>
        </w:tc>
        <w:tc>
          <w:tcPr>
            <w:tcW w:w="960" w:type="dxa"/>
            <w:tcBorders/>
            <w:vAlign w:val="center"/>
          </w:tcPr>
          <w:p>
            <w:pPr>
              <w:jc w:val="right"/>
            </w:pPr>
            <w:r>
              <w:rPr>
                <w:rFonts w:ascii="宋体" w:eastAsia="宋体" w:hAnsi="宋体" w:cs="宋体"/>
                <w:b/>
                <w:i w:val="0"/>
                <w:color w:val="000000"/>
                <w:sz w:val="13"/>
              </w:rPr>
              <w:t xml:space="preserve">48.64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w:t>
            </w:r>
          </w:p>
        </w:tc>
        <w:tc>
          <w:tcPr>
            <w:tcW w:w="3200" w:type="dxa"/>
            <w:tcBorders/>
            <w:vAlign w:val="center"/>
          </w:tcPr>
          <w:p>
            <w:pPr>
              <w:jc w:val="left"/>
            </w:pPr>
            <w:r>
              <w:rPr>
                <w:rFonts w:ascii="宋体" w:eastAsia="宋体" w:hAnsi="宋体" w:cs="宋体"/>
                <w:b w:val="0"/>
                <w:i w:val="0"/>
                <w:color w:val="000000"/>
                <w:sz w:val="13"/>
              </w:rPr>
              <w:t xml:space="preserve">科学技术支出</w:t>
            </w:r>
          </w:p>
        </w:tc>
        <w:tc>
          <w:tcPr>
            <w:tcW w:w="960" w:type="dxa"/>
            <w:tcBorders/>
            <w:vAlign w:val="center"/>
          </w:tcPr>
          <w:p>
            <w:pPr>
              <w:jc w:val="right"/>
            </w:pPr>
            <w:r>
              <w:rPr>
                <w:rFonts w:ascii="宋体" w:eastAsia="宋体" w:hAnsi="宋体" w:cs="宋体"/>
                <w:b w:val="0"/>
                <w:i w:val="0"/>
                <w:color w:val="000000"/>
                <w:sz w:val="13"/>
              </w:rPr>
              <w:t xml:space="preserve">36.24</w:t>
            </w:r>
          </w:p>
        </w:tc>
        <w:tc>
          <w:tcPr>
            <w:tcW w:w="960" w:type="dxa"/>
            <w:tcBorders/>
            <w:vAlign w:val="center"/>
          </w:tcPr>
          <w:p>
            <w:pPr>
              <w:jc w:val="right"/>
            </w:pPr>
            <w:r>
              <w:rPr>
                <w:rFonts w:ascii="宋体" w:eastAsia="宋体" w:hAnsi="宋体" w:cs="宋体"/>
                <w:b w:val="0"/>
                <w:i w:val="0"/>
                <w:color w:val="000000"/>
                <w:sz w:val="13"/>
              </w:rPr>
              <w:t xml:space="preserve">36.24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20601</w:t>
            </w:r>
          </w:p>
        </w:tc>
        <w:tc>
          <w:tcPr>
            <w:tcW w:w="3200" w:type="dxa"/>
            <w:tcBorders/>
            <w:vAlign w:val="center"/>
          </w:tcPr>
          <w:p>
            <w:pPr>
              <w:jc w:val="left"/>
            </w:pPr>
            <w:r>
              <w:rPr>
                <w:rFonts w:ascii="宋体" w:eastAsia="宋体" w:hAnsi="宋体" w:cs="宋体"/>
                <w:b w:val="0"/>
                <w:i w:val="0"/>
                <w:color w:val="000000"/>
                <w:sz w:val="13"/>
              </w:rPr>
              <w:t xml:space="preserve">科学技术管理事务</w:t>
            </w:r>
          </w:p>
        </w:tc>
        <w:tc>
          <w:tcPr>
            <w:tcW w:w="960" w:type="dxa"/>
            <w:tcBorders/>
            <w:vAlign w:val="center"/>
          </w:tcPr>
          <w:p>
            <w:pPr>
              <w:jc w:val="right"/>
            </w:pPr>
            <w:r>
              <w:rPr>
                <w:rFonts w:ascii="宋体" w:eastAsia="宋体" w:hAnsi="宋体" w:cs="宋体"/>
                <w:b w:val="0"/>
                <w:i w:val="0"/>
                <w:color w:val="000000"/>
                <w:sz w:val="13"/>
              </w:rPr>
              <w:t xml:space="preserve">34.89</w:t>
            </w:r>
          </w:p>
        </w:tc>
        <w:tc>
          <w:tcPr>
            <w:tcW w:w="960" w:type="dxa"/>
            <w:tcBorders/>
            <w:vAlign w:val="center"/>
          </w:tcPr>
          <w:p>
            <w:pPr>
              <w:jc w:val="right"/>
            </w:pPr>
            <w:r>
              <w:rPr>
                <w:rFonts w:ascii="宋体" w:eastAsia="宋体" w:hAnsi="宋体" w:cs="宋体"/>
                <w:b w:val="0"/>
                <w:i w:val="0"/>
                <w:color w:val="000000"/>
                <w:sz w:val="13"/>
              </w:rPr>
              <w:t xml:space="preserve">34.89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32.93</w:t>
            </w:r>
          </w:p>
        </w:tc>
        <w:tc>
          <w:tcPr>
            <w:tcW w:w="960" w:type="dxa"/>
            <w:tcBorders/>
            <w:vAlign w:val="center"/>
          </w:tcPr>
          <w:p>
            <w:pPr>
              <w:jc w:val="right"/>
            </w:pPr>
            <w:r>
              <w:rPr>
                <w:rFonts w:ascii="宋体" w:eastAsia="宋体" w:hAnsi="宋体" w:cs="宋体"/>
                <w:b w:val="0"/>
                <w:i w:val="0"/>
                <w:color w:val="000000"/>
                <w:sz w:val="13"/>
              </w:rPr>
              <w:t xml:space="preserve">32.93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1.96</w:t>
            </w:r>
          </w:p>
        </w:tc>
        <w:tc>
          <w:tcPr>
            <w:tcW w:w="960" w:type="dxa"/>
            <w:tcBorders/>
            <w:vAlign w:val="center"/>
          </w:tcPr>
          <w:p>
            <w:pPr>
              <w:jc w:val="right"/>
            </w:pPr>
            <w:r>
              <w:rPr>
                <w:rFonts w:ascii="宋体" w:eastAsia="宋体" w:hAnsi="宋体" w:cs="宋体"/>
                <w:b w:val="0"/>
                <w:i w:val="0"/>
                <w:color w:val="000000"/>
                <w:sz w:val="13"/>
              </w:rPr>
              <w:t xml:space="preserve">1.96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20607</w:t>
            </w:r>
          </w:p>
        </w:tc>
        <w:tc>
          <w:tcPr>
            <w:tcW w:w="3200" w:type="dxa"/>
            <w:tcBorders/>
            <w:vAlign w:val="center"/>
          </w:tcPr>
          <w:p>
            <w:pPr>
              <w:jc w:val="left"/>
            </w:pPr>
            <w:r>
              <w:rPr>
                <w:rFonts w:ascii="宋体" w:eastAsia="宋体" w:hAnsi="宋体" w:cs="宋体"/>
                <w:b w:val="0"/>
                <w:i w:val="0"/>
                <w:color w:val="000000"/>
                <w:sz w:val="13"/>
              </w:rPr>
              <w:t xml:space="preserve">科学技术普及</w:t>
            </w:r>
          </w:p>
        </w:tc>
        <w:tc>
          <w:tcPr>
            <w:tcW w:w="960" w:type="dxa"/>
            <w:tcBorders/>
            <w:vAlign w:val="center"/>
          </w:tcPr>
          <w:p>
            <w:pPr>
              <w:jc w:val="right"/>
            </w:pPr>
            <w:r>
              <w:rPr>
                <w:rFonts w:ascii="宋体" w:eastAsia="宋体" w:hAnsi="宋体" w:cs="宋体"/>
                <w:b w:val="0"/>
                <w:i w:val="0"/>
                <w:color w:val="000000"/>
                <w:sz w:val="13"/>
              </w:rPr>
              <w:t xml:space="preserve">1.35</w:t>
            </w:r>
          </w:p>
        </w:tc>
        <w:tc>
          <w:tcPr>
            <w:tcW w:w="960" w:type="dxa"/>
            <w:tcBorders/>
            <w:vAlign w:val="center"/>
          </w:tcPr>
          <w:p>
            <w:pPr>
              <w:jc w:val="right"/>
            </w:pPr>
            <w:r>
              <w:rPr>
                <w:rFonts w:ascii="宋体" w:eastAsia="宋体" w:hAnsi="宋体" w:cs="宋体"/>
                <w:b w:val="0"/>
                <w:i w:val="0"/>
                <w:color w:val="000000"/>
                <w:sz w:val="13"/>
              </w:rPr>
              <w:t xml:space="preserve">1.35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2060702</w:t>
            </w:r>
          </w:p>
        </w:tc>
        <w:tc>
          <w:tcPr>
            <w:tcW w:w="3200" w:type="dxa"/>
            <w:tcBorders/>
            <w:vAlign w:val="center"/>
          </w:tcPr>
          <w:p>
            <w:pPr>
              <w:jc w:val="left"/>
            </w:pPr>
            <w:r>
              <w:rPr>
                <w:rFonts w:ascii="宋体" w:eastAsia="宋体" w:hAnsi="宋体" w:cs="宋体"/>
                <w:b w:val="0"/>
                <w:i w:val="0"/>
                <w:color w:val="000000"/>
                <w:sz w:val="13"/>
              </w:rPr>
              <w:t xml:space="preserve">科普活动</w:t>
            </w:r>
          </w:p>
        </w:tc>
        <w:tc>
          <w:tcPr>
            <w:tcW w:w="960" w:type="dxa"/>
            <w:tcBorders/>
            <w:vAlign w:val="center"/>
          </w:tcPr>
          <w:p>
            <w:pPr>
              <w:jc w:val="right"/>
            </w:pPr>
            <w:r>
              <w:rPr>
                <w:rFonts w:ascii="宋体" w:eastAsia="宋体" w:hAnsi="宋体" w:cs="宋体"/>
                <w:b w:val="0"/>
                <w:i w:val="0"/>
                <w:color w:val="000000"/>
                <w:sz w:val="13"/>
              </w:rPr>
              <w:t xml:space="preserve">1.35</w:t>
            </w:r>
          </w:p>
        </w:tc>
        <w:tc>
          <w:tcPr>
            <w:tcW w:w="960" w:type="dxa"/>
            <w:tcBorders/>
            <w:vAlign w:val="center"/>
          </w:tcPr>
          <w:p>
            <w:pPr>
              <w:jc w:val="right"/>
            </w:pPr>
            <w:r>
              <w:rPr>
                <w:rFonts w:ascii="宋体" w:eastAsia="宋体" w:hAnsi="宋体" w:cs="宋体"/>
                <w:b w:val="0"/>
                <w:i w:val="0"/>
                <w:color w:val="000000"/>
                <w:sz w:val="13"/>
              </w:rPr>
              <w:t xml:space="preserve">1.35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5.93</w:t>
            </w:r>
          </w:p>
        </w:tc>
        <w:tc>
          <w:tcPr>
            <w:tcW w:w="960" w:type="dxa"/>
            <w:tcBorders/>
            <w:vAlign w:val="center"/>
          </w:tcPr>
          <w:p>
            <w:pPr>
              <w:jc w:val="right"/>
            </w:pPr>
            <w:r>
              <w:rPr>
                <w:rFonts w:ascii="宋体" w:eastAsia="宋体" w:hAnsi="宋体" w:cs="宋体"/>
                <w:b w:val="0"/>
                <w:i w:val="0"/>
                <w:color w:val="000000"/>
                <w:sz w:val="13"/>
              </w:rPr>
              <w:t xml:space="preserve">5.93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5.93</w:t>
            </w:r>
          </w:p>
        </w:tc>
        <w:tc>
          <w:tcPr>
            <w:tcW w:w="960" w:type="dxa"/>
            <w:tcBorders/>
            <w:vAlign w:val="center"/>
          </w:tcPr>
          <w:p>
            <w:pPr>
              <w:jc w:val="right"/>
            </w:pPr>
            <w:r>
              <w:rPr>
                <w:rFonts w:ascii="宋体" w:eastAsia="宋体" w:hAnsi="宋体" w:cs="宋体"/>
                <w:b w:val="0"/>
                <w:i w:val="0"/>
                <w:color w:val="000000"/>
                <w:sz w:val="13"/>
              </w:rPr>
              <w:t xml:space="preserve">5.93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1.59</w:t>
            </w:r>
          </w:p>
        </w:tc>
        <w:tc>
          <w:tcPr>
            <w:tcW w:w="960" w:type="dxa"/>
            <w:tcBorders/>
            <w:vAlign w:val="center"/>
          </w:tcPr>
          <w:p>
            <w:pPr>
              <w:jc w:val="right"/>
            </w:pPr>
            <w:r>
              <w:rPr>
                <w:rFonts w:ascii="宋体" w:eastAsia="宋体" w:hAnsi="宋体" w:cs="宋体"/>
                <w:b w:val="0"/>
                <w:i w:val="0"/>
                <w:color w:val="000000"/>
                <w:sz w:val="13"/>
              </w:rPr>
              <w:t xml:space="preserve">1.59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4.34</w:t>
            </w:r>
          </w:p>
        </w:tc>
        <w:tc>
          <w:tcPr>
            <w:tcW w:w="960" w:type="dxa"/>
            <w:tcBorders/>
            <w:vAlign w:val="center"/>
          </w:tcPr>
          <w:p>
            <w:pPr>
              <w:jc w:val="right"/>
            </w:pPr>
            <w:r>
              <w:rPr>
                <w:rFonts w:ascii="宋体" w:eastAsia="宋体" w:hAnsi="宋体" w:cs="宋体"/>
                <w:b w:val="0"/>
                <w:i w:val="0"/>
                <w:color w:val="000000"/>
                <w:sz w:val="13"/>
              </w:rPr>
              <w:t xml:space="preserve">4.34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1.68</w:t>
            </w:r>
          </w:p>
        </w:tc>
        <w:tc>
          <w:tcPr>
            <w:tcW w:w="960" w:type="dxa"/>
            <w:tcBorders/>
            <w:vAlign w:val="center"/>
          </w:tcPr>
          <w:p>
            <w:pPr>
              <w:jc w:val="right"/>
            </w:pPr>
            <w:r>
              <w:rPr>
                <w:rFonts w:ascii="宋体" w:eastAsia="宋体" w:hAnsi="宋体" w:cs="宋体"/>
                <w:b w:val="0"/>
                <w:i w:val="0"/>
                <w:color w:val="000000"/>
                <w:sz w:val="13"/>
              </w:rPr>
              <w:t xml:space="preserve">1.68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1.68</w:t>
            </w:r>
          </w:p>
        </w:tc>
        <w:tc>
          <w:tcPr>
            <w:tcW w:w="960" w:type="dxa"/>
            <w:tcBorders/>
            <w:vAlign w:val="center"/>
          </w:tcPr>
          <w:p>
            <w:pPr>
              <w:jc w:val="right"/>
            </w:pPr>
            <w:r>
              <w:rPr>
                <w:rFonts w:ascii="宋体" w:eastAsia="宋体" w:hAnsi="宋体" w:cs="宋体"/>
                <w:b w:val="0"/>
                <w:i w:val="0"/>
                <w:color w:val="000000"/>
                <w:sz w:val="13"/>
              </w:rPr>
              <w:t xml:space="preserve">1.68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1.68</w:t>
            </w:r>
          </w:p>
        </w:tc>
        <w:tc>
          <w:tcPr>
            <w:tcW w:w="960" w:type="dxa"/>
            <w:tcBorders/>
            <w:vAlign w:val="center"/>
          </w:tcPr>
          <w:p>
            <w:pPr>
              <w:jc w:val="right"/>
            </w:pPr>
            <w:r>
              <w:rPr>
                <w:rFonts w:ascii="宋体" w:eastAsia="宋体" w:hAnsi="宋体" w:cs="宋体"/>
                <w:b w:val="0"/>
                <w:i w:val="0"/>
                <w:color w:val="000000"/>
                <w:sz w:val="13"/>
              </w:rPr>
              <w:t xml:space="preserve">1.68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4.80</w:t>
            </w:r>
          </w:p>
        </w:tc>
        <w:tc>
          <w:tcPr>
            <w:tcW w:w="960" w:type="dxa"/>
            <w:tcBorders/>
            <w:vAlign w:val="center"/>
          </w:tcPr>
          <w:p>
            <w:pPr>
              <w:jc w:val="right"/>
            </w:pPr>
            <w:r>
              <w:rPr>
                <w:rFonts w:ascii="宋体" w:eastAsia="宋体" w:hAnsi="宋体" w:cs="宋体"/>
                <w:b w:val="0"/>
                <w:i w:val="0"/>
                <w:color w:val="000000"/>
                <w:sz w:val="13"/>
              </w:rPr>
              <w:t xml:space="preserve">4.80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4.80</w:t>
            </w:r>
          </w:p>
        </w:tc>
        <w:tc>
          <w:tcPr>
            <w:tcW w:w="960" w:type="dxa"/>
            <w:tcBorders/>
            <w:vAlign w:val="center"/>
          </w:tcPr>
          <w:p>
            <w:pPr>
              <w:jc w:val="right"/>
            </w:pPr>
            <w:r>
              <w:rPr>
                <w:rFonts w:ascii="宋体" w:eastAsia="宋体" w:hAnsi="宋体" w:cs="宋体"/>
                <w:b w:val="0"/>
                <w:i w:val="0"/>
                <w:color w:val="000000"/>
                <w:sz w:val="13"/>
              </w:rPr>
              <w:t xml:space="preserve">4.80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4.80</w:t>
            </w:r>
          </w:p>
        </w:tc>
        <w:tc>
          <w:tcPr>
            <w:tcW w:w="960" w:type="dxa"/>
            <w:tcBorders/>
            <w:vAlign w:val="center"/>
          </w:tcPr>
          <w:p>
            <w:pPr>
              <w:jc w:val="right"/>
            </w:pPr>
            <w:r>
              <w:rPr>
                <w:rFonts w:ascii="宋体" w:eastAsia="宋体" w:hAnsi="宋体" w:cs="宋体"/>
                <w:b w:val="0"/>
                <w:i w:val="0"/>
                <w:color w:val="000000"/>
                <w:sz w:val="13"/>
              </w:rPr>
              <w:t xml:space="preserve">4.80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部门：辽宁省沈阳市浑南区科学技术协会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48.64</w:t>
            </w:r>
          </w:p>
        </w:tc>
        <w:tc>
          <w:tcPr>
            <w:tcW w:w="1060" w:type="dxa"/>
            <w:tcBorders/>
            <w:vAlign w:val="center"/>
          </w:tcPr>
          <w:p>
            <w:pPr>
              <w:jc w:val="right"/>
            </w:pPr>
            <w:r>
              <w:rPr>
                <w:rFonts w:ascii="宋体" w:eastAsia="宋体" w:hAnsi="宋体" w:cs="宋体"/>
                <w:b/>
                <w:i w:val="0"/>
                <w:color w:val="000000"/>
                <w:sz w:val="14"/>
              </w:rPr>
              <w:t xml:space="preserve">45.33</w:t>
            </w:r>
          </w:p>
        </w:tc>
        <w:tc>
          <w:tcPr>
            <w:tcW w:w="1060" w:type="dxa"/>
            <w:tcBorders/>
            <w:vAlign w:val="center"/>
          </w:tcPr>
          <w:p>
            <w:pPr>
              <w:jc w:val="right"/>
            </w:pPr>
            <w:r>
              <w:rPr>
                <w:rFonts w:ascii="宋体" w:eastAsia="宋体" w:hAnsi="宋体" w:cs="宋体"/>
                <w:b/>
                <w:i w:val="0"/>
                <w:color w:val="000000"/>
                <w:sz w:val="14"/>
              </w:rPr>
              <w:t xml:space="preserve">3.31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w:t>
            </w:r>
          </w:p>
        </w:tc>
        <w:tc>
          <w:tcPr>
            <w:tcW w:w="3440" w:type="dxa"/>
            <w:tcBorders/>
            <w:vAlign w:val="center"/>
          </w:tcPr>
          <w:p>
            <w:pPr>
              <w:jc w:val="left"/>
            </w:pPr>
            <w:r>
              <w:rPr>
                <w:rFonts w:ascii="宋体" w:eastAsia="宋体" w:hAnsi="宋体" w:cs="宋体"/>
                <w:b w:val="0"/>
                <w:i w:val="0"/>
                <w:color w:val="000000"/>
                <w:sz w:val="14"/>
              </w:rPr>
              <w:t xml:space="preserve">科学技术支出</w:t>
            </w:r>
          </w:p>
        </w:tc>
        <w:tc>
          <w:tcPr>
            <w:tcW w:w="1060" w:type="dxa"/>
            <w:tcBorders/>
            <w:vAlign w:val="center"/>
          </w:tcPr>
          <w:p>
            <w:pPr>
              <w:jc w:val="right"/>
            </w:pPr>
            <w:r>
              <w:rPr>
                <w:rFonts w:ascii="宋体" w:eastAsia="宋体" w:hAnsi="宋体" w:cs="宋体"/>
                <w:b w:val="0"/>
                <w:i w:val="0"/>
                <w:color w:val="000000"/>
                <w:sz w:val="14"/>
              </w:rPr>
              <w:t xml:space="preserve">36.24</w:t>
            </w:r>
          </w:p>
        </w:tc>
        <w:tc>
          <w:tcPr>
            <w:tcW w:w="1060" w:type="dxa"/>
            <w:tcBorders/>
            <w:vAlign w:val="center"/>
          </w:tcPr>
          <w:p>
            <w:pPr>
              <w:jc w:val="right"/>
            </w:pPr>
            <w:r>
              <w:rPr>
                <w:rFonts w:ascii="宋体" w:eastAsia="宋体" w:hAnsi="宋体" w:cs="宋体"/>
                <w:b w:val="0"/>
                <w:i w:val="0"/>
                <w:color w:val="000000"/>
                <w:sz w:val="14"/>
              </w:rPr>
              <w:t xml:space="preserve">32.93</w:t>
            </w:r>
          </w:p>
        </w:tc>
        <w:tc>
          <w:tcPr>
            <w:tcW w:w="1060" w:type="dxa"/>
            <w:tcBorders/>
            <w:vAlign w:val="center"/>
          </w:tcPr>
          <w:p>
            <w:pPr>
              <w:jc w:val="right"/>
            </w:pPr>
            <w:r>
              <w:rPr>
                <w:rFonts w:ascii="宋体" w:eastAsia="宋体" w:hAnsi="宋体" w:cs="宋体"/>
                <w:b w:val="0"/>
                <w:i w:val="0"/>
                <w:color w:val="000000"/>
                <w:sz w:val="14"/>
              </w:rPr>
              <w:t xml:space="preserve">3.31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20601</w:t>
            </w:r>
          </w:p>
        </w:tc>
        <w:tc>
          <w:tcPr>
            <w:tcW w:w="3440" w:type="dxa"/>
            <w:tcBorders/>
            <w:vAlign w:val="center"/>
          </w:tcPr>
          <w:p>
            <w:pPr>
              <w:jc w:val="left"/>
            </w:pPr>
            <w:r>
              <w:rPr>
                <w:rFonts w:ascii="宋体" w:eastAsia="宋体" w:hAnsi="宋体" w:cs="宋体"/>
                <w:b w:val="0"/>
                <w:i w:val="0"/>
                <w:color w:val="000000"/>
                <w:sz w:val="14"/>
              </w:rPr>
              <w:t xml:space="preserve">科学技术管理事务</w:t>
            </w:r>
          </w:p>
        </w:tc>
        <w:tc>
          <w:tcPr>
            <w:tcW w:w="1060" w:type="dxa"/>
            <w:tcBorders/>
            <w:vAlign w:val="center"/>
          </w:tcPr>
          <w:p>
            <w:pPr>
              <w:jc w:val="right"/>
            </w:pPr>
            <w:r>
              <w:rPr>
                <w:rFonts w:ascii="宋体" w:eastAsia="宋体" w:hAnsi="宋体" w:cs="宋体"/>
                <w:b w:val="0"/>
                <w:i w:val="0"/>
                <w:color w:val="000000"/>
                <w:sz w:val="14"/>
              </w:rPr>
              <w:t xml:space="preserve">34.89</w:t>
            </w:r>
          </w:p>
        </w:tc>
        <w:tc>
          <w:tcPr>
            <w:tcW w:w="1060" w:type="dxa"/>
            <w:tcBorders/>
            <w:vAlign w:val="center"/>
          </w:tcPr>
          <w:p>
            <w:pPr>
              <w:jc w:val="right"/>
            </w:pPr>
            <w:r>
              <w:rPr>
                <w:rFonts w:ascii="宋体" w:eastAsia="宋体" w:hAnsi="宋体" w:cs="宋体"/>
                <w:b w:val="0"/>
                <w:i w:val="0"/>
                <w:color w:val="000000"/>
                <w:sz w:val="14"/>
              </w:rPr>
              <w:t xml:space="preserve">32.93</w:t>
            </w:r>
          </w:p>
        </w:tc>
        <w:tc>
          <w:tcPr>
            <w:tcW w:w="1060" w:type="dxa"/>
            <w:tcBorders/>
            <w:vAlign w:val="center"/>
          </w:tcPr>
          <w:p>
            <w:pPr>
              <w:jc w:val="right"/>
            </w:pPr>
            <w:r>
              <w:rPr>
                <w:rFonts w:ascii="宋体" w:eastAsia="宋体" w:hAnsi="宋体" w:cs="宋体"/>
                <w:b w:val="0"/>
                <w:i w:val="0"/>
                <w:color w:val="000000"/>
                <w:sz w:val="14"/>
              </w:rPr>
              <w:t xml:space="preserve">1.96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32.93</w:t>
            </w:r>
          </w:p>
        </w:tc>
        <w:tc>
          <w:tcPr>
            <w:tcW w:w="1060" w:type="dxa"/>
            <w:tcBorders/>
            <w:vAlign w:val="center"/>
          </w:tcPr>
          <w:p>
            <w:pPr>
              <w:jc w:val="right"/>
            </w:pPr>
            <w:r>
              <w:rPr>
                <w:rFonts w:ascii="宋体" w:eastAsia="宋体" w:hAnsi="宋体" w:cs="宋体"/>
                <w:b w:val="0"/>
                <w:i w:val="0"/>
                <w:color w:val="000000"/>
                <w:sz w:val="14"/>
              </w:rPr>
              <w:t xml:space="preserve">32.93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1.96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20607</w:t>
            </w:r>
          </w:p>
        </w:tc>
        <w:tc>
          <w:tcPr>
            <w:tcW w:w="3440" w:type="dxa"/>
            <w:tcBorders/>
            <w:vAlign w:val="center"/>
          </w:tcPr>
          <w:p>
            <w:pPr>
              <w:jc w:val="left"/>
            </w:pPr>
            <w:r>
              <w:rPr>
                <w:rFonts w:ascii="宋体" w:eastAsia="宋体" w:hAnsi="宋体" w:cs="宋体"/>
                <w:b w:val="0"/>
                <w:i w:val="0"/>
                <w:color w:val="000000"/>
                <w:sz w:val="14"/>
              </w:rPr>
              <w:t xml:space="preserve">科学技术普及</w:t>
            </w:r>
          </w:p>
        </w:tc>
        <w:tc>
          <w:tcPr>
            <w:tcW w:w="1060" w:type="dxa"/>
            <w:tcBorders/>
            <w:vAlign w:val="center"/>
          </w:tcPr>
          <w:p>
            <w:pPr>
              <w:jc w:val="right"/>
            </w:pPr>
            <w:r>
              <w:rPr>
                <w:rFonts w:ascii="宋体" w:eastAsia="宋体" w:hAnsi="宋体" w:cs="宋体"/>
                <w:b w:val="0"/>
                <w:i w:val="0"/>
                <w:color w:val="000000"/>
                <w:sz w:val="14"/>
              </w:rPr>
              <w:t xml:space="preserve">1.35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2060702</w:t>
            </w:r>
          </w:p>
        </w:tc>
        <w:tc>
          <w:tcPr>
            <w:tcW w:w="3440" w:type="dxa"/>
            <w:tcBorders/>
            <w:vAlign w:val="center"/>
          </w:tcPr>
          <w:p>
            <w:pPr>
              <w:jc w:val="left"/>
            </w:pPr>
            <w:r>
              <w:rPr>
                <w:rFonts w:ascii="宋体" w:eastAsia="宋体" w:hAnsi="宋体" w:cs="宋体"/>
                <w:b w:val="0"/>
                <w:i w:val="0"/>
                <w:color w:val="000000"/>
                <w:sz w:val="14"/>
              </w:rPr>
              <w:t xml:space="preserve">科普活动</w:t>
            </w:r>
          </w:p>
        </w:tc>
        <w:tc>
          <w:tcPr>
            <w:tcW w:w="1060" w:type="dxa"/>
            <w:tcBorders/>
            <w:vAlign w:val="center"/>
          </w:tcPr>
          <w:p>
            <w:pPr>
              <w:jc w:val="right"/>
            </w:pPr>
            <w:r>
              <w:rPr>
                <w:rFonts w:ascii="宋体" w:eastAsia="宋体" w:hAnsi="宋体" w:cs="宋体"/>
                <w:b w:val="0"/>
                <w:i w:val="0"/>
                <w:color w:val="000000"/>
                <w:sz w:val="14"/>
              </w:rPr>
              <w:t xml:space="preserve">1.35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5.93</w:t>
            </w:r>
          </w:p>
        </w:tc>
        <w:tc>
          <w:tcPr>
            <w:tcW w:w="1060" w:type="dxa"/>
            <w:tcBorders/>
            <w:vAlign w:val="center"/>
          </w:tcPr>
          <w:p>
            <w:pPr>
              <w:jc w:val="right"/>
            </w:pPr>
            <w:r>
              <w:rPr>
                <w:rFonts w:ascii="宋体" w:eastAsia="宋体" w:hAnsi="宋体" w:cs="宋体"/>
                <w:b w:val="0"/>
                <w:i w:val="0"/>
                <w:color w:val="000000"/>
                <w:sz w:val="14"/>
              </w:rPr>
              <w:t xml:space="preserve">5.93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5.93</w:t>
            </w:r>
          </w:p>
        </w:tc>
        <w:tc>
          <w:tcPr>
            <w:tcW w:w="1060" w:type="dxa"/>
            <w:tcBorders/>
            <w:vAlign w:val="center"/>
          </w:tcPr>
          <w:p>
            <w:pPr>
              <w:jc w:val="right"/>
            </w:pPr>
            <w:r>
              <w:rPr>
                <w:rFonts w:ascii="宋体" w:eastAsia="宋体" w:hAnsi="宋体" w:cs="宋体"/>
                <w:b w:val="0"/>
                <w:i w:val="0"/>
                <w:color w:val="000000"/>
                <w:sz w:val="14"/>
              </w:rPr>
              <w:t xml:space="preserve">5.93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1.59</w:t>
            </w:r>
          </w:p>
        </w:tc>
        <w:tc>
          <w:tcPr>
            <w:tcW w:w="1060" w:type="dxa"/>
            <w:tcBorders/>
            <w:vAlign w:val="center"/>
          </w:tcPr>
          <w:p>
            <w:pPr>
              <w:jc w:val="right"/>
            </w:pPr>
            <w:r>
              <w:rPr>
                <w:rFonts w:ascii="宋体" w:eastAsia="宋体" w:hAnsi="宋体" w:cs="宋体"/>
                <w:b w:val="0"/>
                <w:i w:val="0"/>
                <w:color w:val="000000"/>
                <w:sz w:val="14"/>
              </w:rPr>
              <w:t xml:space="preserve">1.59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4.34</w:t>
            </w:r>
          </w:p>
        </w:tc>
        <w:tc>
          <w:tcPr>
            <w:tcW w:w="1060" w:type="dxa"/>
            <w:tcBorders/>
            <w:vAlign w:val="center"/>
          </w:tcPr>
          <w:p>
            <w:pPr>
              <w:jc w:val="right"/>
            </w:pPr>
            <w:r>
              <w:rPr>
                <w:rFonts w:ascii="宋体" w:eastAsia="宋体" w:hAnsi="宋体" w:cs="宋体"/>
                <w:b w:val="0"/>
                <w:i w:val="0"/>
                <w:color w:val="000000"/>
                <w:sz w:val="14"/>
              </w:rPr>
              <w:t xml:space="preserve">4.34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1.68</w:t>
            </w:r>
          </w:p>
        </w:tc>
        <w:tc>
          <w:tcPr>
            <w:tcW w:w="1060" w:type="dxa"/>
            <w:tcBorders/>
            <w:vAlign w:val="center"/>
          </w:tcPr>
          <w:p>
            <w:pPr>
              <w:jc w:val="right"/>
            </w:pPr>
            <w:r>
              <w:rPr>
                <w:rFonts w:ascii="宋体" w:eastAsia="宋体" w:hAnsi="宋体" w:cs="宋体"/>
                <w:b w:val="0"/>
                <w:i w:val="0"/>
                <w:color w:val="000000"/>
                <w:sz w:val="14"/>
              </w:rPr>
              <w:t xml:space="preserve">1.68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1.68</w:t>
            </w:r>
          </w:p>
        </w:tc>
        <w:tc>
          <w:tcPr>
            <w:tcW w:w="1060" w:type="dxa"/>
            <w:tcBorders/>
            <w:vAlign w:val="center"/>
          </w:tcPr>
          <w:p>
            <w:pPr>
              <w:jc w:val="right"/>
            </w:pPr>
            <w:r>
              <w:rPr>
                <w:rFonts w:ascii="宋体" w:eastAsia="宋体" w:hAnsi="宋体" w:cs="宋体"/>
                <w:b w:val="0"/>
                <w:i w:val="0"/>
                <w:color w:val="000000"/>
                <w:sz w:val="14"/>
              </w:rPr>
              <w:t xml:space="preserve">1.68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1.68</w:t>
            </w:r>
          </w:p>
        </w:tc>
        <w:tc>
          <w:tcPr>
            <w:tcW w:w="1060" w:type="dxa"/>
            <w:tcBorders/>
            <w:vAlign w:val="center"/>
          </w:tcPr>
          <w:p>
            <w:pPr>
              <w:jc w:val="right"/>
            </w:pPr>
            <w:r>
              <w:rPr>
                <w:rFonts w:ascii="宋体" w:eastAsia="宋体" w:hAnsi="宋体" w:cs="宋体"/>
                <w:b w:val="0"/>
                <w:i w:val="0"/>
                <w:color w:val="000000"/>
                <w:sz w:val="14"/>
              </w:rPr>
              <w:t xml:space="preserve">1.68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4.80</w:t>
            </w:r>
          </w:p>
        </w:tc>
        <w:tc>
          <w:tcPr>
            <w:tcW w:w="1060" w:type="dxa"/>
            <w:tcBorders/>
            <w:vAlign w:val="center"/>
          </w:tcPr>
          <w:p>
            <w:pPr>
              <w:jc w:val="right"/>
            </w:pPr>
            <w:r>
              <w:rPr>
                <w:rFonts w:ascii="宋体" w:eastAsia="宋体" w:hAnsi="宋体" w:cs="宋体"/>
                <w:b w:val="0"/>
                <w:i w:val="0"/>
                <w:color w:val="000000"/>
                <w:sz w:val="14"/>
              </w:rPr>
              <w:t xml:space="preserve">4.80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4.80</w:t>
            </w:r>
          </w:p>
        </w:tc>
        <w:tc>
          <w:tcPr>
            <w:tcW w:w="1060" w:type="dxa"/>
            <w:tcBorders/>
            <w:vAlign w:val="center"/>
          </w:tcPr>
          <w:p>
            <w:pPr>
              <w:jc w:val="right"/>
            </w:pPr>
            <w:r>
              <w:rPr>
                <w:rFonts w:ascii="宋体" w:eastAsia="宋体" w:hAnsi="宋体" w:cs="宋体"/>
                <w:b w:val="0"/>
                <w:i w:val="0"/>
                <w:color w:val="000000"/>
                <w:sz w:val="14"/>
              </w:rPr>
              <w:t xml:space="preserve">4.80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4.80</w:t>
            </w:r>
          </w:p>
        </w:tc>
        <w:tc>
          <w:tcPr>
            <w:tcW w:w="1060" w:type="dxa"/>
            <w:tcBorders/>
            <w:vAlign w:val="center"/>
          </w:tcPr>
          <w:p>
            <w:pPr>
              <w:jc w:val="right"/>
            </w:pPr>
            <w:r>
              <w:rPr>
                <w:rFonts w:ascii="宋体" w:eastAsia="宋体" w:hAnsi="宋体" w:cs="宋体"/>
                <w:b w:val="0"/>
                <w:i w:val="0"/>
                <w:color w:val="000000"/>
                <w:sz w:val="14"/>
              </w:rPr>
              <w:t xml:space="preserve">4.80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部门：辽宁省沈阳市浑南区科学技术协会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48.64</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jc w:val="right"/>
            </w:pPr>
            <w:r>
              <w:rPr>
                <w:rFonts w:ascii="宋体" w:eastAsia="宋体" w:hAnsi="宋体" w:cs="宋体"/>
                <w:b w:val="0"/>
                <w:i w:val="0"/>
                <w:color w:val="000000"/>
                <w:sz w:val="14"/>
              </w:rPr>
              <w:t xml:space="preserve">36.24</w:t>
            </w:r>
          </w:p>
        </w:tc>
        <w:tc>
          <w:tcPr>
            <w:tcW w:w="1100" w:type="dxa"/>
            <w:tcBorders/>
            <w:vAlign w:val="center"/>
          </w:tcPr>
          <w:p>
            <w:pPr>
              <w:jc w:val="right"/>
            </w:pPr>
            <w:r>
              <w:rPr>
                <w:rFonts w:ascii="宋体" w:eastAsia="宋体" w:hAnsi="宋体" w:cs="宋体"/>
                <w:b w:val="0"/>
                <w:i w:val="0"/>
                <w:color w:val="000000"/>
                <w:sz w:val="14"/>
              </w:rPr>
              <w:t xml:space="preserve">36.24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5.92</w:t>
            </w:r>
          </w:p>
        </w:tc>
        <w:tc>
          <w:tcPr>
            <w:tcW w:w="1100" w:type="dxa"/>
            <w:tcBorders/>
            <w:vAlign w:val="center"/>
          </w:tcPr>
          <w:p>
            <w:pPr>
              <w:jc w:val="right"/>
            </w:pPr>
            <w:r>
              <w:rPr>
                <w:rFonts w:ascii="宋体" w:eastAsia="宋体" w:hAnsi="宋体" w:cs="宋体"/>
                <w:b w:val="0"/>
                <w:i w:val="0"/>
                <w:color w:val="000000"/>
                <w:sz w:val="14"/>
              </w:rPr>
              <w:t xml:space="preserve">5.92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1.68</w:t>
            </w:r>
          </w:p>
        </w:tc>
        <w:tc>
          <w:tcPr>
            <w:tcW w:w="1100" w:type="dxa"/>
            <w:tcBorders/>
            <w:vAlign w:val="center"/>
          </w:tcPr>
          <w:p>
            <w:pPr>
              <w:jc w:val="right"/>
            </w:pPr>
            <w:r>
              <w:rPr>
                <w:rFonts w:ascii="宋体" w:eastAsia="宋体" w:hAnsi="宋体" w:cs="宋体"/>
                <w:b w:val="0"/>
                <w:i w:val="0"/>
                <w:color w:val="000000"/>
                <w:sz w:val="14"/>
              </w:rPr>
              <w:t xml:space="preserve">1.68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4.80</w:t>
            </w:r>
          </w:p>
        </w:tc>
        <w:tc>
          <w:tcPr>
            <w:tcW w:w="1100" w:type="dxa"/>
            <w:tcBorders/>
            <w:vAlign w:val="center"/>
          </w:tcPr>
          <w:p>
            <w:pPr>
              <w:jc w:val="right"/>
            </w:pPr>
            <w:r>
              <w:rPr>
                <w:rFonts w:ascii="宋体" w:eastAsia="宋体" w:hAnsi="宋体" w:cs="宋体"/>
                <w:b w:val="0"/>
                <w:i w:val="0"/>
                <w:color w:val="000000"/>
                <w:sz w:val="14"/>
              </w:rPr>
              <w:t xml:space="preserve">4.80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48.64</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48.64</w:t>
            </w:r>
          </w:p>
        </w:tc>
        <w:tc>
          <w:tcPr>
            <w:tcW w:w="1100" w:type="dxa"/>
            <w:tcBorders/>
            <w:vAlign w:val="center"/>
          </w:tcPr>
          <w:p>
            <w:pPr>
              <w:jc w:val="right"/>
            </w:pPr>
            <w:r>
              <w:rPr>
                <w:rFonts w:ascii="宋体" w:eastAsia="宋体" w:hAnsi="宋体" w:cs="宋体"/>
                <w:b w:val="0"/>
                <w:i w:val="0"/>
                <w:color w:val="000000"/>
                <w:sz w:val="14"/>
              </w:rPr>
              <w:t xml:space="preserve">48.64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48.64</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48.64</w:t>
            </w:r>
          </w:p>
        </w:tc>
        <w:tc>
          <w:tcPr>
            <w:tcW w:w="1100" w:type="dxa"/>
            <w:tcBorders/>
            <w:vAlign w:val="center"/>
          </w:tcPr>
          <w:p>
            <w:pPr>
              <w:jc w:val="right"/>
            </w:pPr>
            <w:r>
              <w:rPr>
                <w:rFonts w:ascii="宋体" w:eastAsia="宋体" w:hAnsi="宋体" w:cs="宋体"/>
                <w:b w:val="0"/>
                <w:i w:val="0"/>
                <w:color w:val="000000"/>
                <w:sz w:val="14"/>
              </w:rPr>
              <w:t xml:space="preserve">48.64</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部门：辽宁省沈阳市浑南区科学技术协会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48.64</w:t>
            </w:r>
          </w:p>
        </w:tc>
        <w:tc>
          <w:tcPr>
            <w:tcW w:w="1780" w:type="dxa"/>
            <w:tcBorders/>
            <w:vAlign w:val="center"/>
          </w:tcPr>
          <w:p>
            <w:pPr>
              <w:jc w:val="right"/>
            </w:pPr>
            <w:r>
              <w:rPr>
                <w:rFonts w:ascii="宋体" w:eastAsia="宋体" w:hAnsi="宋体" w:cs="宋体"/>
                <w:b/>
                <w:i w:val="0"/>
                <w:color w:val="000000"/>
                <w:sz w:val="18"/>
              </w:rPr>
              <w:t xml:space="preserve">45.33</w:t>
            </w:r>
          </w:p>
        </w:tc>
        <w:tc>
          <w:tcPr>
            <w:tcW w:w="1772" w:type="dxa"/>
            <w:tcBorders/>
            <w:vAlign w:val="center"/>
          </w:tcPr>
          <w:p>
            <w:pPr>
              <w:jc w:val="right"/>
            </w:pPr>
            <w:r>
              <w:rPr>
                <w:rFonts w:ascii="宋体" w:eastAsia="宋体" w:hAnsi="宋体" w:cs="宋体"/>
                <w:b/>
                <w:i w:val="0"/>
                <w:color w:val="000000"/>
                <w:sz w:val="18"/>
              </w:rPr>
              <w:t xml:space="preserve">3.31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w:t>
            </w:r>
          </w:p>
        </w:tc>
        <w:tc>
          <w:tcPr>
            <w:tcW w:w="4300" w:type="dxa"/>
            <w:tcBorders/>
            <w:vAlign w:val="center"/>
          </w:tcPr>
          <w:p>
            <w:pPr>
              <w:jc w:val="left"/>
            </w:pPr>
            <w:r>
              <w:rPr>
                <w:rFonts w:ascii="宋体" w:eastAsia="宋体" w:hAnsi="宋体" w:cs="宋体"/>
                <w:b w:val="0"/>
                <w:i w:val="0"/>
                <w:color w:val="000000"/>
                <w:sz w:val="18"/>
              </w:rPr>
              <w:t xml:space="preserve">科学技术支出</w:t>
            </w:r>
          </w:p>
        </w:tc>
        <w:tc>
          <w:tcPr>
            <w:tcW w:w="1780" w:type="dxa"/>
            <w:tcBorders/>
            <w:vAlign w:val="center"/>
          </w:tcPr>
          <w:p>
            <w:pPr>
              <w:jc w:val="right"/>
            </w:pPr>
            <w:r>
              <w:rPr>
                <w:rFonts w:ascii="宋体" w:eastAsia="宋体" w:hAnsi="宋体" w:cs="宋体"/>
                <w:b w:val="0"/>
                <w:i w:val="0"/>
                <w:color w:val="000000"/>
                <w:sz w:val="18"/>
              </w:rPr>
              <w:t xml:space="preserve">36.24</w:t>
            </w:r>
          </w:p>
        </w:tc>
        <w:tc>
          <w:tcPr>
            <w:tcW w:w="1780" w:type="dxa"/>
            <w:tcBorders/>
            <w:vAlign w:val="center"/>
          </w:tcPr>
          <w:p>
            <w:pPr>
              <w:jc w:val="right"/>
            </w:pPr>
            <w:r>
              <w:rPr>
                <w:rFonts w:ascii="宋体" w:eastAsia="宋体" w:hAnsi="宋体" w:cs="宋体"/>
                <w:b w:val="0"/>
                <w:i w:val="0"/>
                <w:color w:val="000000"/>
                <w:sz w:val="18"/>
              </w:rPr>
              <w:t xml:space="preserve">32.93</w:t>
            </w:r>
          </w:p>
        </w:tc>
        <w:tc>
          <w:tcPr>
            <w:tcW w:w="1772" w:type="dxa"/>
            <w:tcBorders/>
            <w:vAlign w:val="center"/>
          </w:tcPr>
          <w:p>
            <w:pPr>
              <w:jc w:val="right"/>
            </w:pPr>
            <w:r>
              <w:rPr>
                <w:rFonts w:ascii="宋体" w:eastAsia="宋体" w:hAnsi="宋体" w:cs="宋体"/>
                <w:b w:val="0"/>
                <w:i w:val="0"/>
                <w:color w:val="000000"/>
                <w:sz w:val="18"/>
              </w:rPr>
              <w:t xml:space="preserve">3.31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20601</w:t>
            </w:r>
          </w:p>
        </w:tc>
        <w:tc>
          <w:tcPr>
            <w:tcW w:w="4300" w:type="dxa"/>
            <w:tcBorders/>
            <w:vAlign w:val="center"/>
          </w:tcPr>
          <w:p>
            <w:pPr>
              <w:jc w:val="left"/>
            </w:pPr>
            <w:r>
              <w:rPr>
                <w:rFonts w:ascii="宋体" w:eastAsia="宋体" w:hAnsi="宋体" w:cs="宋体"/>
                <w:b w:val="0"/>
                <w:i w:val="0"/>
                <w:color w:val="000000"/>
                <w:sz w:val="18"/>
              </w:rPr>
              <w:t xml:space="preserve">科学技术管理事务</w:t>
            </w:r>
          </w:p>
        </w:tc>
        <w:tc>
          <w:tcPr>
            <w:tcW w:w="1780" w:type="dxa"/>
            <w:tcBorders/>
            <w:vAlign w:val="center"/>
          </w:tcPr>
          <w:p>
            <w:pPr>
              <w:jc w:val="right"/>
            </w:pPr>
            <w:r>
              <w:rPr>
                <w:rFonts w:ascii="宋体" w:eastAsia="宋体" w:hAnsi="宋体" w:cs="宋体"/>
                <w:b w:val="0"/>
                <w:i w:val="0"/>
                <w:color w:val="000000"/>
                <w:sz w:val="18"/>
              </w:rPr>
              <w:t xml:space="preserve">34.89</w:t>
            </w:r>
          </w:p>
        </w:tc>
        <w:tc>
          <w:tcPr>
            <w:tcW w:w="1780" w:type="dxa"/>
            <w:tcBorders/>
            <w:vAlign w:val="center"/>
          </w:tcPr>
          <w:p>
            <w:pPr>
              <w:jc w:val="right"/>
            </w:pPr>
            <w:r>
              <w:rPr>
                <w:rFonts w:ascii="宋体" w:eastAsia="宋体" w:hAnsi="宋体" w:cs="宋体"/>
                <w:b w:val="0"/>
                <w:i w:val="0"/>
                <w:color w:val="000000"/>
                <w:sz w:val="18"/>
              </w:rPr>
              <w:t xml:space="preserve">32.93</w:t>
            </w:r>
          </w:p>
        </w:tc>
        <w:tc>
          <w:tcPr>
            <w:tcW w:w="1772" w:type="dxa"/>
            <w:tcBorders/>
            <w:vAlign w:val="center"/>
          </w:tcPr>
          <w:p>
            <w:pPr>
              <w:jc w:val="right"/>
            </w:pPr>
            <w:r>
              <w:rPr>
                <w:rFonts w:ascii="宋体" w:eastAsia="宋体" w:hAnsi="宋体" w:cs="宋体"/>
                <w:b w:val="0"/>
                <w:i w:val="0"/>
                <w:color w:val="000000"/>
                <w:sz w:val="18"/>
              </w:rPr>
              <w:t xml:space="preserve">1.96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32.93</w:t>
            </w:r>
          </w:p>
        </w:tc>
        <w:tc>
          <w:tcPr>
            <w:tcW w:w="1780" w:type="dxa"/>
            <w:tcBorders/>
            <w:vAlign w:val="center"/>
          </w:tcPr>
          <w:p>
            <w:pPr>
              <w:jc w:val="right"/>
            </w:pPr>
            <w:r>
              <w:rPr>
                <w:rFonts w:ascii="宋体" w:eastAsia="宋体" w:hAnsi="宋体" w:cs="宋体"/>
                <w:b w:val="0"/>
                <w:i w:val="0"/>
                <w:color w:val="000000"/>
                <w:sz w:val="18"/>
              </w:rPr>
              <w:t xml:space="preserve">32.93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1.96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20607</w:t>
            </w:r>
          </w:p>
        </w:tc>
        <w:tc>
          <w:tcPr>
            <w:tcW w:w="4300" w:type="dxa"/>
            <w:tcBorders/>
            <w:vAlign w:val="center"/>
          </w:tcPr>
          <w:p>
            <w:pPr>
              <w:jc w:val="left"/>
            </w:pPr>
            <w:r>
              <w:rPr>
                <w:rFonts w:ascii="宋体" w:eastAsia="宋体" w:hAnsi="宋体" w:cs="宋体"/>
                <w:b w:val="0"/>
                <w:i w:val="0"/>
                <w:color w:val="000000"/>
                <w:sz w:val="18"/>
              </w:rPr>
              <w:t xml:space="preserve">科学技术普及</w:t>
            </w:r>
          </w:p>
        </w:tc>
        <w:tc>
          <w:tcPr>
            <w:tcW w:w="1780" w:type="dxa"/>
            <w:tcBorders/>
            <w:vAlign w:val="center"/>
          </w:tcPr>
          <w:p>
            <w:pPr>
              <w:jc w:val="right"/>
            </w:pPr>
            <w:r>
              <w:rPr>
                <w:rFonts w:ascii="宋体" w:eastAsia="宋体" w:hAnsi="宋体" w:cs="宋体"/>
                <w:b w:val="0"/>
                <w:i w:val="0"/>
                <w:color w:val="000000"/>
                <w:sz w:val="18"/>
              </w:rPr>
              <w:t xml:space="preserve">1.35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2060702</w:t>
            </w:r>
          </w:p>
        </w:tc>
        <w:tc>
          <w:tcPr>
            <w:tcW w:w="4300" w:type="dxa"/>
            <w:tcBorders/>
            <w:vAlign w:val="center"/>
          </w:tcPr>
          <w:p>
            <w:pPr>
              <w:jc w:val="left"/>
            </w:pPr>
            <w:r>
              <w:rPr>
                <w:rFonts w:ascii="宋体" w:eastAsia="宋体" w:hAnsi="宋体" w:cs="宋体"/>
                <w:b w:val="0"/>
                <w:i w:val="0"/>
                <w:color w:val="000000"/>
                <w:sz w:val="18"/>
              </w:rPr>
              <w:t xml:space="preserve">科普活动</w:t>
            </w:r>
          </w:p>
        </w:tc>
        <w:tc>
          <w:tcPr>
            <w:tcW w:w="1780" w:type="dxa"/>
            <w:tcBorders/>
            <w:vAlign w:val="center"/>
          </w:tcPr>
          <w:p>
            <w:pPr>
              <w:jc w:val="right"/>
            </w:pPr>
            <w:r>
              <w:rPr>
                <w:rFonts w:ascii="宋体" w:eastAsia="宋体" w:hAnsi="宋体" w:cs="宋体"/>
                <w:b w:val="0"/>
                <w:i w:val="0"/>
                <w:color w:val="000000"/>
                <w:sz w:val="18"/>
              </w:rPr>
              <w:t xml:space="preserve">1.35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5.93</w:t>
            </w:r>
          </w:p>
        </w:tc>
        <w:tc>
          <w:tcPr>
            <w:tcW w:w="1780" w:type="dxa"/>
            <w:tcBorders/>
            <w:vAlign w:val="center"/>
          </w:tcPr>
          <w:p>
            <w:pPr>
              <w:jc w:val="right"/>
            </w:pPr>
            <w:r>
              <w:rPr>
                <w:rFonts w:ascii="宋体" w:eastAsia="宋体" w:hAnsi="宋体" w:cs="宋体"/>
                <w:b w:val="0"/>
                <w:i w:val="0"/>
                <w:color w:val="000000"/>
                <w:sz w:val="18"/>
              </w:rPr>
              <w:t xml:space="preserve">5.93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5.93</w:t>
            </w:r>
          </w:p>
        </w:tc>
        <w:tc>
          <w:tcPr>
            <w:tcW w:w="1780" w:type="dxa"/>
            <w:tcBorders/>
            <w:vAlign w:val="center"/>
          </w:tcPr>
          <w:p>
            <w:pPr>
              <w:jc w:val="right"/>
            </w:pPr>
            <w:r>
              <w:rPr>
                <w:rFonts w:ascii="宋体" w:eastAsia="宋体" w:hAnsi="宋体" w:cs="宋体"/>
                <w:b w:val="0"/>
                <w:i w:val="0"/>
                <w:color w:val="000000"/>
                <w:sz w:val="18"/>
              </w:rPr>
              <w:t xml:space="preserve">5.93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1.59</w:t>
            </w:r>
          </w:p>
        </w:tc>
        <w:tc>
          <w:tcPr>
            <w:tcW w:w="1780" w:type="dxa"/>
            <w:tcBorders/>
            <w:vAlign w:val="center"/>
          </w:tcPr>
          <w:p>
            <w:pPr>
              <w:jc w:val="right"/>
            </w:pPr>
            <w:r>
              <w:rPr>
                <w:rFonts w:ascii="宋体" w:eastAsia="宋体" w:hAnsi="宋体" w:cs="宋体"/>
                <w:b w:val="0"/>
                <w:i w:val="0"/>
                <w:color w:val="000000"/>
                <w:sz w:val="18"/>
              </w:rPr>
              <w:t xml:space="preserve">1.59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4.34</w:t>
            </w:r>
          </w:p>
        </w:tc>
        <w:tc>
          <w:tcPr>
            <w:tcW w:w="1780" w:type="dxa"/>
            <w:tcBorders/>
            <w:vAlign w:val="center"/>
          </w:tcPr>
          <w:p>
            <w:pPr>
              <w:jc w:val="right"/>
            </w:pPr>
            <w:r>
              <w:rPr>
                <w:rFonts w:ascii="宋体" w:eastAsia="宋体" w:hAnsi="宋体" w:cs="宋体"/>
                <w:b w:val="0"/>
                <w:i w:val="0"/>
                <w:color w:val="000000"/>
                <w:sz w:val="18"/>
              </w:rPr>
              <w:t xml:space="preserve">4.34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1.68</w:t>
            </w:r>
          </w:p>
        </w:tc>
        <w:tc>
          <w:tcPr>
            <w:tcW w:w="1780" w:type="dxa"/>
            <w:tcBorders/>
            <w:vAlign w:val="center"/>
          </w:tcPr>
          <w:p>
            <w:pPr>
              <w:jc w:val="right"/>
            </w:pPr>
            <w:r>
              <w:rPr>
                <w:rFonts w:ascii="宋体" w:eastAsia="宋体" w:hAnsi="宋体" w:cs="宋体"/>
                <w:b w:val="0"/>
                <w:i w:val="0"/>
                <w:color w:val="000000"/>
                <w:sz w:val="18"/>
              </w:rPr>
              <w:t xml:space="preserve">1.68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1.68</w:t>
            </w:r>
          </w:p>
        </w:tc>
        <w:tc>
          <w:tcPr>
            <w:tcW w:w="1780" w:type="dxa"/>
            <w:tcBorders/>
            <w:vAlign w:val="center"/>
          </w:tcPr>
          <w:p>
            <w:pPr>
              <w:jc w:val="right"/>
            </w:pPr>
            <w:r>
              <w:rPr>
                <w:rFonts w:ascii="宋体" w:eastAsia="宋体" w:hAnsi="宋体" w:cs="宋体"/>
                <w:b w:val="0"/>
                <w:i w:val="0"/>
                <w:color w:val="000000"/>
                <w:sz w:val="18"/>
              </w:rPr>
              <w:t xml:space="preserve">1.68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1.68</w:t>
            </w:r>
          </w:p>
        </w:tc>
        <w:tc>
          <w:tcPr>
            <w:tcW w:w="1780" w:type="dxa"/>
            <w:tcBorders/>
            <w:vAlign w:val="center"/>
          </w:tcPr>
          <w:p>
            <w:pPr>
              <w:jc w:val="right"/>
            </w:pPr>
            <w:r>
              <w:rPr>
                <w:rFonts w:ascii="宋体" w:eastAsia="宋体" w:hAnsi="宋体" w:cs="宋体"/>
                <w:b w:val="0"/>
                <w:i w:val="0"/>
                <w:color w:val="000000"/>
                <w:sz w:val="18"/>
              </w:rPr>
              <w:t xml:space="preserve">1.68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4.80</w:t>
            </w:r>
          </w:p>
        </w:tc>
        <w:tc>
          <w:tcPr>
            <w:tcW w:w="1780" w:type="dxa"/>
            <w:tcBorders/>
            <w:vAlign w:val="center"/>
          </w:tcPr>
          <w:p>
            <w:pPr>
              <w:jc w:val="right"/>
            </w:pPr>
            <w:r>
              <w:rPr>
                <w:rFonts w:ascii="宋体" w:eastAsia="宋体" w:hAnsi="宋体" w:cs="宋体"/>
                <w:b w:val="0"/>
                <w:i w:val="0"/>
                <w:color w:val="000000"/>
                <w:sz w:val="18"/>
              </w:rPr>
              <w:t xml:space="preserve">4.80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4.80</w:t>
            </w:r>
          </w:p>
        </w:tc>
        <w:tc>
          <w:tcPr>
            <w:tcW w:w="1780" w:type="dxa"/>
            <w:tcBorders/>
            <w:vAlign w:val="center"/>
          </w:tcPr>
          <w:p>
            <w:pPr>
              <w:jc w:val="right"/>
            </w:pPr>
            <w:r>
              <w:rPr>
                <w:rFonts w:ascii="宋体" w:eastAsia="宋体" w:hAnsi="宋体" w:cs="宋体"/>
                <w:b w:val="0"/>
                <w:i w:val="0"/>
                <w:color w:val="000000"/>
                <w:sz w:val="18"/>
              </w:rPr>
              <w:t xml:space="preserve">4.80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4.80</w:t>
            </w:r>
          </w:p>
        </w:tc>
        <w:tc>
          <w:tcPr>
            <w:tcW w:w="1780" w:type="dxa"/>
            <w:tcBorders/>
            <w:vAlign w:val="center"/>
          </w:tcPr>
          <w:p>
            <w:pPr>
              <w:jc w:val="right"/>
            </w:pPr>
            <w:r>
              <w:rPr>
                <w:rFonts w:ascii="宋体" w:eastAsia="宋体" w:hAnsi="宋体" w:cs="宋体"/>
                <w:b w:val="0"/>
                <w:i w:val="0"/>
                <w:color w:val="000000"/>
                <w:sz w:val="18"/>
              </w:rPr>
              <w:t xml:space="preserve">4.80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部门：辽宁省沈阳市浑南区科学技术协会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39.38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4.36</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11.69</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0.46</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8.27</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7.69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0.81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4.34</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1.67</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1.68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0.11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4.80</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1.59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1.59</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0.20</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2.03</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40.97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4.36</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部门：辽宁省沈阳市浑南区科学技术协会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部门：辽宁省沈阳市浑南区科学技术协会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部门：辽宁省沈阳市浑南区科学技术协会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029001沈阳市浑南区科学技术协会本级-210112000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52.433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52.433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贯彻中央财政工资金融工作的政策，履行职责过程中坚持和加强党对财政工作和金融工作的集中统一领导。</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本单位正常运转，按时，足额发放人员经费</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机关工作人员满意度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科技服务群众总体满意度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人才培养机制健全性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科技人才培养激励机制健全性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残疾人就业保障金经费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沈阳市浑南区科学技术协会-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沈阳市浑南区科学技术协会本级-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95.49%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2024年应缴残疾人就业保障金金额=2023年在职在编人数2人*1710元=3420元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按时完成本单位2024年残疾人就业保障金的缴纳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执行标的额到位率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工作热情和工作效率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保障对象满意率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公共就业服务满意度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沈阳市浑南区科学技术协会-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沈阳市浑南区科学技术协会本级-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8.13041667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科普工作专项业务经费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沈阳市浑南区科学技术协会-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沈阳市浑南区科学技术协会本级-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结合科普日、科技周、科技之冬及区内重点工作，区科协按照上级统一工作部署，围绕主题开展各项科普活动，通过活动、体验馆等形式进行科普宣传营造良好的社会氛围营造良好的社会氛围。2.科普大学面向社区居民讲授贴近生活、贴近实际的课程内容，有效提高社区居民树立科学理念，掌握科学知识，增强科学意识和鉴别能力，破除愚昧思想和落后习俗，有效提高居民科学文化素质，建立科学文明的生活方式，促进社区经济、文化的发展，促进和谐社区建设。3.农技协会开展科普惠农培训、外出咨询、指导、考察等活动。因我区原属城乡结合部，多年来，依托农技协，开展农农村科普活动。通过扶持发展相关农技协会，并发挥典型示范作用，以此带动农民共同致富。4.参加各级科协组织安排的各类科普宣传、科技工作者培训等活动。5.全面做好企业服务工作，在全区形成尊重企业家、服务企业家、关爱企业家的浓厚氛围，充分激发企业家以更大的热情干事创业。进一步优化营商环境，积极为企业站台，举办企业家恳谈会等各项为企业家服务的工作。成立企业家俱乐部，互通信息，交流合作，共商发展。6.每年区科协会定制《身边科学》及购买科普图书，针对社区科普大学、农技协、社区居民、青少年、机关干部等人员定期发放。为有需求的社区建立科普图书角，丰富社区居民、青少年等不同层次人员学科学、懂科学、用科学的学习热情，提升了各层次人员的科学素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开展各类科普活动，科普大学正常运行，依托园区科协承办“中国沈阳海智创新创业系列大赛”等具有全国影响力的赛事，重点面向海内外高校、科研院所、高科技企业以及高层次人才开展创新创业科技赛事。</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执行标的额到位率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设备的完好率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工作热情和工作效率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受益群体满意度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31.84375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