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辽宁省沈阳市浑南区总工会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辽宁省沈阳市浑南区总工会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辽宁省沈阳市浑南区总工会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辽宁省沈阳市浑南区总工会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辽宁省沈阳市浑南区总工会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辽宁省沈阳市浑南区总工会概况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（一）根据党的基本理论、基本路线、基本纲领和工运方针，围绕全区工作大局，贯彻执行区委的指示、决议，市总工会代表大会、区工会代表大会和全委会、常委会确定的任务和作出的决议。</w:t>
        <w:br/>
        <w:t xml:space="preserve">    （二）依照法律和《中国工会章程》，组织和指导全区各级工会贯彻落实党的全心全意依靠工人阶级的根本指导方针，进一步突出和履行维护职工合法权益的职能。</w:t>
        <w:br/>
        <w:t xml:space="preserve">    （三）对有关职工合法权益的问题进行调查研究，向区委、区政府和沈阳市总工会反映职工群众的思想、愿望和要求，提出意见和建议；参与涉及职工切身利益的政策、措施、制度和法规草案的拟定；职工重大伤亡事故和其它严重危害职工健康问题的调查处理；参与同级劳动仲裁组织的劳动争议仲裁工作。</w:t>
        <w:br/>
        <w:t xml:space="preserve">    （四）负责工运和工会理论政策研究，制定我区工会的组织制度和民主制度，监督检查《中国工会章程》的贯彻执行；研究指导全区各级工会组织的自身改革和建设。指导全区各级工会组织开展以职工代表大会为基本制度的民主选举、民主管理和民主监督工作，推动建立平等协商、集体合同制度和监督保证机制的工作。</w:t>
        <w:br/>
        <w:t xml:space="preserve">    （五）协助区委、区政府做好区级以上劳动模范的推荐和区劳动模范的评选、表彰、管理工作；负责市以上“五一”劳动奖章、奖状获得者的推荐、管理工作。</w:t>
        <w:br/>
        <w:t xml:space="preserve">    （六）负责全区工会经费和工会资产的管理，审查、审计工作。</w:t>
        <w:br/>
        <w:t xml:space="preserve">    （七）承办区委、区政府交办的其他事项。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辽宁省沈阳市浑南区总工会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沈阳市浑南区总工会本级，本单位无下设机构。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220.03</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220.03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220.03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增加4.93万元，增长2.29%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公用经费增加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220.03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217.68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98.93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工资福利支出165.74万元；商品和服务支出18.88万元；对个人和家庭的补助33.06万元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2.35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主要包括雇员办公经费、伙食补助等业务支出。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增加4.93万元，增长2.29%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一是人员变动；二是项目经费未拨付</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量入为出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220.03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217.68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2.35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增加4.93万元，增长2.29%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今年增加了公用经费</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50.68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88.31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1.25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2024年度一般公共预算财政拨款支出220.03万元。按支出功能分类科目分，包括：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1.一般公共服务支出141.29万元，具体包括：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（1）一般公共服务支出（类）群众团体事务（款）行政运行（项）138.94万元,主要是工资福利、工会经费等支出，完成年初预算的75.48%，决算数与年初预算数存在差异的主要原因是人员变动。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（2）一般公共服务支出（类）群众团体事务（款）一般行政管理事务（项）2.35万元,主要是雇员经费等支出，完成年初预算的1.25%，决算数与年初预算数存在差异的主要原因是工会经费未拨付。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2.社会保障和就业支出51.48万元，具体包括：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4.43万元,主要是缴纳退休人员职业年金等支出，完成年初预算的84.22%，决算数与年初预算数存在差异的主要原因是年初预算按在职人员申请，缴纳按上一年退休人员补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18.42万元,主要是缴纳在职人员养老保险等支出，完成年初预算的88.43%，决算数与年初预算数存在差异的主要原因是人员工资及基数变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（3）社会保障和就业支出（类）抚恤（款）死亡抚恤（项）28.63万元,主要是丧葬补助费和一次性抚恤金等支出，完成年初预算的100%，决算数与年初预算数存在差异的主要原因是退休人员去世。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3.卫生健康支出7.38万元，具体包括：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（1）卫生健康支出（类）行政事业单位医疗（款）行政单位医疗（项）7.38万元,主要是在职人员医疗保险等支出，完成年初预算的76.56%，决算数与年初预算数存在差异的主要原因是人员工资及基数变化。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4.住房保障支出19.89万元，具体包括：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（1）住房保障支出（类）住房改革支出（款）住房公积金（项）19.89万元,主要是住房公积金缴纳等支出，完成年初预算的74.49%，决算数与年初预算数存在差异的主要原因是基数调整，人员变动。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217.68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198.80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18.88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18.88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比上年增加4.02万元，增长27.05%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人员变动</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246.5万元。其中，一般公共预算资金246.5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1个；得分在60分以下、等级为“差”的项目有1个。各项目自评发现，部分项目存在1个问题，如：个别效益指标未能完全达成，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在全面自评的基础上，本部门选取了1个资金量大、社会关注度高、具有代表性的重点项目实施了部门重点评价。评价工作通过数据采集的方式，确保了评价结果的客观性和公正性。</w:t>
        <w:br/>
        <w:t xml:space="preserve">    我部门组织对1个项目重点评价，结果显示，被评价项目整体绩效情况良好。缴纳残疾人就业保障金项目，涉及资金1.54万元，评价平均分为99.77分，评级情况为优。同时，评价也发现1个项目存在问题，如：总工会工作经费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（1）绩效结果应用情况：本部门建立健全了绩效评价结果与预算安排和政策调整的挂钩机制，将本次所有绩效评价结果作为编制下一年度部门预算、完善政策和改进管理的重要依据。</w:t>
        <w:br/>
        <w:t xml:space="preserve">    （2）公开情况：本部门将按照政务公开要求，适时将通过审核的绩效评价结果向社会公开，主动接受社会监督。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绩效评价工作开展情况。</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220.03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141.29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51.47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7.38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19.89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220.03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220.03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220.03</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220.03</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220.03</w:t>
            </w:r>
          </w:p>
        </w:tc>
        <w:tc>
          <w:tcPr>
            <w:tcW w:w="960" w:type="dxa"/>
            <w:tcBorders/>
            <w:vAlign w:val="center"/>
          </w:tcPr>
          <w:p>
            <w:pPr>
              <w:jc w:val="right"/>
            </w:pPr>
            <w:r>
              <w:rPr>
                <w:rFonts w:ascii="宋体" w:eastAsia="宋体" w:hAnsi="宋体" w:cs="宋体"/>
                <w:b/>
                <w:i w:val="0"/>
                <w:color w:val="000000"/>
                <w:sz w:val="13"/>
              </w:rPr>
              <w:t xml:space="preserve">220.03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w:t>
            </w:r>
          </w:p>
        </w:tc>
        <w:tc>
          <w:tcPr>
            <w:tcW w:w="3200" w:type="dxa"/>
            <w:tcBorders/>
            <w:vAlign w:val="center"/>
          </w:tcPr>
          <w:p>
            <w:pPr>
              <w:jc w:val="left"/>
            </w:pPr>
            <w:r>
              <w:rPr>
                <w:rFonts w:ascii="宋体" w:eastAsia="宋体" w:hAnsi="宋体" w:cs="宋体"/>
                <w:b w:val="0"/>
                <w:i w:val="0"/>
                <w:color w:val="000000"/>
                <w:sz w:val="13"/>
              </w:rPr>
              <w:t xml:space="preserve">群众团体事务</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jc w:val="right"/>
            </w:pPr>
            <w:r>
              <w:rPr>
                <w:rFonts w:ascii="宋体" w:eastAsia="宋体" w:hAnsi="宋体" w:cs="宋体"/>
                <w:b w:val="0"/>
                <w:i w:val="0"/>
                <w:color w:val="000000"/>
                <w:sz w:val="13"/>
              </w:rPr>
              <w:t xml:space="preserve">141.29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138.94</w:t>
            </w:r>
          </w:p>
        </w:tc>
        <w:tc>
          <w:tcPr>
            <w:tcW w:w="960" w:type="dxa"/>
            <w:tcBorders/>
            <w:vAlign w:val="center"/>
          </w:tcPr>
          <w:p>
            <w:pPr>
              <w:jc w:val="right"/>
            </w:pPr>
            <w:r>
              <w:rPr>
                <w:rFonts w:ascii="宋体" w:eastAsia="宋体" w:hAnsi="宋体" w:cs="宋体"/>
                <w:b w:val="0"/>
                <w:i w:val="0"/>
                <w:color w:val="000000"/>
                <w:sz w:val="13"/>
              </w:rPr>
              <w:t xml:space="preserve">138.94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2012902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2.35</w:t>
            </w:r>
          </w:p>
        </w:tc>
        <w:tc>
          <w:tcPr>
            <w:tcW w:w="960" w:type="dxa"/>
            <w:tcBorders/>
            <w:vAlign w:val="center"/>
          </w:tcPr>
          <w:p>
            <w:pPr>
              <w:jc w:val="right"/>
            </w:pPr>
            <w:r>
              <w:rPr>
                <w:rFonts w:ascii="宋体" w:eastAsia="宋体" w:hAnsi="宋体" w:cs="宋体"/>
                <w:b w:val="0"/>
                <w:i w:val="0"/>
                <w:color w:val="000000"/>
                <w:sz w:val="13"/>
              </w:rPr>
              <w:t xml:space="preserve">2.35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jc w:val="right"/>
            </w:pPr>
            <w:r>
              <w:rPr>
                <w:rFonts w:ascii="宋体" w:eastAsia="宋体" w:hAnsi="宋体" w:cs="宋体"/>
                <w:b w:val="0"/>
                <w:i w:val="0"/>
                <w:color w:val="000000"/>
                <w:sz w:val="13"/>
              </w:rPr>
              <w:t xml:space="preserve">51.48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22.85</w:t>
            </w:r>
          </w:p>
        </w:tc>
        <w:tc>
          <w:tcPr>
            <w:tcW w:w="960" w:type="dxa"/>
            <w:tcBorders/>
            <w:vAlign w:val="center"/>
          </w:tcPr>
          <w:p>
            <w:pPr>
              <w:jc w:val="right"/>
            </w:pPr>
            <w:r>
              <w:rPr>
                <w:rFonts w:ascii="宋体" w:eastAsia="宋体" w:hAnsi="宋体" w:cs="宋体"/>
                <w:b w:val="0"/>
                <w:i w:val="0"/>
                <w:color w:val="000000"/>
                <w:sz w:val="13"/>
              </w:rPr>
              <w:t xml:space="preserve">22.85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18.42</w:t>
            </w:r>
          </w:p>
        </w:tc>
        <w:tc>
          <w:tcPr>
            <w:tcW w:w="960" w:type="dxa"/>
            <w:tcBorders/>
            <w:vAlign w:val="center"/>
          </w:tcPr>
          <w:p>
            <w:pPr>
              <w:jc w:val="right"/>
            </w:pPr>
            <w:r>
              <w:rPr>
                <w:rFonts w:ascii="宋体" w:eastAsia="宋体" w:hAnsi="宋体" w:cs="宋体"/>
                <w:b w:val="0"/>
                <w:i w:val="0"/>
                <w:color w:val="000000"/>
                <w:sz w:val="13"/>
              </w:rPr>
              <w:t xml:space="preserve">18.42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28.63</w:t>
            </w:r>
          </w:p>
        </w:tc>
        <w:tc>
          <w:tcPr>
            <w:tcW w:w="960" w:type="dxa"/>
            <w:tcBorders/>
            <w:vAlign w:val="center"/>
          </w:tcPr>
          <w:p>
            <w:pPr>
              <w:jc w:val="right"/>
            </w:pPr>
            <w:r>
              <w:rPr>
                <w:rFonts w:ascii="宋体" w:eastAsia="宋体" w:hAnsi="宋体" w:cs="宋体"/>
                <w:b w:val="0"/>
                <w:i w:val="0"/>
                <w:color w:val="000000"/>
                <w:sz w:val="13"/>
              </w:rPr>
              <w:t xml:space="preserve">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28.63</w:t>
            </w:r>
          </w:p>
        </w:tc>
        <w:tc>
          <w:tcPr>
            <w:tcW w:w="960" w:type="dxa"/>
            <w:tcBorders/>
            <w:vAlign w:val="center"/>
          </w:tcPr>
          <w:p>
            <w:pPr>
              <w:jc w:val="right"/>
            </w:pPr>
            <w:r>
              <w:rPr>
                <w:rFonts w:ascii="宋体" w:eastAsia="宋体" w:hAnsi="宋体" w:cs="宋体"/>
                <w:b w:val="0"/>
                <w:i w:val="0"/>
                <w:color w:val="000000"/>
                <w:sz w:val="13"/>
              </w:rPr>
              <w:t xml:space="preserve">28.63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7.38</w:t>
            </w:r>
          </w:p>
        </w:tc>
        <w:tc>
          <w:tcPr>
            <w:tcW w:w="960" w:type="dxa"/>
            <w:tcBorders/>
            <w:vAlign w:val="center"/>
          </w:tcPr>
          <w:p>
            <w:pPr>
              <w:jc w:val="right"/>
            </w:pPr>
            <w:r>
              <w:rPr>
                <w:rFonts w:ascii="宋体" w:eastAsia="宋体" w:hAnsi="宋体" w:cs="宋体"/>
                <w:b w:val="0"/>
                <w:i w:val="0"/>
                <w:color w:val="000000"/>
                <w:sz w:val="13"/>
              </w:rPr>
              <w:t xml:space="preserve">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7.38</w:t>
            </w:r>
          </w:p>
        </w:tc>
        <w:tc>
          <w:tcPr>
            <w:tcW w:w="960" w:type="dxa"/>
            <w:tcBorders/>
            <w:vAlign w:val="center"/>
          </w:tcPr>
          <w:p>
            <w:pPr>
              <w:jc w:val="right"/>
            </w:pPr>
            <w:r>
              <w:rPr>
                <w:rFonts w:ascii="宋体" w:eastAsia="宋体" w:hAnsi="宋体" w:cs="宋体"/>
                <w:b w:val="0"/>
                <w:i w:val="0"/>
                <w:color w:val="000000"/>
                <w:sz w:val="13"/>
              </w:rPr>
              <w:t xml:space="preserve">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7.38</w:t>
            </w:r>
          </w:p>
        </w:tc>
        <w:tc>
          <w:tcPr>
            <w:tcW w:w="960" w:type="dxa"/>
            <w:tcBorders/>
            <w:vAlign w:val="center"/>
          </w:tcPr>
          <w:p>
            <w:pPr>
              <w:jc w:val="right"/>
            </w:pPr>
            <w:r>
              <w:rPr>
                <w:rFonts w:ascii="宋体" w:eastAsia="宋体" w:hAnsi="宋体" w:cs="宋体"/>
                <w:b w:val="0"/>
                <w:i w:val="0"/>
                <w:color w:val="000000"/>
                <w:sz w:val="13"/>
              </w:rPr>
              <w:t xml:space="preserve">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220.03</w:t>
            </w:r>
          </w:p>
        </w:tc>
        <w:tc>
          <w:tcPr>
            <w:tcW w:w="1060" w:type="dxa"/>
            <w:tcBorders/>
            <w:vAlign w:val="center"/>
          </w:tcPr>
          <w:p>
            <w:pPr>
              <w:jc w:val="right"/>
            </w:pPr>
            <w:r>
              <w:rPr>
                <w:rFonts w:ascii="宋体" w:eastAsia="宋体" w:hAnsi="宋体" w:cs="宋体"/>
                <w:b/>
                <w:i w:val="0"/>
                <w:color w:val="000000"/>
                <w:sz w:val="14"/>
              </w:rPr>
              <w:t xml:space="preserve">217.68</w:t>
            </w:r>
          </w:p>
        </w:tc>
        <w:tc>
          <w:tcPr>
            <w:tcW w:w="1060" w:type="dxa"/>
            <w:tcBorders/>
            <w:vAlign w:val="center"/>
          </w:tcPr>
          <w:p>
            <w:pPr>
              <w:jc w:val="right"/>
            </w:pPr>
            <w:r>
              <w:rPr>
                <w:rFonts w:ascii="宋体" w:eastAsia="宋体" w:hAnsi="宋体" w:cs="宋体"/>
                <w:b/>
                <w:i w:val="0"/>
                <w:color w:val="000000"/>
                <w:sz w:val="14"/>
              </w:rPr>
              <w:t xml:space="preserve">2.35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jc w:val="right"/>
            </w:pPr>
            <w:r>
              <w:rPr>
                <w:rFonts w:ascii="宋体" w:eastAsia="宋体" w:hAnsi="宋体" w:cs="宋体"/>
                <w:b w:val="0"/>
                <w:i w:val="0"/>
                <w:color w:val="000000"/>
                <w:sz w:val="14"/>
              </w:rPr>
              <w:t xml:space="preserve">138.94</w:t>
            </w:r>
          </w:p>
        </w:tc>
        <w:tc>
          <w:tcPr>
            <w:tcW w:w="1060" w:type="dxa"/>
            <w:tcBorders/>
            <w:vAlign w:val="center"/>
          </w:tcPr>
          <w:p>
            <w:pPr>
              <w:jc w:val="right"/>
            </w:pPr>
            <w:r>
              <w:rPr>
                <w:rFonts w:ascii="宋体" w:eastAsia="宋体" w:hAnsi="宋体" w:cs="宋体"/>
                <w:b w:val="0"/>
                <w:i w:val="0"/>
                <w:color w:val="000000"/>
                <w:sz w:val="14"/>
              </w:rPr>
              <w:t xml:space="preserve">2.35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w:t>
            </w:r>
          </w:p>
        </w:tc>
        <w:tc>
          <w:tcPr>
            <w:tcW w:w="3440" w:type="dxa"/>
            <w:tcBorders/>
            <w:vAlign w:val="center"/>
          </w:tcPr>
          <w:p>
            <w:pPr>
              <w:jc w:val="left"/>
            </w:pPr>
            <w:r>
              <w:rPr>
                <w:rFonts w:ascii="宋体" w:eastAsia="宋体" w:hAnsi="宋体" w:cs="宋体"/>
                <w:b w:val="0"/>
                <w:i w:val="0"/>
                <w:color w:val="000000"/>
                <w:sz w:val="14"/>
              </w:rPr>
              <w:t xml:space="preserve">群众团体事务</w:t>
            </w:r>
          </w:p>
        </w:tc>
        <w:tc>
          <w:tcPr>
            <w:tcW w:w="1060" w:type="dxa"/>
            <w:tcBorders/>
            <w:vAlign w:val="center"/>
          </w:tcPr>
          <w:p>
            <w:pPr>
              <w:jc w:val="right"/>
            </w:pPr>
            <w:r>
              <w:rPr>
                <w:rFonts w:ascii="宋体" w:eastAsia="宋体" w:hAnsi="宋体" w:cs="宋体"/>
                <w:b w:val="0"/>
                <w:i w:val="0"/>
                <w:color w:val="000000"/>
                <w:sz w:val="14"/>
              </w:rPr>
              <w:t xml:space="preserve">141.29</w:t>
            </w:r>
          </w:p>
        </w:tc>
        <w:tc>
          <w:tcPr>
            <w:tcW w:w="1060" w:type="dxa"/>
            <w:tcBorders/>
            <w:vAlign w:val="center"/>
          </w:tcPr>
          <w:p>
            <w:pPr>
              <w:jc w:val="right"/>
            </w:pPr>
            <w:r>
              <w:rPr>
                <w:rFonts w:ascii="宋体" w:eastAsia="宋体" w:hAnsi="宋体" w:cs="宋体"/>
                <w:b w:val="0"/>
                <w:i w:val="0"/>
                <w:color w:val="000000"/>
                <w:sz w:val="14"/>
              </w:rPr>
              <w:t xml:space="preserve">138.94</w:t>
            </w:r>
          </w:p>
        </w:tc>
        <w:tc>
          <w:tcPr>
            <w:tcW w:w="1060" w:type="dxa"/>
            <w:tcBorders/>
            <w:vAlign w:val="center"/>
          </w:tcPr>
          <w:p>
            <w:pPr>
              <w:jc w:val="right"/>
            </w:pPr>
            <w:r>
              <w:rPr>
                <w:rFonts w:ascii="宋体" w:eastAsia="宋体" w:hAnsi="宋体" w:cs="宋体"/>
                <w:b w:val="0"/>
                <w:i w:val="0"/>
                <w:color w:val="000000"/>
                <w:sz w:val="14"/>
              </w:rPr>
              <w:t xml:space="preserve">2.35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138.94</w:t>
            </w:r>
          </w:p>
        </w:tc>
        <w:tc>
          <w:tcPr>
            <w:tcW w:w="1060" w:type="dxa"/>
            <w:tcBorders/>
            <w:vAlign w:val="center"/>
          </w:tcPr>
          <w:p>
            <w:pPr>
              <w:jc w:val="right"/>
            </w:pPr>
            <w:r>
              <w:rPr>
                <w:rFonts w:ascii="宋体" w:eastAsia="宋体" w:hAnsi="宋体" w:cs="宋体"/>
                <w:b w:val="0"/>
                <w:i w:val="0"/>
                <w:color w:val="000000"/>
                <w:sz w:val="14"/>
              </w:rPr>
              <w:t xml:space="preserve">138.94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2012902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jc w:val="right"/>
            </w:pPr>
            <w:r>
              <w:rPr>
                <w:rFonts w:ascii="宋体" w:eastAsia="宋体" w:hAnsi="宋体" w:cs="宋体"/>
                <w:b w:val="0"/>
                <w:i w:val="0"/>
                <w:color w:val="000000"/>
                <w:sz w:val="14"/>
              </w:rPr>
              <w:t xml:space="preserve">51.48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22.85</w:t>
            </w:r>
          </w:p>
        </w:tc>
        <w:tc>
          <w:tcPr>
            <w:tcW w:w="1060" w:type="dxa"/>
            <w:tcBorders/>
            <w:vAlign w:val="center"/>
          </w:tcPr>
          <w:p>
            <w:pPr>
              <w:jc w:val="right"/>
            </w:pPr>
            <w:r>
              <w:rPr>
                <w:rFonts w:ascii="宋体" w:eastAsia="宋体" w:hAnsi="宋体" w:cs="宋体"/>
                <w:b w:val="0"/>
                <w:i w:val="0"/>
                <w:color w:val="000000"/>
                <w:sz w:val="14"/>
              </w:rPr>
              <w:t xml:space="preserve">22.85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18.42</w:t>
            </w:r>
          </w:p>
        </w:tc>
        <w:tc>
          <w:tcPr>
            <w:tcW w:w="1060" w:type="dxa"/>
            <w:tcBorders/>
            <w:vAlign w:val="center"/>
          </w:tcPr>
          <w:p>
            <w:pPr>
              <w:jc w:val="right"/>
            </w:pPr>
            <w:r>
              <w:rPr>
                <w:rFonts w:ascii="宋体" w:eastAsia="宋体" w:hAnsi="宋体" w:cs="宋体"/>
                <w:b w:val="0"/>
                <w:i w:val="0"/>
                <w:color w:val="000000"/>
                <w:sz w:val="14"/>
              </w:rPr>
              <w:t xml:space="preserve">18.42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28.63</w:t>
            </w:r>
          </w:p>
        </w:tc>
        <w:tc>
          <w:tcPr>
            <w:tcW w:w="1060" w:type="dxa"/>
            <w:tcBorders/>
            <w:vAlign w:val="center"/>
          </w:tcPr>
          <w:p>
            <w:pPr>
              <w:jc w:val="right"/>
            </w:pPr>
            <w:r>
              <w:rPr>
                <w:rFonts w:ascii="宋体" w:eastAsia="宋体" w:hAnsi="宋体" w:cs="宋体"/>
                <w:b w:val="0"/>
                <w:i w:val="0"/>
                <w:color w:val="000000"/>
                <w:sz w:val="14"/>
              </w:rPr>
              <w:t xml:space="preserve">28.63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28.63</w:t>
            </w:r>
          </w:p>
        </w:tc>
        <w:tc>
          <w:tcPr>
            <w:tcW w:w="1060" w:type="dxa"/>
            <w:tcBorders/>
            <w:vAlign w:val="center"/>
          </w:tcPr>
          <w:p>
            <w:pPr>
              <w:jc w:val="right"/>
            </w:pPr>
            <w:r>
              <w:rPr>
                <w:rFonts w:ascii="宋体" w:eastAsia="宋体" w:hAnsi="宋体" w:cs="宋体"/>
                <w:b w:val="0"/>
                <w:i w:val="0"/>
                <w:color w:val="000000"/>
                <w:sz w:val="14"/>
              </w:rPr>
              <w:t xml:space="preserve">28.63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7.38</w:t>
            </w:r>
          </w:p>
        </w:tc>
        <w:tc>
          <w:tcPr>
            <w:tcW w:w="1060" w:type="dxa"/>
            <w:tcBorders/>
            <w:vAlign w:val="center"/>
          </w:tcPr>
          <w:p>
            <w:pPr>
              <w:jc w:val="right"/>
            </w:pPr>
            <w:r>
              <w:rPr>
                <w:rFonts w:ascii="宋体" w:eastAsia="宋体" w:hAnsi="宋体" w:cs="宋体"/>
                <w:b w:val="0"/>
                <w:i w:val="0"/>
                <w:color w:val="000000"/>
                <w:sz w:val="14"/>
              </w:rPr>
              <w:t xml:space="preserve">7.38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7.38</w:t>
            </w:r>
          </w:p>
        </w:tc>
        <w:tc>
          <w:tcPr>
            <w:tcW w:w="1060" w:type="dxa"/>
            <w:tcBorders/>
            <w:vAlign w:val="center"/>
          </w:tcPr>
          <w:p>
            <w:pPr>
              <w:jc w:val="right"/>
            </w:pPr>
            <w:r>
              <w:rPr>
                <w:rFonts w:ascii="宋体" w:eastAsia="宋体" w:hAnsi="宋体" w:cs="宋体"/>
                <w:b w:val="0"/>
                <w:i w:val="0"/>
                <w:color w:val="000000"/>
                <w:sz w:val="14"/>
              </w:rPr>
              <w:t xml:space="preserve">7.38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7.38</w:t>
            </w:r>
          </w:p>
        </w:tc>
        <w:tc>
          <w:tcPr>
            <w:tcW w:w="1060" w:type="dxa"/>
            <w:tcBorders/>
            <w:vAlign w:val="center"/>
          </w:tcPr>
          <w:p>
            <w:pPr>
              <w:jc w:val="right"/>
            </w:pPr>
            <w:r>
              <w:rPr>
                <w:rFonts w:ascii="宋体" w:eastAsia="宋体" w:hAnsi="宋体" w:cs="宋体"/>
                <w:b w:val="0"/>
                <w:i w:val="0"/>
                <w:color w:val="000000"/>
                <w:sz w:val="14"/>
              </w:rPr>
              <w:t xml:space="preserve">7.38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141.29</w:t>
            </w:r>
          </w:p>
        </w:tc>
        <w:tc>
          <w:tcPr>
            <w:tcW w:w="1100" w:type="dxa"/>
            <w:tcBorders/>
            <w:vAlign w:val="center"/>
          </w:tcPr>
          <w:p>
            <w:pPr>
              <w:jc w:val="right"/>
            </w:pPr>
            <w:r>
              <w:rPr>
                <w:rFonts w:ascii="宋体" w:eastAsia="宋体" w:hAnsi="宋体" w:cs="宋体"/>
                <w:b w:val="0"/>
                <w:i w:val="0"/>
                <w:color w:val="000000"/>
                <w:sz w:val="14"/>
              </w:rPr>
              <w:t xml:space="preserve">141.29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51.47</w:t>
            </w:r>
          </w:p>
        </w:tc>
        <w:tc>
          <w:tcPr>
            <w:tcW w:w="1100" w:type="dxa"/>
            <w:tcBorders/>
            <w:vAlign w:val="center"/>
          </w:tcPr>
          <w:p>
            <w:pPr>
              <w:jc w:val="right"/>
            </w:pPr>
            <w:r>
              <w:rPr>
                <w:rFonts w:ascii="宋体" w:eastAsia="宋体" w:hAnsi="宋体" w:cs="宋体"/>
                <w:b w:val="0"/>
                <w:i w:val="0"/>
                <w:color w:val="000000"/>
                <w:sz w:val="14"/>
              </w:rPr>
              <w:t xml:space="preserve">51.47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7.38</w:t>
            </w:r>
          </w:p>
        </w:tc>
        <w:tc>
          <w:tcPr>
            <w:tcW w:w="1100" w:type="dxa"/>
            <w:tcBorders/>
            <w:vAlign w:val="center"/>
          </w:tcPr>
          <w:p>
            <w:pPr>
              <w:jc w:val="right"/>
            </w:pPr>
            <w:r>
              <w:rPr>
                <w:rFonts w:ascii="宋体" w:eastAsia="宋体" w:hAnsi="宋体" w:cs="宋体"/>
                <w:b w:val="0"/>
                <w:i w:val="0"/>
                <w:color w:val="000000"/>
                <w:sz w:val="14"/>
              </w:rPr>
              <w:t xml:space="preserve">7.38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19.89</w:t>
            </w:r>
          </w:p>
        </w:tc>
        <w:tc>
          <w:tcPr>
            <w:tcW w:w="1100" w:type="dxa"/>
            <w:tcBorders/>
            <w:vAlign w:val="center"/>
          </w:tcPr>
          <w:p>
            <w:pPr>
              <w:jc w:val="right"/>
            </w:pPr>
            <w:r>
              <w:rPr>
                <w:rFonts w:ascii="宋体" w:eastAsia="宋体" w:hAnsi="宋体" w:cs="宋体"/>
                <w:b w:val="0"/>
                <w:i w:val="0"/>
                <w:color w:val="000000"/>
                <w:sz w:val="14"/>
              </w:rPr>
              <w:t xml:space="preserve">19.89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1100" w:type="dxa"/>
            <w:tcBorders/>
            <w:vAlign w:val="center"/>
          </w:tcPr>
          <w:p>
            <w:pPr>
              <w:jc w:val="right"/>
            </w:pPr>
            <w:r>
              <w:rPr>
                <w:rFonts w:ascii="宋体" w:eastAsia="宋体" w:hAnsi="宋体" w:cs="宋体"/>
                <w:b w:val="0"/>
                <w:i w:val="0"/>
                <w:color w:val="000000"/>
                <w:sz w:val="14"/>
              </w:rPr>
              <w:t xml:space="preserve">220.03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220.03</w:t>
            </w:r>
          </w:p>
        </w:tc>
        <w:tc>
          <w:tcPr>
            <w:tcW w:w="1780" w:type="dxa"/>
            <w:tcBorders/>
            <w:vAlign w:val="center"/>
          </w:tcPr>
          <w:p>
            <w:pPr>
              <w:jc w:val="right"/>
            </w:pPr>
            <w:r>
              <w:rPr>
                <w:rFonts w:ascii="宋体" w:eastAsia="宋体" w:hAnsi="宋体" w:cs="宋体"/>
                <w:b/>
                <w:i w:val="0"/>
                <w:color w:val="000000"/>
                <w:sz w:val="18"/>
              </w:rPr>
              <w:t xml:space="preserve">217.68</w:t>
            </w:r>
          </w:p>
        </w:tc>
        <w:tc>
          <w:tcPr>
            <w:tcW w:w="1772" w:type="dxa"/>
            <w:tcBorders/>
            <w:vAlign w:val="center"/>
          </w:tcPr>
          <w:p>
            <w:pPr>
              <w:jc w:val="right"/>
            </w:pPr>
            <w:r>
              <w:rPr>
                <w:rFonts w:ascii="宋体" w:eastAsia="宋体" w:hAnsi="宋体" w:cs="宋体"/>
                <w:b/>
                <w:i w:val="0"/>
                <w:color w:val="000000"/>
                <w:sz w:val="18"/>
              </w:rPr>
              <w:t xml:space="preserve">2.35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80" w:type="dxa"/>
            <w:tcBorders/>
            <w:vAlign w:val="center"/>
          </w:tcPr>
          <w:p>
            <w:pPr>
              <w:jc w:val="right"/>
            </w:pPr>
            <w:r>
              <w:rPr>
                <w:rFonts w:ascii="宋体" w:eastAsia="宋体" w:hAnsi="宋体" w:cs="宋体"/>
                <w:b w:val="0"/>
                <w:i w:val="0"/>
                <w:color w:val="000000"/>
                <w:sz w:val="18"/>
              </w:rPr>
              <w:t xml:space="preserve">138.94</w:t>
            </w:r>
          </w:p>
        </w:tc>
        <w:tc>
          <w:tcPr>
            <w:tcW w:w="1772" w:type="dxa"/>
            <w:tcBorders/>
            <w:vAlign w:val="center"/>
          </w:tcPr>
          <w:p>
            <w:pPr>
              <w:jc w:val="right"/>
            </w:pPr>
            <w:r>
              <w:rPr>
                <w:rFonts w:ascii="宋体" w:eastAsia="宋体" w:hAnsi="宋体" w:cs="宋体"/>
                <w:b w:val="0"/>
                <w:i w:val="0"/>
                <w:color w:val="000000"/>
                <w:sz w:val="18"/>
              </w:rPr>
              <w:t xml:space="preserve">2.35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w:t>
            </w:r>
          </w:p>
        </w:tc>
        <w:tc>
          <w:tcPr>
            <w:tcW w:w="4300" w:type="dxa"/>
            <w:tcBorders/>
            <w:vAlign w:val="center"/>
          </w:tcPr>
          <w:p>
            <w:pPr>
              <w:jc w:val="left"/>
            </w:pPr>
            <w:r>
              <w:rPr>
                <w:rFonts w:ascii="宋体" w:eastAsia="宋体" w:hAnsi="宋体" w:cs="宋体"/>
                <w:b w:val="0"/>
                <w:i w:val="0"/>
                <w:color w:val="000000"/>
                <w:sz w:val="18"/>
              </w:rPr>
              <w:t xml:space="preserve">群众团体事务</w:t>
            </w:r>
          </w:p>
        </w:tc>
        <w:tc>
          <w:tcPr>
            <w:tcW w:w="1780" w:type="dxa"/>
            <w:tcBorders/>
            <w:vAlign w:val="center"/>
          </w:tcPr>
          <w:p>
            <w:pPr>
              <w:jc w:val="right"/>
            </w:pPr>
            <w:r>
              <w:rPr>
                <w:rFonts w:ascii="宋体" w:eastAsia="宋体" w:hAnsi="宋体" w:cs="宋体"/>
                <w:b w:val="0"/>
                <w:i w:val="0"/>
                <w:color w:val="000000"/>
                <w:sz w:val="18"/>
              </w:rPr>
              <w:t xml:space="preserve">141.29</w:t>
            </w:r>
          </w:p>
        </w:tc>
        <w:tc>
          <w:tcPr>
            <w:tcW w:w="1780" w:type="dxa"/>
            <w:tcBorders/>
            <w:vAlign w:val="center"/>
          </w:tcPr>
          <w:p>
            <w:pPr>
              <w:jc w:val="right"/>
            </w:pPr>
            <w:r>
              <w:rPr>
                <w:rFonts w:ascii="宋体" w:eastAsia="宋体" w:hAnsi="宋体" w:cs="宋体"/>
                <w:b w:val="0"/>
                <w:i w:val="0"/>
                <w:color w:val="000000"/>
                <w:sz w:val="18"/>
              </w:rPr>
              <w:t xml:space="preserve">138.94</w:t>
            </w:r>
          </w:p>
        </w:tc>
        <w:tc>
          <w:tcPr>
            <w:tcW w:w="1772" w:type="dxa"/>
            <w:tcBorders/>
            <w:vAlign w:val="center"/>
          </w:tcPr>
          <w:p>
            <w:pPr>
              <w:jc w:val="right"/>
            </w:pPr>
            <w:r>
              <w:rPr>
                <w:rFonts w:ascii="宋体" w:eastAsia="宋体" w:hAnsi="宋体" w:cs="宋体"/>
                <w:b w:val="0"/>
                <w:i w:val="0"/>
                <w:color w:val="000000"/>
                <w:sz w:val="18"/>
              </w:rPr>
              <w:t xml:space="preserve">2.35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138.94</w:t>
            </w:r>
          </w:p>
        </w:tc>
        <w:tc>
          <w:tcPr>
            <w:tcW w:w="1780" w:type="dxa"/>
            <w:tcBorders/>
            <w:vAlign w:val="center"/>
          </w:tcPr>
          <w:p>
            <w:pPr>
              <w:jc w:val="right"/>
            </w:pPr>
            <w:r>
              <w:rPr>
                <w:rFonts w:ascii="宋体" w:eastAsia="宋体" w:hAnsi="宋体" w:cs="宋体"/>
                <w:b w:val="0"/>
                <w:i w:val="0"/>
                <w:color w:val="000000"/>
                <w:sz w:val="18"/>
              </w:rPr>
              <w:t xml:space="preserve">138.94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2012902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51.48</w:t>
            </w:r>
          </w:p>
        </w:tc>
        <w:tc>
          <w:tcPr>
            <w:tcW w:w="1780" w:type="dxa"/>
            <w:tcBorders/>
            <w:vAlign w:val="center"/>
          </w:tcPr>
          <w:p>
            <w:pPr>
              <w:jc w:val="right"/>
            </w:pPr>
            <w:r>
              <w:rPr>
                <w:rFonts w:ascii="宋体" w:eastAsia="宋体" w:hAnsi="宋体" w:cs="宋体"/>
                <w:b w:val="0"/>
                <w:i w:val="0"/>
                <w:color w:val="000000"/>
                <w:sz w:val="18"/>
              </w:rPr>
              <w:t xml:space="preserve">51.48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22.85</w:t>
            </w:r>
          </w:p>
        </w:tc>
        <w:tc>
          <w:tcPr>
            <w:tcW w:w="1780" w:type="dxa"/>
            <w:tcBorders/>
            <w:vAlign w:val="center"/>
          </w:tcPr>
          <w:p>
            <w:pPr>
              <w:jc w:val="right"/>
            </w:pPr>
            <w:r>
              <w:rPr>
                <w:rFonts w:ascii="宋体" w:eastAsia="宋体" w:hAnsi="宋体" w:cs="宋体"/>
                <w:b w:val="0"/>
                <w:i w:val="0"/>
                <w:color w:val="000000"/>
                <w:sz w:val="18"/>
              </w:rPr>
              <w:t xml:space="preserve">22.85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18.42</w:t>
            </w:r>
          </w:p>
        </w:tc>
        <w:tc>
          <w:tcPr>
            <w:tcW w:w="1780" w:type="dxa"/>
            <w:tcBorders/>
            <w:vAlign w:val="center"/>
          </w:tcPr>
          <w:p>
            <w:pPr>
              <w:jc w:val="right"/>
            </w:pPr>
            <w:r>
              <w:rPr>
                <w:rFonts w:ascii="宋体" w:eastAsia="宋体" w:hAnsi="宋体" w:cs="宋体"/>
                <w:b w:val="0"/>
                <w:i w:val="0"/>
                <w:color w:val="000000"/>
                <w:sz w:val="18"/>
              </w:rPr>
              <w:t xml:space="preserve">18.42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28.63</w:t>
            </w:r>
          </w:p>
        </w:tc>
        <w:tc>
          <w:tcPr>
            <w:tcW w:w="1780" w:type="dxa"/>
            <w:tcBorders/>
            <w:vAlign w:val="center"/>
          </w:tcPr>
          <w:p>
            <w:pPr>
              <w:jc w:val="right"/>
            </w:pPr>
            <w:r>
              <w:rPr>
                <w:rFonts w:ascii="宋体" w:eastAsia="宋体" w:hAnsi="宋体" w:cs="宋体"/>
                <w:b w:val="0"/>
                <w:i w:val="0"/>
                <w:color w:val="000000"/>
                <w:sz w:val="18"/>
              </w:rPr>
              <w:t xml:space="preserve">28.63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28.63</w:t>
            </w:r>
          </w:p>
        </w:tc>
        <w:tc>
          <w:tcPr>
            <w:tcW w:w="1780" w:type="dxa"/>
            <w:tcBorders/>
            <w:vAlign w:val="center"/>
          </w:tcPr>
          <w:p>
            <w:pPr>
              <w:jc w:val="right"/>
            </w:pPr>
            <w:r>
              <w:rPr>
                <w:rFonts w:ascii="宋体" w:eastAsia="宋体" w:hAnsi="宋体" w:cs="宋体"/>
                <w:b w:val="0"/>
                <w:i w:val="0"/>
                <w:color w:val="000000"/>
                <w:sz w:val="18"/>
              </w:rPr>
              <w:t xml:space="preserve">28.63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7.38</w:t>
            </w:r>
          </w:p>
        </w:tc>
        <w:tc>
          <w:tcPr>
            <w:tcW w:w="1780" w:type="dxa"/>
            <w:tcBorders/>
            <w:vAlign w:val="center"/>
          </w:tcPr>
          <w:p>
            <w:pPr>
              <w:jc w:val="right"/>
            </w:pPr>
            <w:r>
              <w:rPr>
                <w:rFonts w:ascii="宋体" w:eastAsia="宋体" w:hAnsi="宋体" w:cs="宋体"/>
                <w:b w:val="0"/>
                <w:i w:val="0"/>
                <w:color w:val="000000"/>
                <w:sz w:val="18"/>
              </w:rPr>
              <w:t xml:space="preserve">7.38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7.38</w:t>
            </w:r>
          </w:p>
        </w:tc>
        <w:tc>
          <w:tcPr>
            <w:tcW w:w="1780" w:type="dxa"/>
            <w:tcBorders/>
            <w:vAlign w:val="center"/>
          </w:tcPr>
          <w:p>
            <w:pPr>
              <w:jc w:val="right"/>
            </w:pPr>
            <w:r>
              <w:rPr>
                <w:rFonts w:ascii="宋体" w:eastAsia="宋体" w:hAnsi="宋体" w:cs="宋体"/>
                <w:b w:val="0"/>
                <w:i w:val="0"/>
                <w:color w:val="000000"/>
                <w:sz w:val="18"/>
              </w:rPr>
              <w:t xml:space="preserve">7.38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7.38</w:t>
            </w:r>
          </w:p>
        </w:tc>
        <w:tc>
          <w:tcPr>
            <w:tcW w:w="1780" w:type="dxa"/>
            <w:tcBorders/>
            <w:vAlign w:val="center"/>
          </w:tcPr>
          <w:p>
            <w:pPr>
              <w:jc w:val="right"/>
            </w:pPr>
            <w:r>
              <w:rPr>
                <w:rFonts w:ascii="宋体" w:eastAsia="宋体" w:hAnsi="宋体" w:cs="宋体"/>
                <w:b w:val="0"/>
                <w:i w:val="0"/>
                <w:color w:val="000000"/>
                <w:sz w:val="18"/>
              </w:rPr>
              <w:t xml:space="preserve">7.38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165.74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18.88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51.43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2.29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34.17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30.63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3.42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18.42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6.49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7.38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19.89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33.06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4.43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28.63</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0.92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9.19</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198.80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18.88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部门：辽宁省沈阳市浑南区总工会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024001沈阳市浑南区总工会本级-210112000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246.5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143.78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143.77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完成当年任务，有效提高工作质量，更好的服务职工。</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完成当年工作任务，有效提高工作质量，更好的服务职工。</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地质灾害防治宣传活动受益人数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完成目标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平台及网络设备无障碍运行情况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完成任务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执法办案行为投诉率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彩票机构运行平稳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完成任务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多部门协同联动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完成任务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沈阳市浑南区总工会-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沈阳市浑南区总工会本级-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1名雇员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保证一名雇员顺利完成工作，达到所确定的年度绩效指标固定指标值。</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23458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23458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6440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沈阳市浑南区总工会-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沈阳市浑南区总工会本级-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规范资金政策调整，继续调整下一年工作安排，为更好的解决工作安排做充分的准备，保质保量完成工作任务。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补助年度人均标准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精神残疾人托养照护服务示范机构建设数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精神分裂症患者服药率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卫生健康人才培训通过率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购置图书质量合格率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平台数据共享及时率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辽宁青年科技奖公示宣传费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赴基层调研指导成本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带动地方财政和社会资金投入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残疾人机动轮椅车车主出行便利程度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更加便利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残疾人就业及康复政策区域性宣贯政策知晓率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康复对象满意度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受到影响的部门（单位）满意度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总工会工作经费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沈阳市浑南区总工会-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沈阳市浑南区总工会本级-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工会经费全区统筹部分。工资总额2%的40%部分，用于组织全区职工参与各类文体活动，救助困难职工、慰问和服务一线职工、对劳动争议进行调解等。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慰问和服务区内职工会员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慰问和服务区内职工会员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区内职工会员参与各类文体活动等</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支持基层工会组织建设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支持基层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劳动争议进行调解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争议调解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支持基层工会组织建设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支持基层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劳动争议进行调解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争议调解</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丰富区内职工会员生活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丰富职工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丰富区内职工会员生活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丰富职工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